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0"/>
        <w:ind w:firstLine="320" w:firstLineChars="100"/>
        <w:rPr>
          <w:rFonts w:ascii="黑体" w:eastAsia="黑体"/>
        </w:rPr>
      </w:pPr>
      <w:bookmarkStart w:id="8" w:name="_GoBack"/>
      <w:bookmarkEnd w:id="8"/>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12"/>
        <w:spacing w:before="237"/>
        <w:ind w:right="238"/>
        <w:rPr>
          <w:rFonts w:ascii="PMingLiU" w:eastAsia="PMingLiU"/>
        </w:rPr>
      </w:pPr>
      <w:r>
        <w:rPr>
          <w:rFonts w:hint="eastAsia" w:ascii="PMingLiU" w:eastAsia="PMingLiU"/>
        </w:rPr>
        <w:t>项目支出部门评价报告</w:t>
      </w:r>
    </w:p>
    <w:p>
      <w:pPr>
        <w:pStyle w:val="2"/>
        <w:spacing w:before="5"/>
        <w:rPr>
          <w:rFonts w:ascii="PMingLiU"/>
          <w:sz w:val="67"/>
        </w:rPr>
      </w:pPr>
    </w:p>
    <w:p>
      <w:pPr>
        <w:pStyle w:val="2"/>
        <w:tabs>
          <w:tab w:val="left" w:pos="5404"/>
        </w:tabs>
        <w:ind w:right="665"/>
        <w:jc w:val="center"/>
        <w:rPr>
          <w:rFonts w:ascii="黑体" w:hAnsi="黑体" w:eastAsia="黑体"/>
        </w:rPr>
      </w:pPr>
      <w:r>
        <mc:AlternateContent>
          <mc:Choice Requires="wps">
            <w:drawing>
              <wp:anchor distT="0" distB="0" distL="114300" distR="114300" simplePos="0" relativeHeight="251659264" behindDoc="1" locked="0" layoutInCell="1" allowOverlap="1">
                <wp:simplePos x="0" y="0"/>
                <wp:positionH relativeFrom="page">
                  <wp:posOffset>2244725</wp:posOffset>
                </wp:positionH>
                <wp:positionV relativeFrom="paragraph">
                  <wp:posOffset>234315</wp:posOffset>
                </wp:positionV>
                <wp:extent cx="4120515" cy="0"/>
                <wp:effectExtent l="0" t="0" r="0" b="0"/>
                <wp:wrapNone/>
                <wp:docPr id="1" name="直线 3"/>
                <wp:cNvGraphicFramePr/>
                <a:graphic xmlns:a="http://schemas.openxmlformats.org/drawingml/2006/main">
                  <a:graphicData uri="http://schemas.microsoft.com/office/word/2010/wordprocessingShape">
                    <wps:wsp>
                      <wps:cNvCnPr/>
                      <wps:spPr>
                        <a:xfrm>
                          <a:off x="0" y="0"/>
                          <a:ext cx="412051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76.75pt;margin-top:18.45pt;height:0pt;width:324.45pt;mso-position-horizontal-relative:page;z-index:-251657216;mso-width-relative:page;mso-height-relative:page;" filled="f" stroked="t" coordsize="21600,21600" o:gfxdata="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xprkNYA&#10;AAAKAQAADwAAAAAAAAABACAAAAAiAAAAZHJzL2Rvd25yZXYueG1sUEsBAhQAFAAAAAgAh07iQDAs&#10;04voAQAA2wMAAA4AAAAAAAAAAQAgAAAAJQEAAGRycy9lMm9Eb2MueG1sUEsFBgAAAAAGAAYAWQEA&#10;AH8FAAAAAA==&#10;">
                <v:fill on="f" focussize="0,0"/>
                <v:stroke weight="0.78pt" color="#000000" joinstyle="round"/>
                <v:imagedata o:title=""/>
                <o:lock v:ext="edit" aspectratio="f"/>
              </v:line>
            </w:pict>
          </mc:Fallback>
        </mc:AlternateContent>
      </w:r>
      <w:r>
        <w:rPr>
          <w:rFonts w:hint="eastAsia" w:ascii="黑体" w:hAnsi="黑体" w:eastAsia="黑体"/>
        </w:rPr>
        <w:t>评价类型：</w:t>
      </w:r>
      <w:r>
        <w:rPr>
          <w:rFonts w:ascii="Wingdings 2" w:hAnsi="Wingdings 2" w:eastAsia="Wingdings 2"/>
        </w:rPr>
        <w:t></w:t>
      </w:r>
      <w:r>
        <w:rPr>
          <w:rFonts w:hint="eastAsia" w:ascii="黑体" w:hAnsi="黑体" w:eastAsia="黑体"/>
        </w:rPr>
        <w:t>实施过程评价</w:t>
      </w:r>
      <w:r>
        <w:rPr>
          <w:rFonts w:hint="eastAsia" w:ascii="黑体" w:hAnsi="黑体" w:eastAsia="黑体"/>
        </w:rPr>
        <w:tab/>
      </w:r>
      <w:r>
        <w:rPr>
          <w:rFonts w:ascii="Wingdings 2" w:hAnsi="Wingdings 2" w:eastAsia="Wingdings 2"/>
        </w:rPr>
        <w:t></w:t>
      </w:r>
      <w:r>
        <w:rPr>
          <w:rFonts w:hint="eastAsia" w:ascii="黑体" w:hAnsi="黑体" w:eastAsia="黑体"/>
        </w:rPr>
        <w:t>完成结果评价</w:t>
      </w:r>
    </w:p>
    <w:p>
      <w:pPr>
        <w:pStyle w:val="2"/>
        <w:rPr>
          <w:rFonts w:ascii="黑体"/>
          <w:sz w:val="20"/>
        </w:rPr>
      </w:pPr>
    </w:p>
    <w:p>
      <w:pPr>
        <w:pStyle w:val="2"/>
        <w:rPr>
          <w:rFonts w:ascii="黑体"/>
          <w:sz w:val="20"/>
        </w:rPr>
      </w:pPr>
    </w:p>
    <w:p>
      <w:pPr>
        <w:pStyle w:val="2"/>
        <w:spacing w:before="7"/>
        <w:rPr>
          <w:rFonts w:ascii="黑体"/>
          <w:sz w:val="16"/>
        </w:rPr>
      </w:pPr>
    </w:p>
    <w:p>
      <w:pPr>
        <w:pStyle w:val="2"/>
        <w:tabs>
          <w:tab w:val="left" w:pos="8157"/>
        </w:tabs>
        <w:spacing w:before="66"/>
        <w:ind w:right="117"/>
        <w:jc w:val="center"/>
        <w:rPr>
          <w:rFonts w:ascii="Times New Roman" w:eastAsia="Times New Roman"/>
        </w:rPr>
      </w:pPr>
      <w:r>
        <w:rPr>
          <w:rFonts w:hint="eastAsia" w:ascii="黑体" w:eastAsia="黑体"/>
          <w:spacing w:val="-1"/>
        </w:rPr>
        <w:t>项目名称</w:t>
      </w:r>
      <w:r>
        <w:rPr>
          <w:rFonts w:hint="eastAsia" w:ascii="黑体" w:eastAsia="黑体"/>
        </w:rPr>
        <w:t>：</w:t>
      </w:r>
      <w:r>
        <w:rPr>
          <w:rFonts w:ascii="Times New Roman" w:eastAsia="Times New Roman"/>
          <w:u w:val="single"/>
        </w:rPr>
        <w:t xml:space="preserve"> </w:t>
      </w:r>
      <w:r>
        <w:rPr>
          <w:rFonts w:hint="eastAsia" w:ascii="Times New Roman"/>
          <w:u w:val="single"/>
          <w:lang w:val="en-US" w:eastAsia="zh-CN"/>
        </w:rPr>
        <w:t>其他资金妇女儿童专项</w:t>
      </w:r>
      <w:r>
        <w:rPr>
          <w:rFonts w:ascii="Times New Roman" w:eastAsia="Times New Roman"/>
          <w:u w:val="single"/>
        </w:rPr>
        <w:tab/>
      </w:r>
    </w:p>
    <w:p>
      <w:pPr>
        <w:pStyle w:val="2"/>
        <w:rPr>
          <w:rFonts w:ascii="Times New Roman"/>
          <w:sz w:val="20"/>
        </w:rPr>
      </w:pPr>
    </w:p>
    <w:p>
      <w:pPr>
        <w:pStyle w:val="2"/>
        <w:rPr>
          <w:rFonts w:ascii="Times New Roman"/>
          <w:sz w:val="20"/>
        </w:rPr>
      </w:pPr>
    </w:p>
    <w:p>
      <w:pPr>
        <w:pStyle w:val="2"/>
        <w:rPr>
          <w:rFonts w:ascii="Times New Roman"/>
          <w:sz w:val="23"/>
        </w:rPr>
      </w:pPr>
    </w:p>
    <w:p>
      <w:pPr>
        <w:pStyle w:val="2"/>
        <w:tabs>
          <w:tab w:val="left" w:pos="8157"/>
        </w:tabs>
        <w:spacing w:before="65"/>
        <w:ind w:right="117"/>
        <w:jc w:val="center"/>
        <w:rPr>
          <w:rFonts w:ascii="Times New Roman" w:eastAsia="Times New Roman"/>
        </w:rPr>
      </w:pPr>
      <w:r>
        <w:rPr>
          <w:rFonts w:hint="eastAsia" w:ascii="黑体" w:eastAsia="黑体"/>
          <w:spacing w:val="-1"/>
        </w:rPr>
        <w:t>项目单位</w:t>
      </w:r>
      <w:r>
        <w:rPr>
          <w:rFonts w:hint="eastAsia" w:ascii="黑体" w:eastAsia="黑体"/>
        </w:rPr>
        <w:t>：</w:t>
      </w:r>
      <w:r>
        <w:rPr>
          <w:rFonts w:hint="eastAsia" w:ascii="Times New Roman" w:hAnsi="宋体" w:eastAsia="Times New Roman" w:cs="宋体"/>
          <w:u w:val="single"/>
        </w:rPr>
        <w:t xml:space="preserve">南昌市青云谱区妇女联合会 </w:t>
      </w:r>
      <w:r>
        <w:rPr>
          <w:rFonts w:ascii="Times New Roman" w:eastAsia="Times New Roman"/>
          <w:u w:val="single"/>
        </w:rPr>
        <w:t xml:space="preserve"> </w:t>
      </w:r>
      <w:r>
        <w:rPr>
          <w:rFonts w:ascii="Times New Roman" w:eastAsia="Times New Roman"/>
          <w:u w:val="single"/>
        </w:rPr>
        <w:tab/>
      </w:r>
    </w:p>
    <w:p>
      <w:pPr>
        <w:pStyle w:val="2"/>
        <w:rPr>
          <w:rFonts w:ascii="Times New Roman"/>
          <w:sz w:val="20"/>
        </w:rPr>
      </w:pPr>
    </w:p>
    <w:p>
      <w:pPr>
        <w:pStyle w:val="2"/>
        <w:rPr>
          <w:rFonts w:ascii="Times New Roman"/>
          <w:sz w:val="20"/>
        </w:rPr>
      </w:pPr>
    </w:p>
    <w:p>
      <w:pPr>
        <w:pStyle w:val="2"/>
        <w:rPr>
          <w:rFonts w:ascii="Times New Roman"/>
          <w:sz w:val="23"/>
        </w:rPr>
      </w:pPr>
    </w:p>
    <w:p>
      <w:pPr>
        <w:pStyle w:val="2"/>
        <w:tabs>
          <w:tab w:val="left" w:pos="6876"/>
        </w:tabs>
        <w:spacing w:before="66"/>
        <w:ind w:right="118"/>
        <w:jc w:val="center"/>
        <w:rPr>
          <w:rFonts w:ascii="黑体" w:eastAsia="黑体"/>
        </w:rPr>
      </w:pPr>
      <w:r>
        <w:rPr>
          <w:rFonts w:hint="eastAsia" w:ascii="黑体" w:eastAsia="黑体"/>
        </w:rPr>
        <w:t>主管部门：</w:t>
      </w:r>
      <w:r>
        <w:rPr>
          <w:rFonts w:hint="eastAsia" w:ascii="Times New Roman" w:hAnsi="宋体" w:eastAsia="Times New Roman" w:cs="宋体"/>
          <w:u w:val="single"/>
        </w:rPr>
        <w:t xml:space="preserve">南昌市青云谱区妇女联合会 </w:t>
      </w:r>
      <w:r>
        <w:rPr>
          <w:rFonts w:hint="eastAsia" w:ascii="黑体" w:eastAsia="黑体"/>
          <w:u w:val="single"/>
        </w:rPr>
        <w:t xml:space="preserve"> </w:t>
      </w:r>
      <w:r>
        <w:rPr>
          <w:rFonts w:hint="eastAsia" w:ascii="黑体" w:eastAsia="黑体"/>
          <w:u w:val="single"/>
        </w:rPr>
        <w:tab/>
      </w:r>
      <w:r>
        <w:rPr>
          <w:rFonts w:hint="eastAsia" w:ascii="黑体" w:eastAsia="黑体"/>
          <w:u w:val="single"/>
        </w:rPr>
        <w:t>（盖章）</w:t>
      </w:r>
    </w:p>
    <w:p>
      <w:pPr>
        <w:pStyle w:val="2"/>
        <w:rPr>
          <w:rFonts w:ascii="黑体"/>
          <w:sz w:val="20"/>
        </w:rPr>
      </w:pPr>
    </w:p>
    <w:p>
      <w:pPr>
        <w:pStyle w:val="2"/>
        <w:rPr>
          <w:rFonts w:ascii="黑体"/>
          <w:sz w:val="20"/>
        </w:rPr>
      </w:pPr>
    </w:p>
    <w:p>
      <w:pPr>
        <w:pStyle w:val="2"/>
        <w:spacing w:before="4"/>
        <w:rPr>
          <w:rFonts w:ascii="黑体"/>
          <w:sz w:val="17"/>
        </w:rPr>
      </w:pPr>
    </w:p>
    <w:p>
      <w:pPr>
        <w:pStyle w:val="2"/>
        <w:tabs>
          <w:tab w:val="left" w:pos="3914"/>
          <w:tab w:val="left" w:pos="4714"/>
          <w:tab w:val="left" w:pos="5514"/>
          <w:tab w:val="left" w:pos="6793"/>
          <w:tab w:val="left" w:pos="7593"/>
          <w:tab w:val="left" w:pos="8393"/>
        </w:tabs>
        <w:spacing w:before="56"/>
        <w:ind w:left="1354"/>
        <w:rPr>
          <w:rFonts w:ascii="黑体" w:eastAsia="黑体"/>
        </w:rPr>
      </w:pPr>
      <w:r>
        <mc:AlternateContent>
          <mc:Choice Requires="wps">
            <w:drawing>
              <wp:anchor distT="0" distB="0" distL="114300" distR="114300" simplePos="0" relativeHeight="251660288" behindDoc="1" locked="0" layoutInCell="1" allowOverlap="1">
                <wp:simplePos x="0" y="0"/>
                <wp:positionH relativeFrom="page">
                  <wp:posOffset>2244725</wp:posOffset>
                </wp:positionH>
                <wp:positionV relativeFrom="paragraph">
                  <wp:posOffset>270510</wp:posOffset>
                </wp:positionV>
                <wp:extent cx="4164330" cy="0"/>
                <wp:effectExtent l="0" t="0" r="0" b="0"/>
                <wp:wrapNone/>
                <wp:docPr id="2" name="直线 4"/>
                <wp:cNvGraphicFramePr/>
                <a:graphic xmlns:a="http://schemas.openxmlformats.org/drawingml/2006/main">
                  <a:graphicData uri="http://schemas.microsoft.com/office/word/2010/wordprocessingShape">
                    <wps:wsp>
                      <wps:cNvCnPr/>
                      <wps:spPr>
                        <a:xfrm>
                          <a:off x="0" y="0"/>
                          <a:ext cx="4164330"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76.75pt;margin-top:21.3pt;height:0pt;width:327.9pt;mso-position-horizontal-relative:page;z-index:-251656192;mso-width-relative:page;mso-height-relative:page;" filled="f" stroked="t" coordsize="21600,21600" o:gfxdata="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lFsKjX&#10;AAAACgEAAA8AAAAAAAAAAQAgAAAAIgAAAGRycy9kb3ducmV2LnhtbFBLAQIUABQAAAAIAIdO4kDr&#10;Nlon6AEAANsDAAAOAAAAAAAAAAEAIAAAACYBAABkcnMvZTJvRG9jLnhtbFBLBQYAAAAABgAGAFkB&#10;AACABQAAAAA=&#10;">
                <v:fill on="f" focussize="0,0"/>
                <v:stroke weight="0.78pt" color="#000000" joinstyle="round"/>
                <v:imagedata o:title=""/>
                <o:lock v:ext="edit" aspectratio="f"/>
              </v:line>
            </w:pict>
          </mc:Fallback>
        </mc:AlternateContent>
      </w:r>
      <w:r>
        <w:rPr>
          <w:rFonts w:hint="eastAsia" w:ascii="黑体" w:eastAsia="黑体"/>
        </w:rPr>
        <w:t>评价时间：</w:t>
      </w: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01</w:t>
      </w:r>
      <w:r>
        <w:rPr>
          <w:rFonts w:hint="eastAsia" w:ascii="黑体" w:eastAsia="黑体"/>
        </w:rPr>
        <w:t>日至</w:t>
      </w: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12</w:t>
      </w:r>
      <w:r>
        <w:rPr>
          <w:rFonts w:hint="eastAsia" w:ascii="黑体" w:eastAsia="黑体"/>
        </w:rPr>
        <w:tab/>
      </w:r>
      <w:r>
        <w:rPr>
          <w:rFonts w:hint="eastAsia" w:ascii="黑体" w:eastAsia="黑体"/>
        </w:rPr>
        <w:t>日</w:t>
      </w:r>
    </w:p>
    <w:p>
      <w:pPr>
        <w:pStyle w:val="2"/>
        <w:rPr>
          <w:rFonts w:ascii="黑体"/>
          <w:sz w:val="20"/>
        </w:rPr>
      </w:pPr>
    </w:p>
    <w:p>
      <w:pPr>
        <w:pStyle w:val="2"/>
        <w:rPr>
          <w:rFonts w:ascii="黑体"/>
          <w:sz w:val="20"/>
        </w:rPr>
      </w:pPr>
    </w:p>
    <w:p>
      <w:pPr>
        <w:pStyle w:val="2"/>
        <w:rPr>
          <w:rFonts w:ascii="黑体"/>
          <w:sz w:val="20"/>
        </w:rPr>
      </w:pPr>
    </w:p>
    <w:p>
      <w:pPr>
        <w:pStyle w:val="2"/>
        <w:spacing w:before="4"/>
        <w:rPr>
          <w:rFonts w:ascii="黑体"/>
          <w:sz w:val="17"/>
        </w:rPr>
      </w:pPr>
    </w:p>
    <w:p>
      <w:pPr>
        <w:pStyle w:val="2"/>
        <w:tabs>
          <w:tab w:val="left" w:pos="4125"/>
          <w:tab w:val="left" w:pos="6009"/>
        </w:tabs>
        <w:spacing w:before="55"/>
        <w:ind w:right="380"/>
        <w:jc w:val="center"/>
        <w:rPr>
          <w:rFonts w:ascii="黑体" w:hAnsi="黑体" w:eastAsia="黑体"/>
        </w:rPr>
      </w:pPr>
      <w:r>
        <mc:AlternateContent>
          <mc:Choice Requires="wps">
            <w:drawing>
              <wp:anchor distT="0" distB="0" distL="114300" distR="114300" simplePos="0" relativeHeight="251661312" behindDoc="1" locked="0" layoutInCell="1" allowOverlap="1">
                <wp:simplePos x="0" y="0"/>
                <wp:positionH relativeFrom="page">
                  <wp:posOffset>2244725</wp:posOffset>
                </wp:positionH>
                <wp:positionV relativeFrom="paragraph">
                  <wp:posOffset>269240</wp:posOffset>
                </wp:positionV>
                <wp:extent cx="4199255" cy="0"/>
                <wp:effectExtent l="0" t="0" r="0" b="0"/>
                <wp:wrapNone/>
                <wp:docPr id="3" name="直线 5"/>
                <wp:cNvGraphicFramePr/>
                <a:graphic xmlns:a="http://schemas.openxmlformats.org/drawingml/2006/main">
                  <a:graphicData uri="http://schemas.microsoft.com/office/word/2010/wordprocessingShape">
                    <wps:wsp>
                      <wps:cNvCnPr/>
                      <wps:spPr>
                        <a:xfrm>
                          <a:off x="0" y="0"/>
                          <a:ext cx="419925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76.75pt;margin-top:21.2pt;height:0pt;width:330.65pt;mso-position-horizontal-relative:page;z-index:-251655168;mso-width-relative:page;mso-height-relative:page;" filled="f" stroked="t" coordsize="21600,21600" o:gfxdata="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uoSR7W&#10;AAAACgEAAA8AAAAAAAAAAQAgAAAAIgAAAGRycy9kb3ducmV2LnhtbFBLAQIUABQAAAAIAIdO4kDX&#10;pZlO6QEAANsDAAAOAAAAAAAAAAEAIAAAACUBAABkcnMvZTJvRG9jLnhtbFBLBQYAAAAABgAGAFkB&#10;AACABQAAAAA=&#10;">
                <v:fill on="f" focussize="0,0"/>
                <v:stroke weight="0.78pt" color="#000000" joinstyle="round"/>
                <v:imagedata o:title=""/>
                <o:lock v:ext="edit" aspectratio="f"/>
              </v:line>
            </w:pict>
          </mc:Fallback>
        </mc:AlternateContent>
      </w:r>
      <w:r>
        <w:rPr>
          <w:rFonts w:hint="eastAsia" w:ascii="黑体" w:hAnsi="黑体" w:eastAsia="黑体"/>
        </w:rPr>
        <w:t>评价机构：</w:t>
      </w:r>
      <w:r>
        <w:rPr>
          <w:rFonts w:ascii="Wingdings 2" w:hAnsi="Wingdings 2" w:eastAsia="Wingdings 2"/>
        </w:rPr>
        <w:t></w:t>
      </w:r>
      <w:r>
        <w:rPr>
          <w:rFonts w:hint="eastAsia" w:ascii="黑体" w:hAnsi="黑体" w:eastAsia="黑体"/>
        </w:rPr>
        <w:t>第三方机构</w:t>
      </w:r>
      <w:r>
        <w:rPr>
          <w:rFonts w:hint="eastAsia" w:ascii="黑体" w:hAnsi="黑体" w:eastAsia="黑体"/>
        </w:rPr>
        <w:tab/>
      </w:r>
      <w:r>
        <w:rPr>
          <w:rFonts w:ascii="Wingdings 2" w:hAnsi="Wingdings 2" w:eastAsia="Wingdings 2"/>
        </w:rPr>
        <w:t></w:t>
      </w:r>
      <w:r>
        <w:rPr>
          <w:rFonts w:hint="eastAsia" w:ascii="黑体" w:hAnsi="黑体" w:eastAsia="黑体"/>
        </w:rPr>
        <w:t>专家组</w:t>
      </w:r>
      <w:r>
        <w:rPr>
          <w:rFonts w:hint="eastAsia" w:ascii="黑体" w:hAnsi="黑体" w:eastAsia="黑体"/>
        </w:rPr>
        <w:tab/>
      </w:r>
      <w:r>
        <w:rPr>
          <w:rFonts w:ascii="Wingdings 2" w:hAnsi="Wingdings 2" w:eastAsia="Wingdings 2"/>
        </w:rPr>
        <w:sym w:font="Wingdings 2" w:char="0052"/>
      </w:r>
      <w:r>
        <w:rPr>
          <w:rFonts w:hint="eastAsia" w:ascii="黑体" w:hAnsi="黑体" w:eastAsia="黑体"/>
        </w:rPr>
        <w:t>部门评价组</w:t>
      </w: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tabs>
          <w:tab w:val="left" w:pos="959"/>
          <w:tab w:val="left" w:pos="1920"/>
        </w:tabs>
        <w:spacing w:before="56"/>
        <w:ind w:right="238"/>
        <w:jc w:val="center"/>
        <w:rPr>
          <w:rFonts w:ascii="黑体"/>
          <w:sz w:val="20"/>
        </w:rPr>
      </w:pP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12</w:t>
      </w:r>
      <w:r>
        <w:rPr>
          <w:rFonts w:hint="eastAsia" w:ascii="黑体" w:eastAsia="黑体"/>
        </w:rPr>
        <w:t>日</w:t>
      </w:r>
    </w:p>
    <w:p>
      <w:pPr>
        <w:pStyle w:val="2"/>
        <w:spacing w:before="12"/>
        <w:rPr>
          <w:rFonts w:ascii="黑体"/>
          <w:sz w:val="14"/>
        </w:rPr>
      </w:pPr>
    </w:p>
    <w:p>
      <w:pPr>
        <w:rPr>
          <w:rFonts w:ascii="Times New Roman" w:hAnsi="Times New Roman"/>
          <w:sz w:val="24"/>
        </w:rPr>
        <w:sectPr>
          <w:footerReference r:id="rId5" w:type="even"/>
          <w:pgSz w:w="11910" w:h="16840"/>
          <w:pgMar w:top="1200" w:right="338" w:bottom="280" w:left="580" w:header="0" w:footer="0" w:gutter="0"/>
          <w:cols w:space="720" w:num="1"/>
        </w:sectPr>
      </w:pPr>
    </w:p>
    <w:p>
      <w:pPr>
        <w:pStyle w:val="13"/>
        <w:keepNext w:val="0"/>
        <w:keepLines w:val="0"/>
        <w:pageBreakBefore w:val="0"/>
        <w:numPr>
          <w:ilvl w:val="0"/>
          <w:numId w:val="0"/>
        </w:numPr>
        <w:kinsoku/>
        <w:wordWrap/>
        <w:overflowPunct/>
        <w:topLinePunct w:val="0"/>
        <w:bidi w:val="0"/>
        <w:spacing w:after="0" w:line="580" w:lineRule="exact"/>
        <w:ind w:left="2034" w:leftChars="0" w:right="660" w:rightChars="300" w:hanging="645" w:firstLineChars="0"/>
        <w:jc w:val="left"/>
        <w:textAlignment w:val="auto"/>
        <w:rPr>
          <w:rFonts w:hint="eastAsia" w:asciiTheme="minorEastAsia" w:hAnsiTheme="minorEastAsia" w:eastAsiaTheme="minorEastAsia"/>
          <w:b/>
          <w:bCs/>
          <w:w w:val="95"/>
        </w:rPr>
      </w:pPr>
      <w:r>
        <w:rPr>
          <w:rFonts w:hint="eastAsia" w:ascii="汉仪青云简" w:hAnsi="汉仪青云简" w:eastAsia="汉仪青云简" w:cs="汉仪青云简"/>
          <w:b w:val="0"/>
          <w:sz w:val="48"/>
          <w:szCs w:val="48"/>
          <w:lang w:val="en-US" w:eastAsia="zh-CN"/>
        </w:rPr>
        <w:t>南昌市青云谱区妇女联合会其他资金妇女儿童专项项目经费项目绩效评价报告</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b/>
          <w:bCs/>
          <w:w w:val="95"/>
        </w:rPr>
      </w:pPr>
      <w:r>
        <w:rPr>
          <w:rFonts w:hint="eastAsia" w:asciiTheme="minorEastAsia" w:hAnsiTheme="minorEastAsia" w:eastAsiaTheme="minorEastAsia" w:cstheme="minorEastAsia"/>
          <w:b w:val="0"/>
          <w:sz w:val="32"/>
          <w:szCs w:val="32"/>
        </w:rPr>
        <w:t>为进一步规范财政资金管理，强化部门责任意识，切实提高财政资金使用效益。我</w:t>
      </w:r>
      <w:r>
        <w:rPr>
          <w:rFonts w:hint="eastAsia" w:asciiTheme="minorEastAsia" w:hAnsiTheme="minorEastAsia" w:eastAsiaTheme="minorEastAsia" w:cstheme="minorEastAsia"/>
          <w:b w:val="0"/>
          <w:sz w:val="32"/>
          <w:szCs w:val="32"/>
          <w:lang w:val="en-US" w:eastAsia="zh-CN"/>
        </w:rPr>
        <w:t>部门</w:t>
      </w:r>
      <w:r>
        <w:rPr>
          <w:rFonts w:hint="eastAsia" w:asciiTheme="minorEastAsia" w:hAnsiTheme="minorEastAsia" w:eastAsiaTheme="minorEastAsia" w:cstheme="minorEastAsia"/>
          <w:b w:val="0"/>
          <w:sz w:val="32"/>
          <w:szCs w:val="32"/>
        </w:rPr>
        <w:t>对202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度年</w:t>
      </w:r>
      <w:r>
        <w:rPr>
          <w:rFonts w:hint="eastAsia" w:asciiTheme="minorEastAsia" w:hAnsiTheme="minorEastAsia" w:eastAsiaTheme="minorEastAsia" w:cstheme="minorEastAsia"/>
          <w:b w:val="0"/>
          <w:sz w:val="32"/>
          <w:szCs w:val="32"/>
          <w:lang w:val="en-US" w:eastAsia="zh-CN"/>
        </w:rPr>
        <w:t>妇联</w:t>
      </w:r>
      <w:r>
        <w:rPr>
          <w:rFonts w:hint="eastAsia" w:asciiTheme="minorEastAsia" w:hAnsiTheme="minorEastAsia" w:eastAsiaTheme="minorEastAsia" w:cstheme="minorEastAsia"/>
          <w:b w:val="0"/>
          <w:sz w:val="32"/>
          <w:szCs w:val="32"/>
        </w:rPr>
        <w:t>专项资金开展了绩效评价工作。</w:t>
      </w:r>
      <w:r>
        <w:rPr>
          <w:rFonts w:hint="eastAsia" w:asciiTheme="minorEastAsia" w:hAnsiTheme="minorEastAsia" w:eastAsiaTheme="minorEastAsia" w:cstheme="minorEastAsia"/>
          <w:b w:val="0"/>
          <w:sz w:val="32"/>
          <w:szCs w:val="32"/>
          <w:lang w:val="en-US" w:eastAsia="zh-CN"/>
        </w:rPr>
        <w:t>妇联</w:t>
      </w:r>
      <w:r>
        <w:rPr>
          <w:rFonts w:hint="eastAsia" w:asciiTheme="minorEastAsia" w:hAnsiTheme="minorEastAsia" w:eastAsiaTheme="minorEastAsia" w:cstheme="minorEastAsia"/>
          <w:b w:val="0"/>
          <w:sz w:val="32"/>
          <w:szCs w:val="32"/>
        </w:rPr>
        <w:t>在专项资金方面做到了不滞留、不克扣、不挪用，切实做到了专款专用</w:t>
      </w:r>
      <w:r>
        <w:rPr>
          <w:rFonts w:hint="eastAsia" w:asciiTheme="minorEastAsia" w:hAnsiTheme="minorEastAsia" w:eastAsiaTheme="minorEastAsia" w:cstheme="minorEastAsia"/>
          <w:b w:val="0"/>
          <w:sz w:val="32"/>
          <w:szCs w:val="32"/>
          <w:lang w:eastAsia="zh-CN"/>
        </w:rPr>
        <w:t>，</w:t>
      </w:r>
      <w:r>
        <w:rPr>
          <w:rFonts w:hint="eastAsia" w:asciiTheme="minorEastAsia" w:hAnsiTheme="minorEastAsia" w:eastAsiaTheme="minorEastAsia" w:cstheme="minorEastAsia"/>
          <w:b w:val="0"/>
          <w:sz w:val="32"/>
          <w:szCs w:val="32"/>
        </w:rPr>
        <w:t>确保了用款真实、合法、有效</w:t>
      </w:r>
      <w:r>
        <w:rPr>
          <w:rFonts w:hint="eastAsia" w:asciiTheme="minorEastAsia" w:hAnsiTheme="minorEastAsia" w:eastAsiaTheme="minorEastAsia" w:cstheme="minorEastAsia"/>
          <w:b w:val="0"/>
          <w:sz w:val="32"/>
          <w:szCs w:val="32"/>
          <w:lang w:eastAsia="zh-CN"/>
        </w:rPr>
        <w:t>。</w:t>
      </w:r>
    </w:p>
    <w:p>
      <w:pPr>
        <w:pStyle w:val="2"/>
        <w:spacing w:before="267"/>
        <w:ind w:left="1476"/>
        <w:rPr>
          <w:rFonts w:asciiTheme="minorEastAsia" w:hAnsiTheme="minorEastAsia" w:eastAsiaTheme="minorEastAsia"/>
          <w:b/>
          <w:bCs/>
        </w:rPr>
      </w:pPr>
      <w:r>
        <w:rPr>
          <w:rFonts w:hint="eastAsia" w:asciiTheme="minorEastAsia" w:hAnsiTheme="minorEastAsia" w:eastAsiaTheme="minorEastAsia"/>
          <w:b/>
          <w:bCs/>
          <w:w w:val="95"/>
        </w:rPr>
        <w:t>一、基本情况</w:t>
      </w:r>
    </w:p>
    <w:p>
      <w:pPr>
        <w:pStyle w:val="13"/>
        <w:spacing w:before="84" w:line="244" w:lineRule="auto"/>
        <w:ind w:left="836" w:right="502" w:firstLine="640"/>
        <w:rPr>
          <w:rFonts w:hint="eastAsia" w:asciiTheme="minorEastAsia" w:hAnsiTheme="minorEastAsia" w:eastAsiaTheme="minorEastAsia"/>
          <w:b w:val="0"/>
          <w:lang w:val="en-US" w:eastAsia="zh-CN"/>
        </w:rPr>
      </w:pPr>
      <w:bookmarkStart w:id="0" w:name="（一）项目概况。包括项目背景、主要内容及实施情况、资金投入和使用情况等。"/>
      <w:bookmarkEnd w:id="0"/>
      <w:r>
        <w:rPr>
          <w:rFonts w:asciiTheme="minorEastAsia" w:hAnsiTheme="minorEastAsia" w:eastAsiaTheme="minorEastAsia"/>
          <w:b w:val="0"/>
        </w:rPr>
        <w:t>（一）项目概况</w:t>
      </w:r>
      <w:r>
        <w:rPr>
          <w:rFonts w:hint="eastAsia" w:asciiTheme="minorEastAsia" w:hAnsiTheme="minorEastAsia" w:eastAsiaTheme="minorEastAsia"/>
          <w:b w:val="0"/>
          <w:lang w:val="en-US" w:eastAsia="zh-CN"/>
        </w:rPr>
        <w:t xml:space="preserve"> </w:t>
      </w:r>
    </w:p>
    <w:p>
      <w:pPr>
        <w:pStyle w:val="13"/>
        <w:spacing w:before="84" w:line="244" w:lineRule="auto"/>
        <w:ind w:left="836" w:right="502" w:firstLine="640"/>
        <w:rPr>
          <w:rFonts w:hint="eastAsia" w:asciiTheme="minorEastAsia" w:hAnsiTheme="minorEastAsia" w:eastAsiaTheme="minorEastAsia" w:cstheme="minorEastAsia"/>
          <w:b w:val="0"/>
          <w:sz w:val="32"/>
          <w:szCs w:val="32"/>
          <w:lang w:val="zh-CN" w:eastAsia="zh-CN"/>
        </w:rPr>
      </w:pPr>
      <w:r>
        <w:rPr>
          <w:rFonts w:hint="eastAsia" w:asciiTheme="minorEastAsia" w:hAnsiTheme="minorEastAsia" w:eastAsiaTheme="minorEastAsia" w:cstheme="minorEastAsia"/>
          <w:b w:val="0"/>
          <w:sz w:val="32"/>
          <w:szCs w:val="32"/>
          <w:lang w:val="zh-CN" w:eastAsia="zh-CN"/>
        </w:rPr>
        <w:t>项目背景：为推进妇联工作在非公企业、社会组织中全面铺开，</w:t>
      </w:r>
      <w:r>
        <w:rPr>
          <w:rFonts w:hint="eastAsia" w:asciiTheme="minorEastAsia" w:hAnsiTheme="minorEastAsia" w:eastAsiaTheme="minorEastAsia" w:cstheme="minorEastAsia"/>
          <w:b w:val="0"/>
          <w:sz w:val="32"/>
          <w:szCs w:val="32"/>
          <w:lang w:val="en-US" w:eastAsia="zh-CN"/>
        </w:rPr>
        <w:t>联合区委组织部开展非公有制经济组织和社会组织妇联组建工作，截至目前在18家两新组织建立了妇联组织。</w:t>
      </w:r>
      <w:r>
        <w:rPr>
          <w:rFonts w:hint="eastAsia" w:asciiTheme="minorEastAsia" w:hAnsiTheme="minorEastAsia" w:eastAsiaTheme="minorEastAsia" w:cstheme="minorEastAsia"/>
          <w:b w:val="0"/>
          <w:sz w:val="32"/>
          <w:szCs w:val="32"/>
          <w:lang w:val="zh-CN" w:eastAsia="zh-CN"/>
        </w:rPr>
        <w:t>这一系列举措，有效推进妇联“基层妇联组织建设破难行动”，使得妇联组织建设更加充满活力、更加坚强有力</w:t>
      </w:r>
    </w:p>
    <w:p>
      <w:pPr>
        <w:pStyle w:val="13"/>
        <w:spacing w:before="84" w:line="244" w:lineRule="auto"/>
        <w:ind w:left="836" w:right="502" w:firstLine="640"/>
        <w:rPr>
          <w:rFonts w:hint="eastAsia" w:asciiTheme="minorEastAsia" w:hAnsiTheme="minorEastAsia" w:eastAsiaTheme="minorEastAsia" w:cstheme="minorEastAsia"/>
          <w:b w:val="0"/>
          <w:bCs/>
          <w:sz w:val="32"/>
          <w:szCs w:val="32"/>
          <w:lang w:val="zh-CN" w:eastAsia="zh-CN" w:bidi="zh-CN"/>
        </w:rPr>
      </w:pPr>
      <w:r>
        <w:rPr>
          <w:rFonts w:hint="eastAsia" w:asciiTheme="minorEastAsia" w:hAnsiTheme="minorEastAsia" w:eastAsiaTheme="minorEastAsia" w:cstheme="minorEastAsia"/>
          <w:b w:val="0"/>
          <w:sz w:val="32"/>
          <w:szCs w:val="32"/>
          <w:lang w:val="zh-CN" w:eastAsia="zh-CN"/>
        </w:rPr>
        <w:t>主要内容：</w:t>
      </w:r>
      <w:r>
        <w:rPr>
          <w:rFonts w:hint="default" w:asciiTheme="minorEastAsia" w:hAnsiTheme="minorEastAsia" w:eastAsiaTheme="minorEastAsia" w:cstheme="minorEastAsia"/>
          <w:b w:val="0"/>
          <w:sz w:val="32"/>
          <w:szCs w:val="32"/>
          <w:lang w:val="en-US" w:eastAsia="zh-CN"/>
        </w:rPr>
        <w:t>强化新时代家庭家教家风建设。开展家庭教育实践活动，推进家庭教育指导</w:t>
      </w:r>
      <w:r>
        <w:rPr>
          <w:rFonts w:hint="eastAsia" w:asciiTheme="minorEastAsia" w:hAnsiTheme="minorEastAsia" w:eastAsiaTheme="minorEastAsia" w:cstheme="minorEastAsia"/>
          <w:b w:val="0"/>
          <w:sz w:val="32"/>
          <w:szCs w:val="32"/>
          <w:lang w:val="en-US" w:eastAsia="zh-CN"/>
        </w:rPr>
        <w:t>中心</w:t>
      </w:r>
      <w:r>
        <w:rPr>
          <w:rFonts w:hint="default" w:asciiTheme="minorEastAsia" w:hAnsiTheme="minorEastAsia" w:eastAsiaTheme="minorEastAsia" w:cstheme="minorEastAsia"/>
          <w:b w:val="0"/>
          <w:sz w:val="32"/>
          <w:szCs w:val="32"/>
          <w:lang w:val="en-US" w:eastAsia="zh-CN"/>
        </w:rPr>
        <w:t>阵地建设，巩固发展“幸福家庭成长计划讲师”队伍</w:t>
      </w:r>
      <w:r>
        <w:rPr>
          <w:rFonts w:hint="eastAsia" w:asciiTheme="minorEastAsia" w:hAnsiTheme="minorEastAsia" w:eastAsiaTheme="minorEastAsia" w:cstheme="minorEastAsia"/>
          <w:b w:val="0"/>
          <w:sz w:val="32"/>
          <w:szCs w:val="32"/>
          <w:lang w:val="en-US" w:eastAsia="zh-CN"/>
        </w:rPr>
        <w:t>，</w:t>
      </w:r>
      <w:r>
        <w:rPr>
          <w:rFonts w:hint="default" w:asciiTheme="minorEastAsia" w:hAnsiTheme="minorEastAsia" w:eastAsiaTheme="minorEastAsia" w:cstheme="minorEastAsia"/>
          <w:b w:val="0"/>
          <w:sz w:val="32"/>
          <w:szCs w:val="32"/>
          <w:lang w:val="en-US" w:eastAsia="zh-CN"/>
        </w:rPr>
        <w:t>加强家庭教育线上指导、公益家庭教育巡讲力度。</w:t>
      </w:r>
    </w:p>
    <w:p>
      <w:pPr>
        <w:pStyle w:val="13"/>
        <w:keepNext w:val="0"/>
        <w:keepLines w:val="0"/>
        <w:pageBreakBefore w:val="0"/>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3.资金投入和使用情况</w:t>
      </w:r>
    </w:p>
    <w:p>
      <w:pPr>
        <w:pStyle w:val="13"/>
        <w:spacing w:before="84" w:line="244" w:lineRule="auto"/>
        <w:ind w:left="836" w:right="502" w:firstLine="640"/>
        <w:rPr>
          <w:rFonts w:hint="eastAsia" w:asciiTheme="minorEastAsia" w:hAnsiTheme="minorEastAsia" w:eastAsiaTheme="minorEastAsia" w:cstheme="minorEastAsia"/>
          <w:b w:val="0"/>
          <w:bCs/>
          <w:sz w:val="32"/>
          <w:szCs w:val="32"/>
          <w:lang w:val="zh-CN" w:eastAsia="zh-CN" w:bidi="zh-CN"/>
        </w:rPr>
      </w:pPr>
      <w:r>
        <w:rPr>
          <w:rFonts w:hint="eastAsia" w:asciiTheme="minorEastAsia" w:hAnsiTheme="minorEastAsia" w:eastAsiaTheme="minorEastAsia" w:cstheme="minorEastAsia"/>
          <w:b w:val="0"/>
          <w:sz w:val="32"/>
          <w:szCs w:val="32"/>
        </w:rPr>
        <w:t>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年预算安排</w:t>
      </w:r>
      <w:r>
        <w:rPr>
          <w:rFonts w:hint="eastAsia" w:asciiTheme="minorEastAsia" w:hAnsiTheme="minorEastAsia" w:eastAsiaTheme="minorEastAsia" w:cstheme="minorEastAsia"/>
          <w:b w:val="0"/>
          <w:sz w:val="32"/>
          <w:szCs w:val="32"/>
          <w:lang w:val="en-US" w:eastAsia="zh-CN"/>
        </w:rPr>
        <w:t>42</w:t>
      </w:r>
      <w:r>
        <w:rPr>
          <w:rFonts w:hint="eastAsia" w:asciiTheme="minorEastAsia" w:hAnsiTheme="minorEastAsia" w:eastAsiaTheme="minorEastAsia" w:cstheme="minorEastAsia"/>
          <w:b w:val="0"/>
          <w:sz w:val="32"/>
          <w:szCs w:val="32"/>
        </w:rPr>
        <w:t>万元，实际到位资金</w:t>
      </w:r>
      <w:r>
        <w:rPr>
          <w:rFonts w:hint="eastAsia" w:asciiTheme="minorEastAsia" w:hAnsiTheme="minorEastAsia" w:eastAsiaTheme="minorEastAsia" w:cstheme="minorEastAsia"/>
          <w:b w:val="0"/>
          <w:sz w:val="32"/>
          <w:szCs w:val="32"/>
          <w:lang w:val="en-US" w:eastAsia="zh-CN"/>
        </w:rPr>
        <w:t>42</w:t>
      </w:r>
      <w:r>
        <w:rPr>
          <w:rFonts w:hint="eastAsia" w:asciiTheme="minorEastAsia" w:hAnsiTheme="minorEastAsia" w:eastAsiaTheme="minorEastAsia" w:cstheme="minorEastAsia"/>
          <w:b w:val="0"/>
          <w:sz w:val="32"/>
          <w:szCs w:val="32"/>
        </w:rPr>
        <w:t>万元。本年度实际支出</w:t>
      </w:r>
      <w:r>
        <w:rPr>
          <w:rFonts w:hint="eastAsia" w:asciiTheme="minorEastAsia" w:hAnsiTheme="minorEastAsia" w:eastAsiaTheme="minorEastAsia" w:cstheme="minorEastAsia"/>
          <w:b w:val="0"/>
          <w:sz w:val="32"/>
          <w:szCs w:val="32"/>
          <w:lang w:val="en-US" w:eastAsia="zh-CN"/>
        </w:rPr>
        <w:t>11.78</w:t>
      </w:r>
      <w:r>
        <w:rPr>
          <w:rFonts w:hint="eastAsia" w:asciiTheme="minorEastAsia" w:hAnsiTheme="minorEastAsia" w:eastAsiaTheme="minorEastAsia" w:cstheme="minorEastAsia"/>
          <w:b w:val="0"/>
          <w:sz w:val="32"/>
          <w:szCs w:val="32"/>
        </w:rPr>
        <w:t>万元，预算资金执行率100%。</w:t>
      </w:r>
    </w:p>
    <w:p>
      <w:pPr>
        <w:numPr>
          <w:ilvl w:val="0"/>
          <w:numId w:val="1"/>
        </w:numPr>
        <w:spacing w:line="588" w:lineRule="exact"/>
        <w:ind w:left="1476"/>
        <w:rPr>
          <w:rFonts w:hint="eastAsia" w:asciiTheme="minorEastAsia" w:hAnsiTheme="minorEastAsia" w:eastAsiaTheme="minorEastAsia"/>
          <w:sz w:val="32"/>
        </w:rPr>
      </w:pPr>
      <w:bookmarkStart w:id="1" w:name="（二）项目绩效目标。包括总体目标和阶段性目标。"/>
      <w:bookmarkEnd w:id="1"/>
      <w:r>
        <w:rPr>
          <w:rFonts w:hint="eastAsia" w:asciiTheme="minorEastAsia" w:hAnsiTheme="minorEastAsia" w:eastAsiaTheme="minorEastAsia"/>
          <w:sz w:val="32"/>
        </w:rPr>
        <w:t>项目绩效目标</w:t>
      </w:r>
    </w:p>
    <w:p>
      <w:pPr>
        <w:pStyle w:val="13"/>
        <w:spacing w:before="84" w:line="244" w:lineRule="auto"/>
        <w:ind w:left="836" w:right="502" w:firstLine="640"/>
        <w:rPr>
          <w:rFonts w:hint="eastAsia" w:asciiTheme="minorEastAsia" w:hAnsiTheme="minorEastAsia" w:eastAsiaTheme="minorEastAsia" w:cstheme="minorEastAsia"/>
          <w:b w:val="0"/>
          <w:sz w:val="32"/>
          <w:szCs w:val="32"/>
          <w:lang w:val="zh-CN" w:eastAsia="zh-CN"/>
        </w:rPr>
      </w:pPr>
      <w:r>
        <w:rPr>
          <w:rFonts w:hint="eastAsia" w:asciiTheme="minorEastAsia" w:hAnsiTheme="minorEastAsia" w:eastAsiaTheme="minorEastAsia" w:cstheme="minorEastAsia"/>
          <w:b w:val="0"/>
          <w:sz w:val="32"/>
          <w:szCs w:val="32"/>
          <w:lang w:val="zh-CN" w:eastAsia="zh-CN"/>
        </w:rPr>
        <w:t>加强妇联基层队伍建设，建立了</w:t>
      </w:r>
      <w:r>
        <w:rPr>
          <w:rFonts w:hint="eastAsia" w:asciiTheme="minorEastAsia" w:hAnsiTheme="minorEastAsia" w:eastAsiaTheme="minorEastAsia" w:cstheme="minorEastAsia"/>
          <w:b w:val="0"/>
          <w:sz w:val="32"/>
          <w:szCs w:val="32"/>
          <w:lang w:val="en-US" w:eastAsia="zh-CN"/>
        </w:rPr>
        <w:t>人民调解委员会、赣鄱红色娘子军宣讲团、巾帼志愿者队伍、家庭教育讲师团、巾帼公益律师团、村妇女小组长以及村社区“法律明白人”等7条工作队伍，</w:t>
      </w:r>
      <w:r>
        <w:rPr>
          <w:rFonts w:hint="eastAsia" w:asciiTheme="minorEastAsia" w:hAnsiTheme="minorEastAsia" w:eastAsiaTheme="minorEastAsia" w:cstheme="minorEastAsia"/>
          <w:b w:val="0"/>
          <w:sz w:val="32"/>
          <w:szCs w:val="32"/>
          <w:lang w:val="zh-CN" w:eastAsia="zh-CN"/>
        </w:rPr>
        <w:t>形成上下贯通、联系群众的妇联组织体系。</w:t>
      </w:r>
    </w:p>
    <w:p>
      <w:pPr>
        <w:pStyle w:val="2"/>
        <w:spacing w:before="117"/>
        <w:ind w:left="1476"/>
        <w:rPr>
          <w:rFonts w:asciiTheme="minorEastAsia" w:hAnsiTheme="minorEastAsia" w:eastAsiaTheme="minorEastAsia"/>
          <w:b/>
          <w:bCs/>
        </w:rPr>
      </w:pPr>
      <w:r>
        <w:rPr>
          <w:rFonts w:hint="eastAsia" w:asciiTheme="minorEastAsia" w:hAnsiTheme="minorEastAsia" w:eastAsiaTheme="minorEastAsia"/>
          <w:b/>
          <w:bCs/>
        </w:rPr>
        <w:t>二、绩效评价工作开展情况</w:t>
      </w:r>
    </w:p>
    <w:p>
      <w:pPr>
        <w:pStyle w:val="13"/>
        <w:spacing w:before="85"/>
        <w:rPr>
          <w:rFonts w:asciiTheme="minorEastAsia" w:hAnsiTheme="minorEastAsia" w:eastAsiaTheme="minorEastAsia"/>
          <w:b w:val="0"/>
        </w:rPr>
      </w:pPr>
      <w:bookmarkStart w:id="2" w:name="（一）绩效评价目的、对象和范围。"/>
      <w:bookmarkEnd w:id="2"/>
      <w:r>
        <w:rPr>
          <w:rFonts w:asciiTheme="minorEastAsia" w:hAnsiTheme="minorEastAsia" w:eastAsiaTheme="minorEastAsia"/>
          <w:b w:val="0"/>
        </w:rPr>
        <w:t>（一）绩效评价目的、对象和范围。</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年我区</w:t>
      </w:r>
      <w:r>
        <w:rPr>
          <w:rFonts w:hint="eastAsia" w:asciiTheme="minorEastAsia" w:hAnsiTheme="minorEastAsia" w:eastAsiaTheme="minorEastAsia" w:cstheme="minorEastAsia"/>
          <w:b w:val="0"/>
          <w:sz w:val="32"/>
          <w:szCs w:val="32"/>
          <w:lang w:val="en-US" w:eastAsia="zh-CN"/>
        </w:rPr>
        <w:t>妇联</w:t>
      </w:r>
      <w:r>
        <w:rPr>
          <w:rFonts w:hint="eastAsia" w:asciiTheme="minorEastAsia" w:hAnsiTheme="minorEastAsia" w:eastAsiaTheme="minorEastAsia" w:cstheme="minorEastAsia"/>
          <w:b w:val="0"/>
          <w:sz w:val="32"/>
          <w:szCs w:val="32"/>
        </w:rPr>
        <w:t>专项资金绩效评价目的是为进一步加强财政支出管理，强化支出责任，建立科学、合理的</w:t>
      </w:r>
      <w:r>
        <w:rPr>
          <w:rFonts w:hint="eastAsia" w:asciiTheme="minorEastAsia" w:hAnsiTheme="minorEastAsia" w:eastAsiaTheme="minorEastAsia" w:cstheme="minorEastAsia"/>
          <w:b w:val="0"/>
          <w:sz w:val="32"/>
          <w:szCs w:val="32"/>
          <w:lang w:val="en-US" w:eastAsia="zh-CN"/>
        </w:rPr>
        <w:t>使用</w:t>
      </w:r>
      <w:r>
        <w:rPr>
          <w:rFonts w:hint="eastAsia" w:asciiTheme="minorEastAsia" w:hAnsiTheme="minorEastAsia" w:eastAsiaTheme="minorEastAsia" w:cstheme="minorEastAsia"/>
          <w:b w:val="0"/>
          <w:sz w:val="32"/>
          <w:szCs w:val="32"/>
        </w:rPr>
        <w:t>专项资金绩效评价管理体系，促进公共财政阳光化，提高财政资金使用效益</w:t>
      </w:r>
    </w:p>
    <w:p>
      <w:pPr>
        <w:spacing w:before="11" w:line="244" w:lineRule="auto"/>
        <w:ind w:left="836" w:right="502" w:firstLine="640"/>
        <w:rPr>
          <w:rFonts w:hint="eastAsia" w:asciiTheme="minorEastAsia" w:hAnsiTheme="minorEastAsia" w:eastAsiaTheme="minorEastAsia"/>
          <w:sz w:val="32"/>
        </w:rPr>
      </w:pPr>
      <w:bookmarkStart w:id="3" w:name="（二）绩效评价原则、评价指标体系（附表说明）、评价方法、评价标准等。"/>
      <w:bookmarkEnd w:id="3"/>
      <w:r>
        <w:rPr>
          <w:rFonts w:hint="eastAsia" w:asciiTheme="minorEastAsia" w:hAnsiTheme="minorEastAsia" w:eastAsiaTheme="minorEastAsia"/>
          <w:sz w:val="32"/>
        </w:rPr>
        <w:t>（二）绩效评价原则、评价指标体系（附表说明）、评价方法、评价标准等。</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绩效评价原则:科学规范原则，公正公开原则，分级分类原则，绩效相关原则。</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指标体系：根据财政部《预算绩效评价共性指标体系框架》等文件精神及本项目的具体特点，设置了合理可行的评价体系，包括投入指标、过程指标、产出数量与质量指标、社会效益与可持续影响指标等。</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评价方法：本项目绩效评价主要采用数据对比，同时辅以抽样调查、座谈研讨、专家评估等方式。</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b w:val="0"/>
          <w:sz w:val="32"/>
          <w:szCs w:val="32"/>
        </w:rPr>
        <w:t>评价标准：绩效评价标准通常包括计划标准、行业标准、历史标准等，用于对绩效指标完成情况进行比较。</w:t>
      </w:r>
    </w:p>
    <w:p>
      <w:pPr>
        <w:numPr>
          <w:ilvl w:val="0"/>
          <w:numId w:val="0"/>
        </w:numPr>
        <w:spacing w:line="588" w:lineRule="exact"/>
        <w:ind w:left="1476" w:leftChars="0"/>
        <w:rPr>
          <w:rFonts w:hint="eastAsia" w:asciiTheme="minorEastAsia" w:hAnsiTheme="minorEastAsia" w:eastAsiaTheme="minorEastAsia"/>
          <w:sz w:val="32"/>
        </w:rPr>
      </w:pPr>
      <w:r>
        <w:rPr>
          <w:rFonts w:hint="eastAsia" w:asciiTheme="minorEastAsia" w:hAnsiTheme="minorEastAsia" w:eastAsiaTheme="minorEastAsia"/>
          <w:sz w:val="32"/>
          <w:lang w:eastAsia="zh-CN"/>
        </w:rPr>
        <w:t>（</w:t>
      </w:r>
      <w:r>
        <w:rPr>
          <w:rFonts w:hint="eastAsia" w:asciiTheme="minorEastAsia" w:hAnsiTheme="minorEastAsia" w:eastAsiaTheme="minorEastAsia"/>
          <w:sz w:val="32"/>
          <w:lang w:val="en-US" w:eastAsia="zh-CN"/>
        </w:rPr>
        <w:t>三</w:t>
      </w:r>
      <w:r>
        <w:rPr>
          <w:rFonts w:hint="eastAsia" w:asciiTheme="minorEastAsia" w:hAnsiTheme="minorEastAsia" w:eastAsiaTheme="minorEastAsia"/>
          <w:sz w:val="32"/>
          <w:lang w:eastAsia="zh-CN"/>
        </w:rPr>
        <w:t>）</w:t>
      </w:r>
      <w:r>
        <w:rPr>
          <w:rFonts w:hint="eastAsia" w:asciiTheme="minorEastAsia" w:hAnsiTheme="minorEastAsia" w:eastAsiaTheme="minorEastAsia"/>
          <w:sz w:val="32"/>
        </w:rPr>
        <w:t>绩效评价工作过程。</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南昌市青云谱区</w:t>
      </w:r>
      <w:r>
        <w:rPr>
          <w:rFonts w:hint="eastAsia" w:asciiTheme="minorEastAsia" w:hAnsiTheme="minorEastAsia" w:eastAsiaTheme="minorEastAsia" w:cstheme="minorEastAsia"/>
          <w:b w:val="0"/>
          <w:sz w:val="32"/>
          <w:szCs w:val="32"/>
          <w:lang w:val="en-US" w:eastAsia="zh-CN"/>
        </w:rPr>
        <w:t>妇联</w:t>
      </w:r>
      <w:r>
        <w:rPr>
          <w:rFonts w:hint="eastAsia" w:asciiTheme="minorEastAsia" w:hAnsiTheme="minorEastAsia" w:eastAsiaTheme="minorEastAsia" w:cstheme="minorEastAsia"/>
          <w:b w:val="0"/>
          <w:sz w:val="32"/>
          <w:szCs w:val="32"/>
        </w:rPr>
        <w:t>通过</w:t>
      </w:r>
      <w:r>
        <w:rPr>
          <w:rFonts w:hint="eastAsia" w:asciiTheme="minorEastAsia" w:hAnsiTheme="minorEastAsia" w:eastAsiaTheme="minorEastAsia" w:cstheme="minorEastAsia"/>
          <w:sz w:val="32"/>
          <w:szCs w:val="32"/>
        </w:rPr>
        <w:t>制定了青云谱区</w:t>
      </w:r>
      <w:r>
        <w:rPr>
          <w:rFonts w:hint="eastAsia" w:asciiTheme="minorEastAsia" w:hAnsiTheme="minorEastAsia" w:eastAsiaTheme="minorEastAsia" w:cstheme="minorEastAsia"/>
          <w:b w:val="0"/>
          <w:sz w:val="32"/>
          <w:szCs w:val="32"/>
          <w:lang w:val="en-US" w:eastAsia="zh-CN"/>
        </w:rPr>
        <w:t>妇联</w:t>
      </w:r>
      <w:r>
        <w:rPr>
          <w:rFonts w:hint="eastAsia" w:asciiTheme="minorEastAsia" w:hAnsiTheme="minorEastAsia" w:eastAsiaTheme="minorEastAsia" w:cstheme="minorEastAsia"/>
          <w:sz w:val="32"/>
          <w:szCs w:val="32"/>
        </w:rPr>
        <w:t>项目绩效评价资金管理办法，</w:t>
      </w:r>
      <w:r>
        <w:rPr>
          <w:rFonts w:hint="eastAsia" w:asciiTheme="minorEastAsia" w:hAnsiTheme="minorEastAsia" w:eastAsiaTheme="minorEastAsia" w:cstheme="minorEastAsia"/>
          <w:sz w:val="32"/>
          <w:szCs w:val="32"/>
          <w:lang w:val="en-US" w:eastAsia="zh-CN"/>
        </w:rPr>
        <w:t>在规定时间内</w:t>
      </w:r>
      <w:r>
        <w:rPr>
          <w:rFonts w:hint="eastAsia" w:asciiTheme="minorEastAsia" w:hAnsiTheme="minorEastAsia" w:eastAsiaTheme="minorEastAsia" w:cstheme="minorEastAsia"/>
          <w:sz w:val="32"/>
          <w:szCs w:val="32"/>
        </w:rPr>
        <w:t>完成数据填报、收集和汇总工作。根据前期开展的基础工作，我会通过询问查证、问卷调查等方式，对项目绩效进行了自评价。</w:t>
      </w:r>
    </w:p>
    <w:p>
      <w:pPr>
        <w:numPr>
          <w:ilvl w:val="0"/>
          <w:numId w:val="2"/>
        </w:numPr>
        <w:spacing w:before="12" w:line="288" w:lineRule="auto"/>
        <w:ind w:left="1476" w:right="2660" w:firstLine="16"/>
        <w:rPr>
          <w:rFonts w:hint="eastAsia" w:asciiTheme="minorEastAsia" w:hAnsiTheme="minorEastAsia" w:eastAsiaTheme="minorEastAsia"/>
          <w:b/>
          <w:bCs/>
          <w:sz w:val="32"/>
        </w:rPr>
      </w:pPr>
      <w:r>
        <w:rPr>
          <w:rFonts w:hint="eastAsia" w:asciiTheme="minorEastAsia" w:hAnsiTheme="minorEastAsia" w:eastAsiaTheme="minorEastAsia"/>
          <w:b/>
          <w:bCs/>
          <w:spacing w:val="7"/>
          <w:sz w:val="32"/>
        </w:rPr>
        <w:t>综合评价情况及评价结论</w:t>
      </w:r>
      <w:r>
        <w:rPr>
          <w:rFonts w:hint="eastAsia" w:asciiTheme="minorEastAsia" w:hAnsiTheme="minorEastAsia" w:eastAsiaTheme="minorEastAsia"/>
          <w:b/>
          <w:bCs/>
          <w:sz w:val="32"/>
        </w:rPr>
        <w:t xml:space="preserve">（附相关评分表） </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绩效评价情况：经过严格细致的自评工作，该项目的自评分为</w:t>
      </w:r>
      <w:r>
        <w:rPr>
          <w:rFonts w:hint="eastAsia" w:asciiTheme="minorEastAsia" w:hAnsiTheme="minorEastAsia" w:eastAsiaTheme="minorEastAsia" w:cstheme="minorEastAsia"/>
          <w:b w:val="0"/>
          <w:sz w:val="32"/>
          <w:szCs w:val="32"/>
          <w:lang w:val="en-US" w:eastAsia="zh-CN"/>
        </w:rPr>
        <w:t>92.76</w:t>
      </w:r>
      <w:r>
        <w:rPr>
          <w:rFonts w:hint="eastAsia" w:asciiTheme="minorEastAsia" w:hAnsiTheme="minorEastAsia" w:eastAsiaTheme="minorEastAsia" w:cstheme="minorEastAsia"/>
          <w:b w:val="0"/>
          <w:sz w:val="32"/>
          <w:szCs w:val="32"/>
        </w:rPr>
        <w:t>分。绩效评级为“</w:t>
      </w:r>
      <w:r>
        <w:rPr>
          <w:rFonts w:hint="eastAsia" w:asciiTheme="minorEastAsia" w:hAnsiTheme="minorEastAsia" w:eastAsiaTheme="minorEastAsia" w:cstheme="minorEastAsia"/>
          <w:b w:val="0"/>
          <w:sz w:val="32"/>
          <w:szCs w:val="32"/>
          <w:lang w:val="en-US" w:eastAsia="zh-CN"/>
        </w:rPr>
        <w:t>优</w:t>
      </w:r>
      <w:r>
        <w:rPr>
          <w:rFonts w:hint="eastAsia" w:asciiTheme="minorEastAsia" w:hAnsiTheme="minorEastAsia" w:eastAsiaTheme="minorEastAsia" w:cstheme="minorEastAsia"/>
          <w:b w:val="0"/>
          <w:sz w:val="32"/>
          <w:szCs w:val="32"/>
        </w:rPr>
        <w:t>”。</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b/>
          <w:bCs/>
          <w:sz w:val="32"/>
        </w:rPr>
      </w:pPr>
      <w:r>
        <w:rPr>
          <w:rFonts w:hint="eastAsia" w:asciiTheme="minorEastAsia" w:hAnsiTheme="minorEastAsia" w:eastAsiaTheme="minorEastAsia" w:cstheme="minorEastAsia"/>
          <w:b w:val="0"/>
          <w:sz w:val="32"/>
          <w:szCs w:val="32"/>
        </w:rPr>
        <w:t>评价结论：通过本次绩效评价工作，补充和完善本单位绩效评价机制，做好评价结果公开工作，进一步规范项目的管理和监督、资金的分配和使用，以便对今后其他项目以绩效评价的方式衡量项目的产出结果和效益目标，促进项目管理科学化。</w:t>
      </w:r>
    </w:p>
    <w:p>
      <w:pPr>
        <w:numPr>
          <w:ilvl w:val="0"/>
          <w:numId w:val="0"/>
        </w:numPr>
        <w:spacing w:before="12" w:line="288" w:lineRule="auto"/>
        <w:ind w:left="1492" w:leftChars="0" w:right="2660" w:rightChars="0"/>
        <w:rPr>
          <w:rFonts w:asciiTheme="minorEastAsia" w:hAnsiTheme="minorEastAsia" w:eastAsiaTheme="minorEastAsia"/>
          <w:b/>
          <w:bCs/>
          <w:sz w:val="32"/>
        </w:rPr>
      </w:pPr>
      <w:r>
        <w:rPr>
          <w:rFonts w:hint="eastAsia" w:asciiTheme="minorEastAsia" w:hAnsiTheme="minorEastAsia" w:eastAsiaTheme="minorEastAsia"/>
          <w:b/>
          <w:bCs/>
          <w:sz w:val="32"/>
        </w:rPr>
        <w:t>四、绩效评价指标分析</w:t>
      </w:r>
    </w:p>
    <w:p>
      <w:pPr>
        <w:pStyle w:val="13"/>
        <w:spacing w:before="2"/>
        <w:rPr>
          <w:rFonts w:asciiTheme="minorEastAsia" w:hAnsiTheme="minorEastAsia" w:eastAsiaTheme="minorEastAsia"/>
          <w:b w:val="0"/>
        </w:rPr>
      </w:pPr>
      <w:bookmarkStart w:id="4" w:name="（一）项目决策情况。"/>
      <w:bookmarkEnd w:id="4"/>
      <w:r>
        <w:rPr>
          <w:rFonts w:asciiTheme="minorEastAsia" w:hAnsiTheme="minorEastAsia" w:eastAsiaTheme="minorEastAsia"/>
          <w:b w:val="0"/>
        </w:rPr>
        <w:t>（一）项目决策情况。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项目按规定程序申请设立；所提交的材料符合专项资金管理暂行办法；经过集体决策；实施符合国家、区委区政府相关法律法规；为促进本单位事业发展所必需。在规定时间内完成向区财政局申请专项资金事宜，及时到位资金，在五个工作日之内完成。</w:t>
      </w:r>
    </w:p>
    <w:p>
      <w:pPr>
        <w:numPr>
          <w:ilvl w:val="0"/>
          <w:numId w:val="3"/>
        </w:numPr>
        <w:spacing w:before="11"/>
        <w:ind w:left="1540" w:leftChars="0" w:firstLineChars="0"/>
        <w:rPr>
          <w:rFonts w:hint="eastAsia" w:asciiTheme="minorEastAsia" w:hAnsiTheme="minorEastAsia" w:eastAsiaTheme="minorEastAsia"/>
          <w:sz w:val="32"/>
        </w:rPr>
      </w:pPr>
      <w:bookmarkStart w:id="5" w:name="（二）项目过程情况。"/>
      <w:bookmarkEnd w:id="5"/>
      <w:r>
        <w:rPr>
          <w:rFonts w:hint="eastAsia" w:asciiTheme="minorEastAsia" w:hAnsiTheme="minorEastAsia" w:eastAsiaTheme="minorEastAsia"/>
          <w:sz w:val="32"/>
        </w:rPr>
        <w:t>项目过程情况。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制定了项目实施单位的业务管理制度,制定的业务管理制度合法、合规制定具有相应的项目质量要求或标准，每年有二次或二次以上自查或外部检查。</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制定了相应的项目资金管理办法,该项目资金管理办法符合相关财务会计制度规定。</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sz w:val="32"/>
          <w:szCs w:val="32"/>
          <w:lang w:val="en-US" w:eastAsia="zh-CN"/>
        </w:rPr>
        <w:t>制定了相应的监控机制每年有二次或二次以上自查或外部检查。</w:t>
      </w:r>
    </w:p>
    <w:p>
      <w:pPr>
        <w:numPr>
          <w:ilvl w:val="0"/>
          <w:numId w:val="3"/>
        </w:numPr>
        <w:spacing w:before="12"/>
        <w:ind w:left="1540" w:leftChars="0" w:firstLine="0" w:firstLineChars="0"/>
        <w:rPr>
          <w:rFonts w:hint="eastAsia" w:asciiTheme="minorEastAsia" w:hAnsiTheme="minorEastAsia" w:eastAsiaTheme="minorEastAsia"/>
          <w:sz w:val="32"/>
        </w:rPr>
      </w:pPr>
      <w:bookmarkStart w:id="6" w:name="（三）项目产出情况。"/>
      <w:bookmarkEnd w:id="6"/>
      <w:r>
        <w:rPr>
          <w:rFonts w:hint="eastAsia" w:asciiTheme="minorEastAsia" w:hAnsiTheme="minorEastAsia" w:eastAsiaTheme="minorEastAsia"/>
          <w:sz w:val="32"/>
        </w:rPr>
        <w:t>项目产出情况。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bookmarkStart w:id="7" w:name="（四）项目效益情况。"/>
      <w:bookmarkEnd w:id="7"/>
      <w:r>
        <w:rPr>
          <w:rFonts w:hint="eastAsia" w:asciiTheme="minorEastAsia" w:hAnsiTheme="minorEastAsia" w:eastAsiaTheme="minorEastAsia" w:cstheme="minorEastAsia"/>
          <w:sz w:val="32"/>
          <w:szCs w:val="32"/>
        </w:rPr>
        <w:t>1.产出数量指标得分情况逐个分析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产出数量指标</w:t>
      </w:r>
      <w:r>
        <w:rPr>
          <w:rFonts w:hint="eastAsia" w:asciiTheme="minorEastAsia" w:hAnsiTheme="minorEastAsia" w:eastAsiaTheme="minorEastAsia" w:cstheme="minorEastAsia"/>
          <w:sz w:val="32"/>
          <w:szCs w:val="32"/>
          <w:lang w:val="en-US" w:eastAsia="zh-CN"/>
        </w:rPr>
        <w:t>15</w:t>
      </w:r>
      <w:r>
        <w:rPr>
          <w:rFonts w:hint="eastAsia" w:asciiTheme="minorEastAsia" w:hAnsiTheme="minorEastAsia" w:eastAsiaTheme="minorEastAsia" w:cstheme="minorEastAsia"/>
          <w:sz w:val="32"/>
          <w:szCs w:val="32"/>
        </w:rPr>
        <w:t>分，自评得</w:t>
      </w:r>
      <w:r>
        <w:rPr>
          <w:rFonts w:hint="eastAsia" w:asciiTheme="minorEastAsia" w:hAnsiTheme="minorEastAsia" w:eastAsiaTheme="minorEastAsia" w:cstheme="minorEastAsia"/>
          <w:sz w:val="32"/>
          <w:szCs w:val="32"/>
          <w:lang w:val="en-US" w:eastAsia="zh-CN"/>
        </w:rPr>
        <w:t>15</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2.产出质量指标得分情况逐个分析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产出质量指标得1</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分，自评得1</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3.产出时效指标得分情况逐个分析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完成及时率100%得</w:t>
      </w:r>
      <w:r>
        <w:rPr>
          <w:rFonts w:hint="eastAsia" w:asciiTheme="minorEastAsia" w:hAnsiTheme="minorEastAsia" w:eastAsiaTheme="minorEastAsia" w:cstheme="minorEastAsia"/>
          <w:sz w:val="32"/>
          <w:szCs w:val="32"/>
          <w:lang w:val="en-US" w:eastAsia="zh-CN"/>
        </w:rPr>
        <w:t>15</w:t>
      </w:r>
      <w:r>
        <w:rPr>
          <w:rFonts w:hint="eastAsia" w:asciiTheme="minorEastAsia" w:hAnsiTheme="minorEastAsia" w:eastAsiaTheme="minorEastAsia" w:cstheme="minorEastAsia"/>
          <w:sz w:val="32"/>
          <w:szCs w:val="32"/>
        </w:rPr>
        <w:t>分。自评得</w:t>
      </w:r>
      <w:r>
        <w:rPr>
          <w:rFonts w:hint="eastAsia" w:asciiTheme="minorEastAsia" w:hAnsiTheme="minorEastAsia" w:eastAsiaTheme="minorEastAsia" w:cstheme="minorEastAsia"/>
          <w:sz w:val="32"/>
          <w:szCs w:val="32"/>
          <w:lang w:val="en-US" w:eastAsia="zh-CN"/>
        </w:rPr>
        <w:t>15</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4.产出成本指标得分情况逐个分析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sz w:val="32"/>
          <w:szCs w:val="32"/>
        </w:rPr>
        <w:t>产出成本指标100%得</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分。自评得</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w:t>
      </w:r>
    </w:p>
    <w:p>
      <w:pPr>
        <w:numPr>
          <w:ilvl w:val="0"/>
          <w:numId w:val="3"/>
        </w:numPr>
        <w:spacing w:before="11"/>
        <w:ind w:left="1540" w:leftChars="0" w:firstLine="0" w:firstLineChars="0"/>
        <w:rPr>
          <w:rFonts w:hint="eastAsia" w:asciiTheme="minorEastAsia" w:hAnsiTheme="minorEastAsia" w:eastAsiaTheme="minorEastAsia"/>
          <w:sz w:val="32"/>
        </w:rPr>
      </w:pPr>
      <w:r>
        <w:rPr>
          <w:rFonts w:hint="eastAsia" w:asciiTheme="minorEastAsia" w:hAnsiTheme="minorEastAsia" w:eastAsiaTheme="minorEastAsia"/>
          <w:sz w:val="32"/>
        </w:rPr>
        <w:t>项目效益情况。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经济</w:t>
      </w:r>
      <w:r>
        <w:rPr>
          <w:rFonts w:hint="eastAsia" w:asciiTheme="minorEastAsia" w:hAnsiTheme="minorEastAsia" w:eastAsiaTheme="minorEastAsia" w:cstheme="minorEastAsia"/>
          <w:sz w:val="32"/>
          <w:szCs w:val="32"/>
        </w:rPr>
        <w:t>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经济</w:t>
      </w:r>
      <w:r>
        <w:rPr>
          <w:rFonts w:hint="eastAsia" w:asciiTheme="minorEastAsia" w:hAnsiTheme="minorEastAsia" w:eastAsiaTheme="minorEastAsia" w:cstheme="minorEastAsia"/>
          <w:sz w:val="32"/>
          <w:szCs w:val="32"/>
        </w:rPr>
        <w:t>效益指标</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分。得分</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.5分。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.社会效益指标得分情况逐个分析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社会效益指标</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分。得分</w:t>
      </w:r>
      <w:r>
        <w:rPr>
          <w:rFonts w:hint="eastAsia" w:asciiTheme="minorEastAsia" w:hAnsiTheme="minorEastAsia" w:eastAsiaTheme="minorEastAsia" w:cstheme="minorEastAsia"/>
          <w:sz w:val="32"/>
          <w:szCs w:val="32"/>
          <w:lang w:val="en-US" w:eastAsia="zh-CN"/>
        </w:rPr>
        <w:t>4.22</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生态</w:t>
      </w:r>
      <w:r>
        <w:rPr>
          <w:rFonts w:hint="eastAsia" w:asciiTheme="minorEastAsia" w:hAnsiTheme="minorEastAsia" w:eastAsiaTheme="minorEastAsia" w:cstheme="minorEastAsia"/>
          <w:sz w:val="32"/>
          <w:szCs w:val="32"/>
        </w:rPr>
        <w:t>效益指标得分情况逐个分析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生态</w:t>
      </w:r>
      <w:r>
        <w:rPr>
          <w:rFonts w:hint="eastAsia" w:asciiTheme="minorEastAsia" w:hAnsiTheme="minorEastAsia" w:eastAsiaTheme="minorEastAsia" w:cstheme="minorEastAsia"/>
          <w:sz w:val="32"/>
          <w:szCs w:val="32"/>
        </w:rPr>
        <w:t>效益指标</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分。得分</w:t>
      </w:r>
      <w:r>
        <w:rPr>
          <w:rFonts w:hint="eastAsia" w:asciiTheme="minorEastAsia" w:hAnsiTheme="minorEastAsia" w:eastAsiaTheme="minorEastAsia" w:cstheme="minorEastAsia"/>
          <w:sz w:val="32"/>
          <w:szCs w:val="32"/>
          <w:lang w:val="en-US" w:eastAsia="zh-CN"/>
        </w:rPr>
        <w:t>4.04</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可持续影响</w:t>
      </w:r>
      <w:r>
        <w:rPr>
          <w:rFonts w:hint="eastAsia" w:asciiTheme="minorEastAsia" w:hAnsiTheme="minorEastAsia" w:eastAsiaTheme="minorEastAsia" w:cstheme="minorEastAsia"/>
          <w:sz w:val="32"/>
          <w:szCs w:val="32"/>
        </w:rPr>
        <w:t>效益指标得分情况逐个分析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sz w:val="32"/>
          <w:szCs w:val="32"/>
          <w:lang w:val="en-US" w:eastAsia="zh-CN"/>
        </w:rPr>
        <w:t>可持续影响</w:t>
      </w:r>
      <w:r>
        <w:rPr>
          <w:rFonts w:hint="eastAsia" w:asciiTheme="minorEastAsia" w:hAnsiTheme="minorEastAsia" w:eastAsiaTheme="minorEastAsia" w:cstheme="minorEastAsia"/>
          <w:sz w:val="32"/>
          <w:szCs w:val="32"/>
        </w:rPr>
        <w:t>效益指标</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分。得分</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分。</w:t>
      </w:r>
    </w:p>
    <w:p>
      <w:pPr>
        <w:pStyle w:val="2"/>
        <w:spacing w:before="118" w:line="350" w:lineRule="auto"/>
        <w:ind w:left="1476" w:right="3109"/>
        <w:rPr>
          <w:rFonts w:hint="eastAsia" w:asciiTheme="minorEastAsia" w:hAnsiTheme="minorEastAsia" w:eastAsiaTheme="minorEastAsia"/>
          <w:b/>
          <w:bCs/>
        </w:rPr>
      </w:pPr>
      <w:r>
        <w:rPr>
          <w:rFonts w:hint="eastAsia" w:asciiTheme="minorEastAsia" w:hAnsiTheme="minorEastAsia" w:eastAsiaTheme="minorEastAsia"/>
          <w:b/>
          <w:bCs/>
        </w:rPr>
        <w:t>五、主要经验及做法、存在的问题及原因分析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1、结合单位实际和业务特点，强化预算管理，事前做好预算，控制经费使用， 做到开支合理，手续齐全，保障工作顺利完成；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b/>
          <w:bCs/>
        </w:rPr>
      </w:pPr>
      <w:r>
        <w:rPr>
          <w:rFonts w:hint="eastAsia" w:asciiTheme="minorEastAsia" w:hAnsiTheme="minorEastAsia" w:eastAsiaTheme="minorEastAsia" w:cstheme="minorEastAsia"/>
          <w:sz w:val="32"/>
          <w:szCs w:val="32"/>
        </w:rPr>
        <w:t>2、严格按照财政部门资金管理办法管理，加强资金的使用和监督，厉行节约、注重实效，提高资金使用效益；</w:t>
      </w:r>
    </w:p>
    <w:p>
      <w:pPr>
        <w:pStyle w:val="2"/>
        <w:spacing w:before="118" w:line="350" w:lineRule="auto"/>
        <w:ind w:left="1476" w:right="3109"/>
        <w:rPr>
          <w:rFonts w:asciiTheme="minorEastAsia" w:hAnsiTheme="minorEastAsia" w:eastAsiaTheme="minorEastAsia"/>
          <w:b/>
          <w:bCs/>
        </w:rPr>
      </w:pPr>
      <w:r>
        <w:rPr>
          <w:rFonts w:hint="eastAsia" w:asciiTheme="minorEastAsia" w:hAnsiTheme="minorEastAsia" w:eastAsiaTheme="minorEastAsia"/>
          <w:b/>
          <w:bCs/>
        </w:rPr>
        <w:t>六、有关建议</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1.加强项目顶算管理，提高预算资金执行率。首先按项目实际需求认真编专项资金预算，并在资金支出过程中做到按预算执行，提高预算执行严肃性;其次，发现预算执行偏离要及时预算调整。</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 制订健全项目资金专项管理制度。建立专项资金备查帐，严格按照项目资金的用范围和要求使用资金，严格项目资金使用程序和审批手续，切实加</w:t>
      </w:r>
      <w:r>
        <w:rPr>
          <w:rFonts w:hint="eastAsia" w:asciiTheme="minorEastAsia" w:hAnsiTheme="minorEastAsia" w:eastAsiaTheme="minorEastAsia" w:cstheme="minorEastAsia"/>
          <w:sz w:val="32"/>
          <w:szCs w:val="32"/>
          <w:lang w:val="en-US" w:eastAsia="zh-CN"/>
        </w:rPr>
        <w:t>强</w:t>
      </w:r>
      <w:r>
        <w:rPr>
          <w:rFonts w:hint="eastAsia" w:asciiTheme="minorEastAsia" w:hAnsiTheme="minorEastAsia" w:eastAsiaTheme="minorEastAsia" w:cstheme="minorEastAsia"/>
          <w:sz w:val="32"/>
          <w:szCs w:val="32"/>
        </w:rPr>
        <w:t>对专项资金的管理。</w:t>
      </w:r>
    </w:p>
    <w:p>
      <w:pPr>
        <w:pStyle w:val="2"/>
        <w:spacing w:before="2"/>
        <w:ind w:left="1476"/>
        <w:rPr>
          <w:rFonts w:asciiTheme="minorEastAsia" w:hAnsiTheme="minorEastAsia" w:eastAsiaTheme="minorEastAsia"/>
          <w:b/>
          <w:bCs/>
        </w:rPr>
      </w:pPr>
      <w:r>
        <w:rPr>
          <w:rFonts w:hint="eastAsia" w:asciiTheme="minorEastAsia" w:hAnsiTheme="minorEastAsia" w:eastAsiaTheme="minorEastAsia"/>
          <w:b/>
          <w:bCs/>
        </w:rPr>
        <w:t>七、其他需要说明的问题</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sectPr>
          <w:footerReference r:id="rId6" w:type="default"/>
          <w:pgSz w:w="11910" w:h="16840"/>
          <w:pgMar w:top="1480" w:right="340" w:bottom="1220" w:left="580" w:header="0" w:footer="1034" w:gutter="0"/>
          <w:pgNumType w:start="19"/>
          <w:cols w:space="720" w:num="1"/>
        </w:sectPr>
      </w:pPr>
    </w:p>
    <w:p>
      <w:pPr>
        <w:pStyle w:val="12"/>
        <w:spacing w:before="39"/>
        <w:ind w:left="1244"/>
      </w:pPr>
      <w:r>
        <w:rPr>
          <w:b w:val="0"/>
          <w:bCs/>
          <w:color w:val="000000" w:themeColor="text1"/>
          <w14:textFill>
            <w14:solidFill>
              <w14:schemeClr w14:val="tx1"/>
            </w14:solidFill>
          </w14:textFill>
        </w:rPr>
        <w:t>项目支出</w:t>
      </w:r>
      <w:r>
        <w:t>绩效评分表</w:t>
      </w:r>
    </w:p>
    <w:p>
      <w:pPr>
        <w:pStyle w:val="2"/>
        <w:spacing w:before="8"/>
        <w:rPr>
          <w:sz w:val="16"/>
        </w:rPr>
      </w:pPr>
    </w:p>
    <w:tbl>
      <w:tblPr>
        <w:tblStyle w:val="10"/>
        <w:tblW w:w="10422" w:type="dxa"/>
        <w:tblInd w:w="1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1"/>
        <w:gridCol w:w="388"/>
        <w:gridCol w:w="973"/>
        <w:gridCol w:w="596"/>
        <w:gridCol w:w="1963"/>
        <w:gridCol w:w="706"/>
        <w:gridCol w:w="3980"/>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41" w:type="dxa"/>
          </w:tcPr>
          <w:p>
            <w:pPr>
              <w:pStyle w:val="15"/>
              <w:spacing w:before="20"/>
              <w:ind w:left="359"/>
              <w:rPr>
                <w:rFonts w:ascii="黑体" w:eastAsia="黑体"/>
                <w:sz w:val="21"/>
                <w:lang w:eastAsia="en-US"/>
              </w:rPr>
            </w:pPr>
            <w:r>
              <w:rPr>
                <w:rFonts w:hint="eastAsia" w:ascii="黑体" w:eastAsia="黑体"/>
                <w:spacing w:val="-1"/>
                <w:w w:val="95"/>
                <w:sz w:val="21"/>
                <w:lang w:eastAsia="en-US"/>
              </w:rPr>
              <w:t>一级</w:t>
            </w:r>
          </w:p>
          <w:p>
            <w:pPr>
              <w:pStyle w:val="15"/>
              <w:spacing w:before="43"/>
              <w:ind w:left="359"/>
              <w:rPr>
                <w:rFonts w:ascii="黑体" w:eastAsia="黑体"/>
                <w:sz w:val="21"/>
                <w:lang w:eastAsia="en-US"/>
              </w:rPr>
            </w:pPr>
            <w:r>
              <w:rPr>
                <w:rFonts w:hint="eastAsia" w:ascii="黑体" w:eastAsia="黑体"/>
                <w:spacing w:val="-1"/>
                <w:w w:val="95"/>
                <w:sz w:val="21"/>
                <w:lang w:eastAsia="en-US"/>
              </w:rPr>
              <w:t>指标</w:t>
            </w:r>
          </w:p>
        </w:tc>
        <w:tc>
          <w:tcPr>
            <w:tcW w:w="1361" w:type="dxa"/>
            <w:gridSpan w:val="2"/>
          </w:tcPr>
          <w:p>
            <w:pPr>
              <w:pStyle w:val="15"/>
              <w:spacing w:before="176"/>
              <w:ind w:left="259"/>
              <w:rPr>
                <w:rFonts w:ascii="黑体" w:eastAsia="黑体"/>
                <w:sz w:val="21"/>
                <w:lang w:eastAsia="en-US"/>
              </w:rPr>
            </w:pPr>
            <w:r>
              <w:rPr>
                <w:rFonts w:hint="eastAsia" w:ascii="黑体" w:eastAsia="黑体"/>
                <w:sz w:val="21"/>
                <w:lang w:eastAsia="en-US"/>
              </w:rPr>
              <w:t>二级指标</w:t>
            </w:r>
          </w:p>
        </w:tc>
        <w:tc>
          <w:tcPr>
            <w:tcW w:w="596" w:type="dxa"/>
          </w:tcPr>
          <w:p>
            <w:pPr>
              <w:pStyle w:val="15"/>
              <w:spacing w:before="20"/>
              <w:ind w:left="192"/>
              <w:rPr>
                <w:rFonts w:ascii="黑体" w:eastAsia="黑体"/>
                <w:sz w:val="21"/>
                <w:lang w:eastAsia="en-US"/>
              </w:rPr>
            </w:pPr>
            <w:r>
              <w:rPr>
                <w:rFonts w:hint="eastAsia" w:ascii="黑体" w:eastAsia="黑体"/>
                <w:w w:val="99"/>
                <w:sz w:val="21"/>
                <w:lang w:eastAsia="en-US"/>
              </w:rPr>
              <w:t>分</w:t>
            </w:r>
          </w:p>
          <w:p>
            <w:pPr>
              <w:pStyle w:val="15"/>
              <w:spacing w:before="43"/>
              <w:ind w:left="192"/>
              <w:rPr>
                <w:rFonts w:ascii="黑体" w:eastAsia="黑体"/>
                <w:sz w:val="21"/>
                <w:lang w:eastAsia="en-US"/>
              </w:rPr>
            </w:pPr>
            <w:r>
              <w:rPr>
                <w:rFonts w:hint="eastAsia" w:ascii="黑体" w:eastAsia="黑体"/>
                <w:w w:val="99"/>
                <w:sz w:val="21"/>
                <w:lang w:eastAsia="en-US"/>
              </w:rPr>
              <w:t>值</w:t>
            </w:r>
          </w:p>
        </w:tc>
        <w:tc>
          <w:tcPr>
            <w:tcW w:w="1963" w:type="dxa"/>
          </w:tcPr>
          <w:p>
            <w:pPr>
              <w:pStyle w:val="15"/>
              <w:spacing w:before="176"/>
              <w:ind w:left="224" w:right="217"/>
              <w:jc w:val="center"/>
              <w:rPr>
                <w:rFonts w:ascii="黑体" w:eastAsia="黑体"/>
                <w:sz w:val="21"/>
                <w:lang w:eastAsia="en-US"/>
              </w:rPr>
            </w:pPr>
            <w:r>
              <w:rPr>
                <w:rFonts w:hint="eastAsia" w:ascii="黑体" w:eastAsia="黑体"/>
                <w:sz w:val="21"/>
                <w:lang w:eastAsia="en-US"/>
              </w:rPr>
              <w:t>三级指标</w:t>
            </w:r>
          </w:p>
        </w:tc>
        <w:tc>
          <w:tcPr>
            <w:tcW w:w="706" w:type="dxa"/>
          </w:tcPr>
          <w:p>
            <w:pPr>
              <w:pStyle w:val="15"/>
              <w:spacing w:before="176"/>
              <w:ind w:left="141"/>
              <w:rPr>
                <w:rFonts w:ascii="黑体" w:eastAsia="黑体"/>
                <w:sz w:val="21"/>
                <w:lang w:eastAsia="en-US"/>
              </w:rPr>
            </w:pPr>
            <w:r>
              <w:rPr>
                <w:rFonts w:hint="eastAsia" w:ascii="黑体" w:eastAsia="黑体"/>
                <w:sz w:val="21"/>
                <w:lang w:eastAsia="en-US"/>
              </w:rPr>
              <w:t>分值</w:t>
            </w:r>
          </w:p>
        </w:tc>
        <w:tc>
          <w:tcPr>
            <w:tcW w:w="3980" w:type="dxa"/>
          </w:tcPr>
          <w:p>
            <w:pPr>
              <w:pStyle w:val="15"/>
              <w:spacing w:before="176"/>
              <w:ind w:left="1548" w:right="1542"/>
              <w:jc w:val="center"/>
              <w:rPr>
                <w:rFonts w:ascii="黑体" w:eastAsia="黑体"/>
                <w:sz w:val="21"/>
                <w:lang w:eastAsia="en-US"/>
              </w:rPr>
            </w:pPr>
            <w:r>
              <w:rPr>
                <w:rFonts w:hint="eastAsia" w:ascii="黑体" w:eastAsia="黑体"/>
                <w:sz w:val="21"/>
                <w:lang w:eastAsia="en-US"/>
              </w:rPr>
              <w:t>评分标准</w:t>
            </w:r>
          </w:p>
        </w:tc>
        <w:tc>
          <w:tcPr>
            <w:tcW w:w="675" w:type="dxa"/>
          </w:tcPr>
          <w:p>
            <w:pPr>
              <w:pStyle w:val="15"/>
              <w:spacing w:before="20"/>
              <w:ind w:left="125"/>
              <w:rPr>
                <w:rFonts w:ascii="黑体" w:eastAsia="黑体"/>
                <w:sz w:val="21"/>
                <w:lang w:eastAsia="en-US"/>
              </w:rPr>
            </w:pPr>
            <w:r>
              <w:rPr>
                <w:rFonts w:hint="eastAsia" w:ascii="黑体" w:eastAsia="黑体"/>
                <w:spacing w:val="-1"/>
                <w:w w:val="95"/>
                <w:sz w:val="21"/>
                <w:lang w:eastAsia="en-US"/>
              </w:rPr>
              <w:t>评价</w:t>
            </w:r>
          </w:p>
          <w:p>
            <w:pPr>
              <w:pStyle w:val="15"/>
              <w:spacing w:before="43"/>
              <w:ind w:left="125"/>
              <w:rPr>
                <w:rFonts w:ascii="黑体" w:eastAsia="黑体"/>
                <w:sz w:val="21"/>
                <w:lang w:eastAsia="en-US"/>
              </w:rPr>
            </w:pPr>
            <w:r>
              <w:rPr>
                <w:rFonts w:hint="eastAsia" w:ascii="黑体" w:eastAsia="黑体"/>
                <w:spacing w:val="-1"/>
                <w:w w:val="95"/>
                <w:sz w:val="21"/>
                <w:lang w:eastAsia="en-US"/>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141" w:type="dxa"/>
            <w:vMerge w:val="restart"/>
          </w:tcPr>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决策</w:t>
            </w:r>
          </w:p>
          <w:p>
            <w:pPr>
              <w:pStyle w:val="15"/>
              <w:spacing w:before="6"/>
              <w:jc w:val="center"/>
              <w:rPr>
                <w:rFonts w:hint="eastAsia" w:ascii="黑体" w:hAnsi="黑体" w:eastAsia="黑体" w:cs="黑体"/>
                <w:sz w:val="21"/>
                <w:szCs w:val="21"/>
                <w:lang w:eastAsia="en-US"/>
              </w:rPr>
            </w:pPr>
          </w:p>
          <w:p>
            <w:pPr>
              <w:pStyle w:val="15"/>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（15 分）</w:t>
            </w:r>
          </w:p>
        </w:tc>
        <w:tc>
          <w:tcPr>
            <w:tcW w:w="1361" w:type="dxa"/>
            <w:gridSpan w:val="2"/>
            <w:vMerge w:val="restart"/>
          </w:tcPr>
          <w:p>
            <w:pPr>
              <w:pStyle w:val="15"/>
              <w:spacing w:before="11"/>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项目立项</w:t>
            </w:r>
          </w:p>
        </w:tc>
        <w:tc>
          <w:tcPr>
            <w:tcW w:w="596" w:type="dxa"/>
            <w:vMerge w:val="restart"/>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5"/>
              <w:spacing w:before="87"/>
              <w:ind w:left="224" w:right="219"/>
              <w:jc w:val="center"/>
              <w:rPr>
                <w:rFonts w:hint="eastAsia" w:ascii="黑体" w:hAnsi="黑体" w:eastAsia="黑体" w:cs="黑体"/>
                <w:sz w:val="21"/>
                <w:szCs w:val="21"/>
                <w:lang w:eastAsia="en-US"/>
              </w:rPr>
            </w:pPr>
          </w:p>
          <w:p>
            <w:pPr>
              <w:pStyle w:val="15"/>
              <w:spacing w:before="87"/>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立项依据充分性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①项目活动专项经费申报有依据，有政府抄告单（或财政答复意见）；②申请经费报告有领导批示；③项目活动开展有领导班子集体研究。</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64"/>
              <w:ind w:left="224" w:right="219"/>
              <w:jc w:val="center"/>
              <w:rPr>
                <w:rFonts w:hint="eastAsia" w:ascii="黑体" w:hAnsi="黑体" w:eastAsia="黑体" w:cs="黑体"/>
                <w:sz w:val="21"/>
                <w:szCs w:val="21"/>
                <w:lang w:eastAsia="en-US"/>
              </w:rPr>
            </w:pPr>
          </w:p>
          <w:p>
            <w:pPr>
              <w:pStyle w:val="15"/>
              <w:spacing w:before="64"/>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立项程序规范性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①项目是否按照规定的程序申请立项；②所提交的文件、材料是否符合相关要求；③事前是否已经过必要的可行性研究、专家论证、风险评估、集体决策等。一项不符合扣一分，严重的此项完全不得分。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5"/>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绩效目标</w:t>
            </w:r>
          </w:p>
        </w:tc>
        <w:tc>
          <w:tcPr>
            <w:tcW w:w="596" w:type="dxa"/>
            <w:vMerge w:val="restart"/>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5"/>
              <w:spacing w:before="63"/>
              <w:ind w:left="224" w:right="219"/>
              <w:jc w:val="center"/>
              <w:rPr>
                <w:rFonts w:hint="eastAsia" w:ascii="黑体" w:hAnsi="黑体" w:eastAsia="黑体" w:cs="黑体"/>
                <w:sz w:val="21"/>
                <w:szCs w:val="21"/>
                <w:lang w:eastAsia="en-US"/>
              </w:rPr>
            </w:pPr>
          </w:p>
          <w:p>
            <w:pPr>
              <w:pStyle w:val="15"/>
              <w:spacing w:before="6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绩效目标合理性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①是否与项目年度任务数或计划数相对应；②是否与预算确定的项目投资额或资金量相匹配。一项不符合扣一分，严重的此项完全不得分。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103"/>
              <w:ind w:left="224" w:right="219"/>
              <w:jc w:val="center"/>
              <w:rPr>
                <w:rFonts w:hint="eastAsia" w:ascii="黑体" w:hAnsi="黑体" w:eastAsia="黑体" w:cs="黑体"/>
                <w:sz w:val="21"/>
                <w:szCs w:val="21"/>
                <w:lang w:eastAsia="en-US"/>
              </w:rPr>
            </w:pPr>
          </w:p>
          <w:p>
            <w:pPr>
              <w:pStyle w:val="15"/>
              <w:spacing w:before="10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绩效指标明确性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①是否将项目绩效目标细化分解为具体的绩效指标；②是否通过清晰、可衡量的指标值予以体现一项不符合扣一分，严重的此项完全不得分。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5"/>
              <w:spacing w:before="10"/>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资金投入</w:t>
            </w:r>
          </w:p>
        </w:tc>
        <w:tc>
          <w:tcPr>
            <w:tcW w:w="596" w:type="dxa"/>
            <w:vMerge w:val="restart"/>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5"/>
              <w:spacing w:before="86"/>
              <w:ind w:left="224" w:right="219"/>
              <w:jc w:val="center"/>
              <w:rPr>
                <w:rFonts w:hint="eastAsia" w:ascii="黑体" w:hAnsi="黑体" w:eastAsia="黑体" w:cs="黑体"/>
                <w:sz w:val="21"/>
                <w:szCs w:val="21"/>
                <w:lang w:eastAsia="en-US"/>
              </w:rPr>
            </w:pPr>
          </w:p>
          <w:p>
            <w:pPr>
              <w:pStyle w:val="15"/>
              <w:spacing w:before="86"/>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预算编制科学性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①预算编制符合“量力为出，收支平衡”原则，②科学测算各项收入、支出明确列示相关测算方法和依据。</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63"/>
              <w:ind w:left="224" w:right="219"/>
              <w:jc w:val="center"/>
              <w:rPr>
                <w:rFonts w:hint="eastAsia" w:ascii="黑体" w:hAnsi="黑体" w:eastAsia="黑体" w:cs="黑体"/>
                <w:sz w:val="21"/>
                <w:szCs w:val="21"/>
                <w:lang w:eastAsia="en-US"/>
              </w:rPr>
            </w:pPr>
          </w:p>
          <w:p>
            <w:pPr>
              <w:pStyle w:val="15"/>
              <w:spacing w:before="63"/>
              <w:ind w:left="224" w:right="219"/>
              <w:jc w:val="center"/>
              <w:rPr>
                <w:rFonts w:hint="eastAsia" w:ascii="黑体" w:hAnsi="黑体" w:eastAsia="黑体" w:cs="黑体"/>
                <w:sz w:val="21"/>
                <w:szCs w:val="21"/>
                <w:lang w:eastAsia="en-US"/>
              </w:rPr>
            </w:pPr>
          </w:p>
          <w:p>
            <w:pPr>
              <w:pStyle w:val="15"/>
              <w:spacing w:before="6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资金分配合理性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①是否符合国家财经法规和财务管理制度以及有关专项资金管理办法的规定；②资金的拨付是否有完整的审批程序和手续；③项目的重大开支是否经过评估认证。一项不符合扣一分，严重的此项完全不得分。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1141" w:type="dxa"/>
            <w:vMerge w:val="restart"/>
          </w:tcPr>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spacing w:before="130"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过程</w:t>
            </w:r>
          </w:p>
          <w:p>
            <w:pPr>
              <w:pStyle w:val="15"/>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（15 分）</w:t>
            </w:r>
          </w:p>
        </w:tc>
        <w:tc>
          <w:tcPr>
            <w:tcW w:w="1361" w:type="dxa"/>
            <w:gridSpan w:val="2"/>
            <w:vMerge w:val="restart"/>
          </w:tcPr>
          <w:p>
            <w:pPr>
              <w:pStyle w:val="15"/>
              <w:jc w:val="center"/>
              <w:rPr>
                <w:rFonts w:hint="eastAsia" w:ascii="黑体" w:hAnsi="黑体" w:eastAsia="黑体" w:cs="黑体"/>
                <w:sz w:val="21"/>
                <w:szCs w:val="21"/>
                <w:lang w:eastAsia="en-US"/>
              </w:rPr>
            </w:pPr>
          </w:p>
          <w:p>
            <w:pPr>
              <w:pStyle w:val="15"/>
              <w:spacing w:before="175"/>
              <w:ind w:left="259"/>
              <w:jc w:val="center"/>
              <w:rPr>
                <w:rFonts w:hint="eastAsia" w:ascii="黑体" w:hAnsi="黑体" w:eastAsia="黑体" w:cs="黑体"/>
                <w:sz w:val="21"/>
                <w:szCs w:val="21"/>
                <w:lang w:eastAsia="en-US"/>
              </w:rPr>
            </w:pPr>
          </w:p>
          <w:p>
            <w:pPr>
              <w:pStyle w:val="15"/>
              <w:spacing w:before="175"/>
              <w:ind w:left="259"/>
              <w:jc w:val="center"/>
              <w:rPr>
                <w:rFonts w:hint="eastAsia" w:ascii="黑体" w:hAnsi="黑体" w:eastAsia="黑体" w:cs="黑体"/>
                <w:sz w:val="21"/>
                <w:szCs w:val="21"/>
                <w:lang w:eastAsia="en-US"/>
              </w:rPr>
            </w:pPr>
          </w:p>
          <w:p>
            <w:pPr>
              <w:pStyle w:val="15"/>
              <w:spacing w:before="175"/>
              <w:ind w:left="259"/>
              <w:jc w:val="center"/>
              <w:rPr>
                <w:rFonts w:hint="eastAsia" w:ascii="黑体" w:hAnsi="黑体" w:eastAsia="黑体" w:cs="黑体"/>
                <w:sz w:val="21"/>
                <w:szCs w:val="21"/>
                <w:lang w:eastAsia="en-US"/>
              </w:rPr>
            </w:pPr>
          </w:p>
          <w:p>
            <w:pPr>
              <w:pStyle w:val="15"/>
              <w:spacing w:before="17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资金管理</w:t>
            </w:r>
          </w:p>
        </w:tc>
        <w:tc>
          <w:tcPr>
            <w:tcW w:w="596" w:type="dxa"/>
            <w:vMerge w:val="restart"/>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Pr>
          <w:p>
            <w:pPr>
              <w:pStyle w:val="15"/>
              <w:spacing w:before="38"/>
              <w:ind w:left="224" w:right="217"/>
              <w:jc w:val="center"/>
              <w:rPr>
                <w:rFonts w:hint="eastAsia" w:ascii="黑体" w:hAnsi="黑体" w:eastAsia="黑体" w:cs="黑体"/>
                <w:sz w:val="21"/>
                <w:szCs w:val="21"/>
                <w:lang w:eastAsia="en-US"/>
              </w:rPr>
            </w:pPr>
          </w:p>
          <w:p>
            <w:pPr>
              <w:pStyle w:val="15"/>
              <w:spacing w:before="38"/>
              <w:ind w:left="224" w:right="217"/>
              <w:jc w:val="center"/>
              <w:rPr>
                <w:rFonts w:hint="eastAsia" w:ascii="黑体" w:hAnsi="黑体" w:eastAsia="黑体" w:cs="黑体"/>
                <w:sz w:val="21"/>
                <w:szCs w:val="21"/>
                <w:lang w:eastAsia="en-US"/>
              </w:rPr>
            </w:pPr>
          </w:p>
          <w:p>
            <w:pPr>
              <w:pStyle w:val="15"/>
              <w:spacing w:before="38"/>
              <w:ind w:left="224" w:right="217"/>
              <w:jc w:val="center"/>
              <w:rPr>
                <w:rFonts w:hint="eastAsia" w:ascii="黑体" w:hAnsi="黑体" w:eastAsia="黑体" w:cs="黑体"/>
                <w:sz w:val="21"/>
                <w:szCs w:val="21"/>
                <w:lang w:eastAsia="en-US"/>
              </w:rPr>
            </w:pPr>
          </w:p>
          <w:p>
            <w:pPr>
              <w:pStyle w:val="15"/>
              <w:spacing w:before="38"/>
              <w:ind w:left="224" w:right="217"/>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资金到位率</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widowControl/>
              <w:autoSpaceDE w:val="0"/>
              <w:autoSpaceDN w:val="0"/>
              <w:spacing w:line="240" w:lineRule="exact"/>
              <w:rPr>
                <w:rFonts w:hint="eastAsia" w:ascii="黑体" w:hAnsi="黑体" w:eastAsia="黑体" w:cs="黑体"/>
                <w:sz w:val="21"/>
                <w:szCs w:val="21"/>
                <w:lang w:eastAsia="zh-CN"/>
              </w:rPr>
            </w:pPr>
            <w:r>
              <w:rPr>
                <w:rFonts w:hint="eastAsia" w:ascii="黑体" w:hAnsi="黑体" w:eastAsia="黑体" w:cs="黑体"/>
                <w:color w:val="000000"/>
                <w:kern w:val="0"/>
                <w:sz w:val="21"/>
                <w:szCs w:val="21"/>
              </w:rPr>
              <w:t>①资金到位率=（实际到位资金/计划投入资金）×100%。资金到位率大于90%的得满分，每少5个百分点扣1分，扣完为止。实际到位资金：一定时期（本年度或项目期）内实际落实到项目实施单位的资金总额。计划投入资金：一定时期（本年度或项目期）内计划投入到项目实施单位的资金总额。②</w:t>
            </w:r>
            <w:r>
              <w:rPr>
                <w:rFonts w:hint="eastAsia" w:ascii="黑体" w:hAnsi="黑体" w:eastAsia="黑体" w:cs="黑体"/>
                <w:color w:val="000000"/>
                <w:kern w:val="0"/>
                <w:sz w:val="21"/>
                <w:szCs w:val="21"/>
                <w:lang w:val="en-US" w:eastAsia="zh-CN"/>
              </w:rPr>
              <w:t>拨付及时。</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37"/>
              <w:ind w:left="224" w:right="217"/>
              <w:jc w:val="center"/>
              <w:rPr>
                <w:rFonts w:hint="eastAsia" w:ascii="黑体" w:hAnsi="黑体" w:eastAsia="黑体" w:cs="黑体"/>
                <w:sz w:val="21"/>
                <w:szCs w:val="21"/>
                <w:lang w:eastAsia="en-US"/>
              </w:rPr>
            </w:pPr>
          </w:p>
          <w:p>
            <w:pPr>
              <w:pStyle w:val="15"/>
              <w:spacing w:before="37"/>
              <w:ind w:left="224" w:right="217"/>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预算执行率</w:t>
            </w:r>
          </w:p>
          <w:p>
            <w:pPr>
              <w:pStyle w:val="15"/>
              <w:spacing w:before="37"/>
              <w:ind w:left="224" w:right="217"/>
              <w:jc w:val="center"/>
              <w:rPr>
                <w:rFonts w:hint="eastAsia" w:ascii="黑体" w:hAnsi="黑体" w:eastAsia="黑体" w:cs="黑体"/>
                <w:sz w:val="21"/>
                <w:szCs w:val="21"/>
                <w:lang w:eastAsia="en-US"/>
              </w:rPr>
            </w:pP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（实际下拨资金/应下拨资金）X100%。每降低10%扣1分，低于60%不得分。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71"/>
              <w:ind w:left="224" w:right="219"/>
              <w:jc w:val="center"/>
              <w:rPr>
                <w:rFonts w:hint="eastAsia" w:ascii="黑体" w:hAnsi="黑体" w:eastAsia="黑体" w:cs="黑体"/>
                <w:sz w:val="21"/>
                <w:szCs w:val="21"/>
                <w:lang w:eastAsia="en-US"/>
              </w:rPr>
            </w:pPr>
          </w:p>
          <w:p>
            <w:pPr>
              <w:pStyle w:val="15"/>
              <w:spacing w:before="71"/>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资金使用合规性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①是否符合项目预算批复或合同规定的用途；②是否存在截留、挤占、挪用等情况。一项不符合扣一分，严重的此项完全不得分。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5"/>
              <w:spacing w:before="12"/>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组织实施</w:t>
            </w:r>
          </w:p>
        </w:tc>
        <w:tc>
          <w:tcPr>
            <w:tcW w:w="596" w:type="dxa"/>
            <w:vMerge w:val="restart"/>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5"/>
              <w:spacing w:before="9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管理制度健全性</w:t>
            </w:r>
          </w:p>
        </w:tc>
        <w:tc>
          <w:tcPr>
            <w:tcW w:w="70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制定专项资金管理办法的规定。</w:t>
            </w:r>
          </w:p>
        </w:tc>
        <w:tc>
          <w:tcPr>
            <w:tcW w:w="675" w:type="dxa"/>
          </w:tcPr>
          <w:p>
            <w:pPr>
              <w:pStyle w:val="15"/>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70"/>
              <w:ind w:left="224" w:right="219"/>
              <w:jc w:val="center"/>
              <w:rPr>
                <w:rFonts w:hint="eastAsia" w:ascii="黑体" w:hAnsi="黑体" w:eastAsia="黑体" w:cs="黑体"/>
                <w:sz w:val="21"/>
                <w:szCs w:val="21"/>
                <w:lang w:eastAsia="en-US"/>
              </w:rPr>
            </w:pPr>
          </w:p>
          <w:p>
            <w:pPr>
              <w:pStyle w:val="15"/>
              <w:spacing w:before="70"/>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制度执行有效性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restart"/>
          </w:tcPr>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spacing w:before="1"/>
              <w:jc w:val="center"/>
              <w:rPr>
                <w:rFonts w:hint="eastAsia" w:ascii="黑体" w:hAnsi="黑体" w:eastAsia="黑体" w:cs="黑体"/>
                <w:sz w:val="21"/>
                <w:szCs w:val="21"/>
                <w:lang w:eastAsia="en-US"/>
              </w:rPr>
            </w:pPr>
          </w:p>
          <w:p>
            <w:pPr>
              <w:pStyle w:val="15"/>
              <w:spacing w:before="1"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w:t>
            </w:r>
          </w:p>
          <w:p>
            <w:pPr>
              <w:pStyle w:val="15"/>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（35 分）</w:t>
            </w:r>
          </w:p>
        </w:tc>
        <w:tc>
          <w:tcPr>
            <w:tcW w:w="1361" w:type="dxa"/>
            <w:gridSpan w:val="2"/>
          </w:tcPr>
          <w:p>
            <w:pPr>
              <w:pStyle w:val="15"/>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产出数量</w:t>
            </w:r>
          </w:p>
        </w:tc>
        <w:tc>
          <w:tcPr>
            <w:tcW w:w="59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产出数量是否达到绩效目标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产出数量</w:t>
            </w:r>
            <w:r>
              <w:rPr>
                <w:rFonts w:hint="eastAsia" w:ascii="黑体" w:hAnsi="黑体" w:eastAsia="黑体" w:cs="黑体"/>
                <w:color w:val="000000"/>
                <w:kern w:val="0"/>
                <w:sz w:val="21"/>
                <w:szCs w:val="21"/>
                <w:lang w:eastAsia="zh-CN"/>
              </w:rPr>
              <w:t>计算得分。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产出质量</w:t>
            </w:r>
          </w:p>
        </w:tc>
        <w:tc>
          <w:tcPr>
            <w:tcW w:w="59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产出质量是否达到绩效目标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w:t>
            </w:r>
            <w:r>
              <w:rPr>
                <w:rFonts w:hint="eastAsia" w:ascii="黑体" w:hAnsi="黑体" w:eastAsia="黑体" w:cs="黑体"/>
                <w:color w:val="000000"/>
                <w:kern w:val="0"/>
                <w:sz w:val="21"/>
                <w:szCs w:val="21"/>
                <w:lang w:eastAsia="zh-CN"/>
              </w:rPr>
              <w:t>质量计算得分。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2"/>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产出时效</w:t>
            </w:r>
          </w:p>
        </w:tc>
        <w:tc>
          <w:tcPr>
            <w:tcW w:w="596" w:type="dxa"/>
            <w:tcBorders>
              <w:bottom w:val="single" w:color="auto" w:sz="4" w:space="0"/>
            </w:tcBorders>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产出时效是否达到绩效目标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根据实际完成各项工作时间计分</w:t>
            </w:r>
            <w:r>
              <w:rPr>
                <w:rFonts w:hint="eastAsia" w:ascii="黑体" w:hAnsi="黑体" w:eastAsia="黑体" w:cs="黑体"/>
                <w:color w:val="000000"/>
                <w:kern w:val="0"/>
                <w:sz w:val="21"/>
                <w:szCs w:val="21"/>
                <w:lang w:eastAsia="zh-CN"/>
              </w:rPr>
              <w:t>。</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产出成本</w:t>
            </w:r>
          </w:p>
        </w:tc>
        <w:tc>
          <w:tcPr>
            <w:tcW w:w="596" w:type="dxa"/>
            <w:tcBorders>
              <w:top w:val="single" w:color="auto" w:sz="4" w:space="0"/>
            </w:tcBorders>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产出成本是否按绩效目标控制</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lang w:eastAsia="zh-CN"/>
              </w:rPr>
              <w:t>根据实际</w:t>
            </w:r>
            <w:r>
              <w:rPr>
                <w:rFonts w:hint="eastAsia" w:ascii="黑体" w:hAnsi="黑体" w:eastAsia="黑体" w:cs="黑体"/>
                <w:color w:val="000000"/>
                <w:kern w:val="0"/>
                <w:sz w:val="21"/>
                <w:szCs w:val="21"/>
              </w:rPr>
              <w:t>产出成本</w:t>
            </w:r>
            <w:r>
              <w:rPr>
                <w:rFonts w:hint="eastAsia" w:ascii="黑体" w:hAnsi="黑体" w:eastAsia="黑体" w:cs="黑体"/>
                <w:color w:val="000000"/>
                <w:kern w:val="0"/>
                <w:sz w:val="21"/>
                <w:szCs w:val="21"/>
                <w:lang w:eastAsia="zh-CN"/>
              </w:rPr>
              <w:t>是否控制在预算内计算得分。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restart"/>
          </w:tcPr>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spacing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效益</w:t>
            </w:r>
          </w:p>
          <w:p>
            <w:pPr>
              <w:pStyle w:val="15"/>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（25 分）</w:t>
            </w:r>
          </w:p>
        </w:tc>
        <w:tc>
          <w:tcPr>
            <w:tcW w:w="1361" w:type="dxa"/>
            <w:gridSpan w:val="2"/>
          </w:tcPr>
          <w:p>
            <w:pPr>
              <w:pStyle w:val="15"/>
              <w:spacing w:before="120"/>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经济效益</w:t>
            </w:r>
          </w:p>
        </w:tc>
        <w:tc>
          <w:tcPr>
            <w:tcW w:w="596" w:type="dxa"/>
            <w:tcBorders>
              <w:bottom w:val="single" w:color="auto" w:sz="4" w:space="0"/>
            </w:tcBorders>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项目实施是否产生</w:t>
            </w:r>
            <w:r>
              <w:rPr>
                <w:rFonts w:hint="eastAsia" w:ascii="黑体" w:hAnsi="黑体" w:eastAsia="黑体" w:cs="黑体"/>
                <w:color w:val="000000"/>
                <w:kern w:val="0"/>
                <w:sz w:val="21"/>
                <w:szCs w:val="21"/>
                <w:lang w:val="en-US" w:eastAsia="zh-CN"/>
              </w:rPr>
              <w:t>经济</w:t>
            </w:r>
            <w:r>
              <w:rPr>
                <w:rFonts w:hint="eastAsia" w:ascii="黑体" w:hAnsi="黑体" w:eastAsia="黑体" w:cs="黑体"/>
                <w:color w:val="000000"/>
                <w:kern w:val="0"/>
                <w:sz w:val="21"/>
                <w:szCs w:val="21"/>
              </w:rPr>
              <w:t>效益</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5"/>
              <w:rPr>
                <w:rFonts w:hint="eastAsia" w:ascii="黑体" w:hAnsi="黑体" w:eastAsia="黑体" w:cs="黑体"/>
                <w:sz w:val="21"/>
                <w:szCs w:val="21"/>
                <w:lang w:val="en-US" w:eastAsia="zh-CN"/>
              </w:rPr>
            </w:pPr>
            <w:r>
              <w:rPr>
                <w:rFonts w:hint="eastAsia" w:ascii="黑体" w:hAnsi="黑体" w:eastAsia="黑体" w:cs="黑体"/>
                <w:color w:val="000000"/>
                <w:kern w:val="0"/>
                <w:sz w:val="21"/>
                <w:szCs w:val="21"/>
              </w:rPr>
              <w:t>①</w:t>
            </w:r>
            <w:r>
              <w:rPr>
                <w:rFonts w:hint="eastAsia" w:ascii="黑体" w:hAnsi="黑体" w:eastAsia="黑体" w:cs="黑体"/>
                <w:sz w:val="21"/>
                <w:szCs w:val="21"/>
                <w:lang w:val="en-US" w:eastAsia="zh-CN"/>
              </w:rPr>
              <w:t>是否产生了不正常的经济效益，或本不产生经济收入而违规收取费用。如有，就为0分。</w:t>
            </w:r>
            <w:r>
              <w:rPr>
                <w:rFonts w:hint="eastAsia" w:ascii="黑体" w:hAnsi="黑体" w:eastAsia="黑体" w:cs="黑体"/>
                <w:color w:val="000000"/>
                <w:kern w:val="0"/>
                <w:sz w:val="21"/>
                <w:szCs w:val="21"/>
              </w:rPr>
              <w:t>②</w:t>
            </w:r>
            <w:r>
              <w:rPr>
                <w:rFonts w:hint="eastAsia" w:ascii="黑体" w:hAnsi="黑体" w:eastAsia="黑体" w:cs="黑体"/>
                <w:sz w:val="21"/>
                <w:szCs w:val="21"/>
                <w:lang w:val="en-US" w:eastAsia="zh-CN"/>
              </w:rPr>
              <w:t>对当地的经济发展起到一定作用。</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社会效益</w:t>
            </w:r>
          </w:p>
        </w:tc>
        <w:tc>
          <w:tcPr>
            <w:tcW w:w="596" w:type="dxa"/>
            <w:tcBorders>
              <w:top w:val="single" w:color="auto" w:sz="4" w:space="0"/>
            </w:tcBorders>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top"/>
          </w:tcPr>
          <w:p>
            <w:pPr>
              <w:pStyle w:val="15"/>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项目实施是否产生</w:t>
            </w:r>
            <w:r>
              <w:rPr>
                <w:rFonts w:hint="eastAsia" w:ascii="黑体" w:hAnsi="黑体" w:eastAsia="黑体" w:cs="黑体"/>
                <w:color w:val="000000"/>
                <w:kern w:val="0"/>
                <w:sz w:val="21"/>
                <w:szCs w:val="21"/>
                <w:lang w:val="en-US" w:eastAsia="zh-CN"/>
              </w:rPr>
              <w:t>社会效益</w:t>
            </w:r>
          </w:p>
        </w:tc>
        <w:tc>
          <w:tcPr>
            <w:tcW w:w="70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5"/>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对当地发展的稳定起到一定作用。</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0"/>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生态效益</w:t>
            </w:r>
          </w:p>
        </w:tc>
        <w:tc>
          <w:tcPr>
            <w:tcW w:w="596" w:type="dxa"/>
            <w:tcBorders>
              <w:bottom w:val="single" w:color="auto" w:sz="4" w:space="0"/>
            </w:tcBorders>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top"/>
          </w:tcPr>
          <w:p>
            <w:pPr>
              <w:pStyle w:val="15"/>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w:t>
            </w:r>
            <w:r>
              <w:rPr>
                <w:rFonts w:hint="eastAsia" w:ascii="黑体" w:hAnsi="黑体" w:eastAsia="黑体" w:cs="黑体"/>
                <w:color w:val="000000"/>
                <w:kern w:val="0"/>
                <w:sz w:val="21"/>
                <w:szCs w:val="21"/>
                <w:lang w:val="en-US" w:eastAsia="zh-CN"/>
              </w:rPr>
              <w:t>产生生态效益</w:t>
            </w:r>
          </w:p>
        </w:tc>
        <w:tc>
          <w:tcPr>
            <w:tcW w:w="70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5"/>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在组织活动中，是否对生态起到了破坏作用。如有，就为0分。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2"/>
              <w:ind w:left="154"/>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可持续效益</w:t>
            </w:r>
          </w:p>
        </w:tc>
        <w:tc>
          <w:tcPr>
            <w:tcW w:w="596" w:type="dxa"/>
            <w:tcBorders>
              <w:top w:val="single" w:color="auto" w:sz="4" w:space="0"/>
            </w:tcBorders>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tcBorders>
            <w:vAlign w:val="top"/>
          </w:tcPr>
          <w:p>
            <w:pPr>
              <w:pStyle w:val="15"/>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项目实施是否带来可持续影响</w:t>
            </w:r>
          </w:p>
        </w:tc>
        <w:tc>
          <w:tcPr>
            <w:tcW w:w="70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5"/>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对本项目或其他活动的开展，起到可持续效益作用。</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141" w:type="dxa"/>
          </w:tcPr>
          <w:p>
            <w:pPr>
              <w:pStyle w:val="15"/>
              <w:spacing w:before="3"/>
              <w:jc w:val="center"/>
              <w:rPr>
                <w:rFonts w:hint="eastAsia" w:ascii="黑体" w:hAnsi="黑体" w:eastAsia="黑体" w:cs="黑体"/>
                <w:sz w:val="21"/>
                <w:szCs w:val="21"/>
                <w:lang w:eastAsia="en-US"/>
              </w:rPr>
            </w:pPr>
          </w:p>
          <w:p>
            <w:pPr>
              <w:pStyle w:val="15"/>
              <w:spacing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满意度</w:t>
            </w:r>
          </w:p>
          <w:p>
            <w:pPr>
              <w:pStyle w:val="15"/>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（10 分）</w:t>
            </w:r>
          </w:p>
        </w:tc>
        <w:tc>
          <w:tcPr>
            <w:tcW w:w="1361" w:type="dxa"/>
            <w:gridSpan w:val="2"/>
          </w:tcPr>
          <w:p>
            <w:pPr>
              <w:pStyle w:val="15"/>
              <w:spacing w:before="98" w:line="213" w:lineRule="auto"/>
              <w:ind w:left="154" w:right="145"/>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社会公众或服务对象满意度</w:t>
            </w:r>
          </w:p>
        </w:tc>
        <w:tc>
          <w:tcPr>
            <w:tcW w:w="59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vAlign w:val="top"/>
          </w:tcPr>
          <w:p>
            <w:pPr>
              <w:pStyle w:val="15"/>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项目预期服务对象对项目实施的满意程度</w:t>
            </w:r>
            <w:r>
              <w:rPr>
                <w:rFonts w:hint="eastAsia" w:ascii="黑体" w:hAnsi="黑体" w:eastAsia="黑体" w:cs="黑体"/>
                <w:color w:val="000000"/>
                <w:kern w:val="0"/>
                <w:sz w:val="21"/>
                <w:szCs w:val="21"/>
                <w:lang w:eastAsia="zh-CN"/>
              </w:rPr>
              <w:t>。</w:t>
            </w:r>
          </w:p>
        </w:tc>
        <w:tc>
          <w:tcPr>
            <w:tcW w:w="70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社会公众或服务对象是指因该项目实施而受到影响的部门（单位）、群体或个人。社会公众或服务对象满意度</w:t>
            </w:r>
            <w:r>
              <w:rPr>
                <w:rFonts w:hint="eastAsia" w:ascii="黑体" w:hAnsi="黑体" w:eastAsia="黑体" w:cs="黑体"/>
                <w:color w:val="000000"/>
                <w:kern w:val="0"/>
                <w:sz w:val="21"/>
                <w:szCs w:val="21"/>
                <w:lang w:val="en-US" w:eastAsia="zh-CN"/>
              </w:rPr>
              <w:t>按照实际情况给分。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default" w:ascii="Times New Roman" w:eastAsia="宋体"/>
                <w:sz w:val="20"/>
                <w:lang w:val="en-US" w:eastAsia="zh-CN"/>
              </w:rPr>
            </w:pPr>
            <w:r>
              <w:rPr>
                <w:rFonts w:hint="eastAsia" w:ascii="Times New Roman" w:eastAsia="宋体"/>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747" w:type="dxa"/>
            <w:gridSpan w:val="7"/>
          </w:tcPr>
          <w:p>
            <w:pPr>
              <w:pStyle w:val="15"/>
              <w:spacing w:before="121"/>
              <w:ind w:left="4641" w:right="4636"/>
              <w:jc w:val="center"/>
              <w:rPr>
                <w:rFonts w:ascii="黑体" w:eastAsia="黑体"/>
                <w:sz w:val="21"/>
                <w:lang w:eastAsia="en-US"/>
              </w:rPr>
            </w:pPr>
            <w:r>
              <w:rPr>
                <w:rFonts w:hint="eastAsia" w:ascii="黑体" w:eastAsia="黑体"/>
                <w:sz w:val="21"/>
                <w:lang w:eastAsia="en-US"/>
              </w:rPr>
              <w:t>总分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92.50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529" w:type="dxa"/>
            <w:gridSpan w:val="2"/>
            <w:vMerge w:val="restart"/>
          </w:tcPr>
          <w:p>
            <w:pPr>
              <w:pStyle w:val="15"/>
              <w:rPr>
                <w:sz w:val="23"/>
                <w:lang w:eastAsia="en-US"/>
              </w:rPr>
            </w:pPr>
          </w:p>
          <w:p>
            <w:pPr>
              <w:pStyle w:val="15"/>
              <w:ind w:left="342"/>
              <w:rPr>
                <w:rFonts w:ascii="黑体" w:eastAsia="黑体"/>
                <w:sz w:val="21"/>
                <w:lang w:eastAsia="en-US"/>
              </w:rPr>
            </w:pPr>
            <w:r>
              <w:rPr>
                <w:rFonts w:hint="eastAsia" w:ascii="黑体" w:eastAsia="黑体"/>
                <w:sz w:val="21"/>
                <w:lang w:eastAsia="en-US"/>
              </w:rPr>
              <w:t>评价等级</w:t>
            </w:r>
          </w:p>
        </w:tc>
        <w:tc>
          <w:tcPr>
            <w:tcW w:w="8893" w:type="dxa"/>
            <w:gridSpan w:val="6"/>
          </w:tcPr>
          <w:p>
            <w:pPr>
              <w:pStyle w:val="15"/>
              <w:numPr>
                <w:ilvl w:val="0"/>
                <w:numId w:val="0"/>
              </w:numPr>
              <w:tabs>
                <w:tab w:val="left" w:pos="2527"/>
                <w:tab w:val="left" w:pos="3577"/>
                <w:tab w:val="left" w:pos="4813"/>
                <w:tab w:val="left" w:pos="6155"/>
              </w:tabs>
              <w:spacing w:before="72"/>
              <w:ind w:left="2338" w:leftChars="0"/>
              <w:rPr>
                <w:rFonts w:ascii="黑体" w:hAnsi="黑体" w:eastAsia="黑体"/>
                <w:sz w:val="21"/>
                <w:lang w:eastAsia="en-US"/>
              </w:rPr>
            </w:pPr>
            <w:r>
              <w:rPr>
                <w:rFonts w:hint="eastAsia" w:ascii="黑体" w:hAnsi="黑体" w:eastAsia="黑体"/>
                <w:sz w:val="21"/>
                <w:lang w:eastAsia="en-US"/>
              </w:rPr>
              <w:sym w:font="Wingdings 2" w:char="0052"/>
            </w:r>
            <w:r>
              <w:rPr>
                <w:rFonts w:hint="eastAsia" w:ascii="黑体" w:hAnsi="黑体" w:eastAsia="黑体"/>
                <w:sz w:val="21"/>
                <w:lang w:eastAsia="en-US"/>
              </w:rPr>
              <w:t>优</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良</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中</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529"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8893" w:type="dxa"/>
            <w:gridSpan w:val="6"/>
          </w:tcPr>
          <w:p>
            <w:pPr>
              <w:pStyle w:val="15"/>
              <w:spacing w:before="80"/>
              <w:ind w:left="107"/>
              <w:rPr>
                <w:rFonts w:ascii="黑体" w:eastAsia="黑体"/>
                <w:sz w:val="21"/>
                <w:lang w:eastAsia="en-US"/>
              </w:rPr>
            </w:pPr>
            <w:r>
              <w:rPr>
                <w:rFonts w:hint="eastAsia" w:ascii="黑体" w:eastAsia="黑体"/>
                <w:sz w:val="21"/>
                <w:lang w:eastAsia="en-US"/>
              </w:rPr>
              <w:t>90（含）-100 分为优、80（含）-90 分为良、60（含）-80 分为中、60 分以下为差</w:t>
            </w:r>
          </w:p>
        </w:tc>
      </w:tr>
    </w:tbl>
    <w:p>
      <w:pPr>
        <w:spacing w:before="282"/>
        <w:ind w:left="269"/>
        <w:rPr>
          <w:rFonts w:ascii="黑体" w:eastAsia="黑体"/>
          <w:sz w:val="20"/>
        </w:rPr>
      </w:pPr>
      <w:r>
        <w:rPr>
          <w:rFonts w:hint="eastAsia" w:ascii="黑体" w:eastAsia="黑体"/>
          <w:sz w:val="20"/>
        </w:rPr>
        <w:t>注：请参照《项目支出绩效评价指标体系框架》（财预〔2020〕10 号）设置相关指标。</w:t>
      </w:r>
    </w:p>
    <w:p>
      <w:pPr>
        <w:pStyle w:val="2"/>
        <w:rPr>
          <w:rFonts w:ascii="黑体"/>
          <w:sz w:val="27"/>
        </w:rPr>
      </w:pPr>
    </w:p>
    <w:p>
      <w:pPr>
        <w:spacing w:line="220" w:lineRule="atLeast"/>
      </w:pPr>
    </w:p>
    <w:sectPr>
      <w:footerReference r:id="rId7" w:type="default"/>
      <w:footerReference r:id="rId8" w:type="even"/>
      <w:pgSz w:w="11910" w:h="16840"/>
      <w:pgMar w:top="1200" w:right="340" w:bottom="280" w:left="580" w:header="0" w:footer="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73EF1E0-681F-45DC-BA2A-B0795AA7FE5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BA930FB-1962-4492-BD99-54179DEB47B7}"/>
  </w:font>
  <w:font w:name="微软雅黑">
    <w:panose1 w:val="020B0503020204020204"/>
    <w:charset w:val="86"/>
    <w:family w:val="swiss"/>
    <w:pitch w:val="default"/>
    <w:sig w:usb0="80000287" w:usb1="2ACF3C50" w:usb2="00000016" w:usb3="00000000" w:csb0="0004001F" w:csb1="00000000"/>
    <w:embedRegular r:id="rId3" w:fontKey="{DB1FEEA9-9EE7-41A7-A484-F2B22C3C67C3}"/>
  </w:font>
  <w:font w:name="Tahoma">
    <w:panose1 w:val="020B0604030504040204"/>
    <w:charset w:val="00"/>
    <w:family w:val="swiss"/>
    <w:pitch w:val="default"/>
    <w:sig w:usb0="E1002EFF" w:usb1="C000605B" w:usb2="00000029" w:usb3="00000000" w:csb0="200101FF" w:csb1="20280000"/>
  </w:font>
  <w:font w:name="Microsoft JhengHei">
    <w:panose1 w:val="020B0604030504040204"/>
    <w:charset w:val="88"/>
    <w:family w:val="swiss"/>
    <w:pitch w:val="default"/>
    <w:sig w:usb0="000002A7" w:usb1="28CF4400" w:usb2="00000016" w:usb3="00000000" w:csb0="00100009" w:csb1="00000000"/>
  </w:font>
  <w:font w:name="PMingLiU">
    <w:altName w:val="PMingLiU-ExtB"/>
    <w:panose1 w:val="02020500000000000000"/>
    <w:charset w:val="88"/>
    <w:family w:val="roman"/>
    <w:pitch w:val="default"/>
    <w:sig w:usb0="00000000" w:usb1="00000000" w:usb2="00000016" w:usb3="00000000" w:csb0="00100001" w:csb1="00000000"/>
    <w:embedRegular r:id="rId4" w:fontKey="{601D213B-164B-4A83-8D9C-96F9A356CFF3}"/>
  </w:font>
  <w:font w:name="Wingdings 2">
    <w:panose1 w:val="05020102010507070707"/>
    <w:charset w:val="02"/>
    <w:family w:val="roman"/>
    <w:pitch w:val="default"/>
    <w:sig w:usb0="00000000" w:usb1="00000000" w:usb2="00000000" w:usb3="00000000" w:csb0="80000000" w:csb1="00000000"/>
    <w:embedRegular r:id="rId5" w:fontKey="{BB6910FF-649B-4DFF-B31A-DABD68F95195}"/>
  </w:font>
  <w:font w:name="汉仪青云简">
    <w:panose1 w:val="00020600040101010101"/>
    <w:charset w:val="86"/>
    <w:family w:val="auto"/>
    <w:pitch w:val="default"/>
    <w:sig w:usb0="8000001F" w:usb1="1A0F781A" w:usb2="00000016" w:usb3="00000000" w:csb0="0004009F" w:csb1="DFD70000"/>
    <w:embedRegular r:id="rId6" w:fontKey="{975793A9-04CF-4C07-8482-E33ABE896BAE}"/>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5934710</wp:posOffset>
              </wp:positionH>
              <wp:positionV relativeFrom="page">
                <wp:posOffset>9895840</wp:posOffset>
              </wp:positionV>
              <wp:extent cx="558800" cy="194310"/>
              <wp:effectExtent l="0" t="0" r="0" b="0"/>
              <wp:wrapNone/>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558800" cy="194310"/>
                      </a:xfrm>
                      <a:prstGeom prst="rect">
                        <a:avLst/>
                      </a:prstGeom>
                      <a:noFill/>
                      <a:ln>
                        <a:noFill/>
                      </a:ln>
                      <a:effectLst/>
                    </wps:spPr>
                    <wps:txbx>
                      <w:txbxContent>
                        <w:p>
                          <w:pPr>
                            <w:spacing w:before="10"/>
                            <w:ind w:left="20"/>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sz w:val="24"/>
                            </w:rPr>
                            <w:t>20</w:t>
                          </w:r>
                          <w:r>
                            <w:fldChar w:fldCharType="end"/>
                          </w:r>
                          <w:r>
                            <w:rPr>
                              <w:rFonts w:ascii="Times New Roman" w:hAnsi="Times New Roman"/>
                              <w:sz w:val="24"/>
                            </w:rPr>
                            <w:t xml:space="preserve"> —</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467.3pt;margin-top:779.2pt;height:15.3pt;width:44pt;mso-position-horizontal-relative:page;mso-position-vertical-relative:page;z-index:-251654144;mso-width-relative:page;mso-height-relative:page;" filled="f" stroked="f" coordsize="21600,21600" o:gfxdata="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lDIFHbAAAADgEAAA8AAAAAAAAAAQAgAAAAIgAAAGRy&#10;cy9kb3ducmV2LnhtbFBLAQIUABQAAAAIAIdO4kDKB6OwAgIAABEEAAAOAAAAAAAAAAEAIAAAACoB&#10;AABkcnMvZTJvRG9jLnhtbFBLBQYAAAAABgAGAFkBAACeBQAAAAA=&#10;">
              <v:fill on="f" focussize="0,0"/>
              <v:stroke on="f"/>
              <v:imagedata o:title=""/>
              <o:lock v:ext="edit" aspectratio="f"/>
              <v:textbox inset="0mm,0mm,0mm,0mm">
                <w:txbxContent>
                  <w:p>
                    <w:pPr>
                      <w:spacing w:before="10"/>
                      <w:ind w:left="20"/>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sz w:val="24"/>
                      </w:rPr>
                      <w:t>20</w:t>
                    </w:r>
                    <w:r>
                      <w:fldChar w:fldCharType="end"/>
                    </w:r>
                    <w:r>
                      <w:rPr>
                        <w:rFonts w:ascii="Times New Roman" w:hAnsi="Times New Roman"/>
                        <w:sz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C8A98C"/>
    <w:multiLevelType w:val="singleLevel"/>
    <w:tmpl w:val="ABC8A98C"/>
    <w:lvl w:ilvl="0" w:tentative="0">
      <w:start w:val="2"/>
      <w:numFmt w:val="chineseCounting"/>
      <w:suff w:val="nothing"/>
      <w:lvlText w:val="（%1）"/>
      <w:lvlJc w:val="left"/>
      <w:rPr>
        <w:rFonts w:hint="eastAsia"/>
      </w:rPr>
    </w:lvl>
  </w:abstractNum>
  <w:abstractNum w:abstractNumId="1">
    <w:nsid w:val="3544123A"/>
    <w:multiLevelType w:val="singleLevel"/>
    <w:tmpl w:val="3544123A"/>
    <w:lvl w:ilvl="0" w:tentative="0">
      <w:start w:val="2"/>
      <w:numFmt w:val="chineseCounting"/>
      <w:suff w:val="nothing"/>
      <w:lvlText w:val="（%1）"/>
      <w:lvlJc w:val="left"/>
      <w:pPr>
        <w:ind w:left="64"/>
      </w:pPr>
      <w:rPr>
        <w:rFonts w:hint="eastAsia"/>
      </w:rPr>
    </w:lvl>
  </w:abstractNum>
  <w:abstractNum w:abstractNumId="2">
    <w:nsid w:val="5230A666"/>
    <w:multiLevelType w:val="singleLevel"/>
    <w:tmpl w:val="5230A666"/>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MzY0OGU1OTc4MTk4Y2QwMzc0ODQ0YWY3MGEyODkifQ=="/>
  </w:docVars>
  <w:rsids>
    <w:rsidRoot w:val="00D31D50"/>
    <w:rsid w:val="00021171"/>
    <w:rsid w:val="00251412"/>
    <w:rsid w:val="00323B43"/>
    <w:rsid w:val="003738F1"/>
    <w:rsid w:val="00393DD2"/>
    <w:rsid w:val="003D37D8"/>
    <w:rsid w:val="00425B56"/>
    <w:rsid w:val="00426133"/>
    <w:rsid w:val="004358AB"/>
    <w:rsid w:val="0047783A"/>
    <w:rsid w:val="004A50FF"/>
    <w:rsid w:val="005E3E79"/>
    <w:rsid w:val="008B7726"/>
    <w:rsid w:val="00991CA5"/>
    <w:rsid w:val="00A02761"/>
    <w:rsid w:val="00BD0F41"/>
    <w:rsid w:val="00BE2874"/>
    <w:rsid w:val="00D31D50"/>
    <w:rsid w:val="00DC6825"/>
    <w:rsid w:val="00DE428A"/>
    <w:rsid w:val="00E80D9E"/>
    <w:rsid w:val="10B10CB1"/>
    <w:rsid w:val="163150BC"/>
    <w:rsid w:val="1E5C7A64"/>
    <w:rsid w:val="29E533FB"/>
    <w:rsid w:val="3A992100"/>
    <w:rsid w:val="3BF27D19"/>
    <w:rsid w:val="40224945"/>
    <w:rsid w:val="57623B4D"/>
    <w:rsid w:val="5EEA0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3">
    <w:name w:val="Balloon Text"/>
    <w:basedOn w:val="1"/>
    <w:link w:val="16"/>
    <w:semiHidden/>
    <w:unhideWhenUsed/>
    <w:qFormat/>
    <w:uiPriority w:val="99"/>
    <w:pPr>
      <w:widowControl w:val="0"/>
      <w:autoSpaceDE w:val="0"/>
      <w:autoSpaceDN w:val="0"/>
      <w:adjustRightInd/>
      <w:snapToGrid/>
      <w:spacing w:after="0"/>
    </w:pPr>
    <w:rPr>
      <w:rFonts w:ascii="宋体" w:hAnsi="宋体" w:eastAsia="宋体" w:cs="宋体"/>
      <w:sz w:val="18"/>
      <w:szCs w:val="18"/>
      <w:lang w:val="zh-CN" w:bidi="zh-CN"/>
    </w:rPr>
  </w:style>
  <w:style w:type="paragraph" w:styleId="4">
    <w:name w:val="footer"/>
    <w:basedOn w:val="1"/>
    <w:link w:val="9"/>
    <w:semiHidden/>
    <w:unhideWhenUsed/>
    <w:qFormat/>
    <w:uiPriority w:val="99"/>
    <w:pPr>
      <w:tabs>
        <w:tab w:val="center" w:pos="4153"/>
        <w:tab w:val="right" w:pos="8306"/>
      </w:tabs>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8">
    <w:name w:val="页眉 Char"/>
    <w:basedOn w:val="7"/>
    <w:link w:val="5"/>
    <w:semiHidden/>
    <w:uiPriority w:val="99"/>
    <w:rPr>
      <w:rFonts w:ascii="Tahoma" w:hAnsi="Tahoma"/>
      <w:sz w:val="18"/>
      <w:szCs w:val="18"/>
    </w:rPr>
  </w:style>
  <w:style w:type="character" w:customStyle="1" w:styleId="9">
    <w:name w:val="页脚 Char"/>
    <w:basedOn w:val="7"/>
    <w:link w:val="4"/>
    <w:semiHidden/>
    <w:qFormat/>
    <w:uiPriority w:val="99"/>
    <w:rPr>
      <w:rFonts w:ascii="Tahoma" w:hAnsi="Tahoma"/>
      <w:sz w:val="18"/>
      <w:szCs w:val="18"/>
    </w:rPr>
  </w:style>
  <w:style w:type="table" w:customStyle="1" w:styleId="10">
    <w:name w:val="Table Normal"/>
    <w:semiHidden/>
    <w:unhideWhenUsed/>
    <w:qFormat/>
    <w:uiPriority w:val="2"/>
    <w:pPr>
      <w:widowControl w:val="0"/>
      <w:autoSpaceDE w:val="0"/>
      <w:autoSpaceDN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11">
    <w:name w:val="正文文本 Char"/>
    <w:basedOn w:val="7"/>
    <w:link w:val="2"/>
    <w:qFormat/>
    <w:uiPriority w:val="1"/>
    <w:rPr>
      <w:rFonts w:ascii="宋体" w:hAnsi="宋体" w:eastAsia="宋体" w:cs="宋体"/>
      <w:sz w:val="32"/>
      <w:szCs w:val="32"/>
      <w:lang w:val="zh-CN" w:bidi="zh-CN"/>
    </w:rPr>
  </w:style>
  <w:style w:type="paragraph" w:customStyle="1" w:styleId="12">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13">
    <w:name w:val="Heading 2"/>
    <w:basedOn w:val="1"/>
    <w:qFormat/>
    <w:uiPriority w:val="1"/>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bidi="zh-CN"/>
    </w:rPr>
  </w:style>
  <w:style w:type="paragraph" w:styleId="14">
    <w:name w:val="List Paragraph"/>
    <w:basedOn w:val="1"/>
    <w:qFormat/>
    <w:uiPriority w:val="1"/>
    <w:pPr>
      <w:widowControl w:val="0"/>
      <w:autoSpaceDE w:val="0"/>
      <w:autoSpaceDN w:val="0"/>
      <w:adjustRightInd/>
      <w:snapToGrid/>
      <w:spacing w:after="0"/>
      <w:ind w:left="2132" w:hanging="482"/>
    </w:pPr>
    <w:rPr>
      <w:rFonts w:ascii="宋体" w:hAnsi="宋体" w:eastAsia="宋体" w:cs="宋体"/>
      <w:lang w:val="zh-CN" w:bidi="zh-CN"/>
    </w:rPr>
  </w:style>
  <w:style w:type="paragraph" w:customStyle="1" w:styleId="15">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character" w:customStyle="1" w:styleId="16">
    <w:name w:val="批注框文本 Char"/>
    <w:basedOn w:val="7"/>
    <w:link w:val="3"/>
    <w:semiHidden/>
    <w:qFormat/>
    <w:uiPriority w:val="99"/>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3560</Words>
  <Characters>3682</Characters>
  <Lines>6</Lines>
  <Paragraphs>1</Paragraphs>
  <TotalTime>0</TotalTime>
  <ScaleCrop>false</ScaleCrop>
  <LinksUpToDate>false</LinksUpToDate>
  <CharactersWithSpaces>3711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22378</dc:creator>
  <cp:lastModifiedBy>13767981036手机用户</cp:lastModifiedBy>
  <dcterms:modified xsi:type="dcterms:W3CDTF">2023-05-30T07:33:28Z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6404834FB2074832A27F3B38F17E77F4_13</vt:lpwstr>
  </property>
</Properties>
</file>