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bookmarkStart w:id="8" w:name="_GoBack"/>
      <w:bookmarkEnd w:id="8"/>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12"/>
        <w:spacing w:before="237"/>
        <w:ind w:right="238"/>
        <w:rPr>
          <w:rFonts w:ascii="PMingLiU" w:eastAsia="PMingLiU"/>
        </w:rPr>
      </w:pPr>
      <w:r>
        <w:rPr>
          <w:rFonts w:hint="eastAsia" w:ascii="PMingLiU" w:eastAsia="PMingLiU"/>
        </w:rPr>
        <w:t>项目支出部门评价报告</w:t>
      </w:r>
    </w:p>
    <w:p>
      <w:pPr>
        <w:pStyle w:val="2"/>
        <w:spacing w:before="5"/>
        <w:rPr>
          <w:rFonts w:ascii="PMingLiU"/>
          <w:sz w:val="67"/>
        </w:rPr>
      </w:pPr>
    </w:p>
    <w:p>
      <w:pPr>
        <w:pStyle w:val="2"/>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xprkNYA&#10;AAAKAQAADwAAAAAAAAABACAAAAAiAAAAZHJzL2Rvd25yZXYueG1sUEsBAhQAFAAAAAgAh07iQDAs&#10;04voAQAA2wMAAA4AAAAAAAAAAQAgAAAAJQEAAGRycy9lMm9Eb2MueG1sUEsFBgAAAAAGAAYAWQEA&#10;AH8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ascii="Wingdings 2" w:hAnsi="Wingdings 2" w:eastAsia="Wingdings 2"/>
        </w:rPr>
        <w:t></w:t>
      </w:r>
      <w:r>
        <w:rPr>
          <w:rFonts w:hint="eastAsia" w:ascii="黑体" w:hAnsi="黑体" w:eastAsia="黑体"/>
        </w:rPr>
        <w:t>实施过程评价</w:t>
      </w:r>
      <w:r>
        <w:rPr>
          <w:rFonts w:hint="eastAsia" w:ascii="黑体" w:hAnsi="黑体" w:eastAsia="黑体"/>
        </w:rPr>
        <w:tab/>
      </w:r>
      <w:r>
        <w:rPr>
          <w:rFonts w:ascii="Wingdings 2" w:hAnsi="Wingdings 2" w:eastAsia="Wingdings 2"/>
        </w:rPr>
        <w:t></w:t>
      </w:r>
      <w:r>
        <w:rPr>
          <w:rFonts w:hint="eastAsia" w:ascii="黑体" w:hAnsi="黑体" w:eastAsia="黑体"/>
        </w:rPr>
        <w:t>完成结果评价</w:t>
      </w:r>
    </w:p>
    <w:p>
      <w:pPr>
        <w:pStyle w:val="2"/>
        <w:rPr>
          <w:rFonts w:ascii="黑体"/>
          <w:sz w:val="20"/>
        </w:rPr>
      </w:pPr>
    </w:p>
    <w:p>
      <w:pPr>
        <w:pStyle w:val="2"/>
        <w:rPr>
          <w:rFonts w:ascii="黑体"/>
          <w:sz w:val="20"/>
        </w:rPr>
      </w:pPr>
    </w:p>
    <w:p>
      <w:pPr>
        <w:pStyle w:val="2"/>
        <w:spacing w:before="7"/>
        <w:rPr>
          <w:rFonts w:ascii="黑体"/>
          <w:sz w:val="16"/>
        </w:rPr>
      </w:pPr>
    </w:p>
    <w:p>
      <w:pPr>
        <w:pStyle w:val="2"/>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2022年省妇女儿童专项资金</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ascii="Times New Roman" w:eastAsia="Times New Roman"/>
          <w:u w:val="single"/>
        </w:rPr>
        <w:t xml:space="preserve"> </w:t>
      </w:r>
      <w:r>
        <w:rPr>
          <w:rFonts w:hint="eastAsia" w:ascii="Times New Roman" w:hAnsi="宋体" w:eastAsia="Times New Roman" w:cs="宋体"/>
          <w:u w:val="single"/>
        </w:rPr>
        <w:t xml:space="preserve">南昌市青云谱区妇女联合会 </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3"/>
        </w:rPr>
      </w:pPr>
    </w:p>
    <w:p>
      <w:pPr>
        <w:pStyle w:val="2"/>
        <w:tabs>
          <w:tab w:val="left" w:pos="6876"/>
        </w:tabs>
        <w:spacing w:before="66"/>
        <w:ind w:right="118"/>
        <w:jc w:val="center"/>
        <w:rPr>
          <w:rFonts w:ascii="黑体" w:eastAsia="黑体"/>
        </w:rPr>
      </w:pPr>
      <w:r>
        <w:rPr>
          <w:rFonts w:hint="eastAsia" w:ascii="黑体" w:eastAsia="黑体"/>
        </w:rPr>
        <w:t>主管部门：</w:t>
      </w:r>
      <w:r>
        <w:rPr>
          <w:rFonts w:hint="eastAsia" w:ascii="Times New Roman" w:hAnsi="宋体" w:eastAsia="Times New Roman" w:cs="宋体"/>
          <w:u w:val="single"/>
        </w:rPr>
        <w:t xml:space="preserve">南昌市青云谱区妇女联合会 </w:t>
      </w:r>
      <w:r>
        <w:rPr>
          <w:rFonts w:hint="eastAsia" w:ascii="黑体" w:eastAsia="黑体"/>
          <w:u w:val="single"/>
        </w:rPr>
        <w:t xml:space="preserve"> </w:t>
      </w:r>
      <w:r>
        <w:rPr>
          <w:rFonts w:hint="eastAsia" w:ascii="黑体" w:eastAsia="黑体"/>
          <w:u w:val="single"/>
        </w:rPr>
        <w:tab/>
      </w:r>
      <w:r>
        <w:rPr>
          <w:rFonts w:hint="eastAsia" w:ascii="黑体" w:eastAsia="黑体"/>
          <w:u w:val="single"/>
        </w:rPr>
        <w:t>（盖章）</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FsKjX&#10;AAAACgEAAA8AAAAAAAAAAQAgAAAAIgAAAGRycy9kb3ducmV2LnhtbFBLAQIUABQAAAAIAIdO4kDr&#10;Nlon6AEAANsDAAAOAAAAAAAAAAEAIAAAACYBAABkcnMvZTJvRG9jLnhtbFBLBQYAAAAABgAGAFkB&#10;AACABQ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01</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ab/>
      </w:r>
      <w:r>
        <w:rPr>
          <w:rFonts w:hint="eastAsia" w:ascii="黑体" w:eastAsia="黑体"/>
        </w:rPr>
        <w:t>日</w:t>
      </w:r>
    </w:p>
    <w:p>
      <w:pPr>
        <w:pStyle w:val="2"/>
        <w:rPr>
          <w:rFonts w:ascii="黑体"/>
          <w:sz w:val="20"/>
        </w:rPr>
      </w:pPr>
    </w:p>
    <w:p>
      <w:pPr>
        <w:pStyle w:val="2"/>
        <w:rPr>
          <w:rFonts w:ascii="黑体"/>
          <w:sz w:val="20"/>
        </w:rPr>
      </w:pPr>
    </w:p>
    <w:p>
      <w:pPr>
        <w:pStyle w:val="2"/>
        <w:spacing w:before="4"/>
        <w:rPr>
          <w:rFonts w:ascii="黑体"/>
          <w:sz w:val="17"/>
        </w:rPr>
      </w:pPr>
    </w:p>
    <w:p>
      <w:pPr>
        <w:pStyle w:val="2"/>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oSR7W&#10;AAAACgEAAA8AAAAAAAAAAQAgAAAAIgAAAGRycy9kb3ducmV2LnhtbFBLAQIUABQAAAAIAIdO4kDX&#10;pZlO6QEAANsDAAAOAAAAAAAAAAEAIAAAACUBAABkcnMvZTJvRG9jLnhtbFBLBQYAAAAABgAGAFkB&#10;AACA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9"/>
        </w:rPr>
      </w:pPr>
    </w:p>
    <w:p>
      <w:pPr>
        <w:pStyle w:val="2"/>
        <w:tabs>
          <w:tab w:val="left" w:pos="959"/>
          <w:tab w:val="left" w:pos="1920"/>
        </w:tabs>
        <w:spacing w:before="56"/>
        <w:ind w:right="238"/>
        <w:jc w:val="center"/>
        <w:rPr>
          <w:rFonts w:ascii="黑体" w:eastAsia="黑体"/>
        </w:rPr>
      </w:pP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2"/>
        <w:rPr>
          <w:rFonts w:ascii="黑体"/>
          <w:sz w:val="20"/>
        </w:rPr>
      </w:pPr>
    </w:p>
    <w:p>
      <w:pPr>
        <w:pStyle w:val="2"/>
        <w:rPr>
          <w:rFonts w:ascii="黑体"/>
          <w:sz w:val="20"/>
        </w:rPr>
      </w:pPr>
    </w:p>
    <w:p>
      <w:pPr>
        <w:pStyle w:val="2"/>
        <w:spacing w:before="12"/>
        <w:rPr>
          <w:rFonts w:ascii="黑体"/>
          <w:sz w:val="14"/>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13"/>
        <w:keepNext w:val="0"/>
        <w:keepLines w:val="0"/>
        <w:pageBreakBefore w:val="0"/>
        <w:numPr>
          <w:ilvl w:val="0"/>
          <w:numId w:val="0"/>
        </w:numPr>
        <w:kinsoku/>
        <w:wordWrap/>
        <w:overflowPunct/>
        <w:topLinePunct w:val="0"/>
        <w:bidi w:val="0"/>
        <w:spacing w:after="0" w:line="580" w:lineRule="exact"/>
        <w:ind w:left="1989" w:leftChars="0" w:right="660" w:rightChars="300" w:hanging="615" w:firstLineChars="0"/>
        <w:jc w:val="left"/>
        <w:textAlignment w:val="auto"/>
        <w:rPr>
          <w:rFonts w:hint="eastAsia" w:asciiTheme="minorEastAsia" w:hAnsiTheme="minorEastAsia" w:eastAsiaTheme="minorEastAsia"/>
          <w:b/>
          <w:bCs/>
          <w:w w:val="95"/>
        </w:rPr>
      </w:pPr>
      <w:r>
        <w:rPr>
          <w:rFonts w:hint="eastAsia" w:ascii="汉仪青云简" w:hAnsi="汉仪青云简" w:eastAsia="汉仪青云简" w:cs="汉仪青云简"/>
          <w:b w:val="0"/>
          <w:sz w:val="48"/>
          <w:szCs w:val="48"/>
          <w:lang w:val="en-US" w:eastAsia="zh-CN"/>
        </w:rPr>
        <w:t>南昌市青云谱区妇女联合会2022年省妇女儿童专项资金经费项目绩效评价报告</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w w:val="95"/>
        </w:rPr>
      </w:pPr>
      <w:r>
        <w:rPr>
          <w:rFonts w:hint="eastAsia" w:asciiTheme="minorEastAsia" w:hAnsiTheme="minorEastAsia" w:eastAsiaTheme="minorEastAsia" w:cstheme="minorEastAsia"/>
          <w:b w:val="0"/>
          <w:sz w:val="32"/>
          <w:szCs w:val="32"/>
        </w:rPr>
        <w:t>为进一步规范财政资金管理，强化部门责任意识，切实提高财政资金使用效益。我</w:t>
      </w:r>
      <w:r>
        <w:rPr>
          <w:rFonts w:hint="eastAsia" w:asciiTheme="minorEastAsia" w:hAnsiTheme="minorEastAsia" w:eastAsiaTheme="minorEastAsia" w:cstheme="minorEastAsia"/>
          <w:b w:val="0"/>
          <w:sz w:val="32"/>
          <w:szCs w:val="32"/>
          <w:lang w:val="en-US" w:eastAsia="zh-CN"/>
        </w:rPr>
        <w:t>部门</w:t>
      </w:r>
      <w:r>
        <w:rPr>
          <w:rFonts w:hint="eastAsia" w:asciiTheme="minorEastAsia" w:hAnsiTheme="minorEastAsia" w:eastAsiaTheme="minorEastAsia" w:cstheme="minorEastAsia"/>
          <w:b w:val="0"/>
          <w:sz w:val="32"/>
          <w:szCs w:val="32"/>
        </w:rPr>
        <w:t>对202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度年</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专项资金开展了绩效评价工作。</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在专项资金方面做到了不滞留、不克扣、不挪用，切实做到了专款专用</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rPr>
        <w:t>确保了用款真实、合法、有效</w:t>
      </w:r>
      <w:r>
        <w:rPr>
          <w:rFonts w:hint="eastAsia" w:asciiTheme="minorEastAsia" w:hAnsiTheme="minorEastAsia" w:eastAsiaTheme="minorEastAsia" w:cstheme="minorEastAsia"/>
          <w:b w:val="0"/>
          <w:sz w:val="32"/>
          <w:szCs w:val="32"/>
          <w:lang w:eastAsia="zh-CN"/>
        </w:rPr>
        <w:t>。</w:t>
      </w:r>
    </w:p>
    <w:p>
      <w:pPr>
        <w:pStyle w:val="2"/>
        <w:spacing w:before="267"/>
        <w:ind w:left="1476"/>
        <w:rPr>
          <w:rFonts w:asciiTheme="minorEastAsia" w:hAnsiTheme="minorEastAsia" w:eastAsiaTheme="minorEastAsia"/>
          <w:b/>
          <w:bCs/>
        </w:rPr>
      </w:pPr>
      <w:r>
        <w:rPr>
          <w:rFonts w:hint="eastAsia" w:asciiTheme="minorEastAsia" w:hAnsiTheme="minorEastAsia" w:eastAsiaTheme="minorEastAsia"/>
          <w:b/>
          <w:bCs/>
          <w:w w:val="95"/>
        </w:rPr>
        <w:t>一、基本情况</w:t>
      </w:r>
    </w:p>
    <w:p>
      <w:pPr>
        <w:pStyle w:val="13"/>
        <w:spacing w:before="84" w:line="244" w:lineRule="auto"/>
        <w:ind w:left="836" w:right="502" w:firstLine="640"/>
        <w:rPr>
          <w:rFonts w:asciiTheme="minorEastAsia" w:hAnsiTheme="minorEastAsia" w:eastAsiaTheme="minorEastAsia"/>
          <w:b w:val="0"/>
        </w:rPr>
      </w:pPr>
      <w:bookmarkStart w:id="0" w:name="（一）项目概况。包括项目背景、主要内容及实施情况、资金投入和使用情况等。"/>
      <w:bookmarkEnd w:id="0"/>
      <w:r>
        <w:rPr>
          <w:rFonts w:asciiTheme="minorEastAsia" w:hAnsiTheme="minorEastAsia" w:eastAsiaTheme="minorEastAsia"/>
          <w:b w:val="0"/>
        </w:rPr>
        <w:t>（一）项目概况</w:t>
      </w:r>
    </w:p>
    <w:p>
      <w:pPr>
        <w:ind w:left="880" w:leftChars="400" w:firstLine="640" w:firstLineChars="200"/>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bCs/>
          <w:sz w:val="32"/>
          <w:szCs w:val="32"/>
          <w:lang w:val="zh-CN" w:eastAsia="zh-CN" w:bidi="zh-CN"/>
        </w:rPr>
        <w:t>项目背景：</w:t>
      </w:r>
      <w:r>
        <w:rPr>
          <w:rFonts w:hint="eastAsia" w:asciiTheme="minorEastAsia" w:hAnsiTheme="minorEastAsia" w:eastAsiaTheme="minorEastAsia" w:cstheme="minorEastAsia"/>
          <w:b w:val="0"/>
          <w:bCs/>
          <w:sz w:val="32"/>
          <w:szCs w:val="32"/>
          <w:lang w:val="en-US" w:eastAsia="zh-CN" w:bidi="zh-CN"/>
        </w:rPr>
        <w:t>党的十八大以来，以习近平总书记为核心的党中央将“坚持男女平等基本国策，保障妇女儿童合法权益”写入党的施政纲领，作为治国理政的重要内容。习近平总书记也多次强调，我们要“重视家庭建设，注重家庭、注重家教、注重家风”。一直以来，区妇联切实关注妇女儿童家庭三大群体，坚持以服务我区妇女儿童，维护社会稳定为己任。为不断推动妇联服务手臂更好地延伸到基层、延伸到妇女儿童家庭中去，区妇联从实际出发，从服务入手，以民生需求为导向。</w:t>
      </w:r>
    </w:p>
    <w:p>
      <w:pPr>
        <w:ind w:left="880" w:leftChars="400" w:firstLine="640" w:firstLineChars="200"/>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bCs/>
          <w:sz w:val="32"/>
          <w:szCs w:val="32"/>
          <w:lang w:val="zh-CN" w:eastAsia="zh-CN" w:bidi="zh-CN"/>
        </w:rPr>
        <w:t>主要内容：</w:t>
      </w:r>
      <w:r>
        <w:rPr>
          <w:rFonts w:hint="eastAsia" w:asciiTheme="minorEastAsia" w:hAnsiTheme="minorEastAsia" w:eastAsiaTheme="minorEastAsia" w:cstheme="minorEastAsia"/>
          <w:b w:val="0"/>
          <w:bCs/>
          <w:sz w:val="32"/>
          <w:szCs w:val="32"/>
          <w:lang w:val="en-US" w:eastAsia="zh-CN" w:bidi="zh-CN"/>
        </w:rPr>
        <w:t>建立重点家庭关注摸排机制，组织各级妇联干部实地走访排查本区域的妇女及家庭，摸清底数，建好台账。组织各级妇联干部深入学校、社区开展“亲情连线”留守老人儿童关爱活动、“青云志·我成长”夏令营活动、99公益日“春蕾计划”募捐活动等，为辖区困难妇女留守儿童带去实际帮助，充实其精神生活。</w:t>
      </w:r>
    </w:p>
    <w:p>
      <w:pPr>
        <w:pStyle w:val="13"/>
        <w:keepNext w:val="0"/>
        <w:keepLines w:val="0"/>
        <w:pageBreakBefore w:val="0"/>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3.资金投入和使用情况</w:t>
      </w:r>
    </w:p>
    <w:p>
      <w:pPr>
        <w:pStyle w:val="13"/>
        <w:spacing w:before="84" w:line="244" w:lineRule="auto"/>
        <w:ind w:left="836" w:right="502" w:firstLine="640"/>
        <w:rPr>
          <w:rFonts w:asciiTheme="minorEastAsia" w:hAnsiTheme="minorEastAsia" w:eastAsiaTheme="minorEastAsia"/>
          <w:b w:val="0"/>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11</w:t>
      </w:r>
      <w:r>
        <w:rPr>
          <w:rFonts w:hint="eastAsia" w:asciiTheme="minorEastAsia" w:hAnsiTheme="minorEastAsia" w:eastAsiaTheme="minorEastAsia" w:cstheme="minorEastAsia"/>
          <w:b w:val="0"/>
          <w:sz w:val="32"/>
          <w:szCs w:val="32"/>
        </w:rPr>
        <w:t>万元，实际到位资金</w:t>
      </w:r>
      <w:r>
        <w:rPr>
          <w:rFonts w:hint="eastAsia" w:asciiTheme="minorEastAsia" w:hAnsiTheme="minorEastAsia" w:eastAsiaTheme="minorEastAsia" w:cstheme="minorEastAsia"/>
          <w:b w:val="0"/>
          <w:sz w:val="32"/>
          <w:szCs w:val="32"/>
          <w:lang w:val="en-US" w:eastAsia="zh-CN"/>
        </w:rPr>
        <w:t>11</w:t>
      </w:r>
      <w:r>
        <w:rPr>
          <w:rFonts w:hint="eastAsia" w:asciiTheme="minorEastAsia" w:hAnsiTheme="minorEastAsia" w:eastAsiaTheme="minorEastAsia" w:cstheme="minorEastAsia"/>
          <w:b w:val="0"/>
          <w:sz w:val="32"/>
          <w:szCs w:val="32"/>
        </w:rPr>
        <w:t>万元。本年度实际支出</w:t>
      </w:r>
      <w:r>
        <w:rPr>
          <w:rFonts w:hint="eastAsia" w:asciiTheme="minorEastAsia" w:hAnsiTheme="minorEastAsia" w:eastAsiaTheme="minorEastAsia" w:cstheme="minorEastAsia"/>
          <w:b w:val="0"/>
          <w:sz w:val="32"/>
          <w:szCs w:val="32"/>
          <w:lang w:val="en-US" w:eastAsia="zh-CN"/>
        </w:rPr>
        <w:t>6.24</w:t>
      </w:r>
      <w:r>
        <w:rPr>
          <w:rFonts w:hint="eastAsia" w:asciiTheme="minorEastAsia" w:hAnsiTheme="minorEastAsia" w:eastAsiaTheme="minorEastAsia" w:cstheme="minorEastAsia"/>
          <w:b w:val="0"/>
          <w:sz w:val="32"/>
          <w:szCs w:val="32"/>
        </w:rPr>
        <w:t>万元，预算资金执行率</w:t>
      </w:r>
      <w:r>
        <w:rPr>
          <w:rFonts w:hint="eastAsia" w:asciiTheme="minorEastAsia" w:hAnsiTheme="minorEastAsia" w:eastAsiaTheme="minorEastAsia" w:cstheme="minorEastAsia"/>
          <w:b w:val="0"/>
          <w:sz w:val="32"/>
          <w:szCs w:val="32"/>
          <w:lang w:val="en-US" w:eastAsia="zh-CN"/>
        </w:rPr>
        <w:t>56.73</w:t>
      </w:r>
      <w:r>
        <w:rPr>
          <w:rFonts w:hint="eastAsia" w:asciiTheme="minorEastAsia" w:hAnsiTheme="minorEastAsia" w:eastAsiaTheme="minorEastAsia" w:cstheme="minorEastAsia"/>
          <w:b w:val="0"/>
          <w:sz w:val="32"/>
          <w:szCs w:val="32"/>
        </w:rPr>
        <w:t>%。</w:t>
      </w:r>
    </w:p>
    <w:p>
      <w:pPr>
        <w:numPr>
          <w:ilvl w:val="0"/>
          <w:numId w:val="1"/>
        </w:numPr>
        <w:spacing w:line="588" w:lineRule="exact"/>
        <w:ind w:left="1476"/>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项目绩效目标</w:t>
      </w:r>
    </w:p>
    <w:p>
      <w:pPr>
        <w:ind w:left="880" w:leftChars="400" w:firstLine="640" w:firstLineChars="200"/>
        <w:rPr>
          <w:rFonts w:hint="eastAsia" w:asciiTheme="minorEastAsia" w:hAnsiTheme="minorEastAsia" w:eastAsiaTheme="minorEastAsia" w:cstheme="minorEastAsia"/>
          <w:b w:val="0"/>
          <w:bCs/>
          <w:sz w:val="32"/>
          <w:szCs w:val="32"/>
          <w:lang w:val="en-US" w:eastAsia="zh-CN" w:bidi="zh-CN"/>
        </w:rPr>
      </w:pPr>
      <w:r>
        <w:rPr>
          <w:rFonts w:hint="eastAsia" w:asciiTheme="minorEastAsia" w:hAnsiTheme="minorEastAsia" w:eastAsiaTheme="minorEastAsia" w:cstheme="minorEastAsia"/>
          <w:b w:val="0"/>
          <w:bCs/>
          <w:sz w:val="32"/>
          <w:szCs w:val="32"/>
          <w:lang w:val="en-US" w:eastAsia="zh-CN" w:bidi="zh-CN"/>
        </w:rPr>
        <w:t>加强与公安、司法等部门的联系，与区法院、检察院、司法局联合，建立“妇联+法院+检察院+司法局”妇女儿童权益保护工作机制。联合政法委成立“婚姻家庭纠纷调处工作站”，依托律师、心理咨询师、社工师以及巾帼志愿者等专业力量和社会力量，参与婚姻家庭矛盾纠纷调处工作。</w:t>
      </w:r>
    </w:p>
    <w:p>
      <w:pPr>
        <w:ind w:left="880" w:leftChars="400" w:firstLine="640" w:firstLineChars="200"/>
        <w:rPr>
          <w:rFonts w:hint="eastAsia" w:asciiTheme="minorEastAsia" w:hAnsiTheme="minorEastAsia" w:eastAsiaTheme="minorEastAsia" w:cstheme="minorEastAsia"/>
          <w:b w:val="0"/>
          <w:bCs/>
          <w:sz w:val="32"/>
          <w:szCs w:val="32"/>
          <w:lang w:val="en-US" w:eastAsia="zh-CN" w:bidi="zh-CN"/>
        </w:rPr>
      </w:pPr>
      <w:r>
        <w:rPr>
          <w:rFonts w:hint="eastAsia" w:asciiTheme="minorEastAsia" w:hAnsiTheme="minorEastAsia" w:eastAsiaTheme="minorEastAsia" w:cstheme="minorEastAsia"/>
          <w:b w:val="0"/>
          <w:bCs/>
          <w:sz w:val="32"/>
          <w:szCs w:val="32"/>
          <w:lang w:val="en-US" w:eastAsia="zh-CN" w:bidi="zh-CN"/>
        </w:rPr>
        <w:t>二、绩效评价工作开展情况</w:t>
      </w:r>
    </w:p>
    <w:p>
      <w:pPr>
        <w:pStyle w:val="13"/>
        <w:spacing w:before="85"/>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lang w:eastAsia="zh-CN"/>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年我区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专项资金绩效评价目的是为进一步加强财政支出管理，强化支出责任，建立科学、合理的</w:t>
      </w:r>
      <w:r>
        <w:rPr>
          <w:rFonts w:hint="eastAsia" w:asciiTheme="minorEastAsia" w:hAnsiTheme="minorEastAsia" w:eastAsiaTheme="minorEastAsia" w:cstheme="minorEastAsia"/>
          <w:b w:val="0"/>
          <w:sz w:val="32"/>
          <w:szCs w:val="32"/>
          <w:lang w:val="en-US" w:eastAsia="zh-CN"/>
        </w:rPr>
        <w:t>使用</w:t>
      </w:r>
      <w:r>
        <w:rPr>
          <w:rFonts w:hint="eastAsia" w:asciiTheme="minorEastAsia" w:hAnsiTheme="minorEastAsia" w:eastAsiaTheme="minorEastAsia" w:cstheme="minorEastAsia"/>
          <w:b w:val="0"/>
          <w:sz w:val="32"/>
          <w:szCs w:val="32"/>
        </w:rPr>
        <w:t>专项资金绩效评价管理体系，促进公共财政阳光化，提高财政资金使用效益</w:t>
      </w:r>
      <w:r>
        <w:rPr>
          <w:rFonts w:hint="eastAsia" w:asciiTheme="minorEastAsia" w:hAnsiTheme="minorEastAsia" w:eastAsiaTheme="minorEastAsia" w:cstheme="minorEastAsia"/>
          <w:b w:val="0"/>
          <w:sz w:val="32"/>
          <w:szCs w:val="32"/>
          <w:lang w:eastAsia="zh-CN"/>
        </w:rPr>
        <w:t>。</w:t>
      </w:r>
    </w:p>
    <w:p>
      <w:pPr>
        <w:spacing w:before="11" w:line="244" w:lineRule="auto"/>
        <w:ind w:left="836" w:right="502" w:firstLine="640"/>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sz w:val="32"/>
        </w:rPr>
        <w:t>（二）绩效评价原则、评价指标体系（附表说明）、评价方法、评价标准等。</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绩效评价原则:科学规范原则，公正公开原则，分级分类原则，绩效相关原则。</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指标体系：根据财政部《预算绩效评价共性指标体系框架》等文件精神及本项目的具体特点，设置了合理可行的评价体系，包括投入指标、过程指标、产出数量与质量指标、社会效益与可持续影响指标等。</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评价方法：本项目绩效评价主要采用数据对比，同时辅以抽样调查、座谈研讨、专家评估等方式。</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b w:val="0"/>
          <w:sz w:val="32"/>
          <w:szCs w:val="32"/>
        </w:rPr>
        <w:t>评价标准：绩效评价标准通常包括计划标准、行业标准、历史标准等，用于对绩效指标完成情况进行比较。</w:t>
      </w:r>
    </w:p>
    <w:p>
      <w:pPr>
        <w:numPr>
          <w:ilvl w:val="0"/>
          <w:numId w:val="0"/>
        </w:numPr>
        <w:spacing w:line="588" w:lineRule="exact"/>
        <w:ind w:left="1476" w:leftChars="0"/>
        <w:rPr>
          <w:rFonts w:hint="eastAsia" w:asciiTheme="minorEastAsia" w:hAnsiTheme="minorEastAsia" w:eastAsiaTheme="minorEastAsia"/>
          <w:sz w:val="32"/>
        </w:rPr>
      </w:pPr>
      <w:r>
        <w:rPr>
          <w:rFonts w:hint="eastAsia" w:asciiTheme="minorEastAsia" w:hAnsiTheme="minorEastAsia" w:eastAsiaTheme="minorEastAsia"/>
          <w:sz w:val="32"/>
          <w:lang w:eastAsia="zh-CN"/>
        </w:rPr>
        <w:t>（</w:t>
      </w:r>
      <w:r>
        <w:rPr>
          <w:rFonts w:hint="eastAsia" w:asciiTheme="minorEastAsia" w:hAnsiTheme="minorEastAsia" w:eastAsiaTheme="minorEastAsia"/>
          <w:sz w:val="32"/>
          <w:lang w:val="en-US" w:eastAsia="zh-CN"/>
        </w:rPr>
        <w:t>三</w:t>
      </w:r>
      <w:r>
        <w:rPr>
          <w:rFonts w:hint="eastAsia" w:asciiTheme="minorEastAsia" w:hAnsiTheme="minorEastAsia" w:eastAsiaTheme="minorEastAsia"/>
          <w:sz w:val="32"/>
          <w:lang w:eastAsia="zh-CN"/>
        </w:rPr>
        <w:t>）</w:t>
      </w:r>
      <w:r>
        <w:rPr>
          <w:rFonts w:hint="eastAsia" w:asciiTheme="minorEastAsia" w:hAnsiTheme="minorEastAsia" w:eastAsiaTheme="minorEastAsia"/>
          <w:sz w:val="32"/>
        </w:rPr>
        <w:t>绩效评价工作过程。</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asciiTheme="minorEastAsia" w:hAnsiTheme="minorEastAsia" w:eastAsiaTheme="minorEastAsia"/>
          <w:sz w:val="32"/>
        </w:rPr>
      </w:pPr>
      <w:r>
        <w:rPr>
          <w:rFonts w:hint="eastAsia" w:asciiTheme="minorEastAsia" w:hAnsiTheme="minorEastAsia" w:eastAsiaTheme="minorEastAsia" w:cstheme="minorEastAsia"/>
          <w:b w:val="0"/>
          <w:sz w:val="32"/>
          <w:szCs w:val="32"/>
        </w:rPr>
        <w:t>南昌市青云谱区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b w:val="0"/>
          <w:sz w:val="32"/>
          <w:szCs w:val="32"/>
        </w:rPr>
        <w:t>通过</w:t>
      </w:r>
      <w:r>
        <w:rPr>
          <w:rFonts w:hint="eastAsia" w:asciiTheme="minorEastAsia" w:hAnsiTheme="minorEastAsia" w:eastAsiaTheme="minorEastAsia" w:cstheme="minorEastAsia"/>
          <w:sz w:val="32"/>
          <w:szCs w:val="32"/>
        </w:rPr>
        <w:t>制定了青云谱区</w:t>
      </w:r>
      <w:r>
        <w:rPr>
          <w:rFonts w:hint="eastAsia" w:asciiTheme="minorEastAsia" w:hAnsiTheme="minorEastAsia" w:eastAsiaTheme="minorEastAsia" w:cstheme="minorEastAsia"/>
          <w:b w:val="0"/>
          <w:sz w:val="32"/>
          <w:szCs w:val="32"/>
          <w:lang w:val="en-US" w:eastAsia="zh-CN"/>
        </w:rPr>
        <w:t>妇联</w:t>
      </w:r>
      <w:r>
        <w:rPr>
          <w:rFonts w:hint="eastAsia" w:asciiTheme="minorEastAsia" w:hAnsiTheme="minorEastAsia" w:eastAsiaTheme="minorEastAsia" w:cstheme="minorEastAsia"/>
          <w:sz w:val="32"/>
          <w:szCs w:val="32"/>
        </w:rPr>
        <w:t>项目绩效评价资金管理办法，</w:t>
      </w:r>
      <w:r>
        <w:rPr>
          <w:rFonts w:hint="eastAsia" w:asciiTheme="minorEastAsia" w:hAnsiTheme="minorEastAsia" w:eastAsiaTheme="minorEastAsia" w:cstheme="minorEastAsia"/>
          <w:sz w:val="32"/>
          <w:szCs w:val="32"/>
          <w:lang w:val="en-US" w:eastAsia="zh-CN"/>
        </w:rPr>
        <w:t>在规定时间内</w:t>
      </w:r>
      <w:r>
        <w:rPr>
          <w:rFonts w:hint="eastAsia" w:asciiTheme="minorEastAsia" w:hAnsiTheme="minorEastAsia" w:eastAsiaTheme="minorEastAsia" w:cstheme="minorEastAsia"/>
          <w:sz w:val="32"/>
          <w:szCs w:val="32"/>
        </w:rPr>
        <w:t>完成数据填报、收集和汇总工作。根据前期开展的基础工作，我会通过询问查证、问卷调查等方式，对项目绩效进行了自评价。</w:t>
      </w:r>
    </w:p>
    <w:p>
      <w:pPr>
        <w:numPr>
          <w:ilvl w:val="0"/>
          <w:numId w:val="2"/>
        </w:numPr>
        <w:spacing w:before="12" w:line="288" w:lineRule="auto"/>
        <w:ind w:left="1476" w:right="2660" w:firstLine="16"/>
        <w:rPr>
          <w:rFonts w:hint="eastAsia" w:asciiTheme="minorEastAsia" w:hAnsiTheme="minorEastAsia" w:eastAsiaTheme="minorEastAsia"/>
          <w:b/>
          <w:bCs/>
          <w:sz w:val="32"/>
        </w:rPr>
      </w:pPr>
      <w:r>
        <w:rPr>
          <w:rFonts w:hint="eastAsia" w:asciiTheme="minorEastAsia" w:hAnsiTheme="minorEastAsia" w:eastAsiaTheme="minorEastAsia"/>
          <w:b/>
          <w:bCs/>
          <w:spacing w:val="7"/>
          <w:sz w:val="32"/>
        </w:rPr>
        <w:t>综合评价情况及评价结论</w:t>
      </w:r>
      <w:r>
        <w:rPr>
          <w:rFonts w:hint="eastAsia" w:asciiTheme="minorEastAsia" w:hAnsiTheme="minorEastAsia" w:eastAsiaTheme="minorEastAsia"/>
          <w:b/>
          <w:bCs/>
          <w:sz w:val="32"/>
        </w:rPr>
        <w:t xml:space="preserve">（附相关评分表） </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绩效评价情况：经过严格细致的自评工作，该项目的自评分为</w:t>
      </w:r>
      <w:r>
        <w:rPr>
          <w:rFonts w:hint="eastAsia" w:asciiTheme="minorEastAsia" w:hAnsiTheme="minorEastAsia" w:eastAsiaTheme="minorEastAsia" w:cstheme="minorEastAsia"/>
          <w:b w:val="0"/>
          <w:sz w:val="32"/>
          <w:szCs w:val="32"/>
          <w:lang w:val="en-US" w:eastAsia="zh-CN"/>
        </w:rPr>
        <w:t>90</w:t>
      </w:r>
      <w:r>
        <w:rPr>
          <w:rFonts w:hint="eastAsia" w:asciiTheme="minorEastAsia" w:hAnsiTheme="minorEastAsia" w:eastAsiaTheme="minorEastAsia" w:cstheme="minorEastAsia"/>
          <w:b w:val="0"/>
          <w:sz w:val="32"/>
          <w:szCs w:val="32"/>
        </w:rPr>
        <w:t>分。绩效评级为“</w:t>
      </w:r>
      <w:r>
        <w:rPr>
          <w:rFonts w:hint="eastAsia" w:asciiTheme="minorEastAsia" w:hAnsiTheme="minorEastAsia" w:eastAsiaTheme="minorEastAsia" w:cstheme="minorEastAsia"/>
          <w:b w:val="0"/>
          <w:sz w:val="32"/>
          <w:szCs w:val="32"/>
          <w:lang w:val="en-US" w:eastAsia="zh-CN"/>
        </w:rPr>
        <w:t>优</w:t>
      </w:r>
      <w:r>
        <w:rPr>
          <w:rFonts w:hint="eastAsia" w:asciiTheme="minorEastAsia" w:hAnsiTheme="minorEastAsia" w:eastAsiaTheme="minorEastAsia" w:cstheme="minorEastAsia"/>
          <w:b w:val="0"/>
          <w:sz w:val="32"/>
          <w:szCs w:val="32"/>
        </w:rPr>
        <w:t>”。</w:t>
      </w:r>
    </w:p>
    <w:p>
      <w:pPr>
        <w:pStyle w:val="13"/>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sz w:val="32"/>
        </w:rPr>
      </w:pPr>
      <w:r>
        <w:rPr>
          <w:rFonts w:hint="eastAsia" w:asciiTheme="minorEastAsia" w:hAnsiTheme="minorEastAsia" w:eastAsiaTheme="minorEastAsia" w:cstheme="minorEastAsia"/>
          <w:b w:val="0"/>
          <w:sz w:val="32"/>
          <w:szCs w:val="32"/>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numPr>
          <w:ilvl w:val="0"/>
          <w:numId w:val="0"/>
        </w:numPr>
        <w:spacing w:before="12" w:line="288" w:lineRule="auto"/>
        <w:ind w:left="1492" w:leftChars="0" w:right="2660" w:rightChars="0"/>
        <w:rPr>
          <w:rFonts w:asciiTheme="minorEastAsia" w:hAnsiTheme="minorEastAsia" w:eastAsiaTheme="minorEastAsia"/>
          <w:b/>
          <w:bCs/>
          <w:sz w:val="32"/>
        </w:rPr>
      </w:pPr>
      <w:r>
        <w:rPr>
          <w:rFonts w:hint="eastAsia" w:asciiTheme="minorEastAsia" w:hAnsiTheme="minorEastAsia" w:eastAsiaTheme="minorEastAsia"/>
          <w:b/>
          <w:bCs/>
          <w:sz w:val="32"/>
        </w:rPr>
        <w:t>四、绩效评价指标分析</w:t>
      </w:r>
    </w:p>
    <w:p>
      <w:pPr>
        <w:pStyle w:val="13"/>
        <w:spacing w:before="2"/>
        <w:rPr>
          <w:rFonts w:asciiTheme="minorEastAsia" w:hAnsiTheme="minorEastAsia" w:eastAsiaTheme="minorEastAsia"/>
          <w:b w:val="0"/>
        </w:rPr>
      </w:pPr>
      <w:bookmarkStart w:id="4" w:name="（一）项目决策情况。"/>
      <w:bookmarkEnd w:id="4"/>
      <w:r>
        <w:rPr>
          <w:rFonts w:asciiTheme="minorEastAsia" w:hAnsiTheme="minorEastAsia" w:eastAsiaTheme="minorEastAsia"/>
          <w:b w:val="0"/>
        </w:rPr>
        <w:t>（一）项目决策情况。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按规定程序申请设立；所提交的材料符合专项资金管理暂行办法；经过集体决策；实施符合国家、区委区政府相关法律法规；为促进本单位事业发展所必需。在规定时间内完成向区财政局申请专项资金事宜，及时到位资金，在五个工作日之内完成。</w:t>
      </w:r>
    </w:p>
    <w:p>
      <w:pPr>
        <w:numPr>
          <w:ilvl w:val="0"/>
          <w:numId w:val="3"/>
        </w:numPr>
        <w:spacing w:before="11"/>
        <w:ind w:left="1540" w:leftChars="0" w:firstLineChars="0"/>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制定了项目实施单位的业务管理制度,制定的业务管理制度合法、合规制定具有相应的项目质量要求或标准，每年有二次或二次以上自查或外部检查。</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制定了相应的项目资金管理办法,该项目资金管理办法符合相关财务会计制度规定。</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制定了相应的监控机制每年有二次或二次以上自查或外部检查。</w:t>
      </w:r>
    </w:p>
    <w:p>
      <w:pPr>
        <w:numPr>
          <w:ilvl w:val="0"/>
          <w:numId w:val="3"/>
        </w:numPr>
        <w:spacing w:before="12"/>
        <w:ind w:left="1540" w:leftChars="0" w:firstLine="0" w:firstLineChars="0"/>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rPr>
        <w:t>项目产出情况。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bookmarkStart w:id="7" w:name="（四）项目效益情况。"/>
      <w:bookmarkEnd w:id="7"/>
      <w:r>
        <w:rPr>
          <w:rFonts w:hint="eastAsia" w:asciiTheme="minorEastAsia" w:hAnsiTheme="minorEastAsia" w:eastAsiaTheme="minorEastAsia" w:cstheme="minorEastAsia"/>
          <w:sz w:val="32"/>
          <w:szCs w:val="32"/>
        </w:rPr>
        <w:t>1.产出数量指标得分情况逐个分析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产出数量指标</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2.产出质量指标得分情况逐个分析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产出质量指标得1</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分，自评得1</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3.产出时效指标得分情况逐个分析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完成及时率100%得</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4.产出成本指标得分情况逐个分析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rPr>
        <w:t>产出成本指标100%得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w:t>
      </w:r>
    </w:p>
    <w:p>
      <w:pPr>
        <w:numPr>
          <w:ilvl w:val="0"/>
          <w:numId w:val="3"/>
        </w:numPr>
        <w:spacing w:before="11"/>
        <w:ind w:left="1540" w:leftChars="0" w:firstLine="0" w:firstLineChars="0"/>
        <w:rPr>
          <w:rFonts w:hint="eastAsia" w:asciiTheme="minorEastAsia" w:hAnsiTheme="minorEastAsia" w:eastAsiaTheme="minorEastAsia"/>
          <w:sz w:val="32"/>
        </w:rPr>
      </w:pPr>
      <w:r>
        <w:rPr>
          <w:rFonts w:hint="eastAsia" w:asciiTheme="minorEastAsia" w:hAnsiTheme="minorEastAsia" w:eastAsiaTheme="minorEastAsia"/>
          <w:sz w:val="32"/>
        </w:rPr>
        <w:t>项目效益情况。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经济</w:t>
      </w:r>
      <w:r>
        <w:rPr>
          <w:rFonts w:hint="eastAsia" w:asciiTheme="minorEastAsia" w:hAnsiTheme="minorEastAsia" w:eastAsiaTheme="minorEastAsia" w:cstheme="minorEastAsia"/>
          <w:sz w:val="32"/>
          <w:szCs w:val="32"/>
        </w:rPr>
        <w:t>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经济</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.社会效益指标得分情况逐个分析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社会效益指标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生态</w:t>
      </w:r>
      <w:r>
        <w:rPr>
          <w:rFonts w:hint="eastAsia" w:asciiTheme="minorEastAsia" w:hAnsiTheme="minorEastAsia" w:eastAsiaTheme="minorEastAsia" w:cstheme="minorEastAsia"/>
          <w:sz w:val="32"/>
          <w:szCs w:val="32"/>
        </w:rPr>
        <w:t>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生态</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效益指标得分情况逐个分析</w:t>
      </w:r>
    </w:p>
    <w:p>
      <w:pPr>
        <w:spacing w:before="11"/>
        <w:ind w:left="1476"/>
        <w:rPr>
          <w:rFonts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分。</w:t>
      </w:r>
    </w:p>
    <w:p>
      <w:pPr>
        <w:pStyle w:val="2"/>
        <w:spacing w:before="118" w:line="350" w:lineRule="auto"/>
        <w:ind w:left="1476" w:right="3109"/>
        <w:rPr>
          <w:rFonts w:hint="eastAsia" w:asciiTheme="minorEastAsia" w:hAnsiTheme="minorEastAsia" w:eastAsiaTheme="minorEastAsia"/>
          <w:b/>
          <w:bCs/>
        </w:rPr>
      </w:pPr>
      <w:r>
        <w:rPr>
          <w:rFonts w:hint="eastAsia" w:asciiTheme="minorEastAsia" w:hAnsiTheme="minorEastAsia" w:eastAsiaTheme="minorEastAsia"/>
          <w:b/>
          <w:bCs/>
        </w:rPr>
        <w:t>五、主要经验及做法、存在的问题及原因分析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1、结合单位实际和业务特点，强化预算管理，事前做好预算，控制经费使用， 做到开支合理，手续齐全，保障工作顺利完成；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rPr>
      </w:pPr>
      <w:r>
        <w:rPr>
          <w:rFonts w:hint="eastAsia" w:asciiTheme="minorEastAsia" w:hAnsiTheme="minorEastAsia" w:eastAsiaTheme="minorEastAsia" w:cstheme="minorEastAsia"/>
          <w:sz w:val="32"/>
          <w:szCs w:val="32"/>
        </w:rPr>
        <w:t>2、严格按照财政部门资金管理办法管理，加强资金的使用和监督，厉行节约、注重实效，提高资金使用效益；</w:t>
      </w:r>
    </w:p>
    <w:p>
      <w:pPr>
        <w:pStyle w:val="2"/>
        <w:spacing w:before="118" w:line="350" w:lineRule="auto"/>
        <w:ind w:left="1476" w:right="3109"/>
        <w:rPr>
          <w:rFonts w:asciiTheme="minorEastAsia" w:hAnsiTheme="minorEastAsia" w:eastAsiaTheme="minorEastAsia"/>
          <w:b/>
          <w:bCs/>
        </w:rPr>
      </w:pPr>
      <w:r>
        <w:rPr>
          <w:rFonts w:hint="eastAsia" w:asciiTheme="minorEastAsia" w:hAnsiTheme="minorEastAsia" w:eastAsiaTheme="minorEastAsia"/>
          <w:b/>
          <w:bCs/>
        </w:rPr>
        <w:t>六、有关建议</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1.加强项目顶算管理，提高预算资金执行率。首先按项目实际需求认真编专项资金预算，并在资金支出过程中做到按预算执行，提高预算执行严肃性;其次，发现预算执行偏离要及时预算调整。</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制订健全项目资金专项管理制度。建立专项资金备查帐，严格按照项目资金的用范围和要求使用资金，严格项目资金使用程序和审批手续，切实加</w:t>
      </w:r>
      <w:r>
        <w:rPr>
          <w:rFonts w:hint="eastAsia" w:asciiTheme="minorEastAsia" w:hAnsiTheme="minorEastAsia" w:eastAsiaTheme="minorEastAsia" w:cstheme="minorEastAsia"/>
          <w:sz w:val="32"/>
          <w:szCs w:val="32"/>
          <w:lang w:val="en-US" w:eastAsia="zh-CN"/>
        </w:rPr>
        <w:t>强</w:t>
      </w:r>
      <w:r>
        <w:rPr>
          <w:rFonts w:hint="eastAsia" w:asciiTheme="minorEastAsia" w:hAnsiTheme="minorEastAsia" w:eastAsiaTheme="minorEastAsia" w:cstheme="minorEastAsia"/>
          <w:sz w:val="32"/>
          <w:szCs w:val="32"/>
        </w:rPr>
        <w:t>对专项资金的管理。</w:t>
      </w:r>
    </w:p>
    <w:p>
      <w:pPr>
        <w:pStyle w:val="2"/>
        <w:spacing w:before="2"/>
        <w:ind w:left="1476"/>
        <w:rPr>
          <w:rFonts w:asciiTheme="minorEastAsia" w:hAnsiTheme="minorEastAsia" w:eastAsiaTheme="minorEastAsia"/>
          <w:b/>
          <w:bCs/>
        </w:rPr>
      </w:pPr>
      <w:r>
        <w:rPr>
          <w:rFonts w:hint="eastAsia" w:asciiTheme="minorEastAsia" w:hAnsiTheme="minorEastAsia" w:eastAsiaTheme="minorEastAsia"/>
          <w:b/>
          <w:bCs/>
        </w:rPr>
        <w:t>七、其他需要说明的问题</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sectPr>
          <w:footerReference r:id="rId6" w:type="default"/>
          <w:pgSz w:w="11910" w:h="16840"/>
          <w:pgMar w:top="1480" w:right="340" w:bottom="1220" w:left="580" w:header="0" w:footer="1034" w:gutter="0"/>
          <w:pgNumType w:start="19"/>
          <w:cols w:space="720" w:num="1"/>
        </w:sectPr>
      </w:pPr>
    </w:p>
    <w:p>
      <w:pPr>
        <w:pStyle w:val="12"/>
        <w:spacing w:before="39"/>
        <w:ind w:left="1244"/>
      </w:pPr>
      <w:r>
        <w:rPr>
          <w:b w:val="0"/>
          <w:bCs/>
          <w:color w:val="000000" w:themeColor="text1"/>
          <w14:textFill>
            <w14:solidFill>
              <w14:schemeClr w14:val="tx1"/>
            </w14:solidFill>
          </w14:textFill>
        </w:rPr>
        <w:t>项目支出</w:t>
      </w:r>
      <w:r>
        <w:t>绩效评分表</w:t>
      </w:r>
    </w:p>
    <w:p>
      <w:pPr>
        <w:pStyle w:val="2"/>
        <w:spacing w:before="8"/>
        <w:rPr>
          <w:sz w:val="16"/>
        </w:rPr>
      </w:pPr>
    </w:p>
    <w:tbl>
      <w:tblPr>
        <w:tblStyle w:val="10"/>
        <w:tblW w:w="10422"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5"/>
              <w:spacing w:before="20"/>
              <w:ind w:left="359"/>
              <w:rPr>
                <w:rFonts w:ascii="黑体" w:eastAsia="黑体"/>
                <w:sz w:val="21"/>
                <w:lang w:eastAsia="en-US"/>
              </w:rPr>
            </w:pPr>
            <w:r>
              <w:rPr>
                <w:rFonts w:hint="eastAsia" w:ascii="黑体" w:eastAsia="黑体"/>
                <w:spacing w:val="-1"/>
                <w:w w:val="95"/>
                <w:sz w:val="21"/>
                <w:lang w:eastAsia="en-US"/>
              </w:rPr>
              <w:t>一级</w:t>
            </w:r>
          </w:p>
          <w:p>
            <w:pPr>
              <w:pStyle w:val="15"/>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5"/>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5"/>
              <w:spacing w:before="20"/>
              <w:ind w:left="192"/>
              <w:rPr>
                <w:rFonts w:ascii="黑体" w:eastAsia="黑体"/>
                <w:sz w:val="21"/>
                <w:lang w:eastAsia="en-US"/>
              </w:rPr>
            </w:pPr>
            <w:r>
              <w:rPr>
                <w:rFonts w:hint="eastAsia" w:ascii="黑体" w:eastAsia="黑体"/>
                <w:w w:val="99"/>
                <w:sz w:val="21"/>
                <w:lang w:eastAsia="en-US"/>
              </w:rPr>
              <w:t>分</w:t>
            </w:r>
          </w:p>
          <w:p>
            <w:pPr>
              <w:pStyle w:val="15"/>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5"/>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5"/>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5"/>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5"/>
              <w:spacing w:before="20"/>
              <w:ind w:left="125"/>
              <w:rPr>
                <w:rFonts w:ascii="黑体" w:eastAsia="黑体"/>
                <w:sz w:val="21"/>
                <w:lang w:eastAsia="en-US"/>
              </w:rPr>
            </w:pPr>
            <w:r>
              <w:rPr>
                <w:rFonts w:hint="eastAsia" w:ascii="黑体" w:eastAsia="黑体"/>
                <w:spacing w:val="-1"/>
                <w:w w:val="95"/>
                <w:sz w:val="21"/>
                <w:lang w:eastAsia="en-US"/>
              </w:rPr>
              <w:t>评价</w:t>
            </w:r>
          </w:p>
          <w:p>
            <w:pPr>
              <w:pStyle w:val="15"/>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p>
          <w:p>
            <w:pPr>
              <w:pStyle w:val="15"/>
              <w:spacing w:before="172"/>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决策</w:t>
            </w:r>
          </w:p>
          <w:p>
            <w:pPr>
              <w:pStyle w:val="15"/>
              <w:spacing w:before="6"/>
              <w:jc w:val="center"/>
              <w:rPr>
                <w:rFonts w:hint="eastAsia" w:ascii="黑体" w:hAnsi="黑体" w:eastAsia="黑体" w:cs="黑体"/>
                <w:sz w:val="21"/>
                <w:szCs w:val="21"/>
                <w:lang w:eastAsia="en-US"/>
              </w:rPr>
            </w:pPr>
          </w:p>
          <w:p>
            <w:pPr>
              <w:pStyle w:val="15"/>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5"/>
              <w:spacing w:before="11"/>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项目立项</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87"/>
              <w:ind w:left="224" w:right="219"/>
              <w:jc w:val="center"/>
              <w:rPr>
                <w:rFonts w:hint="eastAsia" w:ascii="黑体" w:hAnsi="黑体" w:eastAsia="黑体" w:cs="黑体"/>
                <w:sz w:val="21"/>
                <w:szCs w:val="21"/>
                <w:lang w:eastAsia="en-US"/>
              </w:rPr>
            </w:pPr>
          </w:p>
          <w:p>
            <w:pPr>
              <w:pStyle w:val="15"/>
              <w:spacing w:before="87"/>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立项依据充分性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64"/>
              <w:ind w:left="224" w:right="219"/>
              <w:jc w:val="center"/>
              <w:rPr>
                <w:rFonts w:hint="eastAsia" w:ascii="黑体" w:hAnsi="黑体" w:eastAsia="黑体" w:cs="黑体"/>
                <w:sz w:val="21"/>
                <w:szCs w:val="21"/>
                <w:lang w:eastAsia="en-US"/>
              </w:rPr>
            </w:pPr>
          </w:p>
          <w:p>
            <w:pPr>
              <w:pStyle w:val="15"/>
              <w:spacing w:before="64"/>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立项程序规范性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绩效目标合理性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103"/>
              <w:ind w:left="224" w:right="219"/>
              <w:jc w:val="center"/>
              <w:rPr>
                <w:rFonts w:hint="eastAsia" w:ascii="黑体" w:hAnsi="黑体" w:eastAsia="黑体" w:cs="黑体"/>
                <w:sz w:val="21"/>
                <w:szCs w:val="21"/>
                <w:lang w:eastAsia="en-US"/>
              </w:rPr>
            </w:pPr>
          </w:p>
          <w:p>
            <w:pPr>
              <w:pStyle w:val="15"/>
              <w:spacing w:before="10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绩效指标明确性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spacing w:before="10"/>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资金投入</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86"/>
              <w:ind w:left="224" w:right="219"/>
              <w:jc w:val="center"/>
              <w:rPr>
                <w:rFonts w:hint="eastAsia" w:ascii="黑体" w:hAnsi="黑体" w:eastAsia="黑体" w:cs="黑体"/>
                <w:sz w:val="21"/>
                <w:szCs w:val="21"/>
                <w:lang w:eastAsia="en-US"/>
              </w:rPr>
            </w:pPr>
          </w:p>
          <w:p>
            <w:pPr>
              <w:pStyle w:val="15"/>
              <w:spacing w:before="86"/>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预算编制科学性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p>
          <w:p>
            <w:pPr>
              <w:pStyle w:val="15"/>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资金分配合理性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30"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过程</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5"/>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p>
          <w:p>
            <w:pPr>
              <w:pStyle w:val="15"/>
              <w:spacing w:before="17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资金管理</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Pr>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p>
          <w:p>
            <w:pPr>
              <w:pStyle w:val="15"/>
              <w:spacing w:before="38"/>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资金到位率</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widowControl/>
              <w:autoSpaceDE w:val="0"/>
              <w:autoSpaceDN w:val="0"/>
              <w:spacing w:line="240" w:lineRule="exact"/>
              <w:rPr>
                <w:rFonts w:hint="eastAsia" w:ascii="黑体" w:hAnsi="黑体" w:eastAsia="黑体" w:cs="黑体"/>
                <w:sz w:val="21"/>
                <w:szCs w:val="21"/>
                <w:lang w:eastAsia="zh-CN"/>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37"/>
              <w:ind w:left="224" w:right="217"/>
              <w:jc w:val="center"/>
              <w:rPr>
                <w:rFonts w:hint="eastAsia" w:ascii="黑体" w:hAnsi="黑体" w:eastAsia="黑体" w:cs="黑体"/>
                <w:sz w:val="21"/>
                <w:szCs w:val="21"/>
                <w:lang w:eastAsia="en-US"/>
              </w:rPr>
            </w:pPr>
          </w:p>
          <w:p>
            <w:pPr>
              <w:pStyle w:val="15"/>
              <w:spacing w:before="37"/>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预算执行率</w:t>
            </w:r>
          </w:p>
          <w:p>
            <w:pPr>
              <w:pStyle w:val="15"/>
              <w:spacing w:before="37"/>
              <w:ind w:left="224" w:right="217"/>
              <w:jc w:val="center"/>
              <w:rPr>
                <w:rFonts w:hint="eastAsia" w:ascii="黑体" w:hAnsi="黑体" w:eastAsia="黑体" w:cs="黑体"/>
                <w:sz w:val="21"/>
                <w:szCs w:val="21"/>
                <w:lang w:eastAsia="en-US"/>
              </w:rPr>
            </w:pP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（实际下拨资金/应下拨资金）X100%。每降低10%扣1分，低于60%不得分。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71"/>
              <w:ind w:left="224" w:right="219"/>
              <w:jc w:val="center"/>
              <w:rPr>
                <w:rFonts w:hint="eastAsia" w:ascii="黑体" w:hAnsi="黑体" w:eastAsia="黑体" w:cs="黑体"/>
                <w:sz w:val="21"/>
                <w:szCs w:val="21"/>
                <w:lang w:eastAsia="en-US"/>
              </w:rPr>
            </w:pPr>
          </w:p>
          <w:p>
            <w:pPr>
              <w:pStyle w:val="15"/>
              <w:spacing w:before="71"/>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资金使用合规性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5"/>
              <w:spacing w:before="12"/>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p>
          <w:p>
            <w:pPr>
              <w:pStyle w:val="1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组织实施</w:t>
            </w:r>
          </w:p>
        </w:tc>
        <w:tc>
          <w:tcPr>
            <w:tcW w:w="596" w:type="dxa"/>
            <w:vMerge w:val="restart"/>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5"/>
              <w:spacing w:before="9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管理制度健全性</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制定专项资金管理办法的规定。</w:t>
            </w:r>
          </w:p>
        </w:tc>
        <w:tc>
          <w:tcPr>
            <w:tcW w:w="675" w:type="dxa"/>
          </w:tcPr>
          <w:p>
            <w:pPr>
              <w:pStyle w:val="15"/>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5"/>
              <w:spacing w:before="70"/>
              <w:ind w:left="224" w:right="219"/>
              <w:jc w:val="center"/>
              <w:rPr>
                <w:rFonts w:hint="eastAsia" w:ascii="黑体" w:hAnsi="黑体" w:eastAsia="黑体" w:cs="黑体"/>
                <w:sz w:val="21"/>
                <w:szCs w:val="21"/>
                <w:lang w:eastAsia="en-US"/>
              </w:rPr>
            </w:pPr>
          </w:p>
          <w:p>
            <w:pPr>
              <w:pStyle w:val="15"/>
              <w:spacing w:before="70"/>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制度执行有效性</w:t>
            </w:r>
          </w:p>
        </w:tc>
        <w:tc>
          <w:tcPr>
            <w:tcW w:w="70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before="1"/>
              <w:jc w:val="center"/>
              <w:rPr>
                <w:rFonts w:hint="eastAsia" w:ascii="黑体" w:hAnsi="黑体" w:eastAsia="黑体" w:cs="黑体"/>
                <w:sz w:val="21"/>
                <w:szCs w:val="21"/>
                <w:lang w:eastAsia="en-US"/>
              </w:rPr>
            </w:pPr>
          </w:p>
          <w:p>
            <w:pPr>
              <w:pStyle w:val="15"/>
              <w:spacing w:before="1"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（35 分）</w:t>
            </w: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产出数量</w:t>
            </w:r>
          </w:p>
        </w:tc>
        <w:tc>
          <w:tcPr>
            <w:tcW w:w="59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产出质量</w:t>
            </w:r>
          </w:p>
        </w:tc>
        <w:tc>
          <w:tcPr>
            <w:tcW w:w="596" w:type="dxa"/>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2"/>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产出时效</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产出成本</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jc w:val="center"/>
              <w:rPr>
                <w:rFonts w:hint="eastAsia" w:ascii="黑体" w:hAnsi="黑体" w:eastAsia="黑体" w:cs="黑体"/>
                <w:sz w:val="21"/>
                <w:szCs w:val="21"/>
                <w:lang w:eastAsia="en-US"/>
              </w:rPr>
            </w:pPr>
          </w:p>
          <w:p>
            <w:pPr>
              <w:pStyle w:val="15"/>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效益</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（25 分）</w:t>
            </w:r>
          </w:p>
        </w:tc>
        <w:tc>
          <w:tcPr>
            <w:tcW w:w="1361" w:type="dxa"/>
            <w:gridSpan w:val="2"/>
          </w:tcPr>
          <w:p>
            <w:pPr>
              <w:pStyle w:val="15"/>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经济效益</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p>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经济</w:t>
            </w:r>
            <w:r>
              <w:rPr>
                <w:rFonts w:hint="eastAsia" w:ascii="黑体" w:hAnsi="黑体" w:eastAsia="黑体" w:cs="黑体"/>
                <w:color w:val="000000"/>
                <w:kern w:val="0"/>
                <w:sz w:val="21"/>
                <w:szCs w:val="21"/>
              </w:rPr>
              <w:t>效益</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default" w:ascii="Times New Roman" w:eastAsia="宋体"/>
                <w:sz w:val="20"/>
                <w:lang w:val="en-US" w:eastAsia="zh-CN"/>
              </w:rPr>
            </w:pPr>
            <w:r>
              <w:rPr>
                <w:rFonts w:hint="eastAsia" w:ascii="Times New Roman" w:eastAsia="宋体"/>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社会效益</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社会效益</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对当地发展的稳定起到一定作用。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生态效益</w:t>
            </w:r>
          </w:p>
        </w:tc>
        <w:tc>
          <w:tcPr>
            <w:tcW w:w="596" w:type="dxa"/>
            <w:tcBorders>
              <w:bottom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w:t>
            </w:r>
            <w:r>
              <w:rPr>
                <w:rFonts w:hint="eastAsia" w:ascii="黑体" w:hAnsi="黑体" w:eastAsia="黑体" w:cs="黑体"/>
                <w:color w:val="000000"/>
                <w:kern w:val="0"/>
                <w:sz w:val="21"/>
                <w:szCs w:val="21"/>
                <w:lang w:val="en-US" w:eastAsia="zh-CN"/>
              </w:rPr>
              <w:t>产生生态效益</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在组织活动中，是否对生态起到了破坏作用。如有，就为0分。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5"/>
              <w:spacing w:before="122"/>
              <w:ind w:left="154"/>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可持续效益</w:t>
            </w:r>
          </w:p>
        </w:tc>
        <w:tc>
          <w:tcPr>
            <w:tcW w:w="596" w:type="dxa"/>
            <w:tcBorders>
              <w:top w:val="single" w:color="auto" w:sz="4" w:space="0"/>
            </w:tcBorders>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tcBorders>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项目实施是否带来可持续影响</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对本项目或其他活动的开展，起到可持续效益作用。</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5"/>
              <w:spacing w:before="3"/>
              <w:jc w:val="center"/>
              <w:rPr>
                <w:rFonts w:hint="eastAsia" w:ascii="黑体" w:hAnsi="黑体" w:eastAsia="黑体" w:cs="黑体"/>
                <w:sz w:val="21"/>
                <w:szCs w:val="21"/>
                <w:lang w:eastAsia="en-US"/>
              </w:rPr>
            </w:pPr>
          </w:p>
          <w:p>
            <w:pPr>
              <w:pStyle w:val="15"/>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满意度</w:t>
            </w:r>
          </w:p>
          <w:p>
            <w:pPr>
              <w:pStyle w:val="15"/>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（10 分）</w:t>
            </w:r>
          </w:p>
        </w:tc>
        <w:tc>
          <w:tcPr>
            <w:tcW w:w="1361" w:type="dxa"/>
            <w:gridSpan w:val="2"/>
          </w:tcPr>
          <w:p>
            <w:pPr>
              <w:pStyle w:val="15"/>
              <w:spacing w:before="98" w:line="213" w:lineRule="auto"/>
              <w:ind w:left="154" w:right="145"/>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社会公众或服务对象满意度</w:t>
            </w:r>
          </w:p>
        </w:tc>
        <w:tc>
          <w:tcPr>
            <w:tcW w:w="59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vAlign w:val="top"/>
          </w:tcPr>
          <w:p>
            <w:pPr>
              <w:pStyle w:val="15"/>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项目预期服务对象对项目实施的满意程度</w:t>
            </w:r>
            <w:r>
              <w:rPr>
                <w:rFonts w:hint="eastAsia" w:ascii="黑体" w:hAnsi="黑体" w:eastAsia="黑体" w:cs="黑体"/>
                <w:color w:val="000000"/>
                <w:kern w:val="0"/>
                <w:sz w:val="21"/>
                <w:szCs w:val="21"/>
                <w:lang w:eastAsia="zh-CN"/>
              </w:rPr>
              <w:t>。</w:t>
            </w:r>
          </w:p>
        </w:tc>
        <w:tc>
          <w:tcPr>
            <w:tcW w:w="706" w:type="dxa"/>
          </w:tcPr>
          <w:p>
            <w:pPr>
              <w:pStyle w:val="15"/>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5"/>
              <w:rPr>
                <w:rFonts w:hint="eastAsia" w:ascii="黑体" w:hAnsi="黑体" w:eastAsia="黑体" w:cs="黑体"/>
                <w:sz w:val="21"/>
                <w:szCs w:val="21"/>
                <w:lang w:eastAsia="en-US"/>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5"/>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5"/>
              <w:jc w:val="center"/>
              <w:rPr>
                <w:rFonts w:hint="eastAsia" w:ascii="Times New Roman"/>
                <w:sz w:val="20"/>
                <w:lang w:val="en-US" w:eastAsia="zh-CN"/>
              </w:rPr>
            </w:pPr>
          </w:p>
          <w:p>
            <w:pPr>
              <w:pStyle w:val="15"/>
              <w:jc w:val="center"/>
              <w:rPr>
                <w:rFonts w:hint="eastAsia" w:ascii="Times New Roman" w:eastAsia="宋体"/>
                <w:sz w:val="20"/>
                <w:lang w:val="en-US" w:eastAsia="zh-CN"/>
              </w:rPr>
            </w:pPr>
            <w:r>
              <w:rPr>
                <w:rFonts w:hint="eastAsia" w:ascii="Times New Roman"/>
                <w:sz w:val="20"/>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5"/>
              <w:rPr>
                <w:sz w:val="23"/>
                <w:lang w:eastAsia="en-US"/>
              </w:rPr>
            </w:pPr>
          </w:p>
          <w:p>
            <w:pPr>
              <w:pStyle w:val="15"/>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5"/>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52"/>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5"/>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spacing w:line="220" w:lineRule="atLeast"/>
      </w:pPr>
    </w:p>
    <w:sectPr>
      <w:footerReference r:id="rId7" w:type="default"/>
      <w:footerReference r:id="rId8"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汉仪青云简">
    <w:panose1 w:val="00020600040101010101"/>
    <w:charset w:val="86"/>
    <w:family w:val="auto"/>
    <w:pitch w:val="default"/>
    <w:sig w:usb0="8000001F" w:usb1="1A0F781A" w:usb2="00000016" w:usb3="00000000" w:csb0="0004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ffectLst/>
                    </wps:spPr>
                    <wps:txbx>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67.3pt;margin-top:779.2pt;height:15.3pt;width:44pt;mso-position-horizontal-relative:page;mso-position-vertical-relative:page;z-index:-251654144;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DIFHbAAAADgEAAA8AAAAAAAAAAQAgAAAAIgAAAGRy&#10;cy9kb3ducmV2LnhtbFBLAQIUABQAAAAIAIdO4kDKB6OwAgIAABEEAAAOAAAAAAAAAAEAIAAAACoB&#10;AABkcnMvZTJvRG9jLnhtbFBLBQYAAAAABgAGAFkBAACeBQ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7C5C3"/>
    <w:multiLevelType w:val="singleLevel"/>
    <w:tmpl w:val="1BF7C5C3"/>
    <w:lvl w:ilvl="0" w:tentative="0">
      <w:start w:val="2"/>
      <w:numFmt w:val="chineseCounting"/>
      <w:suff w:val="nothing"/>
      <w:lvlText w:val="（%1）"/>
      <w:lvlJc w:val="left"/>
      <w:rPr>
        <w:rFonts w:hint="eastAsia"/>
      </w:rPr>
    </w:lvl>
  </w:abstractNum>
  <w:abstractNum w:abstractNumId="1">
    <w:nsid w:val="3544123A"/>
    <w:multiLevelType w:val="singleLevel"/>
    <w:tmpl w:val="3544123A"/>
    <w:lvl w:ilvl="0" w:tentative="0">
      <w:start w:val="2"/>
      <w:numFmt w:val="chineseCounting"/>
      <w:suff w:val="nothing"/>
      <w:lvlText w:val="（%1）"/>
      <w:lvlJc w:val="left"/>
      <w:pPr>
        <w:ind w:left="64"/>
      </w:pPr>
      <w:rPr>
        <w:rFonts w:hint="eastAsia"/>
      </w:rPr>
    </w:lvl>
  </w:abstractNum>
  <w:abstractNum w:abstractNumId="2">
    <w:nsid w:val="3977A696"/>
    <w:multiLevelType w:val="singleLevel"/>
    <w:tmpl w:val="3977A696"/>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zY0OGU1OTc4MTk4Y2QwMzc0ODQ0YWY3MGEyODk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14917505"/>
    <w:rsid w:val="1E9C1B9F"/>
    <w:rsid w:val="6A0547D9"/>
    <w:rsid w:val="7ADC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6"/>
    <w:semiHidden/>
    <w:unhideWhenUsed/>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9"/>
    <w:semiHidden/>
    <w:unhideWhenUsed/>
    <w:uiPriority w:val="99"/>
    <w:pPr>
      <w:tabs>
        <w:tab w:val="center" w:pos="4153"/>
        <w:tab w:val="right" w:pos="8306"/>
      </w:tabs>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uiPriority w:val="99"/>
    <w:rPr>
      <w:rFonts w:ascii="Tahoma" w:hAnsi="Tahoma"/>
      <w:sz w:val="18"/>
      <w:szCs w:val="18"/>
    </w:rPr>
  </w:style>
  <w:style w:type="character" w:customStyle="1" w:styleId="9">
    <w:name w:val="页脚 Char"/>
    <w:basedOn w:val="7"/>
    <w:link w:val="4"/>
    <w:semiHidden/>
    <w:uiPriority w:val="99"/>
    <w:rPr>
      <w:rFonts w:ascii="Tahoma" w:hAnsi="Tahoma"/>
      <w:sz w:val="18"/>
      <w:szCs w:val="18"/>
    </w:rPr>
  </w:style>
  <w:style w:type="table" w:customStyle="1" w:styleId="10">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1">
    <w:name w:val="正文文本 Char"/>
    <w:basedOn w:val="7"/>
    <w:link w:val="2"/>
    <w:qFormat/>
    <w:uiPriority w:val="1"/>
    <w:rPr>
      <w:rFonts w:ascii="宋体" w:hAnsi="宋体" w:eastAsia="宋体" w:cs="宋体"/>
      <w:sz w:val="32"/>
      <w:szCs w:val="32"/>
      <w:lang w:val="zh-CN" w:bidi="zh-CN"/>
    </w:rPr>
  </w:style>
  <w:style w:type="paragraph" w:customStyle="1" w:styleId="12">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3">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4">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5">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6">
    <w:name w:val="批注框文本 Char"/>
    <w:basedOn w:val="7"/>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3731</Words>
  <Characters>3844</Characters>
  <Lines>6</Lines>
  <Paragraphs>1</Paragraphs>
  <TotalTime>0</TotalTime>
  <ScaleCrop>false</ScaleCrop>
  <LinksUpToDate>false</LinksUpToDate>
  <CharactersWithSpaces>3872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22378</dc:creator>
  <cp:lastModifiedBy>13767981036手机用户</cp:lastModifiedBy>
  <dcterms:modified xsi:type="dcterms:W3CDTF">2023-05-30T07:34:00Z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8EB5B58089AE4294BA60B03AEA3C3774_13</vt:lpwstr>
  </property>
</Properties>
</file>