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bookmarkStart w:id="8" w:name="_GoBack"/>
      <w:bookmarkEnd w:id="8"/>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12"/>
        <w:spacing w:before="237"/>
        <w:ind w:right="238"/>
        <w:rPr>
          <w:rFonts w:ascii="PMingLiU" w:eastAsia="PMingLiU"/>
        </w:rPr>
      </w:pPr>
      <w:r>
        <w:rPr>
          <w:rFonts w:hint="eastAsia" w:ascii="PMingLiU" w:eastAsia="PMingLiU"/>
        </w:rPr>
        <w:t>项目支出部门评价报告</w:t>
      </w:r>
    </w:p>
    <w:p>
      <w:pPr>
        <w:pStyle w:val="2"/>
        <w:spacing w:before="5"/>
        <w:rPr>
          <w:rFonts w:ascii="PMingLiU"/>
          <w:sz w:val="67"/>
        </w:rPr>
      </w:pPr>
    </w:p>
    <w:p>
      <w:pPr>
        <w:pStyle w:val="2"/>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t></w:t>
      </w:r>
      <w:r>
        <w:rPr>
          <w:rFonts w:hint="eastAsia" w:ascii="黑体" w:hAnsi="黑体" w:eastAsia="黑体"/>
        </w:rPr>
        <w:t>实施过程评价</w:t>
      </w:r>
      <w:r>
        <w:rPr>
          <w:rFonts w:hint="eastAsia" w:ascii="黑体" w:hAnsi="黑体" w:eastAsia="黑体"/>
        </w:rPr>
        <w:tab/>
      </w:r>
      <w:r>
        <w:rPr>
          <w:rFonts w:ascii="Wingdings 2" w:hAnsi="Wingdings 2" w:eastAsia="Wingdings 2"/>
        </w:rPr>
        <w:t></w:t>
      </w:r>
      <w:r>
        <w:rPr>
          <w:rFonts w:hint="eastAsia" w:ascii="黑体" w:hAnsi="黑体" w:eastAsia="黑体"/>
        </w:rPr>
        <w:t>完成结果评价</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妇女儿童专项项目</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hint="eastAsia" w:ascii="Times New Roman" w:hAnsi="宋体" w:eastAsia="Times New Roman" w:cs="宋体"/>
          <w:u w:val="single"/>
        </w:rPr>
        <w:t xml:space="preserve">南昌市青云谱区妇女联合会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6876"/>
        </w:tabs>
        <w:spacing w:before="66"/>
        <w:ind w:right="118"/>
        <w:jc w:val="center"/>
        <w:rPr>
          <w:rFonts w:ascii="黑体" w:eastAsia="黑体"/>
        </w:rPr>
      </w:pPr>
      <w:r>
        <w:rPr>
          <w:rFonts w:hint="eastAsia" w:ascii="黑体" w:eastAsia="黑体"/>
        </w:rPr>
        <w:t>主管部门：</w:t>
      </w:r>
      <w:r>
        <w:rPr>
          <w:rFonts w:hint="eastAsia" w:ascii="Times New Roman" w:hAnsi="宋体" w:eastAsia="Times New Roman" w:cs="宋体"/>
          <w:u w:val="single"/>
        </w:rPr>
        <w:t>南昌市青云谱区妇女联合会</w:t>
      </w:r>
      <w:r>
        <w:rPr>
          <w:rFonts w:hint="eastAsia" w:ascii="黑体" w:hAnsi="黑体" w:eastAsia="黑体" w:cs="黑体"/>
          <w:bCs/>
          <w:sz w:val="32"/>
          <w:szCs w:val="32"/>
          <w:u w:val="single"/>
        </w:rPr>
        <w:t xml:space="preserve"> </w:t>
      </w:r>
      <w:r>
        <w:rPr>
          <w:rFonts w:hint="eastAsia" w:ascii="黑体" w:eastAsia="黑体"/>
          <w:u w:val="single"/>
        </w:rPr>
        <w:tab/>
      </w:r>
      <w:r>
        <w:rPr>
          <w:rFonts w:hint="eastAsia" w:ascii="黑体" w:eastAsia="黑体"/>
          <w:u w:val="single"/>
        </w:rPr>
        <w:t>（盖章）</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01</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ab/>
      </w:r>
      <w:r>
        <w:rPr>
          <w:rFonts w:hint="eastAsia" w:ascii="黑体" w:eastAsia="黑体"/>
        </w:rPr>
        <w:t>日</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9"/>
        </w:rPr>
      </w:pPr>
    </w:p>
    <w:p>
      <w:pPr>
        <w:pStyle w:val="2"/>
        <w:tabs>
          <w:tab w:val="left" w:pos="959"/>
          <w:tab w:val="left" w:pos="1920"/>
        </w:tabs>
        <w:spacing w:before="56"/>
        <w:ind w:right="238"/>
        <w:jc w:val="center"/>
        <w:rPr>
          <w:rFonts w:ascii="黑体" w:eastAsia="黑体"/>
        </w:rPr>
      </w:pP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2"/>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13"/>
        <w:keepNext w:val="0"/>
        <w:keepLines w:val="0"/>
        <w:pageBreakBefore w:val="0"/>
        <w:numPr>
          <w:ilvl w:val="0"/>
          <w:numId w:val="0"/>
        </w:numPr>
        <w:kinsoku/>
        <w:wordWrap/>
        <w:overflowPunct/>
        <w:topLinePunct w:val="0"/>
        <w:bidi w:val="0"/>
        <w:spacing w:after="0" w:line="580" w:lineRule="exact"/>
        <w:ind w:left="2949" w:leftChars="0" w:right="660" w:rightChars="300" w:hanging="1110" w:firstLineChars="0"/>
        <w:jc w:val="left"/>
        <w:textAlignment w:val="auto"/>
        <w:rPr>
          <w:rFonts w:hint="eastAsia" w:asciiTheme="minorEastAsia" w:hAnsiTheme="minorEastAsia" w:eastAsiaTheme="minorEastAsia"/>
          <w:b/>
          <w:bCs/>
          <w:w w:val="95"/>
        </w:rPr>
      </w:pPr>
      <w:r>
        <w:rPr>
          <w:rFonts w:hint="eastAsia" w:ascii="汉仪青云简" w:hAnsi="汉仪青云简" w:eastAsia="汉仪青云简" w:cs="汉仪青云简"/>
          <w:b w:val="0"/>
          <w:sz w:val="48"/>
          <w:szCs w:val="48"/>
          <w:lang w:val="en-US" w:eastAsia="zh-CN"/>
        </w:rPr>
        <w:t>南昌市青云谱区妇女联合会妇女儿童专项项目经费项目绩效评价报告</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w w:val="95"/>
        </w:rPr>
      </w:pPr>
      <w:r>
        <w:rPr>
          <w:rFonts w:hint="eastAsia" w:asciiTheme="minorEastAsia" w:hAnsiTheme="minorEastAsia" w:eastAsiaTheme="minorEastAsia" w:cstheme="minorEastAsia"/>
          <w:b w:val="0"/>
          <w:sz w:val="32"/>
          <w:szCs w:val="32"/>
        </w:rPr>
        <w:t>为进一步规范财政资金管理，强化部门责任意识，切实提高财政资金使用效益。我</w:t>
      </w:r>
      <w:r>
        <w:rPr>
          <w:rFonts w:hint="eastAsia" w:asciiTheme="minorEastAsia" w:hAnsiTheme="minorEastAsia" w:eastAsiaTheme="minorEastAsia" w:cstheme="minorEastAsia"/>
          <w:b w:val="0"/>
          <w:sz w:val="32"/>
          <w:szCs w:val="32"/>
          <w:lang w:val="en-US" w:eastAsia="zh-CN"/>
        </w:rPr>
        <w:t>部门</w:t>
      </w:r>
      <w:r>
        <w:rPr>
          <w:rFonts w:hint="eastAsia" w:asciiTheme="minorEastAsia" w:hAnsiTheme="minorEastAsia" w:eastAsiaTheme="minorEastAsia" w:cstheme="minorEastAsia"/>
          <w:b w:val="0"/>
          <w:sz w:val="32"/>
          <w:szCs w:val="32"/>
        </w:rPr>
        <w:t>对202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度年</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专项资金开展了绩效评价工作。</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在专项资金方面做到了不滞留、不克扣、不挪用，切实做到了专款专用</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rPr>
        <w:t>确保了用款真实、合法、有效</w:t>
      </w:r>
      <w:r>
        <w:rPr>
          <w:rFonts w:hint="eastAsia" w:asciiTheme="minorEastAsia" w:hAnsiTheme="minorEastAsia" w:eastAsiaTheme="minorEastAsia" w:cstheme="minorEastAsia"/>
          <w:b w:val="0"/>
          <w:sz w:val="32"/>
          <w:szCs w:val="32"/>
          <w:lang w:eastAsia="zh-CN"/>
        </w:rPr>
        <w:t>。</w:t>
      </w:r>
    </w:p>
    <w:p>
      <w:pPr>
        <w:pStyle w:val="2"/>
        <w:spacing w:before="267"/>
        <w:ind w:left="1476"/>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3"/>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spacing w:line="560" w:lineRule="exact"/>
        <w:ind w:left="880" w:leftChars="400" w:firstLine="640" w:firstLineChars="200"/>
        <w:rPr>
          <w:rFonts w:hint="eastAsia" w:asciiTheme="minorEastAsia" w:hAnsiTheme="minorEastAsia" w:eastAsiaTheme="minorEastAsia" w:cstheme="minorEastAsia"/>
          <w:b w:val="0"/>
          <w:sz w:val="32"/>
          <w:szCs w:val="32"/>
          <w:lang w:eastAsia="zh-CN"/>
        </w:rPr>
      </w:pPr>
      <w:r>
        <w:rPr>
          <w:rFonts w:hint="eastAsia" w:asciiTheme="minorEastAsia" w:hAnsiTheme="minorEastAsia" w:eastAsiaTheme="minorEastAsia" w:cstheme="minorEastAsia"/>
          <w:b w:val="0"/>
          <w:bCs/>
          <w:sz w:val="32"/>
          <w:szCs w:val="32"/>
          <w:lang w:val="zh-CN" w:eastAsia="zh-CN" w:bidi="zh-CN"/>
        </w:rPr>
        <w:t>项目背景：为破解基层妇女儿童工作力量薄弱难题，打破现有妇联人员编制、经费急缺的问题，区妇联在区委、区政府的大力支持下，负责人全区妇联系统干部培训以及女干部培训工作。开发妇女人力资源，指导全区妇联组织开展妇女文化科技培训和职业技能培训。负责指导和是实施“五好文明家庭”创建活动和家庭文化建设。</w:t>
      </w:r>
    </w:p>
    <w:p>
      <w:pPr>
        <w:ind w:left="880" w:leftChars="0" w:firstLine="640" w:firstLineChars="0"/>
        <w:rPr>
          <w:rFonts w:hint="eastAsia" w:asciiTheme="minorEastAsia" w:hAnsiTheme="minorEastAsia" w:eastAsiaTheme="minorEastAsia"/>
          <w:b w:val="0"/>
          <w:lang w:val="zh-CN" w:eastAsia="zh-CN"/>
        </w:rPr>
      </w:pPr>
      <w:r>
        <w:rPr>
          <w:rFonts w:hint="eastAsia" w:asciiTheme="minorEastAsia" w:hAnsiTheme="minorEastAsia" w:eastAsiaTheme="minorEastAsia" w:cstheme="minorEastAsia"/>
          <w:b w:val="0"/>
          <w:bCs/>
          <w:sz w:val="32"/>
          <w:szCs w:val="32"/>
          <w:lang w:val="zh-CN" w:eastAsia="zh-CN" w:bidi="zh-CN"/>
        </w:rPr>
        <w:t>主要内容：举办“法律明白人”暨综治普法培训班、女性技能培训进基层、基层妇联领头雁培训等一系列宣讲培训活动，围绕法律知识、妇女维权、家庭矛盾化解、家庭教育、职业技能等内容对各级妇联干部和妇女群众进行培训，引导妇联干部办好“贴心</w:t>
      </w:r>
      <w:r>
        <w:rPr>
          <w:rFonts w:hint="eastAsia" w:asciiTheme="minorEastAsia" w:hAnsiTheme="minorEastAsia" w:eastAsiaTheme="minorEastAsia" w:cstheme="minorEastAsia"/>
          <w:b w:val="0"/>
          <w:bCs/>
          <w:sz w:val="32"/>
          <w:szCs w:val="32"/>
          <w:lang w:val="en-US" w:eastAsia="zh-CN" w:bidi="zh-CN"/>
        </w:rPr>
        <w:t>事</w:t>
      </w:r>
      <w:r>
        <w:rPr>
          <w:rFonts w:hint="eastAsia" w:asciiTheme="minorEastAsia" w:hAnsiTheme="minorEastAsia" w:eastAsiaTheme="minorEastAsia" w:cstheme="minorEastAsia"/>
          <w:b w:val="0"/>
          <w:bCs/>
          <w:sz w:val="32"/>
          <w:szCs w:val="32"/>
          <w:lang w:val="zh-CN" w:eastAsia="zh-CN" w:bidi="zh-CN"/>
        </w:rPr>
        <w:t>”，当好“娘家人”</w:t>
      </w:r>
      <w:r>
        <w:rPr>
          <w:rFonts w:hint="eastAsia" w:ascii="仿宋_GB2312" w:eastAsia="仿宋_GB2312"/>
          <w:sz w:val="32"/>
          <w:szCs w:val="32"/>
          <w:lang w:eastAsia="zh-CN"/>
        </w:rPr>
        <w:t>。</w:t>
      </w:r>
    </w:p>
    <w:p>
      <w:pPr>
        <w:pStyle w:val="13"/>
        <w:keepNext w:val="0"/>
        <w:keepLines w:val="0"/>
        <w:pageBreakBefore w:val="0"/>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3"/>
        <w:spacing w:before="84" w:line="244" w:lineRule="auto"/>
        <w:ind w:left="836" w:right="502" w:firstLine="640"/>
        <w:rPr>
          <w:rFonts w:hint="eastAsia" w:asciiTheme="minorEastAsia" w:hAnsiTheme="minorEastAsia" w:eastAsiaTheme="minorEastAsia"/>
          <w:b w:val="0"/>
          <w:lang w:val="zh-CN" w:eastAsia="zh-CN"/>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11</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11</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11</w:t>
      </w:r>
      <w:r>
        <w:rPr>
          <w:rFonts w:hint="eastAsia" w:asciiTheme="minorEastAsia" w:hAnsiTheme="minorEastAsia" w:eastAsiaTheme="minorEastAsia" w:cstheme="minorEastAsia"/>
          <w:b w:val="0"/>
          <w:sz w:val="32"/>
          <w:szCs w:val="32"/>
        </w:rPr>
        <w:t>万元，预算资金执行率100%。</w:t>
      </w:r>
    </w:p>
    <w:p>
      <w:pPr>
        <w:numPr>
          <w:ilvl w:val="0"/>
          <w:numId w:val="1"/>
        </w:numPr>
        <w:spacing w:line="588" w:lineRule="exact"/>
        <w:ind w:left="1476"/>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ind w:left="880" w:leftChars="0" w:firstLine="640" w:firstLineChars="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bCs/>
          <w:sz w:val="32"/>
          <w:szCs w:val="32"/>
          <w:lang w:val="zh-CN" w:eastAsia="zh-CN" w:bidi="zh-CN"/>
        </w:rPr>
        <w:t>进一步宣传妇女权益保障法、婚姻法、反家暴法、未成年人权益保障法等；通过举办送法进社区活动，帮助妇女儿童了解新时期下自身的合法权益，增强法律意识，强化妇女儿童维权服务。</w:t>
      </w:r>
    </w:p>
    <w:p>
      <w:pPr>
        <w:numPr>
          <w:ilvl w:val="0"/>
          <w:numId w:val="0"/>
        </w:numPr>
        <w:spacing w:line="588" w:lineRule="exact"/>
        <w:rPr>
          <w:rFonts w:hint="eastAsia" w:asciiTheme="minorEastAsia" w:hAnsiTheme="minorEastAsia" w:eastAsiaTheme="minorEastAsia"/>
          <w:sz w:val="32"/>
        </w:rPr>
      </w:pPr>
    </w:p>
    <w:p>
      <w:pPr>
        <w:pStyle w:val="2"/>
        <w:spacing w:before="117"/>
        <w:ind w:left="1476"/>
        <w:rPr>
          <w:rFonts w:asciiTheme="minorEastAsia" w:hAnsiTheme="minorEastAsia" w:eastAsiaTheme="minorEastAsia"/>
          <w:b/>
          <w:bCs/>
        </w:rPr>
      </w:pPr>
      <w:r>
        <w:rPr>
          <w:rFonts w:hint="eastAsia" w:asciiTheme="minorEastAsia" w:hAnsiTheme="minorEastAsia" w:eastAsiaTheme="minorEastAsia"/>
          <w:b/>
          <w:bCs/>
        </w:rPr>
        <w:t>二、绩效评价工作开展情况</w:t>
      </w:r>
    </w:p>
    <w:p>
      <w:pPr>
        <w:pStyle w:val="13"/>
        <w:spacing w:before="85"/>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年我区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专项资金绩效评价目的是为进一步加强财政支出管理，强化支出责任，建立科学、合理的</w:t>
      </w:r>
      <w:r>
        <w:rPr>
          <w:rFonts w:hint="eastAsia" w:asciiTheme="minorEastAsia" w:hAnsiTheme="minorEastAsia" w:eastAsiaTheme="minorEastAsia" w:cstheme="minorEastAsia"/>
          <w:b w:val="0"/>
          <w:sz w:val="32"/>
          <w:szCs w:val="32"/>
          <w:lang w:val="en-US" w:eastAsia="zh-CN"/>
        </w:rPr>
        <w:t>使用</w:t>
      </w:r>
      <w:r>
        <w:rPr>
          <w:rFonts w:hint="eastAsia" w:asciiTheme="minorEastAsia" w:hAnsiTheme="minorEastAsia" w:eastAsiaTheme="minorEastAsia" w:cstheme="minorEastAsia"/>
          <w:b w:val="0"/>
          <w:sz w:val="32"/>
          <w:szCs w:val="32"/>
        </w:rPr>
        <w:t>专项资金绩效评价管理体系，促进公共财政阳光化，提高财政资金使用效益</w:t>
      </w:r>
    </w:p>
    <w:p>
      <w:pPr>
        <w:spacing w:before="11" w:line="244" w:lineRule="auto"/>
        <w:ind w:left="836" w:right="502" w:firstLine="640"/>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rPr>
        <w:t>（二）绩效评价原则、评价指标体系（附表说明）、评价方法、评价标准等。</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绩效评价原则:科学规范原则，公正公开原则，分级分类原则，绩效相关原则。</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评价方法：本项目绩效评价主要采用数据对比，同时辅以抽样调查、座谈研讨、专家评估等方式。</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b w:val="0"/>
          <w:sz w:val="32"/>
          <w:szCs w:val="32"/>
        </w:rPr>
        <w:t>评价标准：绩效评价标准通常包括计划标准、行业标准、历史标准等，用于对绩效指标完成情况进行比较。</w:t>
      </w:r>
    </w:p>
    <w:p>
      <w:pPr>
        <w:numPr>
          <w:ilvl w:val="0"/>
          <w:numId w:val="0"/>
        </w:numPr>
        <w:spacing w:line="588" w:lineRule="exact"/>
        <w:ind w:left="1476" w:leftChars="0"/>
        <w:rPr>
          <w:rFonts w:hint="eastAsia" w:asciiTheme="minorEastAsia" w:hAnsiTheme="minorEastAsia" w:eastAsiaTheme="minorEastAsia"/>
          <w:sz w:val="32"/>
        </w:rPr>
      </w:pPr>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三</w:t>
      </w:r>
      <w:r>
        <w:rPr>
          <w:rFonts w:hint="eastAsia" w:asciiTheme="minorEastAsia" w:hAnsiTheme="minorEastAsia" w:eastAsiaTheme="minorEastAsia"/>
          <w:sz w:val="32"/>
          <w:lang w:eastAsia="zh-CN"/>
        </w:rPr>
        <w:t>）</w:t>
      </w:r>
      <w:r>
        <w:rPr>
          <w:rFonts w:hint="eastAsia" w:asciiTheme="minorEastAsia" w:hAnsiTheme="minorEastAsia" w:eastAsiaTheme="minorEastAsia"/>
          <w:sz w:val="32"/>
        </w:rPr>
        <w:t>绩效评价工作过程。</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南昌市青云谱区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通过</w:t>
      </w:r>
      <w:r>
        <w:rPr>
          <w:rFonts w:hint="eastAsia" w:asciiTheme="minorEastAsia" w:hAnsiTheme="minorEastAsia" w:eastAsiaTheme="minorEastAsia" w:cstheme="minorEastAsia"/>
          <w:sz w:val="32"/>
          <w:szCs w:val="32"/>
        </w:rPr>
        <w:t>制定了青云谱区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numPr>
          <w:ilvl w:val="0"/>
          <w:numId w:val="2"/>
        </w:numPr>
        <w:spacing w:before="12" w:line="288" w:lineRule="auto"/>
        <w:ind w:left="1476" w:right="2660" w:firstLine="16"/>
        <w:rPr>
          <w:rFonts w:hint="eastAsia" w:asciiTheme="minorEastAsia" w:hAnsiTheme="minorEastAsia" w:eastAsiaTheme="minorEastAsia"/>
          <w:b/>
          <w:bCs/>
          <w:sz w:val="32"/>
        </w:rPr>
      </w:pPr>
      <w:r>
        <w:rPr>
          <w:rFonts w:hint="eastAsia" w:asciiTheme="minorEastAsia" w:hAnsiTheme="minorEastAsia" w:eastAsiaTheme="minorEastAsia"/>
          <w:b/>
          <w:bCs/>
          <w:spacing w:val="7"/>
          <w:sz w:val="32"/>
        </w:rPr>
        <w:t>综合评价情况及评价结论</w:t>
      </w:r>
      <w:r>
        <w:rPr>
          <w:rFonts w:hint="eastAsia" w:asciiTheme="minorEastAsia" w:hAnsiTheme="minorEastAsia" w:eastAsiaTheme="minorEastAsia"/>
          <w:b/>
          <w:bCs/>
          <w:sz w:val="32"/>
        </w:rPr>
        <w:t xml:space="preserve">（附相关评分表） </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绩效评价情况：经过严格细致的自评工作，该项目的自评分为</w:t>
      </w:r>
      <w:r>
        <w:rPr>
          <w:rFonts w:hint="eastAsia" w:asciiTheme="minorEastAsia" w:hAnsiTheme="minorEastAsia" w:eastAsiaTheme="minorEastAsia" w:cstheme="minorEastAsia"/>
          <w:b w:val="0"/>
          <w:sz w:val="32"/>
          <w:szCs w:val="32"/>
          <w:lang w:val="en-US" w:eastAsia="zh-CN"/>
        </w:rPr>
        <w:t>92.6</w:t>
      </w:r>
      <w:r>
        <w:rPr>
          <w:rFonts w:hint="eastAsia" w:asciiTheme="minorEastAsia" w:hAnsiTheme="minorEastAsia" w:eastAsiaTheme="minorEastAsia" w:cstheme="minorEastAsia"/>
          <w:b w:val="0"/>
          <w:sz w:val="32"/>
          <w:szCs w:val="32"/>
        </w:rPr>
        <w:t>分。绩效评级为“</w:t>
      </w:r>
      <w:r>
        <w:rPr>
          <w:rFonts w:hint="eastAsia" w:asciiTheme="minorEastAsia" w:hAnsiTheme="minorEastAsia" w:eastAsiaTheme="minorEastAsia" w:cstheme="minorEastAsia"/>
          <w:b w:val="0"/>
          <w:sz w:val="32"/>
          <w:szCs w:val="32"/>
          <w:lang w:val="en-US" w:eastAsia="zh-CN"/>
        </w:rPr>
        <w:t>优</w:t>
      </w:r>
      <w:r>
        <w:rPr>
          <w:rFonts w:hint="eastAsia" w:asciiTheme="minorEastAsia" w:hAnsiTheme="minorEastAsia" w:eastAsiaTheme="minorEastAsia" w:cstheme="minorEastAsia"/>
          <w:b w:val="0"/>
          <w:sz w:val="32"/>
          <w:szCs w:val="32"/>
        </w:rPr>
        <w:t>”。</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sz w:val="32"/>
        </w:rPr>
      </w:pPr>
      <w:r>
        <w:rPr>
          <w:rFonts w:hint="eastAsia" w:asciiTheme="minorEastAsia" w:hAnsiTheme="minorEastAsia" w:eastAsiaTheme="minorEastAsia" w:cstheme="minorEastAsia"/>
          <w:b w:val="0"/>
          <w:sz w:val="32"/>
          <w:szCs w:val="32"/>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numPr>
          <w:ilvl w:val="0"/>
          <w:numId w:val="0"/>
        </w:numPr>
        <w:spacing w:before="12" w:line="288" w:lineRule="auto"/>
        <w:ind w:left="1492" w:leftChars="0" w:right="2660" w:rightChars="0"/>
        <w:rPr>
          <w:rFonts w:asciiTheme="minorEastAsia" w:hAnsiTheme="minorEastAsia" w:eastAsiaTheme="minorEastAsia"/>
          <w:b/>
          <w:bCs/>
          <w:sz w:val="32"/>
        </w:rPr>
      </w:pPr>
      <w:r>
        <w:rPr>
          <w:rFonts w:hint="eastAsia" w:asciiTheme="minorEastAsia" w:hAnsiTheme="minorEastAsia" w:eastAsiaTheme="minorEastAsia"/>
          <w:b/>
          <w:bCs/>
          <w:sz w:val="32"/>
        </w:rPr>
        <w:t>四、绩效评价指标分析</w:t>
      </w:r>
    </w:p>
    <w:p>
      <w:pPr>
        <w:pStyle w:val="13"/>
        <w:spacing w:before="2"/>
        <w:rPr>
          <w:rFonts w:asciiTheme="minorEastAsia" w:hAnsiTheme="minorEastAsia" w:eastAsiaTheme="minorEastAsia"/>
          <w:b w:val="0"/>
        </w:rPr>
      </w:pPr>
      <w:bookmarkStart w:id="4" w:name="（一）项目决策情况。"/>
      <w:bookmarkEnd w:id="4"/>
      <w:r>
        <w:rPr>
          <w:rFonts w:hint="eastAsia" w:asciiTheme="minorEastAsia" w:hAnsiTheme="minorEastAsia" w:eastAsiaTheme="minorEastAsia"/>
          <w:b w:val="0"/>
          <w:lang w:val="en-US" w:eastAsia="zh-CN"/>
        </w:rPr>
        <w:t xml:space="preserve"> </w:t>
      </w:r>
      <w:r>
        <w:rPr>
          <w:rFonts w:asciiTheme="minorEastAsia" w:hAnsiTheme="minorEastAsia" w:eastAsiaTheme="minorEastAsia"/>
          <w:b w:val="0"/>
        </w:rPr>
        <w:t>（一）项目决策情况。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按规定程序申请设立；所提交的材料符合专项资金管理暂行办法；经过集体决策；实施符合国家、区委区政府相关法律法规；为促进本单位事业发展所必需。在规定时间内完成向区财政局申请专项资金事宜，及时到位资金，在五个工作日之内完成。</w:t>
      </w:r>
    </w:p>
    <w:p>
      <w:pPr>
        <w:numPr>
          <w:ilvl w:val="0"/>
          <w:numId w:val="3"/>
        </w:numPr>
        <w:spacing w:before="11"/>
        <w:ind w:left="1540" w:leftChars="0" w:firstLineChars="0"/>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制定了项目实施单位的业务管理制度,制定的业务管理制度合法、合规制定具有相应的项目质量要求或标准，每年有二次或二次以上自查或外部检查。</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制定了相应的项目资金管理办法,该项目资金管理办法符合相关财务会计制度规定。</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制定了相应的监控机制每年有二次或二次以上自查或外部检查。</w:t>
      </w:r>
    </w:p>
    <w:p>
      <w:pPr>
        <w:numPr>
          <w:ilvl w:val="0"/>
          <w:numId w:val="3"/>
        </w:numPr>
        <w:spacing w:before="12"/>
        <w:ind w:left="1540" w:leftChars="0" w:firstLine="0" w:firstLineChars="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项目产出情况。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bookmarkStart w:id="7" w:name="（四）项目效益情况。"/>
      <w:bookmarkEnd w:id="7"/>
      <w:r>
        <w:rPr>
          <w:rFonts w:hint="eastAsia" w:asciiTheme="minorEastAsia" w:hAnsiTheme="minorEastAsia" w:eastAsiaTheme="minorEastAsia" w:cstheme="minorEastAsia"/>
          <w:sz w:val="32"/>
          <w:szCs w:val="32"/>
        </w:rPr>
        <w:t>1.产出数量指标得分情况逐个分析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产出数量指标</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16.88</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2.产出质量指标得分情况逐个分析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产出质量指标得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分，自评得1</w:t>
      </w:r>
      <w:r>
        <w:rPr>
          <w:rFonts w:hint="eastAsia" w:asciiTheme="minorEastAsia" w:hAnsiTheme="minorEastAsia" w:eastAsiaTheme="minorEastAsia" w:cstheme="minorEastAsia"/>
          <w:sz w:val="32"/>
          <w:szCs w:val="32"/>
          <w:lang w:val="en-US" w:eastAsia="zh-CN"/>
        </w:rPr>
        <w:t>8.95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.产出成本指标得分情况逐个分析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rPr>
        <w:t>产出成本指标100%得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numPr>
          <w:ilvl w:val="0"/>
          <w:numId w:val="3"/>
        </w:numPr>
        <w:spacing w:before="11"/>
        <w:ind w:left="1540" w:leftChars="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rPr>
        <w:t>项目效益情况。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生态</w:t>
      </w:r>
      <w:r>
        <w:rPr>
          <w:rFonts w:hint="eastAsia" w:asciiTheme="minorEastAsia" w:hAnsiTheme="minorEastAsia" w:eastAsiaTheme="minorEastAsia" w:cstheme="minorEastAsia"/>
          <w:sz w:val="32"/>
          <w:szCs w:val="32"/>
        </w:rPr>
        <w:t>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生态</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lang w:eastAsia="zh-CN"/>
        </w:rPr>
      </w:pP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w:t>
      </w:r>
    </w:p>
    <w:p>
      <w:pPr>
        <w:pStyle w:val="2"/>
        <w:spacing w:before="118" w:line="350" w:lineRule="auto"/>
        <w:ind w:left="1476" w:right="3109"/>
        <w:rPr>
          <w:rFonts w:hint="eastAsia" w:asciiTheme="minorEastAsia" w:hAnsiTheme="minorEastAsia" w:eastAsiaTheme="minorEastAsia"/>
          <w:b/>
          <w:bCs/>
        </w:rPr>
      </w:pPr>
      <w:r>
        <w:rPr>
          <w:rFonts w:hint="eastAsia" w:asciiTheme="minorEastAsia" w:hAnsiTheme="minorEastAsia" w:eastAsiaTheme="minorEastAsia"/>
          <w:b/>
          <w:bCs/>
        </w:rPr>
        <w:t>五、主要经验及做法、存在的问题及原因分析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1.妇联干部队伍建设需要给予重视，妇联是党委在新时期联系妇女、儿童及家庭的有效桥梁，但是目前力量确实比较薄弱，对妇联作用的发挥有一定的限制；</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rPr>
      </w:pPr>
      <w:r>
        <w:rPr>
          <w:rFonts w:hint="eastAsia" w:asciiTheme="minorEastAsia" w:hAnsiTheme="minorEastAsia" w:eastAsiaTheme="minorEastAsia" w:cstheme="minorEastAsia"/>
          <w:sz w:val="32"/>
          <w:szCs w:val="32"/>
          <w:lang w:val="en-US" w:eastAsia="zh-CN"/>
        </w:rPr>
        <w:t>2.妇联工作经费缺乏有效保障，妇联要在提高妇女素质、维护妇女权益、参与基层治理等方面提供服务，创造条件，需要有一定的经费作保障，由于经费无保障，因此产生一些畏难、抵触情绪，阻碍了妇联工作的发展。</w:t>
      </w:r>
    </w:p>
    <w:p>
      <w:pPr>
        <w:pStyle w:val="2"/>
        <w:spacing w:before="118" w:line="350" w:lineRule="auto"/>
        <w:ind w:left="1476" w:right="3109"/>
        <w:rPr>
          <w:rFonts w:asciiTheme="minorEastAsia" w:hAnsiTheme="minorEastAsia" w:eastAsiaTheme="minorEastAsia"/>
          <w:b/>
          <w:bCs/>
        </w:rPr>
      </w:pPr>
      <w:r>
        <w:rPr>
          <w:rFonts w:hint="eastAsia" w:asciiTheme="minorEastAsia" w:hAnsiTheme="minorEastAsia" w:eastAsiaTheme="minorEastAsia"/>
          <w:b/>
          <w:bCs/>
        </w:rPr>
        <w:t>六、有关建议</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1.加强项目顶算管理，提高预算资金执行率。首先按项目实际需求认真编专项资金预算，并在资金支出过程中做到按预算执行，提高预算执行严肃性;其次，发现预算执行偏离要及时预算调整。</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制订健全项目资金专项管理制度。建立专项资金备查帐，严格按照项目资金的用范围和要求使用资金，严格项目资金使用程序和审批手续，切实加</w:t>
      </w:r>
      <w:r>
        <w:rPr>
          <w:rFonts w:hint="eastAsia" w:asciiTheme="minorEastAsia" w:hAnsiTheme="minorEastAsia" w:eastAsiaTheme="minorEastAsia" w:cstheme="minorEastAsia"/>
          <w:sz w:val="32"/>
          <w:szCs w:val="32"/>
          <w:lang w:val="en-US" w:eastAsia="zh-CN"/>
        </w:rPr>
        <w:t>强</w:t>
      </w:r>
      <w:r>
        <w:rPr>
          <w:rFonts w:hint="eastAsia" w:asciiTheme="minorEastAsia" w:hAnsiTheme="minorEastAsia" w:eastAsiaTheme="minorEastAsia" w:cstheme="minorEastAsia"/>
          <w:sz w:val="32"/>
          <w:szCs w:val="32"/>
        </w:rPr>
        <w:t>对专项资金的管理。</w:t>
      </w:r>
    </w:p>
    <w:p>
      <w:pPr>
        <w:pStyle w:val="2"/>
        <w:spacing w:before="2"/>
        <w:ind w:left="1476"/>
        <w:rPr>
          <w:rFonts w:asciiTheme="minorEastAsia" w:hAnsiTheme="minorEastAsia" w:eastAsiaTheme="minorEastAsia"/>
          <w:b/>
          <w:bCs/>
        </w:rPr>
      </w:pPr>
      <w:r>
        <w:rPr>
          <w:rFonts w:hint="eastAsia" w:asciiTheme="minorEastAsia" w:hAnsiTheme="minorEastAsia" w:eastAsiaTheme="minorEastAsia"/>
          <w:b/>
          <w:bCs/>
        </w:rPr>
        <w:t>七、其他需要说明的问题</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sectPr>
          <w:footerReference r:id="rId6" w:type="default"/>
          <w:pgSz w:w="11910" w:h="16840"/>
          <w:pgMar w:top="1480" w:right="340" w:bottom="1220" w:left="580" w:header="0" w:footer="1034" w:gutter="0"/>
          <w:pgNumType w:start="19"/>
          <w:cols w:space="720" w:num="1"/>
        </w:sectPr>
      </w:pPr>
    </w:p>
    <w:p>
      <w:pPr>
        <w:pStyle w:val="12"/>
        <w:spacing w:before="39"/>
        <w:ind w:left="1244"/>
      </w:pPr>
      <w:r>
        <w:rPr>
          <w:b w:val="0"/>
          <w:bCs/>
          <w:color w:val="000000" w:themeColor="text1"/>
          <w14:textFill>
            <w14:solidFill>
              <w14:schemeClr w14:val="tx1"/>
            </w14:solidFill>
          </w14:textFill>
        </w:rPr>
        <w:t>项目支出</w:t>
      </w:r>
      <w:r>
        <w:t>绩效评分表</w:t>
      </w:r>
    </w:p>
    <w:p>
      <w:pPr>
        <w:pStyle w:val="2"/>
        <w:spacing w:before="8"/>
        <w:rPr>
          <w:sz w:val="16"/>
        </w:rPr>
      </w:pPr>
    </w:p>
    <w:tbl>
      <w:tblPr>
        <w:tblStyle w:val="10"/>
        <w:tblW w:w="1042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5"/>
              <w:spacing w:before="20"/>
              <w:ind w:left="359"/>
              <w:rPr>
                <w:rFonts w:ascii="黑体" w:eastAsia="黑体"/>
                <w:sz w:val="21"/>
                <w:lang w:eastAsia="en-US"/>
              </w:rPr>
            </w:pPr>
            <w:r>
              <w:rPr>
                <w:rFonts w:hint="eastAsia" w:ascii="黑体" w:eastAsia="黑体"/>
                <w:spacing w:val="-1"/>
                <w:w w:val="95"/>
                <w:sz w:val="21"/>
                <w:lang w:eastAsia="en-US"/>
              </w:rPr>
              <w:t>一级</w:t>
            </w:r>
          </w:p>
          <w:p>
            <w:pPr>
              <w:pStyle w:val="15"/>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5"/>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5"/>
              <w:spacing w:before="20"/>
              <w:ind w:left="192"/>
              <w:rPr>
                <w:rFonts w:ascii="黑体" w:eastAsia="黑体"/>
                <w:sz w:val="21"/>
                <w:lang w:eastAsia="en-US"/>
              </w:rPr>
            </w:pPr>
            <w:r>
              <w:rPr>
                <w:rFonts w:hint="eastAsia" w:ascii="黑体" w:eastAsia="黑体"/>
                <w:w w:val="99"/>
                <w:sz w:val="21"/>
                <w:lang w:eastAsia="en-US"/>
              </w:rPr>
              <w:t>分</w:t>
            </w:r>
          </w:p>
          <w:p>
            <w:pPr>
              <w:pStyle w:val="15"/>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5"/>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5"/>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5"/>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5"/>
              <w:spacing w:before="20"/>
              <w:ind w:left="125"/>
              <w:rPr>
                <w:rFonts w:ascii="黑体" w:eastAsia="黑体"/>
                <w:sz w:val="21"/>
                <w:lang w:eastAsia="en-US"/>
              </w:rPr>
            </w:pPr>
            <w:r>
              <w:rPr>
                <w:rFonts w:hint="eastAsia" w:ascii="黑体" w:eastAsia="黑体"/>
                <w:spacing w:val="-1"/>
                <w:w w:val="95"/>
                <w:sz w:val="21"/>
                <w:lang w:eastAsia="en-US"/>
              </w:rPr>
              <w:t>评价</w:t>
            </w:r>
          </w:p>
          <w:p>
            <w:pPr>
              <w:pStyle w:val="15"/>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决策</w:t>
            </w:r>
          </w:p>
          <w:p>
            <w:pPr>
              <w:pStyle w:val="15"/>
              <w:spacing w:before="6"/>
              <w:jc w:val="center"/>
              <w:rPr>
                <w:rFonts w:hint="eastAsia" w:ascii="黑体" w:hAnsi="黑体" w:eastAsia="黑体" w:cs="黑体"/>
                <w:sz w:val="21"/>
                <w:szCs w:val="21"/>
                <w:lang w:eastAsia="en-US"/>
              </w:rPr>
            </w:pPr>
          </w:p>
          <w:p>
            <w:pPr>
              <w:pStyle w:val="15"/>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5"/>
              <w:spacing w:before="11"/>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项目立项</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87"/>
              <w:ind w:left="224" w:right="219"/>
              <w:jc w:val="center"/>
              <w:rPr>
                <w:rFonts w:hint="eastAsia" w:ascii="黑体" w:hAnsi="黑体" w:eastAsia="黑体" w:cs="黑体"/>
                <w:sz w:val="21"/>
                <w:szCs w:val="21"/>
                <w:lang w:eastAsia="en-US"/>
              </w:rPr>
            </w:pPr>
          </w:p>
          <w:p>
            <w:pPr>
              <w:pStyle w:val="15"/>
              <w:spacing w:before="87"/>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立项依据充分性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64"/>
              <w:ind w:left="224" w:right="219"/>
              <w:jc w:val="center"/>
              <w:rPr>
                <w:rFonts w:hint="eastAsia" w:ascii="黑体" w:hAnsi="黑体" w:eastAsia="黑体" w:cs="黑体"/>
                <w:sz w:val="21"/>
                <w:szCs w:val="21"/>
                <w:lang w:eastAsia="en-US"/>
              </w:rPr>
            </w:pPr>
          </w:p>
          <w:p>
            <w:pPr>
              <w:pStyle w:val="15"/>
              <w:spacing w:before="64"/>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立项程序规范性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绩效目标合理性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103"/>
              <w:ind w:left="224" w:right="219"/>
              <w:jc w:val="center"/>
              <w:rPr>
                <w:rFonts w:hint="eastAsia" w:ascii="黑体" w:hAnsi="黑体" w:eastAsia="黑体" w:cs="黑体"/>
                <w:sz w:val="21"/>
                <w:szCs w:val="21"/>
                <w:lang w:eastAsia="en-US"/>
              </w:rPr>
            </w:pPr>
          </w:p>
          <w:p>
            <w:pPr>
              <w:pStyle w:val="15"/>
              <w:spacing w:before="10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绩效指标明确性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spacing w:before="10"/>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资金投入</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86"/>
              <w:ind w:left="224" w:right="219"/>
              <w:jc w:val="center"/>
              <w:rPr>
                <w:rFonts w:hint="eastAsia" w:ascii="黑体" w:hAnsi="黑体" w:eastAsia="黑体" w:cs="黑体"/>
                <w:sz w:val="21"/>
                <w:szCs w:val="21"/>
                <w:lang w:eastAsia="en-US"/>
              </w:rPr>
            </w:pPr>
          </w:p>
          <w:p>
            <w:pPr>
              <w:pStyle w:val="15"/>
              <w:spacing w:before="86"/>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预算编制科学性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资金分配合理性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30"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过程</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5"/>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资金管理</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Pr>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资金到位率</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widowControl/>
              <w:autoSpaceDE w:val="0"/>
              <w:autoSpaceDN w:val="0"/>
              <w:spacing w:line="240" w:lineRule="exact"/>
              <w:rPr>
                <w:rFonts w:hint="eastAsia" w:ascii="黑体" w:hAnsi="黑体" w:eastAsia="黑体" w:cs="黑体"/>
                <w:sz w:val="21"/>
                <w:szCs w:val="21"/>
                <w:lang w:eastAsia="zh-CN"/>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37"/>
              <w:ind w:left="224" w:right="217"/>
              <w:jc w:val="center"/>
              <w:rPr>
                <w:rFonts w:hint="eastAsia" w:ascii="黑体" w:hAnsi="黑体" w:eastAsia="黑体" w:cs="黑体"/>
                <w:sz w:val="21"/>
                <w:szCs w:val="21"/>
                <w:lang w:eastAsia="en-US"/>
              </w:rPr>
            </w:pPr>
          </w:p>
          <w:p>
            <w:pPr>
              <w:pStyle w:val="15"/>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5"/>
              <w:spacing w:before="37"/>
              <w:ind w:left="224" w:right="217"/>
              <w:jc w:val="center"/>
              <w:rPr>
                <w:rFonts w:hint="eastAsia" w:ascii="黑体" w:hAnsi="黑体" w:eastAsia="黑体" w:cs="黑体"/>
                <w:sz w:val="21"/>
                <w:szCs w:val="21"/>
                <w:lang w:eastAsia="en-US"/>
              </w:rPr>
            </w:pP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（实际下拨资金/应下拨资金）X100%。每降低10%扣1分，低于60%不得分。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71"/>
              <w:ind w:left="224" w:right="219"/>
              <w:jc w:val="center"/>
              <w:rPr>
                <w:rFonts w:hint="eastAsia" w:ascii="黑体" w:hAnsi="黑体" w:eastAsia="黑体" w:cs="黑体"/>
                <w:sz w:val="21"/>
                <w:szCs w:val="21"/>
                <w:lang w:eastAsia="en-US"/>
              </w:rPr>
            </w:pPr>
          </w:p>
          <w:p>
            <w:pPr>
              <w:pStyle w:val="15"/>
              <w:spacing w:before="71"/>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资金使用合规性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spacing w:before="12"/>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组织实施</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9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管理制度健全性</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制定专项资金管理办法的规定。</w:t>
            </w:r>
          </w:p>
        </w:tc>
        <w:tc>
          <w:tcPr>
            <w:tcW w:w="675" w:type="dxa"/>
          </w:tcPr>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70"/>
              <w:ind w:left="224" w:right="219"/>
              <w:jc w:val="center"/>
              <w:rPr>
                <w:rFonts w:hint="eastAsia" w:ascii="黑体" w:hAnsi="黑体" w:eastAsia="黑体" w:cs="黑体"/>
                <w:sz w:val="21"/>
                <w:szCs w:val="21"/>
                <w:lang w:eastAsia="en-US"/>
              </w:rPr>
            </w:pPr>
          </w:p>
          <w:p>
            <w:pPr>
              <w:pStyle w:val="15"/>
              <w:spacing w:before="70"/>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制度执行有效性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
              <w:jc w:val="center"/>
              <w:rPr>
                <w:rFonts w:hint="eastAsia" w:ascii="黑体" w:hAnsi="黑体" w:eastAsia="黑体" w:cs="黑体"/>
                <w:sz w:val="21"/>
                <w:szCs w:val="21"/>
                <w:lang w:eastAsia="en-US"/>
              </w:rPr>
            </w:pPr>
          </w:p>
          <w:p>
            <w:pPr>
              <w:pStyle w:val="15"/>
              <w:spacing w:before="1"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（35 分）</w:t>
            </w: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产出数量</w:t>
            </w:r>
          </w:p>
        </w:tc>
        <w:tc>
          <w:tcPr>
            <w:tcW w:w="59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产出质量</w:t>
            </w:r>
          </w:p>
        </w:tc>
        <w:tc>
          <w:tcPr>
            <w:tcW w:w="59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2"/>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产出时效</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产出成本</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效益</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（25 分）</w:t>
            </w:r>
          </w:p>
        </w:tc>
        <w:tc>
          <w:tcPr>
            <w:tcW w:w="1361" w:type="dxa"/>
            <w:gridSpan w:val="2"/>
          </w:tcPr>
          <w:p>
            <w:pPr>
              <w:pStyle w:val="15"/>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经济效益</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社会效益</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对当地发展的稳定起到一定作用。</w:t>
            </w:r>
          </w:p>
        </w:tc>
        <w:tc>
          <w:tcPr>
            <w:tcW w:w="675" w:type="dxa"/>
          </w:tcPr>
          <w:p>
            <w:pPr>
              <w:pStyle w:val="15"/>
              <w:jc w:val="center"/>
              <w:rPr>
                <w:rFonts w:hint="eastAsia" w:ascii="Times New Roman"/>
                <w:sz w:val="20"/>
                <w:lang w:val="en-US" w:eastAsia="zh-CN"/>
              </w:rPr>
            </w:pPr>
          </w:p>
          <w:p>
            <w:pPr>
              <w:pStyle w:val="15"/>
              <w:jc w:val="center"/>
              <w:rPr>
                <w:rFonts w:hint="default" w:ascii="Times New Roman" w:eastAsia="宋体"/>
                <w:sz w:val="20"/>
                <w:lang w:val="en-US" w:eastAsia="zh-CN"/>
              </w:rPr>
            </w:pPr>
            <w:r>
              <w:rPr>
                <w:rFonts w:hint="eastAsia" w:ascii="Times New Roman" w:eastAsia="宋体"/>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生态效益</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在组织活动中，是否对生态起到了破坏作用。如有，就为0分。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2"/>
              <w:ind w:left="154"/>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可持续效益</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项目实施是否带来可持续影响</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对本项目或其他活动的开展，起到可持续效益作用。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5"/>
              <w:spacing w:before="3"/>
              <w:jc w:val="center"/>
              <w:rPr>
                <w:rFonts w:hint="eastAsia" w:ascii="黑体" w:hAnsi="黑体" w:eastAsia="黑体" w:cs="黑体"/>
                <w:sz w:val="21"/>
                <w:szCs w:val="21"/>
                <w:lang w:eastAsia="en-US"/>
              </w:rPr>
            </w:pPr>
          </w:p>
          <w:p>
            <w:pPr>
              <w:pStyle w:val="15"/>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满意度</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（10 分）</w:t>
            </w:r>
          </w:p>
        </w:tc>
        <w:tc>
          <w:tcPr>
            <w:tcW w:w="1361" w:type="dxa"/>
            <w:gridSpan w:val="2"/>
          </w:tcPr>
          <w:p>
            <w:pPr>
              <w:pStyle w:val="15"/>
              <w:spacing w:before="98" w:line="213" w:lineRule="auto"/>
              <w:ind w:left="154" w:right="145"/>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社会公众或服务对象满意度</w:t>
            </w:r>
          </w:p>
        </w:tc>
        <w:tc>
          <w:tcPr>
            <w:tcW w:w="59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5"/>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5"/>
              <w:rPr>
                <w:sz w:val="23"/>
                <w:lang w:eastAsia="en-US"/>
              </w:rPr>
            </w:pPr>
          </w:p>
          <w:p>
            <w:pPr>
              <w:pStyle w:val="15"/>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5"/>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5"/>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spacing w:line="220" w:lineRule="atLeast"/>
      </w:pPr>
    </w:p>
    <w:sectPr>
      <w:footerReference r:id="rId7" w:type="default"/>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汉仪青云简">
    <w:panose1 w:val="00020600040101010101"/>
    <w:charset w:val="86"/>
    <w:family w:val="auto"/>
    <w:pitch w:val="default"/>
    <w:sig w:usb0="8000001F" w:usb1="1A0F781A" w:usb2="00000016" w:usb3="00000000" w:csb0="0004009F" w:csb1="DFD70000"/>
  </w:font>
  <w:font w:name="仿宋_GB2312">
    <w:panose1 w:val="02010609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ffectLst/>
                    </wps:spPr>
                    <wps:txbx>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67.3pt;margin-top:779.2pt;height:15.3pt;width:44pt;mso-position-horizontal-relative:page;mso-position-vertical-relative:page;z-index:-251654144;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ygejsAICAAARBAAADgAAAGRycy9lMm9Eb2MueG1s&#10;rVNNb9swDL0P2H8QdF+c9GPojDhF16DDgG4d0O4HMLIcC7NEjVJiZ79+lOxkXXfpYReDpsgnvsen&#10;5fVgO7HXFAy6Si5mcym0U1gbt63k96e7d1dShAiuhg6druRBB3m9evtm2ftSn2GLXa1JMIgLZe8r&#10;2cboy6IIqtUWwgy9dnzYIFmI/EvboiboGd12xdl8/r7okWpPqHQInF2Ph3JCpNcAYtMYpdeodla7&#10;OKKS7iAypdAaH+QqT9s0WsWHpgk6iq6SzDTmL1/C8SZ9i9USyi2Bb42aRoDXjPCCkwXj+NIT1Boi&#10;iB2Zf6CsUYQBmzhTaIuRSFaEWSzmL7R5bMHrzIWlDv4kevh/sOrr/hsJU1fyQgoHlhf+pIcoPuIg&#10;zpM6vQ8lFz16LosDp9kzmWnw96h+BOHwtgW31TdE2Lcaap5ukTqLZ60jTkggm/4L1nwN7CJmoKEh&#10;m6RjMQSj82YOp82kURQnLy+vruZ8ovho8eHifJE3V0B5bPYU4ieNVqSgksSLz+Cwvw8xDQPlsSTd&#10;5fDOdF1efuf+SnDhmNHZPVN3opKmH3nEYTNM0mywPjApwtFZ/K44aJF+SdGzqyoZfu6AtBTdZ8fC&#10;JAseAzoGm2MATnFrJaMUY3gbR6vuPJlty8ij9A5vWLzGZGJptHGKSXJ2SuY7uTpZ8fl/rvrzk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DIFHbAAAADgEAAA8AAAAAAAAAAQAgAAAAIgAAAGRy&#10;cy9kb3ducmV2LnhtbFBLAQIUABQAAAAIAIdO4kDKB6OwAgIAABEEAAAOAAAAAAAAAAEAIAAAACoB&#10;AABkcnMvZTJvRG9jLnhtbFBLBQYAAAAABgAGAFkBAACe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557990"/>
    <w:multiLevelType w:val="singleLevel"/>
    <w:tmpl w:val="AC557990"/>
    <w:lvl w:ilvl="0" w:tentative="0">
      <w:start w:val="2"/>
      <w:numFmt w:val="chineseCounting"/>
      <w:suff w:val="nothing"/>
      <w:lvlText w:val="（%1）"/>
      <w:lvlJc w:val="left"/>
      <w:rPr>
        <w:rFonts w:hint="eastAsia"/>
      </w:rPr>
    </w:lvl>
  </w:abstractNum>
  <w:abstractNum w:abstractNumId="1">
    <w:nsid w:val="3544123A"/>
    <w:multiLevelType w:val="singleLevel"/>
    <w:tmpl w:val="3544123A"/>
    <w:lvl w:ilvl="0" w:tentative="0">
      <w:start w:val="2"/>
      <w:numFmt w:val="chineseCounting"/>
      <w:suff w:val="nothing"/>
      <w:lvlText w:val="（%1）"/>
      <w:lvlJc w:val="left"/>
      <w:pPr>
        <w:ind w:left="64"/>
      </w:pPr>
      <w:rPr>
        <w:rFonts w:hint="eastAsia"/>
      </w:rPr>
    </w:lvl>
  </w:abstractNum>
  <w:abstractNum w:abstractNumId="2">
    <w:nsid w:val="6850536A"/>
    <w:multiLevelType w:val="singleLevel"/>
    <w:tmpl w:val="6850536A"/>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zY0OGU1OTc4MTk4Y2QwMzc0ODQ0YWY3MGEyODk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4813E70"/>
    <w:rsid w:val="322E7B0D"/>
    <w:rsid w:val="64F721F1"/>
    <w:rsid w:val="76BF6BB3"/>
    <w:rsid w:val="79692312"/>
    <w:rsid w:val="7E7B2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6"/>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table" w:customStyle="1" w:styleId="10">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1">
    <w:name w:val="正文文本 Char"/>
    <w:basedOn w:val="7"/>
    <w:link w:val="2"/>
    <w:qFormat/>
    <w:uiPriority w:val="1"/>
    <w:rPr>
      <w:rFonts w:ascii="宋体" w:hAnsi="宋体" w:eastAsia="宋体" w:cs="宋体"/>
      <w:sz w:val="32"/>
      <w:szCs w:val="32"/>
      <w:lang w:val="zh-CN" w:bidi="zh-CN"/>
    </w:rPr>
  </w:style>
  <w:style w:type="paragraph" w:customStyle="1" w:styleId="12">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3">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4">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5">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6">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3565</Words>
  <Characters>3674</Characters>
  <Lines>6</Lines>
  <Paragraphs>1</Paragraphs>
  <TotalTime>0</TotalTime>
  <ScaleCrop>false</ScaleCrop>
  <LinksUpToDate>false</LinksUpToDate>
  <CharactersWithSpaces>3700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22378</dc:creator>
  <cp:lastModifiedBy>13767981036手机用户</cp:lastModifiedBy>
  <dcterms:modified xsi:type="dcterms:W3CDTF">2023-05-30T07:33:11Z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1B53C98C9DC44235AECCA92FB0F0A525_13</vt:lpwstr>
  </property>
</Properties>
</file>