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0"/>
        <w:ind w:firstLine="320" w:firstLineChars="100"/>
        <w:rPr>
          <w:rFonts w:ascii="黑体" w:eastAsia="黑体"/>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13"/>
        <w:spacing w:before="237"/>
        <w:ind w:right="238"/>
        <w:rPr>
          <w:rFonts w:ascii="PMingLiU" w:eastAsia="PMingLiU"/>
        </w:rPr>
      </w:pPr>
      <w:r>
        <w:rPr>
          <w:rFonts w:hint="eastAsia" w:ascii="PMingLiU" w:eastAsia="PMingLiU"/>
        </w:rPr>
        <w:t>项目支出部门评价报告</w:t>
      </w:r>
    </w:p>
    <w:p>
      <w:pPr>
        <w:pStyle w:val="3"/>
        <w:spacing w:before="5"/>
        <w:rPr>
          <w:rFonts w:ascii="PMingLiU"/>
          <w:sz w:val="67"/>
        </w:rPr>
      </w:pPr>
    </w:p>
    <w:p>
      <w:pPr>
        <w:pStyle w:val="3"/>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t></w:t>
      </w:r>
      <w:r>
        <w:rPr>
          <w:rFonts w:hint="eastAsia" w:ascii="黑体" w:hAnsi="黑体" w:eastAsia="黑体"/>
        </w:rPr>
        <w:t>实施过程评价</w:t>
      </w:r>
      <w:r>
        <w:rPr>
          <w:rFonts w:hint="eastAsia" w:ascii="黑体" w:hAnsi="黑体" w:eastAsia="黑体"/>
        </w:rPr>
        <w:tab/>
      </w:r>
      <w:r>
        <w:rPr>
          <w:rFonts w:ascii="Wingdings 2" w:hAnsi="Wingdings 2" w:eastAsia="Wingdings 2"/>
        </w:rPr>
        <w:t></w:t>
      </w:r>
      <w:r>
        <w:rPr>
          <w:rFonts w:hint="eastAsia" w:ascii="黑体" w:hAnsi="黑体" w:eastAsia="黑体"/>
        </w:rPr>
        <w:t>完成结果评价</w:t>
      </w:r>
    </w:p>
    <w:p>
      <w:pPr>
        <w:pStyle w:val="3"/>
        <w:rPr>
          <w:rFonts w:ascii="黑体"/>
          <w:sz w:val="20"/>
        </w:rPr>
      </w:pPr>
    </w:p>
    <w:p>
      <w:pPr>
        <w:pStyle w:val="3"/>
        <w:rPr>
          <w:rFonts w:ascii="黑体"/>
          <w:sz w:val="20"/>
        </w:rPr>
      </w:pPr>
    </w:p>
    <w:p>
      <w:pPr>
        <w:pStyle w:val="3"/>
        <w:spacing w:before="7"/>
        <w:rPr>
          <w:rFonts w:ascii="黑体"/>
          <w:sz w:val="16"/>
        </w:rPr>
      </w:pPr>
    </w:p>
    <w:p>
      <w:pPr>
        <w:pStyle w:val="3"/>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审计专项</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南昌市青云谱区审计局</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6876"/>
        </w:tabs>
        <w:spacing w:before="66"/>
        <w:ind w:right="118"/>
        <w:jc w:val="center"/>
        <w:rPr>
          <w:rFonts w:ascii="黑体" w:eastAsia="黑体"/>
        </w:rPr>
      </w:pPr>
      <w:r>
        <w:rPr>
          <w:rFonts w:hint="eastAsia" w:ascii="黑体" w:eastAsia="黑体"/>
        </w:rPr>
        <w:t>主管部门：</w:t>
      </w:r>
      <w:r>
        <w:rPr>
          <w:rFonts w:hint="eastAsia" w:ascii="黑体" w:eastAsia="黑体"/>
          <w:u w:val="single"/>
        </w:rPr>
        <w:t xml:space="preserve"> </w:t>
      </w:r>
      <w:r>
        <w:rPr>
          <w:rFonts w:ascii="Times New Roman" w:eastAsia="Times New Roman"/>
          <w:u w:val="single"/>
        </w:rPr>
        <w:t xml:space="preserve"> </w:t>
      </w:r>
      <w:r>
        <w:rPr>
          <w:rFonts w:hint="eastAsia" w:ascii="Times New Roman"/>
          <w:u w:val="single"/>
          <w:lang w:val="en-US" w:eastAsia="zh-CN"/>
        </w:rPr>
        <w:t>南昌市青云谱区审计局</w:t>
      </w:r>
      <w:r>
        <w:rPr>
          <w:rFonts w:hint="eastAsia" w:ascii="黑体" w:eastAsia="黑体"/>
          <w:u w:val="single"/>
        </w:rPr>
        <w:tab/>
      </w:r>
      <w:r>
        <w:rPr>
          <w:rFonts w:hint="eastAsia" w:ascii="黑体" w:eastAsia="黑体"/>
          <w:u w:val="single"/>
        </w:rPr>
        <w:t>（盖章）</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01</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ab/>
      </w:r>
      <w:r>
        <w:rPr>
          <w:rFonts w:hint="eastAsia" w:ascii="黑体" w:eastAsia="黑体"/>
        </w:rPr>
        <w:t>日</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0"/>
        <w:rPr>
          <w:rFonts w:ascii="黑体"/>
          <w:sz w:val="29"/>
        </w:rPr>
      </w:pPr>
    </w:p>
    <w:p>
      <w:pPr>
        <w:pStyle w:val="3"/>
        <w:tabs>
          <w:tab w:val="left" w:pos="959"/>
          <w:tab w:val="left" w:pos="1920"/>
        </w:tabs>
        <w:spacing w:before="56"/>
        <w:ind w:right="238"/>
        <w:jc w:val="center"/>
        <w:rPr>
          <w:rFonts w:ascii="黑体" w:eastAsia="黑体"/>
        </w:rPr>
      </w:pP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3"/>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14"/>
        <w:keepNext w:val="0"/>
        <w:keepLines w:val="0"/>
        <w:pageBreakBefore w:val="0"/>
        <w:numPr>
          <w:ilvl w:val="0"/>
          <w:numId w:val="0"/>
        </w:numPr>
        <w:kinsoku/>
        <w:wordWrap/>
        <w:overflowPunct/>
        <w:topLinePunct w:val="0"/>
        <w:bidi w:val="0"/>
        <w:spacing w:after="0" w:line="580" w:lineRule="exact"/>
        <w:ind w:left="4839" w:leftChars="836" w:right="660" w:rightChars="300" w:hanging="3000" w:hangingChars="625"/>
        <w:jc w:val="left"/>
        <w:textAlignment w:val="auto"/>
        <w:rPr>
          <w:rFonts w:hint="eastAsia" w:ascii="汉仪青云简" w:hAnsi="汉仪青云简" w:eastAsia="汉仪青云简" w:cs="汉仪青云简"/>
          <w:b w:val="0"/>
          <w:sz w:val="48"/>
          <w:szCs w:val="48"/>
          <w:lang w:val="en-US" w:eastAsia="zh-CN"/>
        </w:rPr>
      </w:pPr>
      <w:r>
        <w:rPr>
          <w:rFonts w:hint="eastAsia" w:ascii="汉仪青云简" w:hAnsi="汉仪青云简" w:eastAsia="汉仪青云简" w:cs="汉仪青云简"/>
          <w:b w:val="0"/>
          <w:sz w:val="48"/>
          <w:szCs w:val="48"/>
          <w:lang w:val="en-US" w:eastAsia="zh-CN"/>
        </w:rPr>
        <w:t>南昌市青云谱区审计局审计专项项目绩效评价报告</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lang w:eastAsia="zh-CN"/>
        </w:rPr>
      </w:pPr>
      <w:r>
        <w:rPr>
          <w:rFonts w:hint="eastAsia" w:asciiTheme="minorEastAsia" w:hAnsiTheme="minorEastAsia" w:eastAsiaTheme="minorEastAsia" w:cstheme="minorEastAsia"/>
          <w:b w:val="0"/>
          <w:sz w:val="32"/>
          <w:szCs w:val="32"/>
        </w:rPr>
        <w:t>为进一步规范财政资金管理，强化部门责任意识，切实提高财政资金使用效益。我</w:t>
      </w:r>
      <w:r>
        <w:rPr>
          <w:rFonts w:hint="eastAsia" w:asciiTheme="minorEastAsia" w:hAnsiTheme="minorEastAsia" w:eastAsiaTheme="minorEastAsia" w:cstheme="minorEastAsia"/>
          <w:b w:val="0"/>
          <w:sz w:val="32"/>
          <w:szCs w:val="32"/>
          <w:lang w:val="en-US" w:eastAsia="zh-CN"/>
        </w:rPr>
        <w:t>部门</w:t>
      </w:r>
      <w:r>
        <w:rPr>
          <w:rFonts w:hint="eastAsia" w:asciiTheme="minorEastAsia" w:hAnsiTheme="minorEastAsia" w:eastAsiaTheme="minorEastAsia" w:cstheme="minorEastAsia"/>
          <w:b w:val="0"/>
          <w:sz w:val="32"/>
          <w:szCs w:val="32"/>
        </w:rPr>
        <w:t>对202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度年</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专项资金开展了绩效评价工作。</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在</w:t>
      </w:r>
      <w:r>
        <w:rPr>
          <w:rFonts w:hint="eastAsia" w:asciiTheme="minorEastAsia" w:hAnsiTheme="minorEastAsia" w:eastAsiaTheme="minorEastAsia" w:cstheme="minorEastAsia"/>
          <w:b w:val="0"/>
          <w:sz w:val="32"/>
          <w:szCs w:val="32"/>
          <w:lang w:val="en-US" w:eastAsia="zh-CN"/>
        </w:rPr>
        <w:t>审计专项</w:t>
      </w:r>
      <w:r>
        <w:rPr>
          <w:rFonts w:hint="eastAsia" w:asciiTheme="minorEastAsia" w:hAnsiTheme="minorEastAsia" w:eastAsiaTheme="minorEastAsia" w:cstheme="minorEastAsia"/>
          <w:b w:val="0"/>
          <w:sz w:val="32"/>
          <w:szCs w:val="32"/>
        </w:rPr>
        <w:t>专项资金方面做到了不滞留、不克扣、不挪用，切实做到了专款专用</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rPr>
        <w:t>确保了用款真实、合法、有效</w:t>
      </w:r>
      <w:r>
        <w:rPr>
          <w:rFonts w:hint="eastAsia" w:asciiTheme="minorEastAsia" w:hAnsiTheme="minorEastAsia" w:eastAsiaTheme="minorEastAsia" w:cstheme="minorEastAsia"/>
          <w:b w:val="0"/>
          <w:sz w:val="32"/>
          <w:szCs w:val="32"/>
          <w:lang w:eastAsia="zh-CN"/>
        </w:rPr>
        <w:t>。</w:t>
      </w:r>
    </w:p>
    <w:p>
      <w:pPr>
        <w:pStyle w:val="3"/>
        <w:spacing w:before="267"/>
        <w:ind w:left="1476"/>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4"/>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keepNext w:val="0"/>
        <w:keepLines w:val="0"/>
        <w:pageBreakBefore w:val="0"/>
        <w:widowControl w:val="0"/>
        <w:kinsoku/>
        <w:wordWrap/>
        <w:overflowPunct/>
        <w:topLinePunct w:val="0"/>
        <w:autoSpaceDE/>
        <w:autoSpaceDN/>
        <w:bidi w:val="0"/>
        <w:adjustRightInd/>
        <w:spacing w:line="540" w:lineRule="exact"/>
        <w:ind w:left="781" w:leftChars="355" w:right="660" w:rightChars="300" w:firstLine="640" w:firstLineChars="200"/>
        <w:jc w:val="both"/>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项目背景</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bCs/>
          <w:sz w:val="32"/>
          <w:szCs w:val="32"/>
          <w:lang w:val="zh-CN" w:eastAsia="zh-CN" w:bidi="zh-CN"/>
        </w:rPr>
        <w:t>以《青云谱区审计监督全覆盖五年规划（2021-2025年）》为指导，科学谋划部署审计工作，稳步推进审计监督全覆盖。为保障财政资金投入的合法性、效益性、安全性，根据审计署关于政府投资审计转型发展要求和区委主要领导指示，安排政府性投资项目审计,通过关注政府性投资项目立项、可研、设计、预算、招标、施工、结算等全生命周期管理情况，进一步规范政府投资行为。</w:t>
      </w:r>
      <w:r>
        <w:rPr>
          <w:rFonts w:hint="eastAsia" w:asciiTheme="minorEastAsia" w:hAnsiTheme="minorEastAsia" w:eastAsiaTheme="minorEastAsia" w:cstheme="minorEastAsia"/>
          <w:b w:val="0"/>
          <w:bCs/>
          <w:sz w:val="32"/>
          <w:szCs w:val="32"/>
          <w:lang w:val="en-US" w:eastAsia="zh-CN" w:bidi="zh-CN"/>
        </w:rPr>
        <w:t>安排国投集团经营情况专项审计调查，通过关注贯彻落实重大决策情况、企业财务情况、内部管理情况等，进一步规范国投集团经营行为。</w:t>
      </w:r>
    </w:p>
    <w:p>
      <w:pPr>
        <w:pStyle w:val="14"/>
        <w:spacing w:before="84" w:line="244" w:lineRule="auto"/>
        <w:ind w:left="836" w:right="502" w:firstLine="64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bCs/>
          <w:sz w:val="32"/>
          <w:szCs w:val="32"/>
          <w:lang w:val="zh-CN" w:eastAsia="zh-CN" w:bidi="zh-CN"/>
        </w:rPr>
        <w:t>主要内容：</w:t>
      </w:r>
      <w:r>
        <w:rPr>
          <w:rFonts w:hint="default" w:asciiTheme="minorEastAsia" w:hAnsiTheme="minorEastAsia" w:eastAsiaTheme="minorEastAsia" w:cstheme="minorEastAsia"/>
          <w:b w:val="0"/>
          <w:bCs/>
          <w:sz w:val="32"/>
          <w:szCs w:val="32"/>
          <w:lang w:val="en-US" w:eastAsia="zh-CN" w:bidi="zh-CN"/>
        </w:rPr>
        <w:t>加强对</w:t>
      </w:r>
      <w:r>
        <w:rPr>
          <w:rFonts w:hint="eastAsia" w:asciiTheme="minorEastAsia" w:hAnsiTheme="minorEastAsia" w:eastAsiaTheme="minorEastAsia" w:cstheme="minorEastAsia"/>
          <w:b w:val="0"/>
          <w:bCs/>
          <w:sz w:val="32"/>
          <w:szCs w:val="32"/>
          <w:lang w:val="en-US" w:eastAsia="zh-CN" w:bidi="zh-CN"/>
        </w:rPr>
        <w:t>全区各单位</w:t>
      </w:r>
      <w:r>
        <w:rPr>
          <w:rFonts w:hint="default" w:asciiTheme="minorEastAsia" w:hAnsiTheme="minorEastAsia" w:eastAsiaTheme="minorEastAsia" w:cstheme="minorEastAsia"/>
          <w:b w:val="0"/>
          <w:bCs/>
          <w:sz w:val="32"/>
          <w:szCs w:val="32"/>
          <w:lang w:val="en-US" w:eastAsia="zh-CN" w:bidi="zh-CN"/>
        </w:rPr>
        <w:t>内部审计工作的指导和监督，</w:t>
      </w:r>
      <w:r>
        <w:rPr>
          <w:rFonts w:hint="eastAsia" w:asciiTheme="minorEastAsia" w:hAnsiTheme="minorEastAsia" w:eastAsiaTheme="minorEastAsia" w:cstheme="minorEastAsia"/>
          <w:b w:val="0"/>
          <w:bCs/>
          <w:sz w:val="32"/>
          <w:szCs w:val="32"/>
          <w:lang w:val="en-US" w:eastAsia="zh-CN" w:bidi="zh-CN"/>
        </w:rPr>
        <w:t>切实</w:t>
      </w:r>
      <w:r>
        <w:rPr>
          <w:rFonts w:hint="default" w:asciiTheme="minorEastAsia" w:hAnsiTheme="minorEastAsia" w:eastAsiaTheme="minorEastAsia" w:cstheme="minorEastAsia"/>
          <w:b w:val="0"/>
          <w:bCs/>
          <w:sz w:val="32"/>
          <w:szCs w:val="32"/>
          <w:lang w:val="en-US" w:eastAsia="zh-CN" w:bidi="zh-CN"/>
        </w:rPr>
        <w:t>做到传达部署到位、组织落实到位、强化指导到位</w:t>
      </w:r>
      <w:r>
        <w:rPr>
          <w:rFonts w:hint="eastAsia" w:asciiTheme="minorEastAsia" w:hAnsiTheme="minorEastAsia" w:eastAsiaTheme="minorEastAsia" w:cstheme="minorEastAsia"/>
          <w:b w:val="0"/>
          <w:bCs/>
          <w:sz w:val="32"/>
          <w:szCs w:val="32"/>
          <w:lang w:val="en-US" w:eastAsia="zh-CN" w:bidi="zh-CN"/>
        </w:rPr>
        <w:t>，力争</w:t>
      </w:r>
      <w:r>
        <w:rPr>
          <w:rFonts w:hint="default" w:asciiTheme="minorEastAsia" w:hAnsiTheme="minorEastAsia" w:eastAsiaTheme="minorEastAsia" w:cstheme="minorEastAsia"/>
          <w:b w:val="0"/>
          <w:bCs/>
          <w:sz w:val="32"/>
          <w:szCs w:val="32"/>
          <w:lang w:val="en-US" w:eastAsia="zh-CN" w:bidi="zh-CN"/>
        </w:rPr>
        <w:t>实现</w:t>
      </w:r>
      <w:r>
        <w:rPr>
          <w:rFonts w:hint="eastAsia" w:asciiTheme="minorEastAsia" w:hAnsiTheme="minorEastAsia" w:eastAsiaTheme="minorEastAsia" w:cstheme="minorEastAsia"/>
          <w:b w:val="0"/>
          <w:bCs/>
          <w:sz w:val="32"/>
          <w:szCs w:val="32"/>
          <w:lang w:val="en-US" w:eastAsia="zh-CN" w:bidi="zh-CN"/>
        </w:rPr>
        <w:t>全区行政</w:t>
      </w:r>
      <w:r>
        <w:rPr>
          <w:rFonts w:hint="default" w:asciiTheme="minorEastAsia" w:hAnsiTheme="minorEastAsia" w:eastAsiaTheme="minorEastAsia" w:cstheme="minorEastAsia"/>
          <w:b w:val="0"/>
          <w:bCs/>
          <w:sz w:val="32"/>
          <w:szCs w:val="32"/>
          <w:lang w:val="en-US" w:eastAsia="zh-CN" w:bidi="zh-CN"/>
        </w:rPr>
        <w:t>机关和</w:t>
      </w:r>
      <w:r>
        <w:rPr>
          <w:rFonts w:hint="eastAsia" w:asciiTheme="minorEastAsia" w:hAnsiTheme="minorEastAsia" w:eastAsiaTheme="minorEastAsia" w:cstheme="minorEastAsia"/>
          <w:b w:val="0"/>
          <w:bCs/>
          <w:sz w:val="32"/>
          <w:szCs w:val="32"/>
          <w:lang w:val="en-US" w:eastAsia="zh-CN" w:bidi="zh-CN"/>
        </w:rPr>
        <w:t>国有</w:t>
      </w:r>
      <w:r>
        <w:rPr>
          <w:rFonts w:hint="default" w:asciiTheme="minorEastAsia" w:hAnsiTheme="minorEastAsia" w:eastAsiaTheme="minorEastAsia" w:cstheme="minorEastAsia"/>
          <w:b w:val="0"/>
          <w:bCs/>
          <w:sz w:val="32"/>
          <w:szCs w:val="32"/>
          <w:lang w:val="en-US" w:eastAsia="zh-CN" w:bidi="zh-CN"/>
        </w:rPr>
        <w:t>企事业单位内审监督全覆盖。二是依托项目实施，当好“监督员”。在审计项目的实施过程中，及时掌握</w:t>
      </w:r>
      <w:r>
        <w:rPr>
          <w:rFonts w:hint="eastAsia" w:asciiTheme="minorEastAsia" w:hAnsiTheme="minorEastAsia" w:eastAsiaTheme="minorEastAsia" w:cstheme="minorEastAsia"/>
          <w:b w:val="0"/>
          <w:bCs/>
          <w:sz w:val="32"/>
          <w:szCs w:val="32"/>
          <w:lang w:val="en-US" w:eastAsia="zh-CN" w:bidi="zh-CN"/>
        </w:rPr>
        <w:t>被审计单位</w:t>
      </w:r>
      <w:r>
        <w:rPr>
          <w:rFonts w:hint="default" w:asciiTheme="minorEastAsia" w:hAnsiTheme="minorEastAsia" w:eastAsiaTheme="minorEastAsia" w:cstheme="minorEastAsia"/>
          <w:b w:val="0"/>
          <w:bCs/>
          <w:sz w:val="32"/>
          <w:szCs w:val="32"/>
          <w:lang w:val="en-US" w:eastAsia="zh-CN" w:bidi="zh-CN"/>
        </w:rPr>
        <w:t>内部审计工作情况，</w:t>
      </w:r>
      <w:r>
        <w:rPr>
          <w:rFonts w:hint="eastAsia" w:asciiTheme="minorEastAsia" w:hAnsiTheme="minorEastAsia" w:eastAsiaTheme="minorEastAsia" w:cstheme="minorEastAsia"/>
          <w:b w:val="0"/>
          <w:bCs/>
          <w:sz w:val="32"/>
          <w:szCs w:val="32"/>
          <w:lang w:val="en-US" w:eastAsia="zh-CN" w:bidi="zh-CN"/>
        </w:rPr>
        <w:t>指导</w:t>
      </w:r>
      <w:r>
        <w:rPr>
          <w:rFonts w:hint="default" w:asciiTheme="minorEastAsia" w:hAnsiTheme="minorEastAsia" w:eastAsiaTheme="minorEastAsia" w:cstheme="minorEastAsia"/>
          <w:b w:val="0"/>
          <w:bCs/>
          <w:sz w:val="32"/>
          <w:szCs w:val="32"/>
          <w:lang w:val="en-US" w:eastAsia="zh-CN" w:bidi="zh-CN"/>
        </w:rPr>
        <w:t>被审计单位建立健全内部审计制度</w:t>
      </w:r>
      <w:r>
        <w:rPr>
          <w:rFonts w:hint="eastAsia" w:asciiTheme="minorEastAsia" w:hAnsiTheme="minorEastAsia" w:eastAsiaTheme="minorEastAsia" w:cstheme="minorEastAsia"/>
          <w:b w:val="0"/>
          <w:bCs/>
          <w:sz w:val="32"/>
          <w:szCs w:val="32"/>
          <w:lang w:val="en-US" w:eastAsia="zh-CN" w:bidi="zh-CN"/>
        </w:rPr>
        <w:t>。</w:t>
      </w:r>
    </w:p>
    <w:p>
      <w:pPr>
        <w:pStyle w:val="14"/>
        <w:keepNext w:val="0"/>
        <w:keepLines w:val="0"/>
        <w:pageBreakBefore w:val="0"/>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30</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9</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9</w:t>
      </w:r>
      <w:r>
        <w:rPr>
          <w:rFonts w:hint="eastAsia" w:asciiTheme="minorEastAsia" w:hAnsiTheme="minorEastAsia" w:eastAsiaTheme="minorEastAsia" w:cstheme="minorEastAsia"/>
          <w:b w:val="0"/>
          <w:sz w:val="32"/>
          <w:szCs w:val="32"/>
        </w:rPr>
        <w:t>万元，资金执行率</w:t>
      </w:r>
      <w:r>
        <w:rPr>
          <w:rFonts w:hint="eastAsia" w:asciiTheme="minorEastAsia" w:hAnsiTheme="minorEastAsia" w:eastAsiaTheme="minorEastAsia" w:cstheme="minorEastAsia"/>
          <w:b w:val="0"/>
          <w:sz w:val="32"/>
          <w:szCs w:val="32"/>
          <w:lang w:val="en-US" w:eastAsia="zh-CN"/>
        </w:rPr>
        <w:t>100</w:t>
      </w:r>
      <w:r>
        <w:rPr>
          <w:rFonts w:hint="eastAsia" w:asciiTheme="minorEastAsia" w:hAnsiTheme="minorEastAsia" w:eastAsiaTheme="minorEastAsia" w:cstheme="minorEastAsia"/>
          <w:b w:val="0"/>
          <w:sz w:val="32"/>
          <w:szCs w:val="32"/>
        </w:rPr>
        <w:t>%。</w:t>
      </w:r>
      <w:bookmarkStart w:id="8" w:name="_GoBack"/>
      <w:bookmarkEnd w:id="8"/>
    </w:p>
    <w:p>
      <w:pPr>
        <w:numPr>
          <w:ilvl w:val="0"/>
          <w:numId w:val="1"/>
        </w:numPr>
        <w:spacing w:line="588" w:lineRule="exact"/>
        <w:ind w:left="1476"/>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lang w:val="en-US" w:eastAsia="zh-CN"/>
        </w:rPr>
      </w:pPr>
      <w:r>
        <w:rPr>
          <w:rFonts w:hint="eastAsia" w:asciiTheme="minorEastAsia" w:hAnsiTheme="minorEastAsia" w:eastAsiaTheme="minorEastAsia" w:cstheme="minorEastAsia"/>
          <w:b w:val="0"/>
          <w:sz w:val="32"/>
          <w:szCs w:val="32"/>
          <w:lang w:val="en-US" w:eastAsia="zh-CN"/>
        </w:rPr>
        <w:t>聚焦审计对象、行业特点，系统分析被审计单位内控机制，有针对性地揭示行业性问题和重大风险隐患。巧用“大数据审计”手段延伸审计监督广度。灵活运用大数据等审计方式提高工作效率，确保审计质量。活用“过程管理”方法加大审计监督力度。局每周定期召开业务会，集体研究难点问题，将审计中发现的相似问题统一归类、统一研判，确保引用法规适当、定性准确，提高审计质量。</w:t>
      </w:r>
    </w:p>
    <w:p>
      <w:pPr>
        <w:pStyle w:val="3"/>
        <w:spacing w:before="117"/>
        <w:ind w:left="1476"/>
        <w:rPr>
          <w:rFonts w:asciiTheme="minorEastAsia" w:hAnsiTheme="minorEastAsia" w:eastAsiaTheme="minorEastAsia"/>
          <w:b/>
          <w:bCs/>
        </w:rPr>
      </w:pPr>
      <w:r>
        <w:rPr>
          <w:rFonts w:hint="eastAsia" w:asciiTheme="minorEastAsia" w:hAnsiTheme="minorEastAsia" w:eastAsiaTheme="minorEastAsia"/>
          <w:b/>
          <w:bCs/>
        </w:rPr>
        <w:t>二、绩效评价工作开展情况</w:t>
      </w:r>
    </w:p>
    <w:p>
      <w:pPr>
        <w:pStyle w:val="14"/>
        <w:spacing w:before="85"/>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年我区</w:t>
      </w:r>
      <w:r>
        <w:rPr>
          <w:rFonts w:hint="eastAsia" w:asciiTheme="minorEastAsia" w:hAnsiTheme="minorEastAsia" w:eastAsiaTheme="minorEastAsia" w:cstheme="minorEastAsia"/>
          <w:b w:val="0"/>
          <w:sz w:val="32"/>
          <w:szCs w:val="32"/>
          <w:lang w:val="en-US" w:eastAsia="zh-CN"/>
        </w:rPr>
        <w:t>审计局审计专项</w:t>
      </w:r>
      <w:r>
        <w:rPr>
          <w:rFonts w:hint="eastAsia" w:asciiTheme="minorEastAsia" w:hAnsiTheme="minorEastAsia" w:eastAsiaTheme="minorEastAsia" w:cstheme="minorEastAsia"/>
          <w:b w:val="0"/>
          <w:sz w:val="32"/>
          <w:szCs w:val="32"/>
        </w:rPr>
        <w:t>专项资金绩效评价目的是为进一步加强财政支出管理，强化支出责任，建立科学、合理的</w:t>
      </w:r>
      <w:r>
        <w:rPr>
          <w:rFonts w:hint="eastAsia" w:asciiTheme="minorEastAsia" w:hAnsiTheme="minorEastAsia" w:eastAsiaTheme="minorEastAsia" w:cstheme="minorEastAsia"/>
          <w:b w:val="0"/>
          <w:sz w:val="32"/>
          <w:szCs w:val="32"/>
          <w:lang w:val="en-US" w:eastAsia="zh-CN"/>
        </w:rPr>
        <w:t>使用</w:t>
      </w:r>
      <w:r>
        <w:rPr>
          <w:rFonts w:hint="eastAsia" w:asciiTheme="minorEastAsia" w:hAnsiTheme="minorEastAsia" w:eastAsiaTheme="minorEastAsia" w:cstheme="minorEastAsia"/>
          <w:b w:val="0"/>
          <w:sz w:val="32"/>
          <w:szCs w:val="32"/>
        </w:rPr>
        <w:t>专项资金绩效评价管理体系，促进公共财政阳光化，提高财政资金使用效益</w:t>
      </w:r>
    </w:p>
    <w:p>
      <w:pPr>
        <w:spacing w:before="11" w:line="244" w:lineRule="auto"/>
        <w:ind w:left="836" w:right="502" w:firstLine="640"/>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rPr>
        <w:t>（二）绩效评价原则、评价指标体系（附表说明）、评价方法、评价标准等。</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绩效评价原则:科学规范原则，公正公开原则，分级分类原则，绩效相关原则。</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评价方法：本项目绩效评价主要采用数据对比，同时辅以抽样调查、座谈研讨、专家评估等方式。</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b w:val="0"/>
          <w:sz w:val="32"/>
          <w:szCs w:val="32"/>
        </w:rPr>
        <w:t>评价标准：绩效评价标准通常包括计划标准、行业标准、历史标准等，用于对绩效指标完成情况进行比较。</w:t>
      </w:r>
    </w:p>
    <w:p>
      <w:pPr>
        <w:numPr>
          <w:ilvl w:val="0"/>
          <w:numId w:val="2"/>
        </w:numPr>
        <w:spacing w:line="588" w:lineRule="exact"/>
        <w:ind w:left="1476" w:leftChars="0" w:firstLine="0" w:firstLineChars="0"/>
        <w:rPr>
          <w:rFonts w:hint="eastAsia" w:asciiTheme="minorEastAsia" w:hAnsiTheme="minorEastAsia" w:eastAsiaTheme="minorEastAsia"/>
          <w:sz w:val="32"/>
        </w:rPr>
      </w:pPr>
      <w:r>
        <w:rPr>
          <w:rFonts w:hint="eastAsia" w:asciiTheme="minorEastAsia" w:hAnsiTheme="minorEastAsia" w:eastAsiaTheme="minorEastAsia"/>
          <w:sz w:val="32"/>
        </w:rPr>
        <w:t>绩效评价工作过程。</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asciiTheme="minorEastAsia" w:hAnsiTheme="minorEastAsia" w:eastAsiaTheme="minorEastAsia"/>
          <w:sz w:val="32"/>
        </w:rPr>
      </w:pPr>
      <w:r>
        <w:rPr>
          <w:rFonts w:hint="eastAsia" w:asciiTheme="minorEastAsia" w:hAnsiTheme="minorEastAsia" w:eastAsiaTheme="minorEastAsia" w:cstheme="minorEastAsia"/>
          <w:b w:val="0"/>
          <w:sz w:val="32"/>
          <w:szCs w:val="32"/>
        </w:rPr>
        <w:t>南昌市青云谱区</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通过</w:t>
      </w:r>
      <w:r>
        <w:rPr>
          <w:rFonts w:hint="eastAsia" w:asciiTheme="minorEastAsia" w:hAnsiTheme="minorEastAsia" w:eastAsiaTheme="minorEastAsia" w:cstheme="minorEastAsia"/>
          <w:sz w:val="32"/>
          <w:szCs w:val="32"/>
        </w:rPr>
        <w:t>制定了青云谱区</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spacing w:before="12" w:line="288" w:lineRule="auto"/>
        <w:ind w:left="1476" w:right="2660" w:firstLine="16"/>
        <w:rPr>
          <w:rFonts w:hint="eastAsia" w:asciiTheme="minorEastAsia" w:hAnsiTheme="minorEastAsia" w:eastAsiaTheme="minorEastAsia"/>
          <w:b/>
          <w:bCs/>
          <w:sz w:val="32"/>
        </w:rPr>
      </w:pPr>
      <w:r>
        <w:rPr>
          <w:rFonts w:hint="eastAsia" w:asciiTheme="minorEastAsia" w:hAnsiTheme="minorEastAsia" w:eastAsiaTheme="minorEastAsia"/>
          <w:b/>
          <w:bCs/>
          <w:spacing w:val="7"/>
          <w:sz w:val="32"/>
        </w:rPr>
        <w:t>三、综合评价情况及评价结论</w:t>
      </w:r>
      <w:r>
        <w:rPr>
          <w:rFonts w:hint="eastAsia" w:asciiTheme="minorEastAsia" w:hAnsiTheme="minorEastAsia" w:eastAsiaTheme="minorEastAsia"/>
          <w:b/>
          <w:bCs/>
          <w:sz w:val="32"/>
        </w:rPr>
        <w:t>（附相关评分表）</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绩效评价情况：经过严格细致的自评工作，该项目的自评分为</w:t>
      </w:r>
      <w:r>
        <w:rPr>
          <w:rFonts w:hint="eastAsia" w:asciiTheme="minorEastAsia" w:hAnsiTheme="minorEastAsia" w:eastAsiaTheme="minorEastAsia" w:cstheme="minorEastAsia"/>
          <w:b w:val="0"/>
          <w:sz w:val="32"/>
          <w:szCs w:val="32"/>
          <w:lang w:val="en-US" w:eastAsia="zh-CN"/>
        </w:rPr>
        <w:t>89</w:t>
      </w:r>
      <w:r>
        <w:rPr>
          <w:rFonts w:hint="eastAsia" w:asciiTheme="minorEastAsia" w:hAnsiTheme="minorEastAsia" w:eastAsiaTheme="minorEastAsia" w:cstheme="minorEastAsia"/>
          <w:b w:val="0"/>
          <w:sz w:val="32"/>
          <w:szCs w:val="32"/>
        </w:rPr>
        <w:t>分。绩效评级为“</w:t>
      </w:r>
      <w:r>
        <w:rPr>
          <w:rFonts w:hint="eastAsia" w:asciiTheme="minorEastAsia" w:hAnsiTheme="minorEastAsia" w:eastAsiaTheme="minorEastAsia" w:cstheme="minorEastAsia"/>
          <w:b w:val="0"/>
          <w:sz w:val="32"/>
          <w:szCs w:val="32"/>
          <w:lang w:val="en-US" w:eastAsia="zh-CN"/>
        </w:rPr>
        <w:t>良</w:t>
      </w:r>
      <w:r>
        <w:rPr>
          <w:rFonts w:hint="eastAsia" w:asciiTheme="minorEastAsia" w:hAnsiTheme="minorEastAsia" w:eastAsiaTheme="minorEastAsia" w:cstheme="minorEastAsia"/>
          <w:b w:val="0"/>
          <w:sz w:val="32"/>
          <w:szCs w:val="32"/>
        </w:rPr>
        <w:t>”。</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sz w:val="32"/>
        </w:rPr>
      </w:pPr>
      <w:r>
        <w:rPr>
          <w:rFonts w:hint="eastAsia" w:asciiTheme="minorEastAsia" w:hAnsiTheme="minorEastAsia" w:eastAsiaTheme="minorEastAsia" w:cstheme="minorEastAsia"/>
          <w:b w:val="0"/>
          <w:sz w:val="32"/>
          <w:szCs w:val="32"/>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spacing w:before="12" w:line="288" w:lineRule="auto"/>
        <w:ind w:left="1476" w:right="2660" w:firstLine="16"/>
        <w:rPr>
          <w:rFonts w:asciiTheme="minorEastAsia" w:hAnsiTheme="minorEastAsia" w:eastAsiaTheme="minorEastAsia"/>
          <w:b/>
          <w:bCs/>
          <w:sz w:val="32"/>
        </w:rPr>
      </w:pPr>
      <w:r>
        <w:rPr>
          <w:rFonts w:hint="eastAsia" w:asciiTheme="minorEastAsia" w:hAnsiTheme="minorEastAsia" w:eastAsiaTheme="minorEastAsia"/>
          <w:b/>
          <w:bCs/>
          <w:sz w:val="32"/>
        </w:rPr>
        <w:t xml:space="preserve"> 四、绩效评价指标分析</w:t>
      </w:r>
    </w:p>
    <w:p>
      <w:pPr>
        <w:pStyle w:val="14"/>
        <w:spacing w:before="2"/>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按规定程序申请设立；所提交的材料符合专项资金管理暂行办法；经过集体决策；实施符合国家、区委区政府相关法律法规；为促进本单位事业发展所必需。在规定时间内完成向区财政局申请专项资金事宜，及时到位资金，在五个工作日之内完成。</w:t>
      </w:r>
    </w:p>
    <w:p>
      <w:pPr>
        <w:numPr>
          <w:ilvl w:val="0"/>
          <w:numId w:val="3"/>
        </w:numPr>
        <w:spacing w:before="11"/>
        <w:ind w:left="1540" w:leftChars="0" w:firstLineChars="0"/>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制定了项目实施单位的业务管理制度,制定的业务管理制度合法、合规制定具有相应的项目质量要求或标准，每年有二次或二次以上自查或外部检查。</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制定了相应的项目资金管理办法,该项目资金管理办法符合相关财务会计制度规定。</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制定了相应的监控机制每年有二次或二次以上自查或外部检查。</w:t>
      </w:r>
    </w:p>
    <w:p>
      <w:pPr>
        <w:numPr>
          <w:ilvl w:val="0"/>
          <w:numId w:val="3"/>
        </w:numPr>
        <w:spacing w:before="12"/>
        <w:ind w:left="1540" w:leftChars="0" w:firstLine="0" w:firstLineChars="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项目产出情况。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1.产出</w:t>
      </w:r>
      <w:r>
        <w:rPr>
          <w:rFonts w:hint="eastAsia" w:asciiTheme="minorEastAsia" w:hAnsiTheme="minorEastAsia" w:eastAsiaTheme="minorEastAsia" w:cstheme="minorEastAsia"/>
          <w:sz w:val="32"/>
          <w:szCs w:val="32"/>
          <w:lang w:val="en-US" w:eastAsia="zh-CN"/>
        </w:rPr>
        <w:t>时效</w:t>
      </w:r>
      <w:r>
        <w:rPr>
          <w:rFonts w:hint="eastAsia" w:asciiTheme="minorEastAsia" w:hAnsiTheme="minorEastAsia" w:eastAsiaTheme="minorEastAsia" w:cstheme="minorEastAsia"/>
          <w:sz w:val="32"/>
          <w:szCs w:val="32"/>
        </w:rPr>
        <w:t>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w:t>
      </w:r>
      <w:r>
        <w:rPr>
          <w:rFonts w:hint="eastAsia" w:asciiTheme="minorEastAsia" w:hAnsiTheme="minorEastAsia" w:eastAsiaTheme="minorEastAsia" w:cstheme="minorEastAsia"/>
          <w:sz w:val="32"/>
          <w:szCs w:val="32"/>
          <w:lang w:val="en-US" w:eastAsia="zh-CN"/>
        </w:rPr>
        <w:t>时效</w:t>
      </w:r>
      <w:r>
        <w:rPr>
          <w:rFonts w:hint="eastAsia" w:asciiTheme="minorEastAsia" w:hAnsiTheme="minorEastAsia" w:eastAsiaTheme="minorEastAsia" w:cstheme="minorEastAsia"/>
          <w:sz w:val="32"/>
          <w:szCs w:val="32"/>
        </w:rPr>
        <w:t>指标</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16.95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2.产出质量指标得分情况逐个分析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产出质量指标得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16.95</w:t>
      </w:r>
      <w:r>
        <w:rPr>
          <w:rFonts w:hint="eastAsia" w:asciiTheme="minorEastAsia" w:hAnsiTheme="minorEastAsia" w:eastAsiaTheme="minorEastAsia" w:cstheme="minorEastAsia"/>
          <w:sz w:val="32"/>
          <w:szCs w:val="32"/>
        </w:rPr>
        <w:t>分。</w:t>
      </w:r>
    </w:p>
    <w:p>
      <w:pPr>
        <w:numPr>
          <w:ilvl w:val="0"/>
          <w:numId w:val="3"/>
        </w:numPr>
        <w:spacing w:before="11"/>
        <w:ind w:left="1540" w:leftChars="0" w:firstLine="0" w:firstLineChars="0"/>
        <w:rPr>
          <w:rFonts w:hint="eastAsia" w:asciiTheme="minorEastAsia" w:hAnsiTheme="minorEastAsia" w:eastAsiaTheme="minorEastAsia"/>
          <w:sz w:val="32"/>
        </w:rPr>
      </w:pPr>
      <w:bookmarkStart w:id="7" w:name="（四）项目效益情况。"/>
      <w:bookmarkEnd w:id="7"/>
      <w:r>
        <w:rPr>
          <w:rFonts w:hint="eastAsia" w:asciiTheme="minorEastAsia" w:hAnsiTheme="minorEastAsia" w:eastAsiaTheme="minorEastAsia"/>
          <w:sz w:val="32"/>
        </w:rPr>
        <w:t>项目效益情况。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1.产出</w:t>
      </w:r>
      <w:r>
        <w:rPr>
          <w:rFonts w:hint="eastAsia" w:asciiTheme="minorEastAsia" w:hAnsiTheme="minorEastAsia" w:eastAsiaTheme="minorEastAsia" w:cstheme="minorEastAsia"/>
          <w:sz w:val="32"/>
          <w:szCs w:val="32"/>
          <w:lang w:val="en-US" w:eastAsia="zh-CN"/>
        </w:rPr>
        <w:t>社会效益</w:t>
      </w:r>
      <w:r>
        <w:rPr>
          <w:rFonts w:hint="eastAsia" w:asciiTheme="minorEastAsia" w:hAnsiTheme="minorEastAsia" w:eastAsiaTheme="minorEastAsia" w:cstheme="minorEastAsia"/>
          <w:sz w:val="32"/>
          <w:szCs w:val="32"/>
        </w:rPr>
        <w:t>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社会效益指标20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pStyle w:val="3"/>
        <w:spacing w:before="118" w:line="350" w:lineRule="auto"/>
        <w:ind w:left="1795" w:leftChars="670" w:right="3109" w:hanging="321" w:hangingChars="100"/>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五、主要经验及做法、存在的问题及原因分析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1、结合单位实际和业务特点，强化预算管理，事前做好预算，控制经费使用， 做到开支合理，手续齐全，保障工作顺利完成；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2、严格按照财政部门资金管理办法管理，加强资金的使用和监督，厉行节约、注重实效，提高资金使用效益；</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、审计力量不足</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由于我局审计项目繁重，还要抽调一部分人员参加上级部门的审计项目</w:t>
      </w:r>
      <w:r>
        <w:rPr>
          <w:rFonts w:hint="eastAsia" w:asciiTheme="minorEastAsia" w:hAnsiTheme="minorEastAsia" w:eastAsiaTheme="minorEastAsia" w:cstheme="minorEastAsia"/>
          <w:sz w:val="32"/>
          <w:szCs w:val="32"/>
          <w:lang w:eastAsia="zh-CN"/>
        </w:rPr>
        <w:t>和参与市、区纪检巡察办案工作</w:t>
      </w:r>
      <w:r>
        <w:rPr>
          <w:rFonts w:hint="eastAsia" w:asciiTheme="minorEastAsia" w:hAnsiTheme="minorEastAsia" w:eastAsiaTheme="minorEastAsia" w:cstheme="minorEastAsia"/>
          <w:sz w:val="32"/>
          <w:szCs w:val="32"/>
        </w:rPr>
        <w:t>，人员少与任务重的矛盾</w:t>
      </w:r>
      <w:r>
        <w:rPr>
          <w:rFonts w:hint="eastAsia" w:asciiTheme="minorEastAsia" w:hAnsiTheme="minorEastAsia" w:eastAsiaTheme="minorEastAsia" w:cstheme="minorEastAsia"/>
          <w:sz w:val="32"/>
          <w:szCs w:val="32"/>
          <w:lang w:val="en-US" w:eastAsia="zh-CN"/>
        </w:rPr>
        <w:t>依旧</w:t>
      </w:r>
      <w:r>
        <w:rPr>
          <w:rFonts w:hint="eastAsia" w:asciiTheme="minorEastAsia" w:hAnsiTheme="minorEastAsia" w:eastAsiaTheme="minorEastAsia" w:cstheme="minorEastAsia"/>
          <w:sz w:val="32"/>
          <w:szCs w:val="32"/>
        </w:rPr>
        <w:t>相对突出</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内部审计</w:t>
      </w:r>
      <w:r>
        <w:rPr>
          <w:rFonts w:hint="eastAsia" w:asciiTheme="minorEastAsia" w:hAnsiTheme="minorEastAsia" w:eastAsiaTheme="minorEastAsia" w:cstheme="minorEastAsia"/>
          <w:sz w:val="32"/>
          <w:szCs w:val="32"/>
          <w:lang w:val="en-US" w:eastAsia="zh-CN"/>
        </w:rPr>
        <w:t>职能有待进一步发挥。</w:t>
      </w:r>
      <w:r>
        <w:rPr>
          <w:rFonts w:hint="eastAsia" w:asciiTheme="minorEastAsia" w:hAnsiTheme="minorEastAsia" w:eastAsiaTheme="minorEastAsia" w:cstheme="minorEastAsia"/>
          <w:sz w:val="32"/>
          <w:szCs w:val="32"/>
        </w:rPr>
        <w:t>对此，我们将高度重视，努力在今后工作中认真加以克服和改进</w:t>
      </w:r>
      <w:r>
        <w:rPr>
          <w:rFonts w:hint="eastAsia" w:asciiTheme="minorEastAsia" w:hAnsiTheme="minorEastAsia" w:eastAsiaTheme="minorEastAsia" w:cstheme="minorEastAsia"/>
          <w:sz w:val="32"/>
          <w:szCs w:val="32"/>
          <w:lang w:eastAsia="zh-CN"/>
        </w:rPr>
        <w:t>。</w:t>
      </w:r>
    </w:p>
    <w:p>
      <w:pPr>
        <w:pStyle w:val="3"/>
        <w:spacing w:before="118" w:line="350" w:lineRule="auto"/>
        <w:ind w:left="1476" w:right="3109"/>
        <w:rPr>
          <w:rFonts w:asciiTheme="minorEastAsia" w:hAnsiTheme="minorEastAsia" w:eastAsiaTheme="minorEastAsia"/>
          <w:b/>
          <w:bCs/>
        </w:rPr>
      </w:pPr>
      <w:r>
        <w:rPr>
          <w:rFonts w:hint="eastAsia" w:asciiTheme="minorEastAsia" w:hAnsiTheme="minorEastAsia" w:eastAsiaTheme="minorEastAsia"/>
          <w:b/>
          <w:bCs/>
        </w:rPr>
        <w:t>六、有关建议</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1.加强项目顶算管理，提高预算资金执行率。首先按项目实际需求认真编专项资金预算，并在资金支出过程中做到按预算执行，提高预算执行严肃性;其次，发现预算执行偏离要及时预算调整。</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制订健全项目资金专项管理制度。建立专项资金备查帐，严格按照项目资金的用范围和要求使用资金，严格项目资金使用程序和审批手续，切实加</w:t>
      </w:r>
      <w:r>
        <w:rPr>
          <w:rFonts w:hint="eastAsia" w:asciiTheme="minorEastAsia" w:hAnsiTheme="minorEastAsia" w:eastAsiaTheme="minorEastAsia" w:cstheme="minorEastAsia"/>
          <w:sz w:val="32"/>
          <w:szCs w:val="32"/>
          <w:lang w:val="en-US" w:eastAsia="zh-CN"/>
        </w:rPr>
        <w:t>强</w:t>
      </w:r>
      <w:r>
        <w:rPr>
          <w:rFonts w:hint="eastAsia" w:asciiTheme="minorEastAsia" w:hAnsiTheme="minorEastAsia" w:eastAsiaTheme="minorEastAsia" w:cstheme="minorEastAsia"/>
          <w:sz w:val="32"/>
          <w:szCs w:val="32"/>
        </w:rPr>
        <w:t>对专项资金的管理。</w:t>
      </w:r>
    </w:p>
    <w:p>
      <w:pPr>
        <w:pStyle w:val="3"/>
        <w:spacing w:before="2"/>
        <w:ind w:left="1476"/>
        <w:rPr>
          <w:rFonts w:asciiTheme="minorEastAsia" w:hAnsiTheme="minorEastAsia" w:eastAsiaTheme="minorEastAsia"/>
          <w:b/>
          <w:bCs/>
        </w:rPr>
      </w:pPr>
      <w:r>
        <w:rPr>
          <w:rFonts w:hint="eastAsia" w:asciiTheme="minorEastAsia" w:hAnsiTheme="minorEastAsia" w:eastAsiaTheme="minorEastAsia"/>
          <w:b/>
          <w:bCs/>
        </w:rPr>
        <w:t>七、其他需要说明的问题</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sectPr>
          <w:footerReference r:id="rId6" w:type="default"/>
          <w:pgSz w:w="11910" w:h="16840"/>
          <w:pgMar w:top="1480" w:right="340" w:bottom="1220" w:left="580" w:header="0" w:footer="1034" w:gutter="0"/>
          <w:pgNumType w:start="19"/>
          <w:cols w:space="720" w:num="1"/>
        </w:sectPr>
      </w:pPr>
    </w:p>
    <w:p>
      <w:pPr>
        <w:pStyle w:val="13"/>
        <w:spacing w:before="39"/>
        <w:ind w:left="1244"/>
      </w:pPr>
      <w:r>
        <w:t>项目支出绩效评分表</w:t>
      </w:r>
    </w:p>
    <w:p>
      <w:pPr>
        <w:pStyle w:val="3"/>
        <w:spacing w:before="8"/>
        <w:rPr>
          <w:sz w:val="16"/>
        </w:rPr>
      </w:pPr>
    </w:p>
    <w:tbl>
      <w:tblPr>
        <w:tblStyle w:val="11"/>
        <w:tblpPr w:leftFromText="180" w:rightFromText="180" w:vertAnchor="text" w:horzAnchor="page" w:tblpX="739" w:tblpY="646"/>
        <w:tblOverlap w:val="never"/>
        <w:tblW w:w="10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sz w:val="21"/>
                <w:lang w:eastAsia="en-US"/>
              </w:rPr>
            </w:pPr>
            <w:r>
              <w:rPr>
                <w:rFonts w:hint="eastAsia" w:ascii="黑体" w:eastAsia="黑体"/>
                <w:spacing w:val="-1"/>
                <w:w w:val="95"/>
                <w:sz w:val="21"/>
                <w:lang w:eastAsia="en-US"/>
              </w:rPr>
              <w:t>一级</w:t>
            </w:r>
          </w:p>
          <w:p>
            <w:pPr>
              <w:pStyle w:val="16"/>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6"/>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6"/>
              <w:spacing w:before="20"/>
              <w:ind w:left="192"/>
              <w:rPr>
                <w:rFonts w:ascii="黑体" w:eastAsia="黑体"/>
                <w:sz w:val="21"/>
                <w:lang w:eastAsia="en-US"/>
              </w:rPr>
            </w:pPr>
            <w:r>
              <w:rPr>
                <w:rFonts w:hint="eastAsia" w:ascii="黑体" w:eastAsia="黑体"/>
                <w:w w:val="99"/>
                <w:sz w:val="21"/>
                <w:lang w:eastAsia="en-US"/>
              </w:rPr>
              <w:t>分</w:t>
            </w:r>
          </w:p>
          <w:p>
            <w:pPr>
              <w:pStyle w:val="16"/>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6"/>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6"/>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6"/>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6"/>
              <w:spacing w:before="20"/>
              <w:ind w:left="125"/>
              <w:rPr>
                <w:rFonts w:ascii="黑体" w:eastAsia="黑体"/>
                <w:sz w:val="21"/>
                <w:lang w:eastAsia="en-US"/>
              </w:rPr>
            </w:pPr>
            <w:r>
              <w:rPr>
                <w:rFonts w:hint="eastAsia" w:ascii="黑体" w:eastAsia="黑体"/>
                <w:spacing w:val="-1"/>
                <w:w w:val="95"/>
                <w:sz w:val="21"/>
                <w:lang w:eastAsia="en-US"/>
              </w:rPr>
              <w:t>评价</w:t>
            </w:r>
          </w:p>
          <w:p>
            <w:pPr>
              <w:pStyle w:val="16"/>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决策</w:t>
            </w:r>
          </w:p>
          <w:p>
            <w:pPr>
              <w:pStyle w:val="16"/>
              <w:spacing w:before="6"/>
              <w:jc w:val="center"/>
              <w:rPr>
                <w:rFonts w:hint="eastAsia" w:ascii="黑体" w:hAnsi="黑体" w:eastAsia="黑体" w:cs="黑体"/>
                <w:sz w:val="21"/>
                <w:szCs w:val="21"/>
                <w:lang w:eastAsia="en-US"/>
              </w:rPr>
            </w:pPr>
          </w:p>
          <w:p>
            <w:pPr>
              <w:pStyle w:val="16"/>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6"/>
              <w:spacing w:before="11"/>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项目立项</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87"/>
              <w:ind w:left="224" w:right="219"/>
              <w:jc w:val="center"/>
              <w:rPr>
                <w:rFonts w:hint="eastAsia" w:ascii="黑体" w:hAnsi="黑体" w:eastAsia="黑体" w:cs="黑体"/>
                <w:sz w:val="21"/>
                <w:szCs w:val="21"/>
                <w:lang w:eastAsia="en-US"/>
              </w:rPr>
            </w:pPr>
          </w:p>
          <w:p>
            <w:pPr>
              <w:pStyle w:val="16"/>
              <w:spacing w:before="87"/>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立项依据充分性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64"/>
              <w:ind w:left="224" w:right="219"/>
              <w:jc w:val="center"/>
              <w:rPr>
                <w:rFonts w:hint="eastAsia" w:ascii="黑体" w:hAnsi="黑体" w:eastAsia="黑体" w:cs="黑体"/>
                <w:sz w:val="21"/>
                <w:szCs w:val="21"/>
                <w:lang w:eastAsia="en-US"/>
              </w:rPr>
            </w:pPr>
          </w:p>
          <w:p>
            <w:pPr>
              <w:pStyle w:val="16"/>
              <w:spacing w:before="64"/>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立项程序规范性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绩效目标合理性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103"/>
              <w:ind w:left="224" w:right="219"/>
              <w:jc w:val="center"/>
              <w:rPr>
                <w:rFonts w:hint="eastAsia" w:ascii="黑体" w:hAnsi="黑体" w:eastAsia="黑体" w:cs="黑体"/>
                <w:sz w:val="21"/>
                <w:szCs w:val="21"/>
                <w:lang w:eastAsia="en-US"/>
              </w:rPr>
            </w:pPr>
          </w:p>
          <w:p>
            <w:pPr>
              <w:pStyle w:val="16"/>
              <w:spacing w:before="10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绩效指标明确性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spacing w:before="10"/>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资金投入</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86"/>
              <w:ind w:left="224" w:right="219"/>
              <w:jc w:val="center"/>
              <w:rPr>
                <w:rFonts w:hint="eastAsia" w:ascii="黑体" w:hAnsi="黑体" w:eastAsia="黑体" w:cs="黑体"/>
                <w:sz w:val="21"/>
                <w:szCs w:val="21"/>
                <w:lang w:eastAsia="en-US"/>
              </w:rPr>
            </w:pPr>
          </w:p>
          <w:p>
            <w:pPr>
              <w:pStyle w:val="16"/>
              <w:spacing w:before="86"/>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预算编制科学性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资金分配合理性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30"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过程</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6"/>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资金管理</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Pr>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资金到位率</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widowControl/>
              <w:autoSpaceDE w:val="0"/>
              <w:autoSpaceDN w:val="0"/>
              <w:spacing w:line="240" w:lineRule="exact"/>
              <w:rPr>
                <w:rFonts w:hint="eastAsia" w:ascii="黑体" w:hAnsi="黑体" w:eastAsia="黑体" w:cs="黑体"/>
                <w:sz w:val="21"/>
                <w:szCs w:val="21"/>
                <w:lang w:eastAsia="zh-CN"/>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37"/>
              <w:ind w:left="224" w:right="217"/>
              <w:jc w:val="center"/>
              <w:rPr>
                <w:rFonts w:hint="eastAsia" w:ascii="黑体" w:hAnsi="黑体" w:eastAsia="黑体" w:cs="黑体"/>
                <w:sz w:val="21"/>
                <w:szCs w:val="21"/>
                <w:lang w:eastAsia="en-US"/>
              </w:rPr>
            </w:pPr>
          </w:p>
          <w:p>
            <w:pPr>
              <w:pStyle w:val="16"/>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6"/>
              <w:spacing w:before="37"/>
              <w:ind w:left="224" w:right="217"/>
              <w:jc w:val="center"/>
              <w:rPr>
                <w:rFonts w:hint="eastAsia" w:ascii="黑体" w:hAnsi="黑体" w:eastAsia="黑体" w:cs="黑体"/>
                <w:sz w:val="21"/>
                <w:szCs w:val="21"/>
                <w:lang w:eastAsia="en-US"/>
              </w:rPr>
            </w:pP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（实际下拨资金/应下拨资金）X100%。每降低10%扣1分，低于60%不得分。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71"/>
              <w:ind w:left="224" w:right="219"/>
              <w:jc w:val="center"/>
              <w:rPr>
                <w:rFonts w:hint="eastAsia" w:ascii="黑体" w:hAnsi="黑体" w:eastAsia="黑体" w:cs="黑体"/>
                <w:sz w:val="21"/>
                <w:szCs w:val="21"/>
                <w:lang w:eastAsia="en-US"/>
              </w:rPr>
            </w:pPr>
          </w:p>
          <w:p>
            <w:pPr>
              <w:pStyle w:val="16"/>
              <w:spacing w:before="71"/>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资金使用合规性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spacing w:before="12"/>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组织实施</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9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管理制度健全性</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制定专项资金管理办法的规定。</w:t>
            </w:r>
          </w:p>
        </w:tc>
        <w:tc>
          <w:tcPr>
            <w:tcW w:w="675" w:type="dxa"/>
          </w:tcPr>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70"/>
              <w:ind w:left="224" w:right="219"/>
              <w:jc w:val="center"/>
              <w:rPr>
                <w:rFonts w:hint="eastAsia" w:ascii="黑体" w:hAnsi="黑体" w:eastAsia="黑体" w:cs="黑体"/>
                <w:sz w:val="21"/>
                <w:szCs w:val="21"/>
                <w:lang w:eastAsia="en-US"/>
              </w:rPr>
            </w:pPr>
          </w:p>
          <w:p>
            <w:pPr>
              <w:pStyle w:val="16"/>
              <w:spacing w:before="70"/>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制度执行有效性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
              <w:jc w:val="center"/>
              <w:rPr>
                <w:rFonts w:hint="eastAsia" w:ascii="黑体" w:hAnsi="黑体" w:eastAsia="黑体" w:cs="黑体"/>
                <w:sz w:val="21"/>
                <w:szCs w:val="21"/>
                <w:lang w:eastAsia="en-US"/>
              </w:rPr>
            </w:pPr>
          </w:p>
          <w:p>
            <w:pPr>
              <w:pStyle w:val="16"/>
              <w:spacing w:before="1"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（35 分）</w:t>
            </w: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产出数量</w:t>
            </w:r>
          </w:p>
        </w:tc>
        <w:tc>
          <w:tcPr>
            <w:tcW w:w="59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产出质量</w:t>
            </w:r>
          </w:p>
        </w:tc>
        <w:tc>
          <w:tcPr>
            <w:tcW w:w="59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2"/>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产出时效</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产出成本</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效益</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（25 分）</w:t>
            </w:r>
          </w:p>
        </w:tc>
        <w:tc>
          <w:tcPr>
            <w:tcW w:w="1361" w:type="dxa"/>
            <w:gridSpan w:val="2"/>
          </w:tcPr>
          <w:p>
            <w:pPr>
              <w:pStyle w:val="16"/>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经济效益</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社会效益</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对当地发展的稳定起到一定作用。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生态效益</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在组织活动中，是否对生态起到了破坏作用。如有，就为0分。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2"/>
              <w:ind w:left="154"/>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可持续效益</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项目实施是否带来可持续影响</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对本项目或其他活动的开展，起到可持续效益作用。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6"/>
              <w:spacing w:before="3"/>
              <w:jc w:val="center"/>
              <w:rPr>
                <w:rFonts w:hint="eastAsia" w:ascii="黑体" w:hAnsi="黑体" w:eastAsia="黑体" w:cs="黑体"/>
                <w:sz w:val="21"/>
                <w:szCs w:val="21"/>
                <w:lang w:eastAsia="en-US"/>
              </w:rPr>
            </w:pPr>
          </w:p>
          <w:p>
            <w:pPr>
              <w:pStyle w:val="16"/>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满意度</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（10 分）</w:t>
            </w:r>
          </w:p>
        </w:tc>
        <w:tc>
          <w:tcPr>
            <w:tcW w:w="1361" w:type="dxa"/>
            <w:gridSpan w:val="2"/>
          </w:tcPr>
          <w:p>
            <w:pPr>
              <w:pStyle w:val="16"/>
              <w:spacing w:before="98" w:line="213" w:lineRule="auto"/>
              <w:ind w:left="154" w:right="145"/>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社会公众或服务对象满意度</w:t>
            </w:r>
          </w:p>
        </w:tc>
        <w:tc>
          <w:tcPr>
            <w:tcW w:w="59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default" w:ascii="Times New Roman" w:eastAsia="宋体"/>
                <w:sz w:val="20"/>
                <w:lang w:val="en-US" w:eastAsia="zh-CN"/>
              </w:rPr>
            </w:pPr>
            <w:r>
              <w:rPr>
                <w:rFonts w:hint="eastAsia" w:ascii="Times New Roman" w:eastAsia="宋体"/>
                <w:sz w:val="20"/>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6"/>
              <w:rPr>
                <w:sz w:val="23"/>
                <w:lang w:eastAsia="en-US"/>
              </w:rPr>
            </w:pPr>
          </w:p>
          <w:p>
            <w:pPr>
              <w:pStyle w:val="16"/>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sym w:font="Wingdings 2" w:char="00A3"/>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6"/>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pStyle w:val="3"/>
        <w:rPr>
          <w:rFonts w:ascii="黑体"/>
          <w:sz w:val="27"/>
        </w:rPr>
      </w:pPr>
    </w:p>
    <w:p>
      <w:pPr>
        <w:spacing w:line="220" w:lineRule="atLeast"/>
      </w:pPr>
    </w:p>
    <w:p>
      <w:pPr>
        <w:spacing w:line="220" w:lineRule="atLeast"/>
      </w:pPr>
    </w:p>
    <w:p>
      <w:pPr>
        <w:rPr>
          <w:rFonts w:ascii="黑体" w:eastAsia="黑体"/>
          <w:b/>
          <w:bCs/>
        </w:rPr>
        <w:sectPr>
          <w:footerReference r:id="rId7" w:type="default"/>
          <w:pgSz w:w="11910" w:h="16840"/>
          <w:pgMar w:top="1480" w:right="340" w:bottom="1220" w:left="580" w:header="0" w:footer="1034" w:gutter="0"/>
          <w:pgNumType w:start="19"/>
          <w:cols w:space="720" w:num="1"/>
        </w:sectPr>
      </w:pPr>
    </w:p>
    <w:p>
      <w:pPr>
        <w:spacing w:line="220" w:lineRule="atLeast"/>
      </w:pPr>
    </w:p>
    <w:sectPr>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310E1B-3FA2-401A-8F0F-9B08F9C669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embedRegular r:id="rId2" w:fontKey="{4A2708C0-45DC-4009-B91F-BBEA38052FA5}"/>
  </w:font>
  <w:font w:name="汉仪青云简">
    <w:panose1 w:val="00020600040101010101"/>
    <w:charset w:val="86"/>
    <w:family w:val="auto"/>
    <w:pitch w:val="default"/>
    <w:sig w:usb0="8000001F" w:usb1="1A0F781A" w:usb2="00000016" w:usb3="00000000" w:csb0="0004009F" w:csb1="DFD70000"/>
    <w:embedRegular r:id="rId3" w:fontKey="{DCF07B89-0E53-4C9D-95C8-FC85C2FDB15B}"/>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ffectLst/>
                    </wps:spPr>
                    <wps:txbx>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67.3pt;margin-top:779.2pt;height:15.3pt;width:44pt;mso-position-horizontal-relative:page;mso-position-vertical-relative:page;z-index:-251654144;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DIFHbAAAADgEAAA8AAAAAAAAAAQAgAAAAIgAAAGRy&#10;cy9kb3ducmV2LnhtbFBLAQIUABQAAAAIAIdO4kDKB6OwAgIAABEEAAAOAAAAAAAAAAEAIAAAACoB&#10;AABkcnMvZTJvRG9jLnhtbFBLBQYAAAAABgAGAFkBAACe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2555A"/>
    <w:multiLevelType w:val="singleLevel"/>
    <w:tmpl w:val="10E2555A"/>
    <w:lvl w:ilvl="0" w:tentative="0">
      <w:start w:val="2"/>
      <w:numFmt w:val="chineseCounting"/>
      <w:suff w:val="nothing"/>
      <w:lvlText w:val="（%1）"/>
      <w:lvlJc w:val="left"/>
      <w:rPr>
        <w:rFonts w:hint="eastAsia"/>
      </w:rPr>
    </w:lvl>
  </w:abstractNum>
  <w:abstractNum w:abstractNumId="1">
    <w:nsid w:val="3544123A"/>
    <w:multiLevelType w:val="singleLevel"/>
    <w:tmpl w:val="3544123A"/>
    <w:lvl w:ilvl="0" w:tentative="0">
      <w:start w:val="2"/>
      <w:numFmt w:val="chineseCounting"/>
      <w:suff w:val="nothing"/>
      <w:lvlText w:val="（%1）"/>
      <w:lvlJc w:val="left"/>
      <w:pPr>
        <w:ind w:left="64"/>
      </w:pPr>
      <w:rPr>
        <w:rFonts w:hint="eastAsia"/>
      </w:rPr>
    </w:lvl>
  </w:abstractNum>
  <w:abstractNum w:abstractNumId="2">
    <w:nsid w:val="4FDD7DBA"/>
    <w:multiLevelType w:val="singleLevel"/>
    <w:tmpl w:val="4FDD7DB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zY0OGU1OTc4MTk4Y2QwMzc0ODQ0YWY3MGEyODk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8A45DB5"/>
    <w:rsid w:val="0ED43747"/>
    <w:rsid w:val="40591E42"/>
    <w:rsid w:val="49B32CCB"/>
    <w:rsid w:val="513C7B79"/>
    <w:rsid w:val="5447462F"/>
    <w:rsid w:val="5DE66C64"/>
    <w:rsid w:val="6ED0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99"/>
    <w:pPr>
      <w:snapToGrid w:val="0"/>
      <w:jc w:val="left"/>
    </w:pPr>
    <w:rPr>
      <w:sz w:val="18"/>
      <w:szCs w:val="18"/>
    </w:rPr>
  </w:style>
  <w:style w:type="paragraph" w:styleId="3">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alloon Text"/>
    <w:basedOn w:val="1"/>
    <w:link w:val="17"/>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5">
    <w:name w:val="footer"/>
    <w:basedOn w:val="1"/>
    <w:link w:val="10"/>
    <w:semiHidden/>
    <w:unhideWhenUsed/>
    <w:qFormat/>
    <w:uiPriority w:val="99"/>
    <w:pPr>
      <w:tabs>
        <w:tab w:val="center" w:pos="4153"/>
        <w:tab w:val="right" w:pos="8306"/>
      </w:tabs>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qFormat/>
    <w:uiPriority w:val="99"/>
    <w:rPr>
      <w:rFonts w:ascii="Tahoma" w:hAnsi="Tahoma"/>
      <w:sz w:val="18"/>
      <w:szCs w:val="18"/>
    </w:rPr>
  </w:style>
  <w:style w:type="table" w:customStyle="1" w:styleId="11">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2">
    <w:name w:val="正文文本 Char"/>
    <w:basedOn w:val="8"/>
    <w:link w:val="3"/>
    <w:qFormat/>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8"/>
    <w:link w:val="4"/>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3748</Words>
  <Characters>3854</Characters>
  <Lines>6</Lines>
  <Paragraphs>1</Paragraphs>
  <TotalTime>1</TotalTime>
  <ScaleCrop>false</ScaleCrop>
  <LinksUpToDate>false</LinksUpToDate>
  <CharactersWithSpaces>3882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22378</dc:creator>
  <cp:lastModifiedBy>Aurora</cp:lastModifiedBy>
  <dcterms:modified xsi:type="dcterms:W3CDTF">2023-04-11T09:15:38Z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F408DAFD1512416FB1A67A58EE31C4BC</vt:lpwstr>
  </property>
</Properties>
</file>