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0"/>
        <w:ind w:firstLine="320" w:firstLineChars="100"/>
        <w:rPr>
          <w:rFonts w:ascii="黑体" w:eastAsia="黑体"/>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13"/>
        <w:spacing w:before="237"/>
        <w:ind w:right="238"/>
        <w:rPr>
          <w:rFonts w:ascii="PMingLiU" w:eastAsia="PMingLiU"/>
        </w:rPr>
      </w:pPr>
      <w:r>
        <w:rPr>
          <w:rFonts w:hint="eastAsia" w:ascii="PMingLiU" w:eastAsia="PMingLiU"/>
        </w:rPr>
        <w:t>项目支出部门评价报告</w:t>
      </w:r>
    </w:p>
    <w:p>
      <w:pPr>
        <w:pStyle w:val="3"/>
        <w:spacing w:before="5"/>
        <w:rPr>
          <w:rFonts w:ascii="PMingLiU"/>
          <w:sz w:val="67"/>
        </w:rPr>
      </w:pPr>
    </w:p>
    <w:p>
      <w:pPr>
        <w:pStyle w:val="3"/>
        <w:tabs>
          <w:tab w:val="left" w:pos="5404"/>
        </w:tabs>
        <w:ind w:right="665"/>
        <w:jc w:val="center"/>
        <w:rPr>
          <w:rFonts w:ascii="黑体" w:hAnsi="黑体" w:eastAsia="黑体"/>
        </w:rPr>
      </w:pPr>
      <w:r>
        <mc:AlternateContent>
          <mc:Choice Requires="wps">
            <w:drawing>
              <wp:anchor distT="0" distB="0" distL="114300" distR="114300" simplePos="0" relativeHeight="251659264" behindDoc="1" locked="0" layoutInCell="1" allowOverlap="1">
                <wp:simplePos x="0" y="0"/>
                <wp:positionH relativeFrom="page">
                  <wp:posOffset>2244725</wp:posOffset>
                </wp:positionH>
                <wp:positionV relativeFrom="paragraph">
                  <wp:posOffset>234315</wp:posOffset>
                </wp:positionV>
                <wp:extent cx="4120515" cy="0"/>
                <wp:effectExtent l="0" t="0" r="0" b="0"/>
                <wp:wrapNone/>
                <wp:docPr id="1" name="直线 3"/>
                <wp:cNvGraphicFramePr/>
                <a:graphic xmlns:a="http://schemas.openxmlformats.org/drawingml/2006/main">
                  <a:graphicData uri="http://schemas.microsoft.com/office/word/2010/wordprocessingShape">
                    <wps:wsp>
                      <wps:cNvCnPr/>
                      <wps:spPr>
                        <a:xfrm>
                          <a:off x="0" y="0"/>
                          <a:ext cx="412051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76.75pt;margin-top:18.45pt;height:0pt;width:324.45pt;mso-position-horizontal-relative:page;z-index:-251657216;mso-width-relative:page;mso-height-relative:page;" filled="f" stroked="t" coordsize="21600,21600" o:gfxdata="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xprkNYA&#10;AAAKAQAADwAAAAAAAAABACAAAAAiAAAAZHJzL2Rvd25yZXYueG1sUEsBAhQAFAAAAAgAh07iQDAs&#10;04voAQAA2wMAAA4AAAAAAAAAAQAgAAAAJQEAAGRycy9lMm9Eb2MueG1sUEsFBgAAAAAGAAYAWQEA&#10;AH8FAAAAAA==&#10;">
                <v:fill on="f" focussize="0,0"/>
                <v:stroke weight="0.78pt" color="#000000" joinstyle="round"/>
                <v:imagedata o:title=""/>
                <o:lock v:ext="edit" aspectratio="f"/>
              </v:line>
            </w:pict>
          </mc:Fallback>
        </mc:AlternateContent>
      </w:r>
      <w:r>
        <w:rPr>
          <w:rFonts w:hint="eastAsia" w:ascii="黑体" w:hAnsi="黑体" w:eastAsia="黑体"/>
        </w:rPr>
        <w:t>评价类型：</w:t>
      </w:r>
      <w:r>
        <w:rPr>
          <w:rFonts w:ascii="Wingdings 2" w:hAnsi="Wingdings 2" w:eastAsia="Wingdings 2"/>
        </w:rPr>
        <w:t></w:t>
      </w:r>
      <w:r>
        <w:rPr>
          <w:rFonts w:hint="eastAsia" w:ascii="黑体" w:hAnsi="黑体" w:eastAsia="黑体"/>
        </w:rPr>
        <w:t>实施过程评价</w:t>
      </w:r>
      <w:r>
        <w:rPr>
          <w:rFonts w:hint="eastAsia" w:ascii="黑体" w:hAnsi="黑体" w:eastAsia="黑体"/>
        </w:rPr>
        <w:tab/>
      </w:r>
      <w:r>
        <w:rPr>
          <w:rFonts w:ascii="Wingdings 2" w:hAnsi="Wingdings 2" w:eastAsia="Wingdings 2"/>
        </w:rPr>
        <w:t></w:t>
      </w:r>
      <w:r>
        <w:rPr>
          <w:rFonts w:hint="eastAsia" w:ascii="黑体" w:hAnsi="黑体" w:eastAsia="黑体"/>
        </w:rPr>
        <w:t>完成结果评价</w:t>
      </w:r>
    </w:p>
    <w:p>
      <w:pPr>
        <w:pStyle w:val="3"/>
        <w:rPr>
          <w:rFonts w:ascii="黑体"/>
          <w:sz w:val="20"/>
        </w:rPr>
      </w:pPr>
    </w:p>
    <w:p>
      <w:pPr>
        <w:pStyle w:val="3"/>
        <w:rPr>
          <w:rFonts w:ascii="黑体"/>
          <w:sz w:val="20"/>
        </w:rPr>
      </w:pPr>
    </w:p>
    <w:p>
      <w:pPr>
        <w:pStyle w:val="3"/>
        <w:spacing w:before="7"/>
        <w:rPr>
          <w:rFonts w:ascii="黑体"/>
          <w:sz w:val="16"/>
        </w:rPr>
      </w:pPr>
    </w:p>
    <w:p>
      <w:pPr>
        <w:pStyle w:val="3"/>
        <w:tabs>
          <w:tab w:val="left" w:pos="8157"/>
        </w:tabs>
        <w:spacing w:before="66"/>
        <w:ind w:right="117"/>
        <w:jc w:val="center"/>
        <w:rPr>
          <w:rFonts w:ascii="Times New Roman" w:eastAsia="Times New Roman"/>
        </w:rPr>
      </w:pPr>
      <w:r>
        <w:rPr>
          <w:rFonts w:hint="eastAsia" w:ascii="黑体" w:eastAsia="黑体"/>
          <w:spacing w:val="-1"/>
        </w:rPr>
        <w:t>项目名称</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其他资金</w:t>
      </w:r>
      <w:r>
        <w:rPr>
          <w:rFonts w:ascii="Times New Roman" w:eastAsia="Times New Roman"/>
          <w:u w:val="single"/>
        </w:rPr>
        <w:tab/>
      </w:r>
    </w:p>
    <w:p>
      <w:pPr>
        <w:pStyle w:val="3"/>
        <w:rPr>
          <w:rFonts w:ascii="Times New Roman"/>
          <w:sz w:val="20"/>
        </w:rPr>
      </w:pPr>
    </w:p>
    <w:p>
      <w:pPr>
        <w:pStyle w:val="3"/>
        <w:rPr>
          <w:rFonts w:ascii="Times New Roman"/>
          <w:sz w:val="20"/>
        </w:rPr>
      </w:pPr>
    </w:p>
    <w:p>
      <w:pPr>
        <w:pStyle w:val="3"/>
        <w:rPr>
          <w:rFonts w:ascii="Times New Roman"/>
          <w:sz w:val="23"/>
        </w:rPr>
      </w:pPr>
    </w:p>
    <w:p>
      <w:pPr>
        <w:pStyle w:val="3"/>
        <w:tabs>
          <w:tab w:val="left" w:pos="8157"/>
        </w:tabs>
        <w:spacing w:before="65"/>
        <w:ind w:right="117"/>
        <w:jc w:val="center"/>
        <w:rPr>
          <w:rFonts w:ascii="Times New Roman" w:eastAsia="Times New Roman"/>
        </w:rPr>
      </w:pPr>
      <w:r>
        <w:rPr>
          <w:rFonts w:hint="eastAsia" w:ascii="黑体" w:eastAsia="黑体"/>
          <w:spacing w:val="-1"/>
        </w:rPr>
        <w:t>项目单位</w:t>
      </w:r>
      <w:r>
        <w:rPr>
          <w:rFonts w:hint="eastAsia" w:ascii="黑体" w:eastAsia="黑体"/>
        </w:rPr>
        <w:t>：</w:t>
      </w:r>
      <w:r>
        <w:rPr>
          <w:rFonts w:ascii="Times New Roman" w:eastAsia="Times New Roman"/>
          <w:u w:val="single"/>
        </w:rPr>
        <w:t xml:space="preserve">  </w:t>
      </w:r>
      <w:r>
        <w:rPr>
          <w:rFonts w:hint="eastAsia" w:ascii="Times New Roman"/>
          <w:u w:val="single"/>
          <w:lang w:val="en-US" w:eastAsia="zh-CN"/>
        </w:rPr>
        <w:t>南昌市青云谱区审计局</w:t>
      </w:r>
      <w:r>
        <w:rPr>
          <w:rFonts w:ascii="Times New Roman" w:eastAsia="Times New Roman"/>
          <w:u w:val="single"/>
        </w:rPr>
        <w:tab/>
      </w:r>
    </w:p>
    <w:p>
      <w:pPr>
        <w:pStyle w:val="3"/>
        <w:rPr>
          <w:rFonts w:ascii="Times New Roman"/>
          <w:sz w:val="20"/>
        </w:rPr>
      </w:pPr>
    </w:p>
    <w:p>
      <w:pPr>
        <w:pStyle w:val="3"/>
        <w:rPr>
          <w:rFonts w:ascii="Times New Roman"/>
          <w:sz w:val="20"/>
        </w:rPr>
      </w:pPr>
    </w:p>
    <w:p>
      <w:pPr>
        <w:pStyle w:val="3"/>
        <w:rPr>
          <w:rFonts w:ascii="Times New Roman"/>
          <w:sz w:val="23"/>
        </w:rPr>
      </w:pPr>
    </w:p>
    <w:p>
      <w:pPr>
        <w:pStyle w:val="3"/>
        <w:tabs>
          <w:tab w:val="left" w:pos="6876"/>
        </w:tabs>
        <w:spacing w:before="66"/>
        <w:ind w:right="118"/>
        <w:jc w:val="center"/>
        <w:rPr>
          <w:rFonts w:ascii="黑体" w:eastAsia="黑体"/>
        </w:rPr>
      </w:pPr>
      <w:r>
        <w:rPr>
          <w:rFonts w:hint="eastAsia" w:ascii="黑体" w:eastAsia="黑体"/>
        </w:rPr>
        <w:t>主管部门：</w:t>
      </w:r>
      <w:r>
        <w:rPr>
          <w:rFonts w:hint="eastAsia" w:ascii="黑体" w:eastAsia="黑体"/>
          <w:u w:val="single"/>
        </w:rPr>
        <w:t xml:space="preserve"> </w:t>
      </w:r>
      <w:r>
        <w:rPr>
          <w:rFonts w:ascii="Times New Roman" w:eastAsia="Times New Roman"/>
          <w:u w:val="single"/>
        </w:rPr>
        <w:t xml:space="preserve"> </w:t>
      </w:r>
      <w:r>
        <w:rPr>
          <w:rFonts w:hint="eastAsia" w:ascii="Times New Roman"/>
          <w:u w:val="single"/>
          <w:lang w:val="en-US" w:eastAsia="zh-CN"/>
        </w:rPr>
        <w:t>南昌市青云谱区审计局</w:t>
      </w:r>
      <w:r>
        <w:rPr>
          <w:rFonts w:hint="eastAsia" w:ascii="黑体" w:eastAsia="黑体"/>
          <w:u w:val="single"/>
        </w:rPr>
        <w:tab/>
      </w:r>
      <w:r>
        <w:rPr>
          <w:rFonts w:hint="eastAsia" w:ascii="黑体" w:eastAsia="黑体"/>
          <w:u w:val="single"/>
        </w:rPr>
        <w:t>（盖章）</w:t>
      </w:r>
    </w:p>
    <w:p>
      <w:pPr>
        <w:pStyle w:val="3"/>
        <w:rPr>
          <w:rFonts w:ascii="黑体"/>
          <w:sz w:val="20"/>
        </w:rPr>
      </w:pPr>
    </w:p>
    <w:p>
      <w:pPr>
        <w:pStyle w:val="3"/>
        <w:rPr>
          <w:rFonts w:ascii="黑体"/>
          <w:sz w:val="20"/>
        </w:rPr>
      </w:pPr>
    </w:p>
    <w:p>
      <w:pPr>
        <w:pStyle w:val="3"/>
        <w:spacing w:before="4"/>
        <w:rPr>
          <w:rFonts w:ascii="黑体"/>
          <w:sz w:val="17"/>
        </w:rPr>
      </w:pPr>
    </w:p>
    <w:p>
      <w:pPr>
        <w:pStyle w:val="3"/>
        <w:tabs>
          <w:tab w:val="left" w:pos="3914"/>
          <w:tab w:val="left" w:pos="4714"/>
          <w:tab w:val="left" w:pos="5514"/>
          <w:tab w:val="left" w:pos="6793"/>
          <w:tab w:val="left" w:pos="7593"/>
          <w:tab w:val="left" w:pos="8393"/>
        </w:tabs>
        <w:spacing w:before="56"/>
        <w:ind w:left="1354"/>
        <w:rPr>
          <w:rFonts w:ascii="黑体" w:eastAsia="黑体"/>
        </w:rPr>
      </w:pPr>
      <w:r>
        <mc:AlternateContent>
          <mc:Choice Requires="wps">
            <w:drawing>
              <wp:anchor distT="0" distB="0" distL="114300" distR="114300" simplePos="0" relativeHeight="251660288" behindDoc="1" locked="0" layoutInCell="1" allowOverlap="1">
                <wp:simplePos x="0" y="0"/>
                <wp:positionH relativeFrom="page">
                  <wp:posOffset>2244725</wp:posOffset>
                </wp:positionH>
                <wp:positionV relativeFrom="paragraph">
                  <wp:posOffset>270510</wp:posOffset>
                </wp:positionV>
                <wp:extent cx="4164330" cy="0"/>
                <wp:effectExtent l="0" t="0" r="0" b="0"/>
                <wp:wrapNone/>
                <wp:docPr id="2" name="直线 4"/>
                <wp:cNvGraphicFramePr/>
                <a:graphic xmlns:a="http://schemas.openxmlformats.org/drawingml/2006/main">
                  <a:graphicData uri="http://schemas.microsoft.com/office/word/2010/wordprocessingShape">
                    <wps:wsp>
                      <wps:cNvCnPr/>
                      <wps:spPr>
                        <a:xfrm>
                          <a:off x="0" y="0"/>
                          <a:ext cx="4164330"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76.75pt;margin-top:21.3pt;height:0pt;width:327.9pt;mso-position-horizontal-relative:page;z-index:-251656192;mso-width-relative:page;mso-height-relative:page;" filled="f" stroked="t" coordsize="21600,21600" o:gfxdata="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lFsKjX&#10;AAAACgEAAA8AAAAAAAAAAQAgAAAAIgAAAGRycy9kb3ducmV2LnhtbFBLAQIUABQAAAAIAIdO4kDr&#10;Nlon6AEAANsDAAAOAAAAAAAAAAEAIAAAACYBAABkcnMvZTJvRG9jLnhtbFBLBQYAAAAABgAGAFkB&#10;AACABQAAAAA=&#10;">
                <v:fill on="f" focussize="0,0"/>
                <v:stroke weight="0.78pt" color="#000000" joinstyle="round"/>
                <v:imagedata o:title=""/>
                <o:lock v:ext="edit" aspectratio="f"/>
              </v:line>
            </w:pict>
          </mc:Fallback>
        </mc:AlternateContent>
      </w:r>
      <w:r>
        <w:rPr>
          <w:rFonts w:hint="eastAsia" w:ascii="黑体" w:eastAsia="黑体"/>
        </w:rPr>
        <w:t>评价时间：</w:t>
      </w: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01</w:t>
      </w:r>
      <w:r>
        <w:rPr>
          <w:rFonts w:hint="eastAsia" w:ascii="黑体" w:eastAsia="黑体"/>
        </w:rPr>
        <w:t>日至</w:t>
      </w: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12</w:t>
      </w:r>
      <w:r>
        <w:rPr>
          <w:rFonts w:hint="eastAsia" w:ascii="黑体" w:eastAsia="黑体"/>
        </w:rPr>
        <w:tab/>
      </w:r>
      <w:r>
        <w:rPr>
          <w:rFonts w:hint="eastAsia" w:ascii="黑体" w:eastAsia="黑体"/>
        </w:rPr>
        <w:t>日</w:t>
      </w:r>
    </w:p>
    <w:p>
      <w:pPr>
        <w:pStyle w:val="3"/>
        <w:rPr>
          <w:rFonts w:ascii="黑体"/>
          <w:sz w:val="20"/>
        </w:rPr>
      </w:pPr>
    </w:p>
    <w:p>
      <w:pPr>
        <w:pStyle w:val="3"/>
        <w:rPr>
          <w:rFonts w:ascii="黑体"/>
          <w:sz w:val="20"/>
        </w:rPr>
      </w:pPr>
    </w:p>
    <w:p>
      <w:pPr>
        <w:pStyle w:val="3"/>
        <w:spacing w:before="4"/>
        <w:rPr>
          <w:rFonts w:ascii="黑体"/>
          <w:sz w:val="17"/>
        </w:rPr>
      </w:pPr>
    </w:p>
    <w:p>
      <w:pPr>
        <w:pStyle w:val="3"/>
        <w:tabs>
          <w:tab w:val="left" w:pos="4125"/>
          <w:tab w:val="left" w:pos="6009"/>
        </w:tabs>
        <w:spacing w:before="55"/>
        <w:ind w:right="380"/>
        <w:jc w:val="center"/>
        <w:rPr>
          <w:rFonts w:ascii="黑体" w:hAnsi="黑体" w:eastAsia="黑体"/>
        </w:rPr>
      </w:pPr>
      <w:r>
        <mc:AlternateContent>
          <mc:Choice Requires="wps">
            <w:drawing>
              <wp:anchor distT="0" distB="0" distL="114300" distR="114300" simplePos="0" relativeHeight="251661312" behindDoc="1" locked="0" layoutInCell="1" allowOverlap="1">
                <wp:simplePos x="0" y="0"/>
                <wp:positionH relativeFrom="page">
                  <wp:posOffset>2244725</wp:posOffset>
                </wp:positionH>
                <wp:positionV relativeFrom="paragraph">
                  <wp:posOffset>269240</wp:posOffset>
                </wp:positionV>
                <wp:extent cx="4199255" cy="0"/>
                <wp:effectExtent l="0" t="0" r="0" b="0"/>
                <wp:wrapNone/>
                <wp:docPr id="3" name="直线 5"/>
                <wp:cNvGraphicFramePr/>
                <a:graphic xmlns:a="http://schemas.openxmlformats.org/drawingml/2006/main">
                  <a:graphicData uri="http://schemas.microsoft.com/office/word/2010/wordprocessingShape">
                    <wps:wsp>
                      <wps:cNvCnPr/>
                      <wps:spPr>
                        <a:xfrm>
                          <a:off x="0" y="0"/>
                          <a:ext cx="4199255" cy="0"/>
                        </a:xfrm>
                        <a:prstGeom prst="line">
                          <a:avLst/>
                        </a:prstGeom>
                        <a:ln w="9906"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76.75pt;margin-top:21.2pt;height:0pt;width:330.65pt;mso-position-horizontal-relative:page;z-index:-251655168;mso-width-relative:page;mso-height-relative:page;" filled="f" stroked="t" coordsize="21600,21600" o:gfxdata="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uoSR7W&#10;AAAACgEAAA8AAAAAAAAAAQAgAAAAIgAAAGRycy9kb3ducmV2LnhtbFBLAQIUABQAAAAIAIdO4kDX&#10;pZlO6QEAANsDAAAOAAAAAAAAAAEAIAAAACUBAABkcnMvZTJvRG9jLnhtbFBLBQYAAAAABgAGAFkB&#10;AACABQAAAAA=&#10;">
                <v:fill on="f" focussize="0,0"/>
                <v:stroke weight="0.78pt" color="#000000" joinstyle="round"/>
                <v:imagedata o:title=""/>
                <o:lock v:ext="edit" aspectratio="f"/>
              </v:line>
            </w:pict>
          </mc:Fallback>
        </mc:AlternateContent>
      </w:r>
      <w:r>
        <w:rPr>
          <w:rFonts w:hint="eastAsia" w:ascii="黑体" w:hAnsi="黑体" w:eastAsia="黑体"/>
        </w:rPr>
        <w:t>评价机构：</w:t>
      </w:r>
      <w:r>
        <w:rPr>
          <w:rFonts w:ascii="Wingdings 2" w:hAnsi="Wingdings 2" w:eastAsia="Wingdings 2"/>
        </w:rPr>
        <w:t></w:t>
      </w:r>
      <w:r>
        <w:rPr>
          <w:rFonts w:hint="eastAsia" w:ascii="黑体" w:hAnsi="黑体" w:eastAsia="黑体"/>
        </w:rPr>
        <w:t>第三方机构</w:t>
      </w:r>
      <w:r>
        <w:rPr>
          <w:rFonts w:hint="eastAsia" w:ascii="黑体" w:hAnsi="黑体" w:eastAsia="黑体"/>
        </w:rPr>
        <w:tab/>
      </w:r>
      <w:r>
        <w:rPr>
          <w:rFonts w:ascii="Wingdings 2" w:hAnsi="Wingdings 2" w:eastAsia="Wingdings 2"/>
        </w:rPr>
        <w:t></w:t>
      </w:r>
      <w:r>
        <w:rPr>
          <w:rFonts w:hint="eastAsia" w:ascii="黑体" w:hAnsi="黑体" w:eastAsia="黑体"/>
        </w:rPr>
        <w:t>专家组</w:t>
      </w:r>
      <w:r>
        <w:rPr>
          <w:rFonts w:hint="eastAsia" w:ascii="黑体" w:hAnsi="黑体" w:eastAsia="黑体"/>
        </w:rPr>
        <w:tab/>
      </w:r>
      <w:r>
        <w:rPr>
          <w:rFonts w:ascii="Wingdings 2" w:hAnsi="Wingdings 2" w:eastAsia="Wingdings 2"/>
        </w:rPr>
        <w:sym w:font="Wingdings 2" w:char="0052"/>
      </w:r>
      <w:r>
        <w:rPr>
          <w:rFonts w:hint="eastAsia" w:ascii="黑体" w:hAnsi="黑体" w:eastAsia="黑体"/>
        </w:rPr>
        <w:t>部门评价组</w:t>
      </w: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spacing w:before="10"/>
        <w:rPr>
          <w:rFonts w:ascii="黑体"/>
          <w:sz w:val="29"/>
        </w:rPr>
      </w:pPr>
    </w:p>
    <w:p>
      <w:pPr>
        <w:pStyle w:val="3"/>
        <w:tabs>
          <w:tab w:val="left" w:pos="959"/>
          <w:tab w:val="left" w:pos="1920"/>
        </w:tabs>
        <w:spacing w:before="56"/>
        <w:ind w:right="238"/>
        <w:jc w:val="center"/>
        <w:rPr>
          <w:rFonts w:ascii="黑体" w:eastAsia="黑体"/>
        </w:rPr>
      </w:pPr>
      <w:r>
        <w:rPr>
          <w:rFonts w:hint="eastAsia" w:ascii="黑体" w:eastAsia="黑体"/>
          <w:lang w:val="en-US" w:eastAsia="zh-CN"/>
        </w:rPr>
        <w:t>2023</w:t>
      </w:r>
      <w:r>
        <w:rPr>
          <w:rFonts w:hint="eastAsia" w:ascii="黑体" w:eastAsia="黑体"/>
        </w:rPr>
        <w:t>年</w:t>
      </w:r>
      <w:r>
        <w:rPr>
          <w:rFonts w:hint="eastAsia" w:ascii="黑体" w:eastAsia="黑体"/>
          <w:lang w:val="en-US" w:eastAsia="zh-CN"/>
        </w:rPr>
        <w:t>03</w:t>
      </w:r>
      <w:r>
        <w:rPr>
          <w:rFonts w:hint="eastAsia" w:ascii="黑体" w:eastAsia="黑体"/>
        </w:rPr>
        <w:t>月</w:t>
      </w:r>
      <w:r>
        <w:rPr>
          <w:rFonts w:hint="eastAsia" w:ascii="黑体" w:eastAsia="黑体"/>
          <w:lang w:val="en-US" w:eastAsia="zh-CN"/>
        </w:rPr>
        <w:t>12</w:t>
      </w:r>
      <w:r>
        <w:rPr>
          <w:rFonts w:hint="eastAsia" w:ascii="黑体" w:eastAsia="黑体"/>
        </w:rPr>
        <w:t>日</w:t>
      </w:r>
    </w:p>
    <w:p>
      <w:pPr>
        <w:pStyle w:val="3"/>
        <w:spacing w:before="12"/>
        <w:rPr>
          <w:rFonts w:ascii="黑体"/>
          <w:sz w:val="14"/>
        </w:rPr>
      </w:pPr>
    </w:p>
    <w:p>
      <w:pPr>
        <w:rPr>
          <w:rFonts w:ascii="Times New Roman" w:hAnsi="Times New Roman"/>
          <w:sz w:val="24"/>
        </w:rPr>
        <w:sectPr>
          <w:footerReference r:id="rId5" w:type="even"/>
          <w:pgSz w:w="11910" w:h="16840"/>
          <w:pgMar w:top="1200" w:right="338" w:bottom="280" w:left="580" w:header="0" w:footer="0" w:gutter="0"/>
          <w:cols w:space="720" w:num="1"/>
        </w:sectPr>
      </w:pPr>
    </w:p>
    <w:p>
      <w:pPr>
        <w:pStyle w:val="14"/>
        <w:keepNext w:val="0"/>
        <w:keepLines w:val="0"/>
        <w:pageBreakBefore w:val="0"/>
        <w:numPr>
          <w:ilvl w:val="0"/>
          <w:numId w:val="0"/>
        </w:numPr>
        <w:kinsoku/>
        <w:wordWrap/>
        <w:overflowPunct/>
        <w:topLinePunct w:val="0"/>
        <w:bidi w:val="0"/>
        <w:spacing w:after="0" w:line="580" w:lineRule="exact"/>
        <w:ind w:left="4839" w:leftChars="836" w:right="660" w:rightChars="300" w:hanging="3000" w:hangingChars="625"/>
        <w:jc w:val="left"/>
        <w:textAlignment w:val="auto"/>
        <w:rPr>
          <w:rFonts w:hint="eastAsia" w:ascii="汉仪青云简" w:hAnsi="汉仪青云简" w:eastAsia="汉仪青云简" w:cs="汉仪青云简"/>
          <w:b w:val="0"/>
          <w:sz w:val="48"/>
          <w:szCs w:val="48"/>
          <w:lang w:val="en-US" w:eastAsia="zh-CN"/>
        </w:rPr>
      </w:pPr>
      <w:r>
        <w:rPr>
          <w:rFonts w:hint="eastAsia" w:ascii="汉仪青云简" w:hAnsi="汉仪青云简" w:eastAsia="汉仪青云简" w:cs="汉仪青云简"/>
          <w:b w:val="0"/>
          <w:sz w:val="48"/>
          <w:szCs w:val="48"/>
          <w:lang w:val="en-US" w:eastAsia="zh-CN"/>
        </w:rPr>
        <w:t>南昌市青云谱区审计局其他资金项目绩效评价报告</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lang w:eastAsia="zh-CN"/>
        </w:rPr>
      </w:pPr>
      <w:r>
        <w:rPr>
          <w:rFonts w:hint="eastAsia" w:asciiTheme="minorEastAsia" w:hAnsiTheme="minorEastAsia" w:eastAsiaTheme="minorEastAsia" w:cstheme="minorEastAsia"/>
          <w:b w:val="0"/>
          <w:sz w:val="32"/>
          <w:szCs w:val="32"/>
        </w:rPr>
        <w:t>为进一步规范财政资金管理，强化部门责任意识，切实提高财政资金使用效益。我</w:t>
      </w:r>
      <w:r>
        <w:rPr>
          <w:rFonts w:hint="eastAsia" w:asciiTheme="minorEastAsia" w:hAnsiTheme="minorEastAsia" w:eastAsiaTheme="minorEastAsia" w:cstheme="minorEastAsia"/>
          <w:b w:val="0"/>
          <w:sz w:val="32"/>
          <w:szCs w:val="32"/>
          <w:lang w:val="en-US" w:eastAsia="zh-CN"/>
        </w:rPr>
        <w:t>部门</w:t>
      </w:r>
      <w:r>
        <w:rPr>
          <w:rFonts w:hint="eastAsia" w:asciiTheme="minorEastAsia" w:hAnsiTheme="minorEastAsia" w:eastAsiaTheme="minorEastAsia" w:cstheme="minorEastAsia"/>
          <w:b w:val="0"/>
          <w:sz w:val="32"/>
          <w:szCs w:val="32"/>
        </w:rPr>
        <w:t>对202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度年</w:t>
      </w:r>
      <w:r>
        <w:rPr>
          <w:rFonts w:hint="eastAsia" w:asciiTheme="minorEastAsia" w:hAnsiTheme="minorEastAsia" w:eastAsiaTheme="minorEastAsia" w:cstheme="minorEastAsia"/>
          <w:b w:val="0"/>
          <w:sz w:val="32"/>
          <w:szCs w:val="32"/>
          <w:lang w:val="en-US" w:eastAsia="zh-CN"/>
        </w:rPr>
        <w:t>审计局</w:t>
      </w:r>
      <w:r>
        <w:rPr>
          <w:rFonts w:hint="eastAsia" w:asciiTheme="minorEastAsia" w:hAnsiTheme="minorEastAsia" w:eastAsiaTheme="minorEastAsia" w:cstheme="minorEastAsia"/>
          <w:b w:val="0"/>
          <w:sz w:val="32"/>
          <w:szCs w:val="32"/>
        </w:rPr>
        <w:t>专项资金开展了绩效评价工作。</w:t>
      </w:r>
      <w:r>
        <w:rPr>
          <w:rFonts w:hint="eastAsia" w:asciiTheme="minorEastAsia" w:hAnsiTheme="minorEastAsia" w:eastAsiaTheme="minorEastAsia" w:cstheme="minorEastAsia"/>
          <w:b w:val="0"/>
          <w:sz w:val="32"/>
          <w:szCs w:val="32"/>
          <w:lang w:val="en-US" w:eastAsia="zh-CN"/>
        </w:rPr>
        <w:t>审计局</w:t>
      </w:r>
      <w:r>
        <w:rPr>
          <w:rFonts w:hint="eastAsia" w:asciiTheme="minorEastAsia" w:hAnsiTheme="minorEastAsia" w:eastAsiaTheme="minorEastAsia" w:cstheme="minorEastAsia"/>
          <w:b w:val="0"/>
          <w:sz w:val="32"/>
          <w:szCs w:val="32"/>
        </w:rPr>
        <w:t>在</w:t>
      </w:r>
      <w:r>
        <w:rPr>
          <w:rFonts w:hint="eastAsia" w:asciiTheme="minorEastAsia" w:hAnsiTheme="minorEastAsia" w:eastAsiaTheme="minorEastAsia" w:cstheme="minorEastAsia"/>
          <w:b w:val="0"/>
          <w:sz w:val="32"/>
          <w:szCs w:val="32"/>
          <w:lang w:val="en-US" w:eastAsia="zh-CN"/>
        </w:rPr>
        <w:t>其他资金</w:t>
      </w:r>
      <w:r>
        <w:rPr>
          <w:rFonts w:hint="eastAsia" w:asciiTheme="minorEastAsia" w:hAnsiTheme="minorEastAsia" w:eastAsiaTheme="minorEastAsia" w:cstheme="minorEastAsia"/>
          <w:b w:val="0"/>
          <w:sz w:val="32"/>
          <w:szCs w:val="32"/>
        </w:rPr>
        <w:t>专项资金方面做到了不滞留、不克扣、不挪用，切实做到了专款专用</w:t>
      </w:r>
      <w:r>
        <w:rPr>
          <w:rFonts w:hint="eastAsia" w:asciiTheme="minorEastAsia" w:hAnsiTheme="minorEastAsia" w:eastAsiaTheme="minorEastAsia" w:cstheme="minorEastAsia"/>
          <w:b w:val="0"/>
          <w:sz w:val="32"/>
          <w:szCs w:val="32"/>
          <w:lang w:eastAsia="zh-CN"/>
        </w:rPr>
        <w:t>，</w:t>
      </w:r>
      <w:r>
        <w:rPr>
          <w:rFonts w:hint="eastAsia" w:asciiTheme="minorEastAsia" w:hAnsiTheme="minorEastAsia" w:eastAsiaTheme="minorEastAsia" w:cstheme="minorEastAsia"/>
          <w:b w:val="0"/>
          <w:sz w:val="32"/>
          <w:szCs w:val="32"/>
        </w:rPr>
        <w:t>确保了用款真实、合法、有效</w:t>
      </w:r>
      <w:r>
        <w:rPr>
          <w:rFonts w:hint="eastAsia" w:asciiTheme="minorEastAsia" w:hAnsiTheme="minorEastAsia" w:eastAsiaTheme="minorEastAsia" w:cstheme="minorEastAsia"/>
          <w:b w:val="0"/>
          <w:sz w:val="32"/>
          <w:szCs w:val="32"/>
          <w:lang w:eastAsia="zh-CN"/>
        </w:rPr>
        <w:t>。</w:t>
      </w:r>
    </w:p>
    <w:p>
      <w:pPr>
        <w:pStyle w:val="3"/>
        <w:spacing w:before="267"/>
        <w:ind w:left="1476"/>
        <w:rPr>
          <w:rFonts w:asciiTheme="minorEastAsia" w:hAnsiTheme="minorEastAsia" w:eastAsiaTheme="minorEastAsia"/>
          <w:b/>
          <w:bCs/>
        </w:rPr>
      </w:pPr>
      <w:r>
        <w:rPr>
          <w:rFonts w:hint="eastAsia" w:asciiTheme="minorEastAsia" w:hAnsiTheme="minorEastAsia" w:eastAsiaTheme="minorEastAsia"/>
          <w:b/>
          <w:bCs/>
          <w:w w:val="95"/>
        </w:rPr>
        <w:t>一、基本情况</w:t>
      </w:r>
    </w:p>
    <w:p>
      <w:pPr>
        <w:pStyle w:val="14"/>
        <w:spacing w:before="84" w:line="244" w:lineRule="auto"/>
        <w:ind w:left="836" w:right="502" w:firstLine="640"/>
        <w:rPr>
          <w:rFonts w:asciiTheme="minorEastAsia" w:hAnsiTheme="minorEastAsia" w:eastAsiaTheme="minorEastAsia"/>
          <w:b w:val="0"/>
        </w:rPr>
      </w:pPr>
      <w:bookmarkStart w:id="0" w:name="（一）项目概况。包括项目背景、主要内容及实施情况、资金投入和使用情况等。"/>
      <w:bookmarkEnd w:id="0"/>
      <w:r>
        <w:rPr>
          <w:rFonts w:asciiTheme="minorEastAsia" w:hAnsiTheme="minorEastAsia" w:eastAsiaTheme="minorEastAsia"/>
          <w:b w:val="0"/>
        </w:rPr>
        <w:t>（一）项目概况</w:t>
      </w:r>
    </w:p>
    <w:p>
      <w:pPr>
        <w:keepNext w:val="0"/>
        <w:keepLines w:val="0"/>
        <w:pageBreakBefore w:val="0"/>
        <w:widowControl w:val="0"/>
        <w:kinsoku/>
        <w:wordWrap/>
        <w:overflowPunct/>
        <w:topLinePunct w:val="0"/>
        <w:autoSpaceDE/>
        <w:autoSpaceDN/>
        <w:bidi w:val="0"/>
        <w:adjustRightInd/>
        <w:spacing w:line="540" w:lineRule="exact"/>
        <w:ind w:left="781" w:leftChars="355" w:right="660" w:rightChars="300" w:firstLine="640" w:firstLineChars="200"/>
        <w:jc w:val="both"/>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项目背景</w:t>
      </w:r>
      <w:r>
        <w:rPr>
          <w:rFonts w:hint="eastAsia" w:asciiTheme="minorEastAsia" w:hAnsiTheme="minorEastAsia" w:eastAsiaTheme="minorEastAsia" w:cstheme="minorEastAsia"/>
          <w:b w:val="0"/>
          <w:sz w:val="32"/>
          <w:szCs w:val="32"/>
          <w:lang w:eastAsia="zh-CN"/>
        </w:rPr>
        <w:t>：</w:t>
      </w:r>
      <w:r>
        <w:rPr>
          <w:rFonts w:hint="eastAsia" w:asciiTheme="minorEastAsia" w:hAnsiTheme="minorEastAsia" w:eastAsiaTheme="minorEastAsia" w:cstheme="minorEastAsia"/>
          <w:b w:val="0"/>
          <w:bCs/>
          <w:sz w:val="32"/>
          <w:szCs w:val="32"/>
          <w:lang w:val="zh-CN" w:eastAsia="zh-CN" w:bidi="zh-CN"/>
        </w:rPr>
        <w:t>以《青云谱区审计监督全覆盖五年规划（2021-2025年）》为指导，科学谋划部署审计工作，稳步推进审计监督全覆盖。为保障财政资金投入的合法性、效益性、安全性，根据审计署关于政府投资审计转型发展要求和区委主要领导指示，安排政府性投资项目审计,通过关注政府性投资项目立项、可研、设计、预算、招标、施工、结算等全生命周期管理情况，进一步规范政府投资行为。</w:t>
      </w:r>
      <w:r>
        <w:rPr>
          <w:rFonts w:hint="eastAsia" w:asciiTheme="minorEastAsia" w:hAnsiTheme="minorEastAsia" w:eastAsiaTheme="minorEastAsia" w:cstheme="minorEastAsia"/>
          <w:b w:val="0"/>
          <w:bCs/>
          <w:sz w:val="32"/>
          <w:szCs w:val="32"/>
          <w:lang w:val="en-US" w:eastAsia="zh-CN" w:bidi="zh-CN"/>
        </w:rPr>
        <w:t>安排国投集团经营情况专项审计调查，通过关注贯彻落实重大决策情况、企业财务情况、内部管理情况等，进一步规范国投集团经营行为。</w:t>
      </w:r>
    </w:p>
    <w:p>
      <w:pPr>
        <w:pStyle w:val="14"/>
        <w:spacing w:before="84" w:line="244" w:lineRule="auto"/>
        <w:ind w:left="836" w:right="502" w:firstLine="640"/>
        <w:rPr>
          <w:rFonts w:hint="eastAsia" w:asciiTheme="minorEastAsia" w:hAnsiTheme="minorEastAsia" w:eastAsiaTheme="minorEastAsia" w:cstheme="minorEastAsia"/>
          <w:b w:val="0"/>
          <w:sz w:val="32"/>
          <w:szCs w:val="32"/>
          <w:lang w:val="zh-CN" w:eastAsia="zh-CN"/>
        </w:rPr>
      </w:pPr>
      <w:r>
        <w:rPr>
          <w:rFonts w:hint="eastAsia" w:asciiTheme="minorEastAsia" w:hAnsiTheme="minorEastAsia" w:eastAsiaTheme="minorEastAsia" w:cstheme="minorEastAsia"/>
          <w:b w:val="0"/>
          <w:bCs/>
          <w:sz w:val="32"/>
          <w:szCs w:val="32"/>
          <w:lang w:val="zh-CN" w:eastAsia="zh-CN" w:bidi="zh-CN"/>
        </w:rPr>
        <w:t>主要内容：</w:t>
      </w:r>
      <w:r>
        <w:rPr>
          <w:rFonts w:hint="eastAsia" w:asciiTheme="minorEastAsia" w:hAnsiTheme="minorEastAsia" w:eastAsiaTheme="minorEastAsia" w:cstheme="minorEastAsia"/>
          <w:b w:val="0"/>
          <w:sz w:val="32"/>
          <w:szCs w:val="32"/>
        </w:rPr>
        <w:t>建立审计查出问题整改台账，明确责任主体、整改时限和整改措施等事项，重点围绕审计决定执行、审计意见建议采纳情况、是否按时间和要求整改到位定期督促检查。进一步加强了与纪检监察、区委巡察、组织人事等部门的沟通协作配合，着力增强监督合力。加大了与区人大常委会财经委员会沟通力度，通过区人大常委会开展审计问题整改满意度测评，促进了审计整改工作制度化、长效化。</w:t>
      </w:r>
    </w:p>
    <w:p>
      <w:pPr>
        <w:pStyle w:val="14"/>
        <w:keepNext w:val="0"/>
        <w:keepLines w:val="0"/>
        <w:pageBreakBefore w:val="0"/>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3.资金投入和使用情况</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sz w:val="32"/>
          <w:szCs w:val="32"/>
          <w:lang w:val="zh-CN" w:eastAsia="zh-CN" w:bidi="zh-CN"/>
        </w:rPr>
      </w:pP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年预算安排</w:t>
      </w:r>
      <w:r>
        <w:rPr>
          <w:rFonts w:hint="eastAsia" w:asciiTheme="minorEastAsia" w:hAnsiTheme="minorEastAsia" w:eastAsiaTheme="minorEastAsia" w:cstheme="minorEastAsia"/>
          <w:b w:val="0"/>
          <w:sz w:val="32"/>
          <w:szCs w:val="32"/>
          <w:lang w:val="en-US" w:eastAsia="zh-CN"/>
        </w:rPr>
        <w:t>60</w:t>
      </w:r>
      <w:r>
        <w:rPr>
          <w:rFonts w:hint="eastAsia" w:asciiTheme="minorEastAsia" w:hAnsiTheme="minorEastAsia" w:eastAsiaTheme="minorEastAsia" w:cstheme="minorEastAsia"/>
          <w:b w:val="0"/>
          <w:sz w:val="32"/>
          <w:szCs w:val="32"/>
        </w:rPr>
        <w:t>万元，实际到位资金</w:t>
      </w:r>
      <w:r>
        <w:rPr>
          <w:rFonts w:hint="eastAsia" w:asciiTheme="minorEastAsia" w:hAnsiTheme="minorEastAsia" w:eastAsiaTheme="minorEastAsia" w:cstheme="minorEastAsia"/>
          <w:b w:val="0"/>
          <w:sz w:val="32"/>
          <w:szCs w:val="32"/>
          <w:lang w:val="en-US" w:eastAsia="zh-CN"/>
        </w:rPr>
        <w:t>60</w:t>
      </w:r>
      <w:r>
        <w:rPr>
          <w:rFonts w:hint="eastAsia" w:asciiTheme="minorEastAsia" w:hAnsiTheme="minorEastAsia" w:eastAsiaTheme="minorEastAsia" w:cstheme="minorEastAsia"/>
          <w:b w:val="0"/>
          <w:sz w:val="32"/>
          <w:szCs w:val="32"/>
        </w:rPr>
        <w:t>万元。本年度实际支出</w:t>
      </w:r>
      <w:r>
        <w:rPr>
          <w:rFonts w:hint="eastAsia" w:asciiTheme="minorEastAsia" w:hAnsiTheme="minorEastAsia" w:eastAsiaTheme="minorEastAsia" w:cstheme="minorEastAsia"/>
          <w:b w:val="0"/>
          <w:sz w:val="32"/>
          <w:szCs w:val="32"/>
          <w:lang w:val="en-US" w:eastAsia="zh-CN"/>
        </w:rPr>
        <w:t>8.3</w:t>
      </w:r>
      <w:r>
        <w:rPr>
          <w:rFonts w:hint="eastAsia" w:asciiTheme="minorEastAsia" w:hAnsiTheme="minorEastAsia" w:eastAsiaTheme="minorEastAsia" w:cstheme="minorEastAsia"/>
          <w:b w:val="0"/>
          <w:sz w:val="32"/>
          <w:szCs w:val="32"/>
        </w:rPr>
        <w:t>万元，预算资金执行率</w:t>
      </w:r>
      <w:r>
        <w:rPr>
          <w:rFonts w:hint="eastAsia" w:asciiTheme="minorEastAsia" w:hAnsiTheme="minorEastAsia" w:eastAsiaTheme="minorEastAsia" w:cstheme="minorEastAsia"/>
          <w:b w:val="0"/>
          <w:sz w:val="32"/>
          <w:szCs w:val="32"/>
          <w:lang w:val="en-US" w:eastAsia="zh-CN"/>
        </w:rPr>
        <w:t>13.83</w:t>
      </w:r>
      <w:r>
        <w:rPr>
          <w:rFonts w:hint="eastAsia" w:asciiTheme="minorEastAsia" w:hAnsiTheme="minorEastAsia" w:eastAsiaTheme="minorEastAsia" w:cstheme="minorEastAsia"/>
          <w:b w:val="0"/>
          <w:sz w:val="32"/>
          <w:szCs w:val="32"/>
        </w:rPr>
        <w:t>%。</w:t>
      </w:r>
    </w:p>
    <w:p>
      <w:pPr>
        <w:numPr>
          <w:ilvl w:val="0"/>
          <w:numId w:val="1"/>
        </w:numPr>
        <w:spacing w:line="588" w:lineRule="exact"/>
        <w:ind w:left="1476"/>
        <w:rPr>
          <w:rFonts w:hint="eastAsia" w:asciiTheme="minorEastAsia" w:hAnsiTheme="minorEastAsia" w:eastAsiaTheme="minorEastAsia"/>
          <w:sz w:val="32"/>
        </w:rPr>
      </w:pPr>
      <w:bookmarkStart w:id="1" w:name="（二）项目绩效目标。包括总体目标和阶段性目标。"/>
      <w:bookmarkEnd w:id="1"/>
      <w:r>
        <w:rPr>
          <w:rFonts w:hint="eastAsia" w:asciiTheme="minorEastAsia" w:hAnsiTheme="minorEastAsia" w:eastAsiaTheme="minorEastAsia"/>
          <w:sz w:val="32"/>
        </w:rPr>
        <w:t>项目绩效目标</w:t>
      </w:r>
    </w:p>
    <w:p>
      <w:pPr>
        <w:numPr>
          <w:ilvl w:val="0"/>
          <w:numId w:val="0"/>
        </w:numPr>
        <w:spacing w:line="588" w:lineRule="exact"/>
        <w:ind w:left="880" w:leftChars="400" w:right="931" w:rightChars="423" w:firstLine="640" w:firstLineChars="200"/>
        <w:rPr>
          <w:rFonts w:hint="eastAsia" w:asciiTheme="minorEastAsia" w:hAnsiTheme="minorEastAsia" w:eastAsiaTheme="minorEastAsia" w:cstheme="minorEastAsia"/>
          <w:b w:val="0"/>
          <w:bCs/>
          <w:sz w:val="32"/>
          <w:szCs w:val="32"/>
          <w:lang w:val="zh-CN" w:eastAsia="zh-CN" w:bidi="zh-CN"/>
        </w:rPr>
      </w:pPr>
      <w:r>
        <w:rPr>
          <w:rFonts w:hint="eastAsia" w:asciiTheme="minorEastAsia" w:hAnsiTheme="minorEastAsia" w:eastAsiaTheme="minorEastAsia" w:cstheme="minorEastAsia"/>
          <w:b w:val="0"/>
          <w:bCs/>
          <w:sz w:val="32"/>
          <w:szCs w:val="32"/>
          <w:lang w:val="zh-CN" w:eastAsia="zh-CN" w:bidi="zh-CN"/>
        </w:rPr>
        <w:t>积极推进党的十九届六中全会、党的二十大精神学习宣传和贯彻，通过理论中心组学习、主题党日教育活动、三会一课、书记讲党课等方式，多渠道、多角度创新学习载体，系统学习理解习近平总书记治国理政新理念，进一步提高干部理论素质、树牢政治信仰。</w:t>
      </w:r>
    </w:p>
    <w:p>
      <w:pPr>
        <w:pStyle w:val="3"/>
        <w:spacing w:before="117"/>
        <w:ind w:left="1476"/>
        <w:rPr>
          <w:rFonts w:asciiTheme="minorEastAsia" w:hAnsiTheme="minorEastAsia" w:eastAsiaTheme="minorEastAsia"/>
          <w:b/>
          <w:bCs/>
        </w:rPr>
      </w:pPr>
      <w:r>
        <w:rPr>
          <w:rFonts w:hint="eastAsia" w:asciiTheme="minorEastAsia" w:hAnsiTheme="minorEastAsia" w:eastAsiaTheme="minorEastAsia"/>
          <w:b/>
          <w:bCs/>
        </w:rPr>
        <w:t>二、绩效评价工作开展情况</w:t>
      </w:r>
    </w:p>
    <w:p>
      <w:pPr>
        <w:pStyle w:val="14"/>
        <w:spacing w:before="85"/>
        <w:rPr>
          <w:rFonts w:asciiTheme="minorEastAsia" w:hAnsiTheme="minorEastAsia" w:eastAsiaTheme="minorEastAsia"/>
          <w:b w:val="0"/>
        </w:rPr>
      </w:pPr>
      <w:bookmarkStart w:id="2" w:name="（一）绩效评价目的、对象和范围。"/>
      <w:bookmarkEnd w:id="2"/>
      <w:r>
        <w:rPr>
          <w:rFonts w:asciiTheme="minorEastAsia" w:hAnsiTheme="minorEastAsia" w:eastAsiaTheme="minorEastAsia"/>
          <w:b w:val="0"/>
        </w:rPr>
        <w:t>（一）绩效评价目的、对象和范围。</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202</w:t>
      </w:r>
      <w:r>
        <w:rPr>
          <w:rFonts w:hint="eastAsia" w:asciiTheme="minorEastAsia" w:hAnsiTheme="minorEastAsia" w:eastAsiaTheme="minorEastAsia" w:cstheme="minorEastAsia"/>
          <w:b w:val="0"/>
          <w:sz w:val="32"/>
          <w:szCs w:val="32"/>
          <w:lang w:val="en-US" w:eastAsia="zh-CN"/>
        </w:rPr>
        <w:t>2</w:t>
      </w:r>
      <w:r>
        <w:rPr>
          <w:rFonts w:hint="eastAsia" w:asciiTheme="minorEastAsia" w:hAnsiTheme="minorEastAsia" w:eastAsiaTheme="minorEastAsia" w:cstheme="minorEastAsia"/>
          <w:b w:val="0"/>
          <w:sz w:val="32"/>
          <w:szCs w:val="32"/>
        </w:rPr>
        <w:t>年我区</w:t>
      </w:r>
      <w:r>
        <w:rPr>
          <w:rFonts w:hint="eastAsia" w:asciiTheme="minorEastAsia" w:hAnsiTheme="minorEastAsia" w:eastAsiaTheme="minorEastAsia" w:cstheme="minorEastAsia"/>
          <w:b w:val="0"/>
          <w:sz w:val="32"/>
          <w:szCs w:val="32"/>
          <w:lang w:val="en-US" w:eastAsia="zh-CN"/>
        </w:rPr>
        <w:t>审计局其他资金</w:t>
      </w:r>
      <w:r>
        <w:rPr>
          <w:rFonts w:hint="eastAsia" w:asciiTheme="minorEastAsia" w:hAnsiTheme="minorEastAsia" w:eastAsiaTheme="minorEastAsia" w:cstheme="minorEastAsia"/>
          <w:b w:val="0"/>
          <w:sz w:val="32"/>
          <w:szCs w:val="32"/>
        </w:rPr>
        <w:t>专项资金绩效评价目的是为进一步加强财政支出管理，强化支出责任，建立科学、合理的</w:t>
      </w:r>
      <w:r>
        <w:rPr>
          <w:rFonts w:hint="eastAsia" w:asciiTheme="minorEastAsia" w:hAnsiTheme="minorEastAsia" w:eastAsiaTheme="minorEastAsia" w:cstheme="minorEastAsia"/>
          <w:b w:val="0"/>
          <w:sz w:val="32"/>
          <w:szCs w:val="32"/>
          <w:lang w:val="en-US" w:eastAsia="zh-CN"/>
        </w:rPr>
        <w:t>使用</w:t>
      </w:r>
      <w:r>
        <w:rPr>
          <w:rFonts w:hint="eastAsia" w:asciiTheme="minorEastAsia" w:hAnsiTheme="minorEastAsia" w:eastAsiaTheme="minorEastAsia" w:cstheme="minorEastAsia"/>
          <w:b w:val="0"/>
          <w:sz w:val="32"/>
          <w:szCs w:val="32"/>
        </w:rPr>
        <w:t>专项资金绩效评价管理体系，促进公共财政阳光化，提高财政资金使用效益</w:t>
      </w:r>
    </w:p>
    <w:p>
      <w:pPr>
        <w:spacing w:before="11" w:line="244" w:lineRule="auto"/>
        <w:ind w:left="836" w:right="502" w:firstLine="640"/>
        <w:rPr>
          <w:rFonts w:hint="eastAsia" w:asciiTheme="minorEastAsia" w:hAnsiTheme="minorEastAsia" w:eastAsiaTheme="minorEastAsia"/>
          <w:sz w:val="32"/>
        </w:rPr>
      </w:pPr>
      <w:bookmarkStart w:id="3" w:name="（二）绩效评价原则、评价指标体系（附表说明）、评价方法、评价标准等。"/>
      <w:bookmarkEnd w:id="3"/>
      <w:r>
        <w:rPr>
          <w:rFonts w:hint="eastAsia" w:asciiTheme="minorEastAsia" w:hAnsiTheme="minorEastAsia" w:eastAsiaTheme="minorEastAsia"/>
          <w:sz w:val="32"/>
        </w:rPr>
        <w:t>（二）绩效评价原则、评价指标体系（附表说明）、评价方法、评价标准等。</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绩效评价原则:科学规范原则，公正公开原则，分级分类原则，绩效相关原则。</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指标体系：根据财政部《预算绩效评价共性指标体系框架》等文件精神及本项目的具体特点，设置了合理可行的评价体系，包括投入指标、过程指标、产出数量与质量指标、社会效益与可持续影响指标等。</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评价方法：本项目绩效评价主要采用数据对比，同时辅以抽样调查、座谈研讨、专家评估等方式。</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b w:val="0"/>
          <w:sz w:val="32"/>
          <w:szCs w:val="32"/>
        </w:rPr>
        <w:t>评价标准：绩效评价标准通常包括计划标准、行业标准、历史标准等，用于对绩效指标完成情况进行比较。</w:t>
      </w:r>
    </w:p>
    <w:p>
      <w:pPr>
        <w:numPr>
          <w:ilvl w:val="0"/>
          <w:numId w:val="2"/>
        </w:numPr>
        <w:spacing w:line="588" w:lineRule="exact"/>
        <w:ind w:left="1476" w:leftChars="0" w:firstLine="0" w:firstLineChars="0"/>
        <w:rPr>
          <w:rFonts w:hint="eastAsia" w:asciiTheme="minorEastAsia" w:hAnsiTheme="minorEastAsia" w:eastAsiaTheme="minorEastAsia"/>
          <w:sz w:val="32"/>
        </w:rPr>
      </w:pPr>
      <w:r>
        <w:rPr>
          <w:rFonts w:hint="eastAsia" w:asciiTheme="minorEastAsia" w:hAnsiTheme="minorEastAsia" w:eastAsiaTheme="minorEastAsia"/>
          <w:sz w:val="32"/>
        </w:rPr>
        <w:t>绩效评价工作过程。</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asciiTheme="minorEastAsia" w:hAnsiTheme="minorEastAsia" w:eastAsiaTheme="minorEastAsia"/>
          <w:sz w:val="32"/>
        </w:rPr>
      </w:pPr>
      <w:r>
        <w:rPr>
          <w:rFonts w:hint="eastAsia" w:asciiTheme="minorEastAsia" w:hAnsiTheme="minorEastAsia" w:eastAsiaTheme="minorEastAsia" w:cstheme="minorEastAsia"/>
          <w:b w:val="0"/>
          <w:sz w:val="32"/>
          <w:szCs w:val="32"/>
        </w:rPr>
        <w:t>南昌市青云谱区</w:t>
      </w:r>
      <w:r>
        <w:rPr>
          <w:rFonts w:hint="eastAsia" w:asciiTheme="minorEastAsia" w:hAnsiTheme="minorEastAsia" w:eastAsiaTheme="minorEastAsia" w:cstheme="minorEastAsia"/>
          <w:b w:val="0"/>
          <w:sz w:val="32"/>
          <w:szCs w:val="32"/>
          <w:lang w:val="en-US" w:eastAsia="zh-CN"/>
        </w:rPr>
        <w:t>审计局</w:t>
      </w:r>
      <w:r>
        <w:rPr>
          <w:rFonts w:hint="eastAsia" w:asciiTheme="minorEastAsia" w:hAnsiTheme="minorEastAsia" w:eastAsiaTheme="minorEastAsia" w:cstheme="minorEastAsia"/>
          <w:b w:val="0"/>
          <w:sz w:val="32"/>
          <w:szCs w:val="32"/>
        </w:rPr>
        <w:t>通过</w:t>
      </w:r>
      <w:r>
        <w:rPr>
          <w:rFonts w:hint="eastAsia" w:asciiTheme="minorEastAsia" w:hAnsiTheme="minorEastAsia" w:eastAsiaTheme="minorEastAsia" w:cstheme="minorEastAsia"/>
          <w:sz w:val="32"/>
          <w:szCs w:val="32"/>
        </w:rPr>
        <w:t>制定了青云谱区</w:t>
      </w:r>
      <w:r>
        <w:rPr>
          <w:rFonts w:hint="eastAsia" w:asciiTheme="minorEastAsia" w:hAnsiTheme="minorEastAsia" w:eastAsiaTheme="minorEastAsia" w:cstheme="minorEastAsia"/>
          <w:b w:val="0"/>
          <w:sz w:val="32"/>
          <w:szCs w:val="32"/>
          <w:lang w:val="en-US" w:eastAsia="zh-CN"/>
        </w:rPr>
        <w:t>审计局</w:t>
      </w:r>
      <w:r>
        <w:rPr>
          <w:rFonts w:hint="eastAsia" w:asciiTheme="minorEastAsia" w:hAnsiTheme="minorEastAsia" w:eastAsiaTheme="minorEastAsia" w:cstheme="minorEastAsia"/>
          <w:sz w:val="32"/>
          <w:szCs w:val="32"/>
        </w:rPr>
        <w:t>项目绩效评价资金管理办法，</w:t>
      </w:r>
      <w:r>
        <w:rPr>
          <w:rFonts w:hint="eastAsia" w:asciiTheme="minorEastAsia" w:hAnsiTheme="minorEastAsia" w:eastAsiaTheme="minorEastAsia" w:cstheme="minorEastAsia"/>
          <w:sz w:val="32"/>
          <w:szCs w:val="32"/>
          <w:lang w:val="en-US" w:eastAsia="zh-CN"/>
        </w:rPr>
        <w:t>在规定时间内</w:t>
      </w:r>
      <w:r>
        <w:rPr>
          <w:rFonts w:hint="eastAsia" w:asciiTheme="minorEastAsia" w:hAnsiTheme="minorEastAsia" w:eastAsiaTheme="minorEastAsia" w:cstheme="minorEastAsia"/>
          <w:sz w:val="32"/>
          <w:szCs w:val="32"/>
        </w:rPr>
        <w:t>完成数据填报、收集和汇总工作。根据前期开展的基础工作，我会通过询问查证、问卷调查等方式，对项目绩效进行了自评价。</w:t>
      </w:r>
    </w:p>
    <w:p>
      <w:pPr>
        <w:spacing w:before="12" w:line="288" w:lineRule="auto"/>
        <w:ind w:left="1476" w:right="2660" w:firstLine="16"/>
        <w:rPr>
          <w:rFonts w:hint="eastAsia" w:asciiTheme="minorEastAsia" w:hAnsiTheme="minorEastAsia" w:eastAsiaTheme="minorEastAsia"/>
          <w:b/>
          <w:bCs/>
          <w:sz w:val="32"/>
        </w:rPr>
      </w:pPr>
      <w:r>
        <w:rPr>
          <w:rFonts w:hint="eastAsia" w:asciiTheme="minorEastAsia" w:hAnsiTheme="minorEastAsia" w:eastAsiaTheme="minorEastAsia"/>
          <w:b/>
          <w:bCs/>
          <w:spacing w:val="7"/>
          <w:sz w:val="32"/>
        </w:rPr>
        <w:t>三、综合评价情况及评价结论</w:t>
      </w:r>
      <w:r>
        <w:rPr>
          <w:rFonts w:hint="eastAsia" w:asciiTheme="minorEastAsia" w:hAnsiTheme="minorEastAsia" w:eastAsiaTheme="minorEastAsia"/>
          <w:b/>
          <w:bCs/>
          <w:sz w:val="32"/>
        </w:rPr>
        <w:t>（附相关评分表）</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b w:val="0"/>
          <w:sz w:val="32"/>
          <w:szCs w:val="32"/>
        </w:rPr>
      </w:pPr>
      <w:r>
        <w:rPr>
          <w:rFonts w:hint="eastAsia" w:asciiTheme="minorEastAsia" w:hAnsiTheme="minorEastAsia" w:eastAsiaTheme="minorEastAsia" w:cstheme="minorEastAsia"/>
          <w:b w:val="0"/>
          <w:sz w:val="32"/>
          <w:szCs w:val="32"/>
        </w:rPr>
        <w:t>绩效评价情况：经过严格细致的自评工作，该项目的自评分为</w:t>
      </w:r>
      <w:r>
        <w:rPr>
          <w:rFonts w:hint="eastAsia" w:asciiTheme="minorEastAsia" w:hAnsiTheme="minorEastAsia" w:eastAsiaTheme="minorEastAsia" w:cstheme="minorEastAsia"/>
          <w:b w:val="0"/>
          <w:sz w:val="32"/>
          <w:szCs w:val="32"/>
          <w:lang w:val="en-US" w:eastAsia="zh-CN"/>
        </w:rPr>
        <w:t>89</w:t>
      </w:r>
      <w:r>
        <w:rPr>
          <w:rFonts w:hint="eastAsia" w:asciiTheme="minorEastAsia" w:hAnsiTheme="minorEastAsia" w:eastAsiaTheme="minorEastAsia" w:cstheme="minorEastAsia"/>
          <w:b w:val="0"/>
          <w:sz w:val="32"/>
          <w:szCs w:val="32"/>
        </w:rPr>
        <w:t>分。绩效评级为“</w:t>
      </w:r>
      <w:r>
        <w:rPr>
          <w:rFonts w:hint="eastAsia" w:asciiTheme="minorEastAsia" w:hAnsiTheme="minorEastAsia" w:eastAsiaTheme="minorEastAsia" w:cstheme="minorEastAsia"/>
          <w:b w:val="0"/>
          <w:sz w:val="32"/>
          <w:szCs w:val="32"/>
          <w:lang w:val="en-US" w:eastAsia="zh-CN"/>
        </w:rPr>
        <w:t>良</w:t>
      </w:r>
      <w:r>
        <w:rPr>
          <w:rFonts w:hint="eastAsia" w:asciiTheme="minorEastAsia" w:hAnsiTheme="minorEastAsia" w:eastAsiaTheme="minorEastAsia" w:cstheme="minorEastAsia"/>
          <w:b w:val="0"/>
          <w:sz w:val="32"/>
          <w:szCs w:val="32"/>
        </w:rPr>
        <w:t>”。</w:t>
      </w:r>
    </w:p>
    <w:p>
      <w:pPr>
        <w:pStyle w:val="14"/>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b/>
          <w:bCs/>
          <w:sz w:val="32"/>
        </w:rPr>
      </w:pPr>
      <w:r>
        <w:rPr>
          <w:rFonts w:hint="eastAsia" w:asciiTheme="minorEastAsia" w:hAnsiTheme="minorEastAsia" w:eastAsiaTheme="minorEastAsia" w:cstheme="minorEastAsia"/>
          <w:b w:val="0"/>
          <w:sz w:val="32"/>
          <w:szCs w:val="32"/>
        </w:rPr>
        <w:t>评价结论：通过本次绩效评价工作，补充和完善本单位绩效评价机制，做好评价结果公开工作，进一步规范项目的管理和监督、资金的分配和使用，以便对今后其他项目以绩效评价的方式衡量项目的产出结果和效益目标，促进项目管理科学化。</w:t>
      </w:r>
    </w:p>
    <w:p>
      <w:pPr>
        <w:spacing w:before="12" w:line="288" w:lineRule="auto"/>
        <w:ind w:left="1476" w:right="2660" w:firstLine="16"/>
        <w:rPr>
          <w:rFonts w:asciiTheme="minorEastAsia" w:hAnsiTheme="minorEastAsia" w:eastAsiaTheme="minorEastAsia"/>
          <w:b/>
          <w:bCs/>
          <w:sz w:val="32"/>
        </w:rPr>
      </w:pPr>
      <w:r>
        <w:rPr>
          <w:rFonts w:hint="eastAsia" w:asciiTheme="minorEastAsia" w:hAnsiTheme="minorEastAsia" w:eastAsiaTheme="minorEastAsia"/>
          <w:b/>
          <w:bCs/>
          <w:sz w:val="32"/>
        </w:rPr>
        <w:t xml:space="preserve"> 四、绩效评价指标分析</w:t>
      </w:r>
    </w:p>
    <w:p>
      <w:pPr>
        <w:pStyle w:val="14"/>
        <w:spacing w:before="2"/>
        <w:rPr>
          <w:rFonts w:asciiTheme="minorEastAsia" w:hAnsiTheme="minorEastAsia" w:eastAsiaTheme="minorEastAsia"/>
          <w:b w:val="0"/>
        </w:rPr>
      </w:pPr>
      <w:bookmarkStart w:id="4" w:name="（一）项目决策情况。"/>
      <w:bookmarkEnd w:id="4"/>
      <w:r>
        <w:rPr>
          <w:rFonts w:asciiTheme="minorEastAsia" w:hAnsiTheme="minorEastAsia" w:eastAsiaTheme="minorEastAsia"/>
          <w:b w:val="0"/>
        </w:rPr>
        <w:t>（一）项目决策情况。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项目按规定程序申请设立；所提交的材料符合专项资金管理暂行办法；经过集体决策；实施符合国家、区委区政府相关法律法规；为促进本单位事业发展所必需。在规定时间内完成向区财政局申请专项资金事宜，及时到位资金，在五个工作日之内完成。</w:t>
      </w:r>
    </w:p>
    <w:p>
      <w:pPr>
        <w:numPr>
          <w:ilvl w:val="0"/>
          <w:numId w:val="3"/>
        </w:numPr>
        <w:spacing w:before="11"/>
        <w:ind w:left="1540" w:leftChars="0" w:firstLineChars="0"/>
        <w:rPr>
          <w:rFonts w:hint="eastAsia" w:asciiTheme="minorEastAsia" w:hAnsiTheme="minorEastAsia" w:eastAsiaTheme="minorEastAsia"/>
          <w:sz w:val="32"/>
        </w:rPr>
      </w:pPr>
      <w:bookmarkStart w:id="5" w:name="（二）项目过程情况。"/>
      <w:bookmarkEnd w:id="5"/>
      <w:r>
        <w:rPr>
          <w:rFonts w:hint="eastAsia" w:asciiTheme="minorEastAsia" w:hAnsiTheme="minorEastAsia" w:eastAsiaTheme="minorEastAsia"/>
          <w:sz w:val="32"/>
        </w:rPr>
        <w:t>项目过程情况。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制定了项目实施单位的业务管理制度,制定的业务管理制度合法、合规制定具有相应的项目质量要求或标准，每年有二次或二次以上自查或外部检查。</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制定了相应的项目资金管理办法,该项目资金管理办法符合相关财务会计制度规定。</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sz w:val="32"/>
        </w:rPr>
      </w:pPr>
      <w:r>
        <w:rPr>
          <w:rFonts w:hint="eastAsia" w:asciiTheme="minorEastAsia" w:hAnsiTheme="minorEastAsia" w:eastAsiaTheme="minorEastAsia" w:cstheme="minorEastAsia"/>
          <w:sz w:val="32"/>
          <w:szCs w:val="32"/>
          <w:lang w:val="en-US" w:eastAsia="zh-CN"/>
        </w:rPr>
        <w:t>制定了相应的监控机制每年有二次或二次以上自查或外部检查。</w:t>
      </w:r>
    </w:p>
    <w:p>
      <w:pPr>
        <w:numPr>
          <w:ilvl w:val="0"/>
          <w:numId w:val="3"/>
        </w:numPr>
        <w:spacing w:before="12"/>
        <w:ind w:left="1540" w:leftChars="0" w:firstLine="0" w:firstLineChars="0"/>
        <w:rPr>
          <w:rFonts w:hint="eastAsia" w:asciiTheme="minorEastAsia" w:hAnsiTheme="minorEastAsia" w:eastAsiaTheme="minorEastAsia"/>
          <w:sz w:val="32"/>
        </w:rPr>
      </w:pPr>
      <w:bookmarkStart w:id="6" w:name="（三）项目产出情况。"/>
      <w:bookmarkEnd w:id="6"/>
      <w:r>
        <w:rPr>
          <w:rFonts w:hint="eastAsia" w:asciiTheme="minorEastAsia" w:hAnsiTheme="minorEastAsia" w:eastAsiaTheme="minorEastAsia"/>
          <w:sz w:val="32"/>
        </w:rPr>
        <w:t>项目产出情况。</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1.产出数量指标得分情况逐个分析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产出数量指标</w:t>
      </w:r>
      <w:r>
        <w:rPr>
          <w:rFonts w:hint="eastAsia" w:asciiTheme="minorEastAsia" w:hAnsiTheme="minorEastAsia" w:eastAsiaTheme="minorEastAsia" w:cstheme="minorEastAsia"/>
          <w:sz w:val="32"/>
          <w:szCs w:val="32"/>
          <w:lang w:val="en-US" w:eastAsia="zh-CN"/>
        </w:rPr>
        <w:t>45</w:t>
      </w:r>
      <w:r>
        <w:rPr>
          <w:rFonts w:hint="eastAsia" w:asciiTheme="minorEastAsia" w:hAnsiTheme="minorEastAsia" w:eastAsiaTheme="minorEastAsia" w:cstheme="minorEastAsia"/>
          <w:sz w:val="32"/>
          <w:szCs w:val="32"/>
        </w:rPr>
        <w:t>分，自评得</w:t>
      </w:r>
      <w:r>
        <w:rPr>
          <w:rFonts w:hint="eastAsia" w:asciiTheme="minorEastAsia" w:hAnsiTheme="minorEastAsia" w:eastAsiaTheme="minorEastAsia" w:cstheme="minorEastAsia"/>
          <w:sz w:val="32"/>
          <w:szCs w:val="32"/>
          <w:lang w:val="en-US" w:eastAsia="zh-CN"/>
        </w:rPr>
        <w:t>40</w:t>
      </w:r>
      <w:r>
        <w:rPr>
          <w:rFonts w:hint="eastAsia" w:asciiTheme="minorEastAsia" w:hAnsiTheme="minorEastAsia" w:eastAsiaTheme="minorEastAsia" w:cstheme="minorEastAsia"/>
          <w:sz w:val="32"/>
          <w:szCs w:val="32"/>
        </w:rPr>
        <w:t>分。</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2.产出质量指标得分情况逐个分析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产出质量指标得</w:t>
      </w:r>
      <w:r>
        <w:rPr>
          <w:rFonts w:hint="eastAsia" w:asciiTheme="minorEastAsia" w:hAnsiTheme="minorEastAsia" w:eastAsiaTheme="minorEastAsia" w:cstheme="minorEastAsia"/>
          <w:sz w:val="32"/>
          <w:szCs w:val="32"/>
          <w:lang w:val="en-US" w:eastAsia="zh-CN"/>
        </w:rPr>
        <w:t>45</w:t>
      </w:r>
      <w:r>
        <w:rPr>
          <w:rFonts w:hint="eastAsia" w:asciiTheme="minorEastAsia" w:hAnsiTheme="minorEastAsia" w:eastAsiaTheme="minorEastAsia" w:cstheme="minorEastAsia"/>
          <w:sz w:val="32"/>
          <w:szCs w:val="32"/>
        </w:rPr>
        <w:t>分，自评得</w:t>
      </w:r>
      <w:r>
        <w:rPr>
          <w:rFonts w:hint="eastAsia" w:asciiTheme="minorEastAsia" w:hAnsiTheme="minorEastAsia" w:eastAsiaTheme="minorEastAsia" w:cstheme="minorEastAsia"/>
          <w:sz w:val="32"/>
          <w:szCs w:val="32"/>
          <w:lang w:val="en-US" w:eastAsia="zh-CN"/>
        </w:rPr>
        <w:t>39</w:t>
      </w:r>
      <w:r>
        <w:rPr>
          <w:rFonts w:hint="eastAsia" w:asciiTheme="minorEastAsia" w:hAnsiTheme="minorEastAsia" w:eastAsiaTheme="minorEastAsia" w:cstheme="minorEastAsia"/>
          <w:sz w:val="32"/>
          <w:szCs w:val="32"/>
        </w:rPr>
        <w:t>分。</w:t>
      </w:r>
    </w:p>
    <w:p>
      <w:pPr>
        <w:numPr>
          <w:ilvl w:val="0"/>
          <w:numId w:val="3"/>
        </w:numPr>
        <w:spacing w:before="11"/>
        <w:ind w:left="1540" w:leftChars="0" w:firstLine="0" w:firstLineChars="0"/>
        <w:rPr>
          <w:rFonts w:hint="eastAsia" w:asciiTheme="minorEastAsia" w:hAnsiTheme="minorEastAsia" w:eastAsiaTheme="minorEastAsia"/>
          <w:sz w:val="32"/>
        </w:rPr>
      </w:pPr>
      <w:bookmarkStart w:id="7" w:name="（四）项目效益情况。"/>
      <w:bookmarkEnd w:id="7"/>
      <w:r>
        <w:rPr>
          <w:rFonts w:hint="eastAsia" w:asciiTheme="minorEastAsia" w:hAnsiTheme="minorEastAsia" w:eastAsiaTheme="minorEastAsia"/>
          <w:sz w:val="32"/>
        </w:rPr>
        <w:t>项目效益情况。</w:t>
      </w:r>
    </w:p>
    <w:p>
      <w:pPr>
        <w:pStyle w:val="3"/>
        <w:spacing w:before="118" w:line="350" w:lineRule="auto"/>
        <w:ind w:left="1795" w:leftChars="670" w:right="3109" w:hanging="321" w:hangingChars="100"/>
        <w:rPr>
          <w:rFonts w:hint="eastAsia" w:asciiTheme="minorEastAsia" w:hAnsiTheme="minorEastAsia" w:eastAsiaTheme="minorEastAsia"/>
          <w:b/>
          <w:bCs/>
          <w:sz w:val="32"/>
          <w:szCs w:val="32"/>
        </w:rPr>
      </w:pPr>
      <w:r>
        <w:rPr>
          <w:rFonts w:hint="eastAsia" w:asciiTheme="minorEastAsia" w:hAnsiTheme="minorEastAsia" w:eastAsiaTheme="minorEastAsia"/>
          <w:b/>
          <w:bCs/>
          <w:sz w:val="32"/>
          <w:szCs w:val="32"/>
        </w:rPr>
        <w:t>五、主要经验及做法、存在的问题及原因分析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1、结合单位实际和业务特点，强化预算管理，事前做好预算，控制经费使用， 做到开支合理，手续齐全，保障工作顺利完成；</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rPr>
      </w:pPr>
      <w:r>
        <w:rPr>
          <w:rFonts w:hint="eastAsia" w:asciiTheme="minorEastAsia" w:hAnsiTheme="minorEastAsia" w:eastAsiaTheme="minorEastAsia" w:cstheme="minorEastAsia"/>
          <w:sz w:val="32"/>
          <w:szCs w:val="32"/>
        </w:rPr>
        <w:t>2、严格按照财政部门资金管理办法管理，加强资金的使用和监督，厉行节约、注重实效，提高资金使用效益；</w:t>
      </w:r>
    </w:p>
    <w:p>
      <w:pPr>
        <w:pStyle w:val="3"/>
        <w:spacing w:before="118" w:line="350" w:lineRule="auto"/>
        <w:ind w:left="1476" w:right="3109"/>
        <w:rPr>
          <w:rFonts w:asciiTheme="minorEastAsia" w:hAnsiTheme="minorEastAsia" w:eastAsiaTheme="minorEastAsia"/>
          <w:b/>
          <w:bCs/>
        </w:rPr>
      </w:pPr>
      <w:r>
        <w:rPr>
          <w:rFonts w:hint="eastAsia" w:asciiTheme="minorEastAsia" w:hAnsiTheme="minorEastAsia" w:eastAsiaTheme="minorEastAsia"/>
          <w:b/>
          <w:bCs/>
        </w:rPr>
        <w:t>六、有关建议</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1.加强项目顶算管理，提高预算资金执行率。首先按项目实际需求认真编专项资金预算，并在资金支出过程中做到按预算执行，提高预算执行严肃性;其次，发现预算执行偏离要及时预算调整。</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 制订健全项目资金专项管理制度。建立专项资金备查帐，严格按照项目资金的用范围和要求使用资金，严格项目资金使用程序和审批手续，切实加</w:t>
      </w:r>
      <w:r>
        <w:rPr>
          <w:rFonts w:hint="eastAsia" w:asciiTheme="minorEastAsia" w:hAnsiTheme="minorEastAsia" w:eastAsiaTheme="minorEastAsia" w:cstheme="minorEastAsia"/>
          <w:sz w:val="32"/>
          <w:szCs w:val="32"/>
          <w:lang w:val="en-US" w:eastAsia="zh-CN"/>
        </w:rPr>
        <w:t>强</w:t>
      </w:r>
      <w:r>
        <w:rPr>
          <w:rFonts w:hint="eastAsia" w:asciiTheme="minorEastAsia" w:hAnsiTheme="minorEastAsia" w:eastAsiaTheme="minorEastAsia" w:cstheme="minorEastAsia"/>
          <w:sz w:val="32"/>
          <w:szCs w:val="32"/>
        </w:rPr>
        <w:t>对专项资金的管理。</w:t>
      </w:r>
    </w:p>
    <w:p>
      <w:pPr>
        <w:pStyle w:val="3"/>
        <w:spacing w:before="2"/>
        <w:ind w:left="1476"/>
        <w:rPr>
          <w:rFonts w:asciiTheme="minorEastAsia" w:hAnsiTheme="minorEastAsia" w:eastAsiaTheme="minorEastAsia"/>
          <w:b/>
          <w:bCs/>
        </w:rPr>
      </w:pPr>
      <w:r>
        <w:rPr>
          <w:rFonts w:hint="eastAsia" w:asciiTheme="minorEastAsia" w:hAnsiTheme="minorEastAsia" w:eastAsiaTheme="minorEastAsia"/>
          <w:b/>
          <w:bCs/>
        </w:rPr>
        <w:t>七、其他需要说明的问题</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keepNext w:val="0"/>
        <w:keepLines w:val="0"/>
        <w:pageBreakBefore w:val="0"/>
        <w:numPr>
          <w:ilvl w:val="0"/>
          <w:numId w:val="0"/>
        </w:numPr>
        <w:kinsoku/>
        <w:wordWrap/>
        <w:overflowPunct/>
        <w:topLinePunct w:val="0"/>
        <w:bidi w:val="0"/>
        <w:spacing w:after="0" w:line="580" w:lineRule="exact"/>
        <w:ind w:left="880" w:leftChars="400" w:right="660" w:rightChars="300" w:firstLine="640" w:firstLineChars="200"/>
        <w:jc w:val="left"/>
        <w:textAlignment w:val="auto"/>
        <w:rPr>
          <w:rFonts w:hint="eastAsia" w:asciiTheme="minorEastAsia" w:hAnsiTheme="minorEastAsia" w:eastAsiaTheme="minorEastAsia" w:cstheme="minorEastAsia"/>
          <w:sz w:val="32"/>
          <w:szCs w:val="32"/>
        </w:rPr>
        <w:sectPr>
          <w:footerReference r:id="rId6" w:type="default"/>
          <w:pgSz w:w="11910" w:h="16840"/>
          <w:pgMar w:top="1480" w:right="340" w:bottom="1220" w:left="580" w:header="0" w:footer="1034" w:gutter="0"/>
          <w:pgNumType w:start="19"/>
          <w:cols w:space="720" w:num="1"/>
        </w:sectPr>
      </w:pPr>
    </w:p>
    <w:p>
      <w:pPr>
        <w:pStyle w:val="13"/>
        <w:spacing w:before="39"/>
        <w:ind w:left="1244"/>
      </w:pPr>
      <w:r>
        <w:t>项目支出绩效评分表</w:t>
      </w:r>
    </w:p>
    <w:p>
      <w:pPr>
        <w:pStyle w:val="3"/>
        <w:spacing w:before="8"/>
        <w:rPr>
          <w:sz w:val="16"/>
        </w:rPr>
      </w:pPr>
    </w:p>
    <w:tbl>
      <w:tblPr>
        <w:tblStyle w:val="11"/>
        <w:tblpPr w:leftFromText="180" w:rightFromText="180" w:vertAnchor="text" w:horzAnchor="page" w:tblpX="739" w:tblpY="646"/>
        <w:tblOverlap w:val="never"/>
        <w:tblW w:w="104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1"/>
        <w:gridCol w:w="388"/>
        <w:gridCol w:w="973"/>
        <w:gridCol w:w="596"/>
        <w:gridCol w:w="1963"/>
        <w:gridCol w:w="706"/>
        <w:gridCol w:w="3980"/>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41" w:type="dxa"/>
          </w:tcPr>
          <w:p>
            <w:pPr>
              <w:pStyle w:val="16"/>
              <w:spacing w:before="20"/>
              <w:ind w:left="359"/>
              <w:rPr>
                <w:rFonts w:ascii="黑体" w:eastAsia="黑体"/>
                <w:sz w:val="21"/>
                <w:lang w:eastAsia="en-US"/>
              </w:rPr>
            </w:pPr>
            <w:r>
              <w:rPr>
                <w:rFonts w:hint="eastAsia" w:ascii="黑体" w:eastAsia="黑体"/>
                <w:spacing w:val="-1"/>
                <w:w w:val="95"/>
                <w:sz w:val="21"/>
                <w:lang w:eastAsia="en-US"/>
              </w:rPr>
              <w:t>一级</w:t>
            </w:r>
          </w:p>
          <w:p>
            <w:pPr>
              <w:pStyle w:val="16"/>
              <w:spacing w:before="43"/>
              <w:ind w:left="359"/>
              <w:rPr>
                <w:rFonts w:ascii="黑体" w:eastAsia="黑体"/>
                <w:sz w:val="21"/>
                <w:lang w:eastAsia="en-US"/>
              </w:rPr>
            </w:pPr>
            <w:r>
              <w:rPr>
                <w:rFonts w:hint="eastAsia" w:ascii="黑体" w:eastAsia="黑体"/>
                <w:spacing w:val="-1"/>
                <w:w w:val="95"/>
                <w:sz w:val="21"/>
                <w:lang w:eastAsia="en-US"/>
              </w:rPr>
              <w:t>指标</w:t>
            </w:r>
          </w:p>
        </w:tc>
        <w:tc>
          <w:tcPr>
            <w:tcW w:w="1361" w:type="dxa"/>
            <w:gridSpan w:val="2"/>
          </w:tcPr>
          <w:p>
            <w:pPr>
              <w:pStyle w:val="16"/>
              <w:spacing w:before="176"/>
              <w:ind w:left="259"/>
              <w:rPr>
                <w:rFonts w:ascii="黑体" w:eastAsia="黑体"/>
                <w:sz w:val="21"/>
                <w:lang w:eastAsia="en-US"/>
              </w:rPr>
            </w:pPr>
            <w:r>
              <w:rPr>
                <w:rFonts w:hint="eastAsia" w:ascii="黑体" w:eastAsia="黑体"/>
                <w:sz w:val="21"/>
                <w:lang w:eastAsia="en-US"/>
              </w:rPr>
              <w:t>二级指标</w:t>
            </w:r>
          </w:p>
        </w:tc>
        <w:tc>
          <w:tcPr>
            <w:tcW w:w="596" w:type="dxa"/>
          </w:tcPr>
          <w:p>
            <w:pPr>
              <w:pStyle w:val="16"/>
              <w:spacing w:before="20"/>
              <w:ind w:left="192"/>
              <w:rPr>
                <w:rFonts w:ascii="黑体" w:eastAsia="黑体"/>
                <w:sz w:val="21"/>
                <w:lang w:eastAsia="en-US"/>
              </w:rPr>
            </w:pPr>
            <w:r>
              <w:rPr>
                <w:rFonts w:hint="eastAsia" w:ascii="黑体" w:eastAsia="黑体"/>
                <w:w w:val="99"/>
                <w:sz w:val="21"/>
                <w:lang w:eastAsia="en-US"/>
              </w:rPr>
              <w:t>分</w:t>
            </w:r>
          </w:p>
          <w:p>
            <w:pPr>
              <w:pStyle w:val="16"/>
              <w:spacing w:before="43"/>
              <w:ind w:left="192"/>
              <w:rPr>
                <w:rFonts w:ascii="黑体" w:eastAsia="黑体"/>
                <w:sz w:val="21"/>
                <w:lang w:eastAsia="en-US"/>
              </w:rPr>
            </w:pPr>
            <w:r>
              <w:rPr>
                <w:rFonts w:hint="eastAsia" w:ascii="黑体" w:eastAsia="黑体"/>
                <w:w w:val="99"/>
                <w:sz w:val="21"/>
                <w:lang w:eastAsia="en-US"/>
              </w:rPr>
              <w:t>值</w:t>
            </w:r>
          </w:p>
        </w:tc>
        <w:tc>
          <w:tcPr>
            <w:tcW w:w="1963" w:type="dxa"/>
          </w:tcPr>
          <w:p>
            <w:pPr>
              <w:pStyle w:val="16"/>
              <w:spacing w:before="176"/>
              <w:ind w:left="224" w:right="217"/>
              <w:jc w:val="center"/>
              <w:rPr>
                <w:rFonts w:ascii="黑体" w:eastAsia="黑体"/>
                <w:sz w:val="21"/>
                <w:lang w:eastAsia="en-US"/>
              </w:rPr>
            </w:pPr>
            <w:r>
              <w:rPr>
                <w:rFonts w:hint="eastAsia" w:ascii="黑体" w:eastAsia="黑体"/>
                <w:sz w:val="21"/>
                <w:lang w:eastAsia="en-US"/>
              </w:rPr>
              <w:t>三级指标</w:t>
            </w:r>
          </w:p>
        </w:tc>
        <w:tc>
          <w:tcPr>
            <w:tcW w:w="706" w:type="dxa"/>
          </w:tcPr>
          <w:p>
            <w:pPr>
              <w:pStyle w:val="16"/>
              <w:spacing w:before="176"/>
              <w:ind w:left="141"/>
              <w:rPr>
                <w:rFonts w:ascii="黑体" w:eastAsia="黑体"/>
                <w:sz w:val="21"/>
                <w:lang w:eastAsia="en-US"/>
              </w:rPr>
            </w:pPr>
            <w:r>
              <w:rPr>
                <w:rFonts w:hint="eastAsia" w:ascii="黑体" w:eastAsia="黑体"/>
                <w:sz w:val="21"/>
                <w:lang w:eastAsia="en-US"/>
              </w:rPr>
              <w:t>分值</w:t>
            </w:r>
          </w:p>
        </w:tc>
        <w:tc>
          <w:tcPr>
            <w:tcW w:w="3980" w:type="dxa"/>
          </w:tcPr>
          <w:p>
            <w:pPr>
              <w:pStyle w:val="16"/>
              <w:spacing w:before="176"/>
              <w:ind w:left="1548" w:right="1542"/>
              <w:jc w:val="center"/>
              <w:rPr>
                <w:rFonts w:ascii="黑体" w:eastAsia="黑体"/>
                <w:sz w:val="21"/>
                <w:lang w:eastAsia="en-US"/>
              </w:rPr>
            </w:pPr>
            <w:r>
              <w:rPr>
                <w:rFonts w:hint="eastAsia" w:ascii="黑体" w:eastAsia="黑体"/>
                <w:sz w:val="21"/>
                <w:lang w:eastAsia="en-US"/>
              </w:rPr>
              <w:t>评分标准</w:t>
            </w:r>
          </w:p>
        </w:tc>
        <w:tc>
          <w:tcPr>
            <w:tcW w:w="675" w:type="dxa"/>
          </w:tcPr>
          <w:p>
            <w:pPr>
              <w:pStyle w:val="16"/>
              <w:spacing w:before="20"/>
              <w:ind w:left="125"/>
              <w:rPr>
                <w:rFonts w:ascii="黑体" w:eastAsia="黑体"/>
                <w:sz w:val="21"/>
                <w:lang w:eastAsia="en-US"/>
              </w:rPr>
            </w:pPr>
            <w:r>
              <w:rPr>
                <w:rFonts w:hint="eastAsia" w:ascii="黑体" w:eastAsia="黑体"/>
                <w:spacing w:val="-1"/>
                <w:w w:val="95"/>
                <w:sz w:val="21"/>
                <w:lang w:eastAsia="en-US"/>
              </w:rPr>
              <w:t>评价</w:t>
            </w:r>
          </w:p>
          <w:p>
            <w:pPr>
              <w:pStyle w:val="16"/>
              <w:spacing w:before="43"/>
              <w:ind w:left="125"/>
              <w:rPr>
                <w:rFonts w:ascii="黑体" w:eastAsia="黑体"/>
                <w:sz w:val="21"/>
                <w:lang w:eastAsia="en-US"/>
              </w:rPr>
            </w:pPr>
            <w:r>
              <w:rPr>
                <w:rFonts w:hint="eastAsia" w:ascii="黑体" w:eastAsia="黑体"/>
                <w:spacing w:val="-1"/>
                <w:w w:val="95"/>
                <w:sz w:val="21"/>
                <w:lang w:eastAsia="en-US"/>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141" w:type="dxa"/>
            <w:vMerge w:val="restart"/>
          </w:tcPr>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p>
          <w:p>
            <w:pPr>
              <w:pStyle w:val="16"/>
              <w:spacing w:before="172"/>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决策</w:t>
            </w:r>
          </w:p>
          <w:p>
            <w:pPr>
              <w:pStyle w:val="16"/>
              <w:spacing w:before="6"/>
              <w:jc w:val="center"/>
              <w:rPr>
                <w:rFonts w:hint="eastAsia" w:ascii="黑体" w:hAnsi="黑体" w:eastAsia="黑体" w:cs="黑体"/>
                <w:sz w:val="21"/>
                <w:szCs w:val="21"/>
                <w:lang w:eastAsia="en-US"/>
              </w:rPr>
            </w:pPr>
          </w:p>
          <w:p>
            <w:pPr>
              <w:pStyle w:val="16"/>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（15 分）</w:t>
            </w:r>
          </w:p>
        </w:tc>
        <w:tc>
          <w:tcPr>
            <w:tcW w:w="1361" w:type="dxa"/>
            <w:gridSpan w:val="2"/>
            <w:vMerge w:val="restart"/>
          </w:tcPr>
          <w:p>
            <w:pPr>
              <w:pStyle w:val="16"/>
              <w:spacing w:before="11"/>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项目立项</w:t>
            </w:r>
          </w:p>
        </w:tc>
        <w:tc>
          <w:tcPr>
            <w:tcW w:w="596" w:type="dxa"/>
            <w:vMerge w:val="restart"/>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6"/>
              <w:spacing w:before="87"/>
              <w:ind w:left="224" w:right="219"/>
              <w:jc w:val="center"/>
              <w:rPr>
                <w:rFonts w:hint="eastAsia" w:ascii="黑体" w:hAnsi="黑体" w:eastAsia="黑体" w:cs="黑体"/>
                <w:sz w:val="21"/>
                <w:szCs w:val="21"/>
                <w:lang w:eastAsia="en-US"/>
              </w:rPr>
            </w:pPr>
          </w:p>
          <w:p>
            <w:pPr>
              <w:pStyle w:val="16"/>
              <w:spacing w:before="87"/>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立项依据充分性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①项目活动专项经费申报有依据，有政府抄告单（或财政答复意见）；②申请经费报告有领导批示；③项目活动开展有领导班子集体研究。</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64"/>
              <w:ind w:left="224" w:right="219"/>
              <w:jc w:val="center"/>
              <w:rPr>
                <w:rFonts w:hint="eastAsia" w:ascii="黑体" w:hAnsi="黑体" w:eastAsia="黑体" w:cs="黑体"/>
                <w:sz w:val="21"/>
                <w:szCs w:val="21"/>
                <w:lang w:eastAsia="en-US"/>
              </w:rPr>
            </w:pPr>
          </w:p>
          <w:p>
            <w:pPr>
              <w:pStyle w:val="16"/>
              <w:spacing w:before="64"/>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立项程序规范性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①项目是否按照规定的程序申请立项；②所提交的文件、材料是否符合相关要求；③事前是否已经过必要的可行性研究、专家论证、风险评估、集体决策等。一项不符合扣一分，严重的此项完全不得分。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6"/>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绩效目标</w:t>
            </w:r>
          </w:p>
        </w:tc>
        <w:tc>
          <w:tcPr>
            <w:tcW w:w="596" w:type="dxa"/>
            <w:vMerge w:val="restart"/>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6"/>
              <w:spacing w:before="63"/>
              <w:ind w:left="224" w:right="219"/>
              <w:jc w:val="center"/>
              <w:rPr>
                <w:rFonts w:hint="eastAsia" w:ascii="黑体" w:hAnsi="黑体" w:eastAsia="黑体" w:cs="黑体"/>
                <w:sz w:val="21"/>
                <w:szCs w:val="21"/>
                <w:lang w:eastAsia="en-US"/>
              </w:rPr>
            </w:pPr>
          </w:p>
          <w:p>
            <w:pPr>
              <w:pStyle w:val="16"/>
              <w:spacing w:before="6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绩效目标合理性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①是否与项目年度任务数或计划数相对应；②是否与预算确定的项目投资额或资金量相匹配。一项不符合扣一分，严重的此项完全不得分。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103"/>
              <w:ind w:left="224" w:right="219"/>
              <w:jc w:val="center"/>
              <w:rPr>
                <w:rFonts w:hint="eastAsia" w:ascii="黑体" w:hAnsi="黑体" w:eastAsia="黑体" w:cs="黑体"/>
                <w:sz w:val="21"/>
                <w:szCs w:val="21"/>
                <w:lang w:eastAsia="en-US"/>
              </w:rPr>
            </w:pPr>
          </w:p>
          <w:p>
            <w:pPr>
              <w:pStyle w:val="16"/>
              <w:spacing w:before="10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绩效指标明确性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①是否将项目绩效目标细化分解为具体的绩效指标；②是否通过清晰、可衡量的指标值予以体现一项不符合扣一分，严重的此项完全不得分。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6"/>
              <w:spacing w:before="10"/>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资金投入</w:t>
            </w:r>
          </w:p>
        </w:tc>
        <w:tc>
          <w:tcPr>
            <w:tcW w:w="596" w:type="dxa"/>
            <w:vMerge w:val="restart"/>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6"/>
              <w:spacing w:before="86"/>
              <w:ind w:left="224" w:right="219"/>
              <w:jc w:val="center"/>
              <w:rPr>
                <w:rFonts w:hint="eastAsia" w:ascii="黑体" w:hAnsi="黑体" w:eastAsia="黑体" w:cs="黑体"/>
                <w:sz w:val="21"/>
                <w:szCs w:val="21"/>
                <w:lang w:eastAsia="en-US"/>
              </w:rPr>
            </w:pPr>
          </w:p>
          <w:p>
            <w:pPr>
              <w:pStyle w:val="16"/>
              <w:spacing w:before="86"/>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预算编制科学性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①预算编制符合“量力为出，收支平衡”原则，②科学测算各项收入、支出明确列示相关测算方法和依据。</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63"/>
              <w:ind w:left="224" w:right="219"/>
              <w:jc w:val="center"/>
              <w:rPr>
                <w:rFonts w:hint="eastAsia" w:ascii="黑体" w:hAnsi="黑体" w:eastAsia="黑体" w:cs="黑体"/>
                <w:sz w:val="21"/>
                <w:szCs w:val="21"/>
                <w:lang w:eastAsia="en-US"/>
              </w:rPr>
            </w:pPr>
          </w:p>
          <w:p>
            <w:pPr>
              <w:pStyle w:val="16"/>
              <w:spacing w:before="63"/>
              <w:ind w:left="224" w:right="219"/>
              <w:jc w:val="center"/>
              <w:rPr>
                <w:rFonts w:hint="eastAsia" w:ascii="黑体" w:hAnsi="黑体" w:eastAsia="黑体" w:cs="黑体"/>
                <w:sz w:val="21"/>
                <w:szCs w:val="21"/>
                <w:lang w:eastAsia="en-US"/>
              </w:rPr>
            </w:pPr>
          </w:p>
          <w:p>
            <w:pPr>
              <w:pStyle w:val="16"/>
              <w:spacing w:before="6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资金分配合理性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①是否符合国家财经法规和财务管理制度以及有关专项资金管理办法的规定；②资金的拨付是否有完整的审批程序和手续；③项目的重大开支是否经过评估认证。一项不符合扣一分，严重的此项完全不得分。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1141" w:type="dxa"/>
            <w:vMerge w:val="restart"/>
          </w:tcPr>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spacing w:before="130"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过程</w:t>
            </w:r>
          </w:p>
          <w:p>
            <w:pPr>
              <w:pStyle w:val="16"/>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（15 分）</w:t>
            </w:r>
          </w:p>
        </w:tc>
        <w:tc>
          <w:tcPr>
            <w:tcW w:w="1361" w:type="dxa"/>
            <w:gridSpan w:val="2"/>
            <w:vMerge w:val="restart"/>
          </w:tcPr>
          <w:p>
            <w:pPr>
              <w:pStyle w:val="16"/>
              <w:jc w:val="center"/>
              <w:rPr>
                <w:rFonts w:hint="eastAsia" w:ascii="黑体" w:hAnsi="黑体" w:eastAsia="黑体" w:cs="黑体"/>
                <w:sz w:val="21"/>
                <w:szCs w:val="21"/>
                <w:lang w:eastAsia="en-US"/>
              </w:rPr>
            </w:pPr>
          </w:p>
          <w:p>
            <w:pPr>
              <w:pStyle w:val="16"/>
              <w:spacing w:before="175"/>
              <w:ind w:left="259"/>
              <w:jc w:val="center"/>
              <w:rPr>
                <w:rFonts w:hint="eastAsia" w:ascii="黑体" w:hAnsi="黑体" w:eastAsia="黑体" w:cs="黑体"/>
                <w:sz w:val="21"/>
                <w:szCs w:val="21"/>
                <w:lang w:eastAsia="en-US"/>
              </w:rPr>
            </w:pPr>
          </w:p>
          <w:p>
            <w:pPr>
              <w:pStyle w:val="16"/>
              <w:spacing w:before="175"/>
              <w:ind w:left="259"/>
              <w:jc w:val="center"/>
              <w:rPr>
                <w:rFonts w:hint="eastAsia" w:ascii="黑体" w:hAnsi="黑体" w:eastAsia="黑体" w:cs="黑体"/>
                <w:sz w:val="21"/>
                <w:szCs w:val="21"/>
                <w:lang w:eastAsia="en-US"/>
              </w:rPr>
            </w:pPr>
          </w:p>
          <w:p>
            <w:pPr>
              <w:pStyle w:val="16"/>
              <w:spacing w:before="175"/>
              <w:ind w:left="259"/>
              <w:jc w:val="center"/>
              <w:rPr>
                <w:rFonts w:hint="eastAsia" w:ascii="黑体" w:hAnsi="黑体" w:eastAsia="黑体" w:cs="黑体"/>
                <w:sz w:val="21"/>
                <w:szCs w:val="21"/>
                <w:lang w:eastAsia="en-US"/>
              </w:rPr>
            </w:pPr>
          </w:p>
          <w:p>
            <w:pPr>
              <w:pStyle w:val="16"/>
              <w:spacing w:before="175"/>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资金管理</w:t>
            </w:r>
          </w:p>
        </w:tc>
        <w:tc>
          <w:tcPr>
            <w:tcW w:w="596" w:type="dxa"/>
            <w:vMerge w:val="restart"/>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Pr>
          <w:p>
            <w:pPr>
              <w:pStyle w:val="16"/>
              <w:spacing w:before="38"/>
              <w:ind w:left="224" w:right="217"/>
              <w:jc w:val="center"/>
              <w:rPr>
                <w:rFonts w:hint="eastAsia" w:ascii="黑体" w:hAnsi="黑体" w:eastAsia="黑体" w:cs="黑体"/>
                <w:sz w:val="21"/>
                <w:szCs w:val="21"/>
                <w:lang w:eastAsia="en-US"/>
              </w:rPr>
            </w:pPr>
          </w:p>
          <w:p>
            <w:pPr>
              <w:pStyle w:val="16"/>
              <w:spacing w:before="38"/>
              <w:ind w:left="224" w:right="217"/>
              <w:jc w:val="center"/>
              <w:rPr>
                <w:rFonts w:hint="eastAsia" w:ascii="黑体" w:hAnsi="黑体" w:eastAsia="黑体" w:cs="黑体"/>
                <w:sz w:val="21"/>
                <w:szCs w:val="21"/>
                <w:lang w:eastAsia="en-US"/>
              </w:rPr>
            </w:pPr>
          </w:p>
          <w:p>
            <w:pPr>
              <w:pStyle w:val="16"/>
              <w:spacing w:before="38"/>
              <w:ind w:left="224" w:right="217"/>
              <w:jc w:val="center"/>
              <w:rPr>
                <w:rFonts w:hint="eastAsia" w:ascii="黑体" w:hAnsi="黑体" w:eastAsia="黑体" w:cs="黑体"/>
                <w:sz w:val="21"/>
                <w:szCs w:val="21"/>
                <w:lang w:eastAsia="en-US"/>
              </w:rPr>
            </w:pPr>
          </w:p>
          <w:p>
            <w:pPr>
              <w:pStyle w:val="16"/>
              <w:spacing w:before="38"/>
              <w:ind w:left="224" w:right="217"/>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资金到位率</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widowControl/>
              <w:autoSpaceDE w:val="0"/>
              <w:autoSpaceDN w:val="0"/>
              <w:spacing w:line="240" w:lineRule="exact"/>
              <w:rPr>
                <w:rFonts w:hint="eastAsia" w:ascii="黑体" w:hAnsi="黑体" w:eastAsia="黑体" w:cs="黑体"/>
                <w:sz w:val="21"/>
                <w:szCs w:val="21"/>
                <w:lang w:eastAsia="zh-CN"/>
              </w:rPr>
            </w:pPr>
            <w:r>
              <w:rPr>
                <w:rFonts w:hint="eastAsia" w:ascii="黑体" w:hAnsi="黑体" w:eastAsia="黑体" w:cs="黑体"/>
                <w:color w:val="000000"/>
                <w:kern w:val="0"/>
                <w:sz w:val="21"/>
                <w:szCs w:val="21"/>
              </w:rPr>
              <w:t>①资金到位率=（实际到位资金/计划投入资金）×100%。资金到位率大于90%的得满分，每少5个百分点扣1分，扣完为止。实际到位资金：一定时期（本年度或项目期）内实际落实到项目实施单位的资金总额。计划投入资金：一定时期（本年度或项目期）内计划投入到项目实施单位的资金总额。②</w:t>
            </w:r>
            <w:r>
              <w:rPr>
                <w:rFonts w:hint="eastAsia" w:ascii="黑体" w:hAnsi="黑体" w:eastAsia="黑体" w:cs="黑体"/>
                <w:color w:val="000000"/>
                <w:kern w:val="0"/>
                <w:sz w:val="21"/>
                <w:szCs w:val="21"/>
                <w:lang w:val="en-US" w:eastAsia="zh-CN"/>
              </w:rPr>
              <w:t>拨付及时。</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37"/>
              <w:ind w:left="224" w:right="217"/>
              <w:jc w:val="center"/>
              <w:rPr>
                <w:rFonts w:hint="eastAsia" w:ascii="黑体" w:hAnsi="黑体" w:eastAsia="黑体" w:cs="黑体"/>
                <w:sz w:val="21"/>
                <w:szCs w:val="21"/>
                <w:lang w:eastAsia="en-US"/>
              </w:rPr>
            </w:pPr>
          </w:p>
          <w:p>
            <w:pPr>
              <w:pStyle w:val="16"/>
              <w:spacing w:before="37"/>
              <w:ind w:left="224" w:right="217"/>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预算执行率</w:t>
            </w:r>
          </w:p>
          <w:p>
            <w:pPr>
              <w:pStyle w:val="16"/>
              <w:spacing w:before="37"/>
              <w:ind w:left="224" w:right="217"/>
              <w:jc w:val="center"/>
              <w:rPr>
                <w:rFonts w:hint="eastAsia" w:ascii="黑体" w:hAnsi="黑体" w:eastAsia="黑体" w:cs="黑体"/>
                <w:sz w:val="21"/>
                <w:szCs w:val="21"/>
                <w:lang w:eastAsia="en-US"/>
              </w:rPr>
            </w:pP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（实际下拨资金/应下拨资金）X100%。每降低10%扣1分，低于60%不得分。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71"/>
              <w:ind w:left="224" w:right="219"/>
              <w:jc w:val="center"/>
              <w:rPr>
                <w:rFonts w:hint="eastAsia" w:ascii="黑体" w:hAnsi="黑体" w:eastAsia="黑体" w:cs="黑体"/>
                <w:sz w:val="21"/>
                <w:szCs w:val="21"/>
                <w:lang w:eastAsia="en-US"/>
              </w:rPr>
            </w:pPr>
          </w:p>
          <w:p>
            <w:pPr>
              <w:pStyle w:val="16"/>
              <w:spacing w:before="71"/>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资金使用合规性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①是否符合项目预算批复或合同规定的用途；②是否存在截留、挤占、挪用等情况。一项不符合扣一分，严重的此项完全不得分。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restart"/>
          </w:tcPr>
          <w:p>
            <w:pPr>
              <w:pStyle w:val="16"/>
              <w:spacing w:before="12"/>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p>
          <w:p>
            <w:pPr>
              <w:pStyle w:val="16"/>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组织实施</w:t>
            </w:r>
          </w:p>
        </w:tc>
        <w:tc>
          <w:tcPr>
            <w:tcW w:w="596" w:type="dxa"/>
            <w:vMerge w:val="restart"/>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Pr>
          <w:p>
            <w:pPr>
              <w:pStyle w:val="16"/>
              <w:spacing w:before="93"/>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管理制度健全性</w:t>
            </w:r>
          </w:p>
        </w:tc>
        <w:tc>
          <w:tcPr>
            <w:tcW w:w="70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制定专项资金管理办法的规定。</w:t>
            </w:r>
          </w:p>
        </w:tc>
        <w:tc>
          <w:tcPr>
            <w:tcW w:w="675" w:type="dxa"/>
          </w:tcPr>
          <w:p>
            <w:pPr>
              <w:pStyle w:val="16"/>
              <w:jc w:val="center"/>
              <w:rPr>
                <w:rFonts w:hint="eastAsia" w:ascii="Times New Roman" w:eastAsia="宋体"/>
                <w:sz w:val="20"/>
                <w:lang w:val="en-US" w:eastAsia="zh-CN"/>
              </w:rPr>
            </w:pPr>
            <w:r>
              <w:rPr>
                <w:rFonts w:hint="eastAsia" w:ascii="Times New Roman"/>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963" w:type="dxa"/>
          </w:tcPr>
          <w:p>
            <w:pPr>
              <w:pStyle w:val="16"/>
              <w:spacing w:before="70"/>
              <w:ind w:left="224" w:right="219"/>
              <w:jc w:val="center"/>
              <w:rPr>
                <w:rFonts w:hint="eastAsia" w:ascii="黑体" w:hAnsi="黑体" w:eastAsia="黑体" w:cs="黑体"/>
                <w:sz w:val="21"/>
                <w:szCs w:val="21"/>
                <w:lang w:eastAsia="en-US"/>
              </w:rPr>
            </w:pPr>
          </w:p>
          <w:p>
            <w:pPr>
              <w:pStyle w:val="16"/>
              <w:spacing w:before="70"/>
              <w:ind w:left="224" w:right="21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制度执行有效性</w:t>
            </w:r>
          </w:p>
        </w:tc>
        <w:tc>
          <w:tcPr>
            <w:tcW w:w="70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3</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spacing w:before="1"/>
              <w:jc w:val="center"/>
              <w:rPr>
                <w:rFonts w:hint="eastAsia" w:ascii="黑体" w:hAnsi="黑体" w:eastAsia="黑体" w:cs="黑体"/>
                <w:sz w:val="21"/>
                <w:szCs w:val="21"/>
                <w:lang w:eastAsia="en-US"/>
              </w:rPr>
            </w:pPr>
          </w:p>
          <w:p>
            <w:pPr>
              <w:pStyle w:val="16"/>
              <w:spacing w:before="1"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w:t>
            </w:r>
          </w:p>
          <w:p>
            <w:pPr>
              <w:pStyle w:val="16"/>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（35 分）</w:t>
            </w:r>
          </w:p>
        </w:tc>
        <w:tc>
          <w:tcPr>
            <w:tcW w:w="1361" w:type="dxa"/>
            <w:gridSpan w:val="2"/>
          </w:tcPr>
          <w:p>
            <w:pPr>
              <w:pStyle w:val="16"/>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产出数量</w:t>
            </w:r>
          </w:p>
        </w:tc>
        <w:tc>
          <w:tcPr>
            <w:tcW w:w="59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产出数量是否达到绩效目标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产出数量</w:t>
            </w:r>
            <w:r>
              <w:rPr>
                <w:rFonts w:hint="eastAsia" w:ascii="黑体" w:hAnsi="黑体" w:eastAsia="黑体" w:cs="黑体"/>
                <w:color w:val="000000"/>
                <w:kern w:val="0"/>
                <w:sz w:val="21"/>
                <w:szCs w:val="21"/>
                <w:lang w:eastAsia="zh-CN"/>
              </w:rPr>
              <w:t>计算得分。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产出质量</w:t>
            </w:r>
          </w:p>
        </w:tc>
        <w:tc>
          <w:tcPr>
            <w:tcW w:w="596" w:type="dxa"/>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产出质量是否达到绩效目标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w:t>
            </w:r>
            <w:r>
              <w:rPr>
                <w:rFonts w:hint="eastAsia" w:ascii="黑体" w:hAnsi="黑体" w:eastAsia="黑体" w:cs="黑体"/>
                <w:color w:val="000000"/>
                <w:kern w:val="0"/>
                <w:sz w:val="21"/>
                <w:szCs w:val="21"/>
                <w:lang w:val="en-US" w:eastAsia="zh-CN"/>
              </w:rPr>
              <w:t>工作</w:t>
            </w:r>
            <w:r>
              <w:rPr>
                <w:rFonts w:hint="eastAsia" w:ascii="黑体" w:hAnsi="黑体" w:eastAsia="黑体" w:cs="黑体"/>
                <w:color w:val="000000"/>
                <w:kern w:val="0"/>
                <w:sz w:val="21"/>
                <w:szCs w:val="21"/>
              </w:rPr>
              <w:t>产出</w:t>
            </w:r>
            <w:r>
              <w:rPr>
                <w:rFonts w:hint="eastAsia" w:ascii="黑体" w:hAnsi="黑体" w:eastAsia="黑体" w:cs="黑体"/>
                <w:color w:val="000000"/>
                <w:kern w:val="0"/>
                <w:sz w:val="21"/>
                <w:szCs w:val="21"/>
                <w:lang w:eastAsia="zh-CN"/>
              </w:rPr>
              <w:t>质量计算得分。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2"/>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产出时效</w:t>
            </w:r>
          </w:p>
        </w:tc>
        <w:tc>
          <w:tcPr>
            <w:tcW w:w="596" w:type="dxa"/>
            <w:tcBorders>
              <w:bottom w:val="single" w:color="auto" w:sz="4" w:space="0"/>
            </w:tcBorders>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产出时效是否达到绩效目标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根据实际完成各项工作时间计分</w:t>
            </w:r>
            <w:r>
              <w:rPr>
                <w:rFonts w:hint="eastAsia" w:ascii="黑体" w:hAnsi="黑体" w:eastAsia="黑体" w:cs="黑体"/>
                <w:color w:val="000000"/>
                <w:kern w:val="0"/>
                <w:sz w:val="21"/>
                <w:szCs w:val="21"/>
                <w:lang w:eastAsia="zh-CN"/>
              </w:rPr>
              <w:t>。</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产出成本</w:t>
            </w:r>
          </w:p>
        </w:tc>
        <w:tc>
          <w:tcPr>
            <w:tcW w:w="596" w:type="dxa"/>
            <w:tcBorders>
              <w:top w:val="single" w:color="auto" w:sz="4" w:space="0"/>
            </w:tcBorders>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产出成本是否按绩效目标控制</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lang w:eastAsia="zh-CN"/>
              </w:rPr>
              <w:t>根据实际</w:t>
            </w:r>
            <w:r>
              <w:rPr>
                <w:rFonts w:hint="eastAsia" w:ascii="黑体" w:hAnsi="黑体" w:eastAsia="黑体" w:cs="黑体"/>
                <w:color w:val="000000"/>
                <w:kern w:val="0"/>
                <w:sz w:val="21"/>
                <w:szCs w:val="21"/>
              </w:rPr>
              <w:t>产出成本</w:t>
            </w:r>
            <w:r>
              <w:rPr>
                <w:rFonts w:hint="eastAsia" w:ascii="黑体" w:hAnsi="黑体" w:eastAsia="黑体" w:cs="黑体"/>
                <w:color w:val="000000"/>
                <w:kern w:val="0"/>
                <w:sz w:val="21"/>
                <w:szCs w:val="21"/>
                <w:lang w:eastAsia="zh-CN"/>
              </w:rPr>
              <w:t>是否控制在预算内计算得分。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restart"/>
          </w:tcPr>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jc w:val="center"/>
              <w:rPr>
                <w:rFonts w:hint="eastAsia" w:ascii="黑体" w:hAnsi="黑体" w:eastAsia="黑体" w:cs="黑体"/>
                <w:sz w:val="21"/>
                <w:szCs w:val="21"/>
                <w:lang w:eastAsia="en-US"/>
              </w:rPr>
            </w:pPr>
          </w:p>
          <w:p>
            <w:pPr>
              <w:pStyle w:val="16"/>
              <w:spacing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效益</w:t>
            </w:r>
          </w:p>
          <w:p>
            <w:pPr>
              <w:pStyle w:val="16"/>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（25 分）</w:t>
            </w:r>
          </w:p>
        </w:tc>
        <w:tc>
          <w:tcPr>
            <w:tcW w:w="1361" w:type="dxa"/>
            <w:gridSpan w:val="2"/>
          </w:tcPr>
          <w:p>
            <w:pPr>
              <w:pStyle w:val="16"/>
              <w:spacing w:before="120"/>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经济效益</w:t>
            </w:r>
          </w:p>
        </w:tc>
        <w:tc>
          <w:tcPr>
            <w:tcW w:w="596" w:type="dxa"/>
            <w:tcBorders>
              <w:bottom w:val="single" w:color="auto" w:sz="4" w:space="0"/>
            </w:tcBorders>
          </w:tcPr>
          <w:p>
            <w:pPr>
              <w:pStyle w:val="16"/>
              <w:jc w:val="center"/>
              <w:rPr>
                <w:rFonts w:hint="eastAsia" w:ascii="黑体" w:hAnsi="黑体" w:eastAsia="黑体" w:cs="黑体"/>
                <w:sz w:val="21"/>
                <w:szCs w:val="21"/>
                <w:lang w:val="en-US" w:eastAsia="zh-CN"/>
              </w:rPr>
            </w:pPr>
          </w:p>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项目实施是否产生</w:t>
            </w:r>
            <w:r>
              <w:rPr>
                <w:rFonts w:hint="eastAsia" w:ascii="黑体" w:hAnsi="黑体" w:eastAsia="黑体" w:cs="黑体"/>
                <w:color w:val="000000"/>
                <w:kern w:val="0"/>
                <w:sz w:val="21"/>
                <w:szCs w:val="21"/>
                <w:lang w:val="en-US" w:eastAsia="zh-CN"/>
              </w:rPr>
              <w:t>经济</w:t>
            </w:r>
            <w:r>
              <w:rPr>
                <w:rFonts w:hint="eastAsia" w:ascii="黑体" w:hAnsi="黑体" w:eastAsia="黑体" w:cs="黑体"/>
                <w:color w:val="000000"/>
                <w:kern w:val="0"/>
                <w:sz w:val="21"/>
                <w:szCs w:val="21"/>
              </w:rPr>
              <w:t>效益</w:t>
            </w:r>
          </w:p>
        </w:tc>
        <w:tc>
          <w:tcPr>
            <w:tcW w:w="706" w:type="dxa"/>
            <w:vAlign w:val="center"/>
          </w:tcPr>
          <w:p>
            <w:pPr>
              <w:widowControl/>
              <w:autoSpaceDE w:val="0"/>
              <w:autoSpaceDN w:val="0"/>
              <w:spacing w:line="24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6"/>
              <w:rPr>
                <w:rFonts w:hint="eastAsia" w:ascii="黑体" w:hAnsi="黑体" w:eastAsia="黑体" w:cs="黑体"/>
                <w:sz w:val="21"/>
                <w:szCs w:val="21"/>
                <w:lang w:val="en-US" w:eastAsia="zh-CN"/>
              </w:rPr>
            </w:pPr>
            <w:r>
              <w:rPr>
                <w:rFonts w:hint="eastAsia" w:ascii="黑体" w:hAnsi="黑体" w:eastAsia="黑体" w:cs="黑体"/>
                <w:color w:val="000000"/>
                <w:kern w:val="0"/>
                <w:sz w:val="21"/>
                <w:szCs w:val="21"/>
              </w:rPr>
              <w:t>①</w:t>
            </w:r>
            <w:r>
              <w:rPr>
                <w:rFonts w:hint="eastAsia" w:ascii="黑体" w:hAnsi="黑体" w:eastAsia="黑体" w:cs="黑体"/>
                <w:sz w:val="21"/>
                <w:szCs w:val="21"/>
                <w:lang w:val="en-US" w:eastAsia="zh-CN"/>
              </w:rPr>
              <w:t>是否产生了不正常的经济效益，或本不产生经济收入而违规收取费用。如有，就为0分。</w:t>
            </w:r>
            <w:r>
              <w:rPr>
                <w:rFonts w:hint="eastAsia" w:ascii="黑体" w:hAnsi="黑体" w:eastAsia="黑体" w:cs="黑体"/>
                <w:color w:val="000000"/>
                <w:kern w:val="0"/>
                <w:sz w:val="21"/>
                <w:szCs w:val="21"/>
              </w:rPr>
              <w:t>②</w:t>
            </w:r>
            <w:r>
              <w:rPr>
                <w:rFonts w:hint="eastAsia" w:ascii="黑体" w:hAnsi="黑体" w:eastAsia="黑体" w:cs="黑体"/>
                <w:sz w:val="21"/>
                <w:szCs w:val="21"/>
                <w:lang w:val="en-US" w:eastAsia="zh-CN"/>
              </w:rPr>
              <w:t>对当地的经济发展起到一定作用。</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1"/>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社会效益</w:t>
            </w:r>
          </w:p>
        </w:tc>
        <w:tc>
          <w:tcPr>
            <w:tcW w:w="596" w:type="dxa"/>
            <w:tcBorders>
              <w:top w:val="single" w:color="auto" w:sz="4" w:space="0"/>
            </w:tcBorders>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top"/>
          </w:tcPr>
          <w:p>
            <w:pPr>
              <w:pStyle w:val="16"/>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项目实施是否产生</w:t>
            </w:r>
            <w:r>
              <w:rPr>
                <w:rFonts w:hint="eastAsia" w:ascii="黑体" w:hAnsi="黑体" w:eastAsia="黑体" w:cs="黑体"/>
                <w:color w:val="000000"/>
                <w:kern w:val="0"/>
                <w:sz w:val="21"/>
                <w:szCs w:val="21"/>
                <w:lang w:val="en-US" w:eastAsia="zh-CN"/>
              </w:rPr>
              <w:t>社会效益</w:t>
            </w:r>
          </w:p>
        </w:tc>
        <w:tc>
          <w:tcPr>
            <w:tcW w:w="70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6"/>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对当地发展的稳定起到一定作用。</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0"/>
              <w:ind w:left="25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生态效益</w:t>
            </w:r>
          </w:p>
        </w:tc>
        <w:tc>
          <w:tcPr>
            <w:tcW w:w="596" w:type="dxa"/>
            <w:tcBorders>
              <w:bottom w:val="single" w:color="auto" w:sz="4" w:space="0"/>
            </w:tcBorders>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1963" w:type="dxa"/>
            <w:tcBorders>
              <w:top w:val="single" w:color="auto" w:sz="4" w:space="0"/>
              <w:bottom w:val="single" w:color="auto" w:sz="4" w:space="0"/>
            </w:tcBorders>
            <w:vAlign w:val="top"/>
          </w:tcPr>
          <w:p>
            <w:pPr>
              <w:pStyle w:val="16"/>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w:t>
            </w:r>
            <w:r>
              <w:rPr>
                <w:rFonts w:hint="eastAsia" w:ascii="黑体" w:hAnsi="黑体" w:eastAsia="黑体" w:cs="黑体"/>
                <w:color w:val="000000"/>
                <w:kern w:val="0"/>
                <w:sz w:val="21"/>
                <w:szCs w:val="21"/>
                <w:lang w:val="en-US" w:eastAsia="zh-CN"/>
              </w:rPr>
              <w:t>产生生态效益</w:t>
            </w:r>
          </w:p>
        </w:tc>
        <w:tc>
          <w:tcPr>
            <w:tcW w:w="70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5</w:t>
            </w:r>
          </w:p>
        </w:tc>
        <w:tc>
          <w:tcPr>
            <w:tcW w:w="3980" w:type="dxa"/>
          </w:tcPr>
          <w:p>
            <w:pPr>
              <w:pStyle w:val="16"/>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在组织活动中，是否对生态起到了破坏作用。如有，就为0分。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sz w:val="21"/>
                <w:szCs w:val="21"/>
                <w:lang w:eastAsia="en-US"/>
              </w:rPr>
            </w:pPr>
          </w:p>
        </w:tc>
        <w:tc>
          <w:tcPr>
            <w:tcW w:w="1361" w:type="dxa"/>
            <w:gridSpan w:val="2"/>
          </w:tcPr>
          <w:p>
            <w:pPr>
              <w:pStyle w:val="16"/>
              <w:spacing w:before="122"/>
              <w:ind w:left="154"/>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可持续效益</w:t>
            </w:r>
          </w:p>
        </w:tc>
        <w:tc>
          <w:tcPr>
            <w:tcW w:w="596" w:type="dxa"/>
            <w:tcBorders>
              <w:top w:val="single" w:color="auto" w:sz="4" w:space="0"/>
            </w:tcBorders>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tcBorders>
              <w:top w:val="single" w:color="auto" w:sz="4" w:space="0"/>
            </w:tcBorders>
            <w:vAlign w:val="top"/>
          </w:tcPr>
          <w:p>
            <w:pPr>
              <w:pStyle w:val="16"/>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项目实施是否带来可持续影响</w:t>
            </w:r>
          </w:p>
        </w:tc>
        <w:tc>
          <w:tcPr>
            <w:tcW w:w="70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6"/>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对本项目或其他活动的开展，起到可持续效益作用。</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141" w:type="dxa"/>
          </w:tcPr>
          <w:p>
            <w:pPr>
              <w:pStyle w:val="16"/>
              <w:spacing w:before="3"/>
              <w:jc w:val="center"/>
              <w:rPr>
                <w:rFonts w:hint="eastAsia" w:ascii="黑体" w:hAnsi="黑体" w:eastAsia="黑体" w:cs="黑体"/>
                <w:sz w:val="21"/>
                <w:szCs w:val="21"/>
                <w:lang w:eastAsia="en-US"/>
              </w:rPr>
            </w:pPr>
          </w:p>
          <w:p>
            <w:pPr>
              <w:pStyle w:val="16"/>
              <w:spacing w:line="255" w:lineRule="exact"/>
              <w:ind w:left="74"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满意度</w:t>
            </w:r>
          </w:p>
          <w:p>
            <w:pPr>
              <w:pStyle w:val="16"/>
              <w:spacing w:line="255" w:lineRule="exact"/>
              <w:ind w:left="77" w:right="69"/>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（10 分）</w:t>
            </w:r>
          </w:p>
        </w:tc>
        <w:tc>
          <w:tcPr>
            <w:tcW w:w="1361" w:type="dxa"/>
            <w:gridSpan w:val="2"/>
          </w:tcPr>
          <w:p>
            <w:pPr>
              <w:pStyle w:val="16"/>
              <w:spacing w:before="98" w:line="213" w:lineRule="auto"/>
              <w:ind w:left="154" w:right="145"/>
              <w:jc w:val="center"/>
              <w:rPr>
                <w:rFonts w:hint="eastAsia" w:ascii="黑体" w:hAnsi="黑体" w:eastAsia="黑体" w:cs="黑体"/>
                <w:sz w:val="21"/>
                <w:szCs w:val="21"/>
                <w:lang w:eastAsia="en-US"/>
              </w:rPr>
            </w:pPr>
            <w:r>
              <w:rPr>
                <w:rFonts w:hint="eastAsia" w:ascii="黑体" w:hAnsi="黑体" w:eastAsia="黑体" w:cs="黑体"/>
                <w:sz w:val="21"/>
                <w:szCs w:val="21"/>
                <w:lang w:eastAsia="en-US"/>
              </w:rPr>
              <w:t>社会公众或服务对象满意度</w:t>
            </w:r>
          </w:p>
        </w:tc>
        <w:tc>
          <w:tcPr>
            <w:tcW w:w="59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1963" w:type="dxa"/>
            <w:vAlign w:val="top"/>
          </w:tcPr>
          <w:p>
            <w:pPr>
              <w:pStyle w:val="16"/>
              <w:jc w:val="center"/>
              <w:rPr>
                <w:rFonts w:hint="eastAsia" w:ascii="黑体" w:hAnsi="黑体" w:eastAsia="黑体" w:cs="黑体"/>
                <w:sz w:val="21"/>
                <w:szCs w:val="21"/>
                <w:lang w:eastAsia="en-US"/>
              </w:rPr>
            </w:pPr>
            <w:r>
              <w:rPr>
                <w:rFonts w:hint="eastAsia" w:ascii="黑体" w:hAnsi="黑体" w:eastAsia="黑体" w:cs="黑体"/>
                <w:color w:val="000000"/>
                <w:kern w:val="0"/>
                <w:sz w:val="21"/>
                <w:szCs w:val="21"/>
              </w:rPr>
              <w:t>项目预期服务对象对项目实施的满意程度</w:t>
            </w:r>
            <w:r>
              <w:rPr>
                <w:rFonts w:hint="eastAsia" w:ascii="黑体" w:hAnsi="黑体" w:eastAsia="黑体" w:cs="黑体"/>
                <w:color w:val="000000"/>
                <w:kern w:val="0"/>
                <w:sz w:val="21"/>
                <w:szCs w:val="21"/>
                <w:lang w:eastAsia="zh-CN"/>
              </w:rPr>
              <w:t>。</w:t>
            </w:r>
          </w:p>
        </w:tc>
        <w:tc>
          <w:tcPr>
            <w:tcW w:w="706" w:type="dxa"/>
          </w:tcPr>
          <w:p>
            <w:pPr>
              <w:pStyle w:val="16"/>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10</w:t>
            </w:r>
          </w:p>
        </w:tc>
        <w:tc>
          <w:tcPr>
            <w:tcW w:w="3980" w:type="dxa"/>
          </w:tcPr>
          <w:p>
            <w:pPr>
              <w:pStyle w:val="16"/>
              <w:rPr>
                <w:rFonts w:hint="eastAsia" w:ascii="黑体" w:hAnsi="黑体" w:eastAsia="黑体" w:cs="黑体"/>
                <w:sz w:val="21"/>
                <w:szCs w:val="21"/>
                <w:lang w:eastAsia="en-US"/>
              </w:rPr>
            </w:pPr>
            <w:r>
              <w:rPr>
                <w:rFonts w:hint="eastAsia" w:ascii="黑体" w:hAnsi="黑体" w:eastAsia="黑体" w:cs="黑体"/>
                <w:color w:val="000000"/>
                <w:kern w:val="0"/>
                <w:sz w:val="21"/>
                <w:szCs w:val="21"/>
              </w:rPr>
              <w:t>社会公众或服务对象是指因该项目实施而受到影响的部门（单位）、群体或个人。社会公众或服务对象满意度</w:t>
            </w:r>
            <w:r>
              <w:rPr>
                <w:rFonts w:hint="eastAsia" w:ascii="黑体" w:hAnsi="黑体" w:eastAsia="黑体" w:cs="黑体"/>
                <w:color w:val="000000"/>
                <w:kern w:val="0"/>
                <w:sz w:val="21"/>
                <w:szCs w:val="21"/>
                <w:lang w:val="en-US" w:eastAsia="zh-CN"/>
              </w:rPr>
              <w:t>按照实际情况给分。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sz w:val="20"/>
                <w:lang w:val="en-US" w:eastAsia="zh-CN"/>
              </w:rPr>
            </w:pPr>
          </w:p>
          <w:p>
            <w:pPr>
              <w:pStyle w:val="16"/>
              <w:jc w:val="center"/>
              <w:rPr>
                <w:rFonts w:hint="default" w:ascii="Times New Roman" w:eastAsia="宋体"/>
                <w:sz w:val="20"/>
                <w:lang w:val="en-US" w:eastAsia="zh-CN"/>
              </w:rPr>
            </w:pPr>
            <w:r>
              <w:rPr>
                <w:rFonts w:hint="eastAsia" w:ascii="Times New Roman" w:eastAsia="宋体"/>
                <w:sz w:val="20"/>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747" w:type="dxa"/>
            <w:gridSpan w:val="7"/>
          </w:tcPr>
          <w:p>
            <w:pPr>
              <w:pStyle w:val="16"/>
              <w:spacing w:before="121"/>
              <w:ind w:left="4641" w:right="4636"/>
              <w:jc w:val="center"/>
              <w:rPr>
                <w:rFonts w:ascii="黑体" w:eastAsia="黑体"/>
                <w:sz w:val="21"/>
                <w:lang w:eastAsia="en-US"/>
              </w:rPr>
            </w:pPr>
            <w:r>
              <w:rPr>
                <w:rFonts w:hint="eastAsia" w:ascii="黑体" w:eastAsia="黑体"/>
                <w:sz w:val="21"/>
                <w:lang w:eastAsia="en-US"/>
              </w:rPr>
              <w:t>总分</w:t>
            </w:r>
          </w:p>
        </w:tc>
        <w:tc>
          <w:tcPr>
            <w:tcW w:w="675" w:type="dxa"/>
          </w:tcPr>
          <w:p>
            <w:pPr>
              <w:pStyle w:val="16"/>
              <w:jc w:val="center"/>
              <w:rPr>
                <w:rFonts w:hint="eastAsia" w:ascii="Times New Roman"/>
                <w:sz w:val="20"/>
                <w:lang w:val="en-US" w:eastAsia="zh-CN"/>
              </w:rPr>
            </w:pPr>
          </w:p>
          <w:p>
            <w:pPr>
              <w:pStyle w:val="16"/>
              <w:jc w:val="center"/>
              <w:rPr>
                <w:rFonts w:hint="eastAsia" w:ascii="Times New Roman" w:eastAsia="宋体"/>
                <w:sz w:val="20"/>
                <w:lang w:val="en-US" w:eastAsia="zh-CN"/>
              </w:rPr>
            </w:pPr>
            <w:r>
              <w:rPr>
                <w:rFonts w:hint="eastAsia" w:ascii="Times New Roman"/>
                <w:sz w:val="20"/>
                <w:lang w:val="en-US" w:eastAsia="zh-CN"/>
              </w:rPr>
              <w:t>8</w:t>
            </w:r>
            <w:bookmarkStart w:id="8" w:name="_GoBack"/>
            <w:bookmarkEnd w:id="8"/>
            <w:r>
              <w:rPr>
                <w:rFonts w:hint="eastAsia" w:ascii="Times New Roman"/>
                <w:sz w:val="20"/>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529" w:type="dxa"/>
            <w:gridSpan w:val="2"/>
            <w:vMerge w:val="restart"/>
          </w:tcPr>
          <w:p>
            <w:pPr>
              <w:pStyle w:val="16"/>
              <w:rPr>
                <w:sz w:val="23"/>
                <w:lang w:eastAsia="en-US"/>
              </w:rPr>
            </w:pPr>
          </w:p>
          <w:p>
            <w:pPr>
              <w:pStyle w:val="16"/>
              <w:ind w:left="342"/>
              <w:rPr>
                <w:rFonts w:ascii="黑体" w:eastAsia="黑体"/>
                <w:sz w:val="21"/>
                <w:lang w:eastAsia="en-US"/>
              </w:rPr>
            </w:pPr>
            <w:r>
              <w:rPr>
                <w:rFonts w:hint="eastAsia" w:ascii="黑体" w:eastAsia="黑体"/>
                <w:sz w:val="21"/>
                <w:lang w:eastAsia="en-US"/>
              </w:rPr>
              <w:t>评价等级</w:t>
            </w:r>
          </w:p>
        </w:tc>
        <w:tc>
          <w:tcPr>
            <w:tcW w:w="8893" w:type="dxa"/>
            <w:gridSpan w:val="6"/>
          </w:tcPr>
          <w:p>
            <w:pPr>
              <w:pStyle w:val="16"/>
              <w:numPr>
                <w:ilvl w:val="0"/>
                <w:numId w:val="0"/>
              </w:numPr>
              <w:tabs>
                <w:tab w:val="left" w:pos="2527"/>
                <w:tab w:val="left" w:pos="3577"/>
                <w:tab w:val="left" w:pos="4813"/>
                <w:tab w:val="left" w:pos="6155"/>
              </w:tabs>
              <w:spacing w:before="72"/>
              <w:ind w:left="2338" w:leftChars="0"/>
              <w:rPr>
                <w:rFonts w:ascii="黑体" w:hAnsi="黑体" w:eastAsia="黑体"/>
                <w:sz w:val="21"/>
                <w:lang w:eastAsia="en-US"/>
              </w:rPr>
            </w:pPr>
            <w:r>
              <w:rPr>
                <w:rFonts w:hint="eastAsia" w:ascii="黑体" w:hAnsi="黑体" w:eastAsia="黑体"/>
                <w:sz w:val="21"/>
                <w:lang w:eastAsia="en-US"/>
              </w:rPr>
              <w:sym w:font="Wingdings 2" w:char="0052"/>
            </w:r>
            <w:r>
              <w:rPr>
                <w:rFonts w:hint="eastAsia" w:ascii="黑体" w:hAnsi="黑体" w:eastAsia="黑体"/>
                <w:sz w:val="21"/>
                <w:lang w:eastAsia="en-US"/>
              </w:rPr>
              <w:t>优</w:t>
            </w:r>
            <w:r>
              <w:rPr>
                <w:rFonts w:hint="eastAsia" w:ascii="黑体" w:hAnsi="黑体" w:eastAsia="黑体"/>
                <w:sz w:val="21"/>
                <w:lang w:eastAsia="en-US"/>
              </w:rPr>
              <w:tab/>
            </w:r>
            <w:r>
              <w:rPr>
                <w:rFonts w:ascii="Wingdings 2" w:hAnsi="Wingdings 2" w:eastAsia="Wingdings 2"/>
                <w:sz w:val="21"/>
                <w:lang w:eastAsia="en-US"/>
              </w:rPr>
              <w:sym w:font="Wingdings 2" w:char="00A3"/>
            </w:r>
            <w:r>
              <w:rPr>
                <w:rFonts w:hint="eastAsia" w:ascii="黑体" w:hAnsi="黑体" w:eastAsia="黑体"/>
                <w:sz w:val="21"/>
                <w:lang w:eastAsia="en-US"/>
              </w:rPr>
              <w:t>良</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中</w:t>
            </w:r>
            <w:r>
              <w:rPr>
                <w:rFonts w:hint="eastAsia" w:ascii="黑体" w:hAnsi="黑体" w:eastAsia="黑体"/>
                <w:sz w:val="21"/>
                <w:lang w:eastAsia="en-US"/>
              </w:rPr>
              <w:tab/>
            </w:r>
            <w:r>
              <w:rPr>
                <w:rFonts w:ascii="Wingdings 2" w:hAnsi="Wingdings 2" w:eastAsia="Wingdings 2"/>
                <w:sz w:val="21"/>
                <w:lang w:eastAsia="en-US"/>
              </w:rPr>
              <w:t></w:t>
            </w:r>
            <w:r>
              <w:rPr>
                <w:rFonts w:hint="eastAsia" w:ascii="黑体" w:hAnsi="黑体" w:eastAsia="黑体"/>
                <w:sz w:val="21"/>
                <w:lang w:eastAsia="en-US"/>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529" w:type="dxa"/>
            <w:gridSpan w:val="2"/>
            <w:vMerge w:val="continue"/>
            <w:tcBorders>
              <w:top w:val="nil"/>
            </w:tcBorders>
          </w:tcPr>
          <w:p>
            <w:pPr>
              <w:widowControl w:val="0"/>
              <w:autoSpaceDE w:val="0"/>
              <w:autoSpaceDN w:val="0"/>
              <w:spacing w:after="0"/>
              <w:rPr>
                <w:rFonts w:eastAsiaTheme="minorEastAsia"/>
                <w:sz w:val="2"/>
                <w:szCs w:val="2"/>
                <w:lang w:eastAsia="en-US"/>
              </w:rPr>
            </w:pPr>
          </w:p>
        </w:tc>
        <w:tc>
          <w:tcPr>
            <w:tcW w:w="8893" w:type="dxa"/>
            <w:gridSpan w:val="6"/>
          </w:tcPr>
          <w:p>
            <w:pPr>
              <w:pStyle w:val="16"/>
              <w:spacing w:before="80"/>
              <w:ind w:left="107"/>
              <w:rPr>
                <w:rFonts w:ascii="黑体" w:eastAsia="黑体"/>
                <w:sz w:val="21"/>
                <w:lang w:eastAsia="en-US"/>
              </w:rPr>
            </w:pPr>
            <w:r>
              <w:rPr>
                <w:rFonts w:hint="eastAsia" w:ascii="黑体" w:eastAsia="黑体"/>
                <w:sz w:val="21"/>
                <w:lang w:eastAsia="en-US"/>
              </w:rPr>
              <w:t>90（含）-100 分为优、80（含）-90 分为良、60（含）-80 分为中、60 分以下为差</w:t>
            </w:r>
          </w:p>
        </w:tc>
      </w:tr>
    </w:tbl>
    <w:p>
      <w:pPr>
        <w:spacing w:before="282"/>
        <w:ind w:left="269"/>
        <w:rPr>
          <w:rFonts w:ascii="黑体" w:eastAsia="黑体"/>
          <w:sz w:val="20"/>
        </w:rPr>
      </w:pPr>
      <w:r>
        <w:rPr>
          <w:rFonts w:hint="eastAsia" w:ascii="黑体" w:eastAsia="黑体"/>
          <w:sz w:val="20"/>
        </w:rPr>
        <w:t>注：请参照《项目支出绩效评价指标体系框架》（财预〔2020〕10 号）设置相关指标。</w:t>
      </w:r>
    </w:p>
    <w:p>
      <w:pPr>
        <w:pStyle w:val="3"/>
        <w:rPr>
          <w:rFonts w:ascii="黑体"/>
          <w:sz w:val="27"/>
        </w:rPr>
      </w:pPr>
    </w:p>
    <w:p>
      <w:pPr>
        <w:spacing w:line="220" w:lineRule="atLeast"/>
      </w:pPr>
    </w:p>
    <w:p>
      <w:pPr>
        <w:spacing w:line="220" w:lineRule="atLeast"/>
      </w:pPr>
    </w:p>
    <w:p>
      <w:pPr>
        <w:rPr>
          <w:rFonts w:ascii="黑体" w:eastAsia="黑体"/>
          <w:b/>
          <w:bCs/>
        </w:rPr>
        <w:sectPr>
          <w:footerReference r:id="rId7" w:type="default"/>
          <w:pgSz w:w="11910" w:h="16840"/>
          <w:pgMar w:top="1480" w:right="340" w:bottom="1220" w:left="580" w:header="0" w:footer="1034" w:gutter="0"/>
          <w:pgNumType w:start="19"/>
          <w:cols w:space="720" w:num="1"/>
        </w:sectPr>
      </w:pPr>
    </w:p>
    <w:p>
      <w:pPr>
        <w:spacing w:line="220" w:lineRule="atLeast"/>
      </w:pPr>
    </w:p>
    <w:sectPr>
      <w:footerReference r:id="rId8" w:type="even"/>
      <w:pgSz w:w="11910" w:h="16840"/>
      <w:pgMar w:top="1200" w:right="340" w:bottom="280" w:left="580" w:header="0" w:footer="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96EF6B-B62D-4D0B-8006-365619AF20B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C19E8BA-4DA8-474D-A0FD-AD35E83A2134}"/>
  </w:font>
  <w:font w:name="微软雅黑">
    <w:panose1 w:val="020B0503020204020204"/>
    <w:charset w:val="86"/>
    <w:family w:val="swiss"/>
    <w:pitch w:val="default"/>
    <w:sig w:usb0="80000287" w:usb1="2ACF3C50" w:usb2="00000016" w:usb3="00000000" w:csb0="0004001F" w:csb1="00000000"/>
    <w:embedRegular r:id="rId3" w:fontKey="{1A7D8383-BC90-4F53-82C6-F24BAE43DC96}"/>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2A7" w:usb1="28CF4400" w:usb2="00000016" w:usb3="00000000" w:csb0="00100009" w:csb1="00000000"/>
  </w:font>
  <w:font w:name="PMingLiU">
    <w:altName w:val="PMingLiU-ExtB"/>
    <w:panose1 w:val="02020500000000000000"/>
    <w:charset w:val="88"/>
    <w:family w:val="roma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embedRegular r:id="rId4" w:fontKey="{D054027F-5CC5-4555-8F65-0271D0F6B4F8}"/>
  </w:font>
  <w:font w:name="汉仪青云简">
    <w:panose1 w:val="00020600040101010101"/>
    <w:charset w:val="86"/>
    <w:family w:val="auto"/>
    <w:pitch w:val="default"/>
    <w:sig w:usb0="8000001F" w:usb1="1A0F781A" w:usb2="00000016" w:usb3="00000000" w:csb0="0004009F" w:csb1="DFD70000"/>
    <w:embedRegular r:id="rId5" w:fontKey="{75CAD08F-9FE2-45E3-91BE-A15C0FA352F7}"/>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5934710</wp:posOffset>
              </wp:positionH>
              <wp:positionV relativeFrom="page">
                <wp:posOffset>9895840</wp:posOffset>
              </wp:positionV>
              <wp:extent cx="558800" cy="194310"/>
              <wp:effectExtent l="0" t="0" r="0" b="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558800" cy="194310"/>
                      </a:xfrm>
                      <a:prstGeom prst="rect">
                        <a:avLst/>
                      </a:prstGeom>
                      <a:noFill/>
                      <a:ln>
                        <a:noFill/>
                      </a:ln>
                      <a:effectLst/>
                    </wps:spPr>
                    <wps:txbx>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20</w:t>
                          </w:r>
                          <w:r>
                            <w:fldChar w:fldCharType="end"/>
                          </w:r>
                          <w:r>
                            <w:rPr>
                              <w:rFonts w:ascii="Times New Roman" w:hAnsi="Times New Roman"/>
                              <w:sz w:val="24"/>
                            </w:rPr>
                            <w:t xml:space="preserve"> —</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467.3pt;margin-top:779.2pt;height:15.3pt;width:44pt;mso-position-horizontal-relative:page;mso-position-vertical-relative:page;z-index:-251654144;mso-width-relative:page;mso-height-relative:page;" filled="f" stroked="f" coordsize="21600,21600" o:gfxdata="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lDIFHbAAAADgEAAA8AAAAAAAAAAQAgAAAAIgAAAGRy&#10;cy9kb3ducmV2LnhtbFBLAQIUABQAAAAIAIdO4kDKB6OwAgIAABEEAAAOAAAAAAAAAAEAIAAAACoB&#10;AABkcnMvZTJvRG9jLnhtbFBLBQYAAAAABgAGAFkBAACeBQAAAAA=&#10;">
              <v:fill on="f" focussize="0,0"/>
              <v:stroke on="f"/>
              <v:imagedata o:title=""/>
              <o:lock v:ext="edit" aspectratio="f"/>
              <v:textbox inset="0mm,0mm,0mm,0mm">
                <w:txbxContent>
                  <w:p>
                    <w:pPr>
                      <w:spacing w:before="10"/>
                      <w:ind w:left="20"/>
                      <w:rPr>
                        <w:rFonts w:ascii="Times New Roman" w:hAnsi="Times New Roman"/>
                        <w:sz w:val="24"/>
                      </w:rPr>
                    </w:pPr>
                    <w:r>
                      <w:rPr>
                        <w:rFonts w:ascii="Times New Roman" w:hAnsi="Times New Roman"/>
                        <w:sz w:val="24"/>
                      </w:rPr>
                      <w:t xml:space="preserve">— </w:t>
                    </w:r>
                    <w:r>
                      <w:fldChar w:fldCharType="begin"/>
                    </w:r>
                    <w:r>
                      <w:rPr>
                        <w:rFonts w:ascii="Times New Roman" w:hAnsi="Times New Roman"/>
                        <w:sz w:val="24"/>
                      </w:rPr>
                      <w:instrText xml:space="preserve"> PAGE </w:instrText>
                    </w:r>
                    <w:r>
                      <w:fldChar w:fldCharType="separate"/>
                    </w:r>
                    <w:r>
                      <w:rPr>
                        <w:rFonts w:ascii="Times New Roman" w:hAnsi="Times New Roman"/>
                        <w:sz w:val="24"/>
                      </w:rPr>
                      <w:t>20</w:t>
                    </w:r>
                    <w:r>
                      <w:fldChar w:fldCharType="end"/>
                    </w:r>
                    <w:r>
                      <w:rPr>
                        <w:rFonts w:ascii="Times New Roman" w:hAnsi="Times New Roman"/>
                        <w:sz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2555A"/>
    <w:multiLevelType w:val="singleLevel"/>
    <w:tmpl w:val="10E2555A"/>
    <w:lvl w:ilvl="0" w:tentative="0">
      <w:start w:val="2"/>
      <w:numFmt w:val="chineseCounting"/>
      <w:suff w:val="nothing"/>
      <w:lvlText w:val="（%1）"/>
      <w:lvlJc w:val="left"/>
      <w:rPr>
        <w:rFonts w:hint="eastAsia"/>
      </w:rPr>
    </w:lvl>
  </w:abstractNum>
  <w:abstractNum w:abstractNumId="1">
    <w:nsid w:val="3544123A"/>
    <w:multiLevelType w:val="singleLevel"/>
    <w:tmpl w:val="3544123A"/>
    <w:lvl w:ilvl="0" w:tentative="0">
      <w:start w:val="2"/>
      <w:numFmt w:val="chineseCounting"/>
      <w:suff w:val="nothing"/>
      <w:lvlText w:val="（%1）"/>
      <w:lvlJc w:val="left"/>
      <w:pPr>
        <w:ind w:left="64"/>
      </w:pPr>
      <w:rPr>
        <w:rFonts w:hint="eastAsia"/>
      </w:rPr>
    </w:lvl>
  </w:abstractNum>
  <w:abstractNum w:abstractNumId="2">
    <w:nsid w:val="4FDD7DBA"/>
    <w:multiLevelType w:val="singleLevel"/>
    <w:tmpl w:val="4FDD7DBA"/>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MzY0OGU1OTc4MTk4Y2QwMzc0ODQ0YWY3MGEyODkifQ=="/>
  </w:docVars>
  <w:rsids>
    <w:rsidRoot w:val="00D31D50"/>
    <w:rsid w:val="00021171"/>
    <w:rsid w:val="00251412"/>
    <w:rsid w:val="00323B43"/>
    <w:rsid w:val="003738F1"/>
    <w:rsid w:val="00393DD2"/>
    <w:rsid w:val="003D37D8"/>
    <w:rsid w:val="00425B56"/>
    <w:rsid w:val="00426133"/>
    <w:rsid w:val="004358AB"/>
    <w:rsid w:val="0047783A"/>
    <w:rsid w:val="004A50FF"/>
    <w:rsid w:val="005E3E79"/>
    <w:rsid w:val="008B7726"/>
    <w:rsid w:val="00991CA5"/>
    <w:rsid w:val="00A02761"/>
    <w:rsid w:val="00BD0F41"/>
    <w:rsid w:val="00BE2874"/>
    <w:rsid w:val="00D31D50"/>
    <w:rsid w:val="00DC6825"/>
    <w:rsid w:val="00DE428A"/>
    <w:rsid w:val="00E80D9E"/>
    <w:rsid w:val="40591E42"/>
    <w:rsid w:val="513C7B79"/>
    <w:rsid w:val="5447462F"/>
    <w:rsid w:val="5DE66C64"/>
    <w:rsid w:val="6ED0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99"/>
    <w:pPr>
      <w:snapToGrid w:val="0"/>
      <w:jc w:val="left"/>
    </w:pPr>
    <w:rPr>
      <w:sz w:val="18"/>
      <w:szCs w:val="18"/>
    </w:rPr>
  </w:style>
  <w:style w:type="paragraph" w:styleId="3">
    <w:name w:val="Body Text"/>
    <w:basedOn w:val="1"/>
    <w:link w:val="12"/>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4">
    <w:name w:val="Balloon Text"/>
    <w:basedOn w:val="1"/>
    <w:link w:val="17"/>
    <w:semiHidden/>
    <w:unhideWhenUsed/>
    <w:qFormat/>
    <w:uiPriority w:val="99"/>
    <w:pPr>
      <w:widowControl w:val="0"/>
      <w:autoSpaceDE w:val="0"/>
      <w:autoSpaceDN w:val="0"/>
      <w:adjustRightInd/>
      <w:snapToGrid/>
      <w:spacing w:after="0"/>
    </w:pPr>
    <w:rPr>
      <w:rFonts w:ascii="宋体" w:hAnsi="宋体" w:eastAsia="宋体" w:cs="宋体"/>
      <w:sz w:val="18"/>
      <w:szCs w:val="18"/>
      <w:lang w:val="zh-CN" w:bidi="zh-CN"/>
    </w:rPr>
  </w:style>
  <w:style w:type="paragraph" w:styleId="5">
    <w:name w:val="footer"/>
    <w:basedOn w:val="1"/>
    <w:link w:val="10"/>
    <w:semiHidden/>
    <w:unhideWhenUsed/>
    <w:qFormat/>
    <w:uiPriority w:val="99"/>
    <w:pPr>
      <w:tabs>
        <w:tab w:val="center" w:pos="4153"/>
        <w:tab w:val="right" w:pos="8306"/>
      </w:tabs>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9">
    <w:name w:val="页眉 Char"/>
    <w:basedOn w:val="8"/>
    <w:link w:val="6"/>
    <w:semiHidden/>
    <w:qFormat/>
    <w:uiPriority w:val="99"/>
    <w:rPr>
      <w:rFonts w:ascii="Tahoma" w:hAnsi="Tahoma"/>
      <w:sz w:val="18"/>
      <w:szCs w:val="18"/>
    </w:rPr>
  </w:style>
  <w:style w:type="character" w:customStyle="1" w:styleId="10">
    <w:name w:val="页脚 Char"/>
    <w:basedOn w:val="8"/>
    <w:link w:val="5"/>
    <w:semiHidden/>
    <w:qFormat/>
    <w:uiPriority w:val="99"/>
    <w:rPr>
      <w:rFonts w:ascii="Tahoma" w:hAnsi="Tahoma"/>
      <w:sz w:val="18"/>
      <w:szCs w:val="18"/>
    </w:rPr>
  </w:style>
  <w:style w:type="table" w:customStyle="1" w:styleId="11">
    <w:name w:val="Table Normal"/>
    <w:semiHidden/>
    <w:unhideWhenUsed/>
    <w:qFormat/>
    <w:uiPriority w:val="2"/>
    <w:pPr>
      <w:widowControl w:val="0"/>
      <w:autoSpaceDE w:val="0"/>
      <w:autoSpaceDN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12">
    <w:name w:val="正文文本 Char"/>
    <w:basedOn w:val="8"/>
    <w:link w:val="3"/>
    <w:qFormat/>
    <w:uiPriority w:val="1"/>
    <w:rPr>
      <w:rFonts w:ascii="宋体" w:hAnsi="宋体" w:eastAsia="宋体" w:cs="宋体"/>
      <w:sz w:val="32"/>
      <w:szCs w:val="32"/>
      <w:lang w:val="zh-CN" w:bidi="zh-CN"/>
    </w:rPr>
  </w:style>
  <w:style w:type="paragraph" w:customStyle="1" w:styleId="13">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4">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paragraph" w:styleId="15">
    <w:name w:val="List Paragraph"/>
    <w:basedOn w:val="1"/>
    <w:qFormat/>
    <w:uiPriority w:val="1"/>
    <w:pPr>
      <w:widowControl w:val="0"/>
      <w:autoSpaceDE w:val="0"/>
      <w:autoSpaceDN w:val="0"/>
      <w:adjustRightInd/>
      <w:snapToGrid/>
      <w:spacing w:after="0"/>
      <w:ind w:left="2132" w:hanging="482"/>
    </w:pPr>
    <w:rPr>
      <w:rFonts w:ascii="宋体" w:hAnsi="宋体" w:eastAsia="宋体" w:cs="宋体"/>
      <w:lang w:val="zh-CN" w:bidi="zh-CN"/>
    </w:rPr>
  </w:style>
  <w:style w:type="paragraph" w:customStyle="1" w:styleId="16">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character" w:customStyle="1" w:styleId="17">
    <w:name w:val="批注框文本 Char"/>
    <w:basedOn w:val="8"/>
    <w:link w:val="4"/>
    <w:semiHidden/>
    <w:qFormat/>
    <w:uiPriority w:val="99"/>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2132</Words>
  <Characters>2183</Characters>
  <Lines>6</Lines>
  <Paragraphs>1</Paragraphs>
  <TotalTime>0</TotalTime>
  <ScaleCrop>false</ScaleCrop>
  <LinksUpToDate>false</LinksUpToDate>
  <CharactersWithSpaces>2198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22378</dc:creator>
  <cp:lastModifiedBy>Aurora</cp:lastModifiedBy>
  <dcterms:modified xsi:type="dcterms:W3CDTF">2023-03-23T03:23:14Z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09E53FB80F124DCEA8A154582C18D746</vt:lpwstr>
  </property>
</Properties>
</file>