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rPr>
          <w:rFonts w:ascii="黑体"/>
          <w:sz w:val="45"/>
        </w:rPr>
      </w:pPr>
      <w:bookmarkStart w:id="1" w:name="_GoBack"/>
      <w:bookmarkEnd w:id="1"/>
    </w:p>
    <w:p>
      <w:pPr>
        <w:pStyle w:val="9"/>
        <w:spacing w:line="560" w:lineRule="exact"/>
        <w:ind w:left="836" w:right="0"/>
        <w:jc w:val="center"/>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南昌市青云谱区机构编制委员会办公室</w:t>
      </w:r>
    </w:p>
    <w:p>
      <w:pPr>
        <w:pStyle w:val="9"/>
        <w:spacing w:line="560" w:lineRule="exact"/>
        <w:ind w:left="836" w:right="0"/>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整体支出绩效自评报告</w:t>
      </w:r>
    </w:p>
    <w:p>
      <w:pPr>
        <w:pStyle w:val="3"/>
        <w:spacing w:line="560" w:lineRule="exact"/>
        <w:ind w:left="1359" w:right="1033"/>
        <w:jc w:val="center"/>
        <w:rPr>
          <w:rFonts w:asciiTheme="minorEastAsia" w:hAnsiTheme="minorEastAsia" w:eastAsiaTheme="minorEastAsia"/>
        </w:rPr>
      </w:pPr>
      <w:r>
        <w:rPr>
          <w:rFonts w:hint="eastAsia" w:asciiTheme="minorEastAsia" w:hAnsiTheme="minorEastAsia" w:eastAsiaTheme="minorEastAsia"/>
        </w:rPr>
        <w:t>（202</w:t>
      </w:r>
      <w:r>
        <w:rPr>
          <w:rFonts w:hint="eastAsia" w:asciiTheme="minorEastAsia" w:hAnsiTheme="minorEastAsia" w:eastAsiaTheme="minorEastAsia"/>
          <w:lang w:val="en-US" w:eastAsia="zh-CN"/>
        </w:rPr>
        <w:t>2</w:t>
      </w:r>
      <w:r>
        <w:rPr>
          <w:rFonts w:hint="eastAsia" w:asciiTheme="minorEastAsia" w:hAnsiTheme="minorEastAsia" w:eastAsiaTheme="minorEastAsia"/>
        </w:rPr>
        <w:t xml:space="preserve"> 年度）</w:t>
      </w:r>
    </w:p>
    <w:p>
      <w:pPr>
        <w:pStyle w:val="3"/>
        <w:spacing w:line="560" w:lineRule="exact"/>
        <w:rPr>
          <w:rFonts w:asciiTheme="minorEastAsia" w:hAnsiTheme="minorEastAsia" w:eastAsiaTheme="minorEastAsia"/>
        </w:rPr>
      </w:pPr>
    </w:p>
    <w:p>
      <w:pPr>
        <w:pStyle w:val="3"/>
        <w:spacing w:line="560" w:lineRule="exact"/>
        <w:rPr>
          <w:rFonts w:asciiTheme="minorEastAsia" w:hAnsiTheme="minorEastAsia" w:eastAsiaTheme="minorEastAsia"/>
        </w:rPr>
      </w:pPr>
    </w:p>
    <w:p>
      <w:pPr>
        <w:pStyle w:val="3"/>
        <w:spacing w:line="560" w:lineRule="exact"/>
        <w:rPr>
          <w:rFonts w:asciiTheme="minorEastAsia" w:hAnsiTheme="minorEastAsia" w:eastAsiaTheme="minorEastAsia"/>
        </w:rPr>
      </w:pPr>
      <w:r>
        <w:rPr>
          <w:rFonts w:hint="eastAsia" w:asciiTheme="minorEastAsia" w:hAnsiTheme="minorEastAsia" w:eastAsiaTheme="minorEastAsia"/>
        </w:rPr>
        <w:t>一、部门（单位）概况</w:t>
      </w:r>
    </w:p>
    <w:p>
      <w:pPr>
        <w:pStyle w:val="10"/>
        <w:spacing w:line="560" w:lineRule="exact"/>
        <w:ind w:left="0" w:right="502" w:firstLine="640" w:firstLineChars="200"/>
        <w:rPr>
          <w:rFonts w:asciiTheme="minorEastAsia" w:hAnsiTheme="minorEastAsia" w:eastAsiaTheme="minorEastAsia"/>
          <w:b w:val="0"/>
        </w:rPr>
      </w:pPr>
      <w:r>
        <w:rPr>
          <w:rFonts w:hint="eastAsia" w:asciiTheme="minorEastAsia" w:hAnsiTheme="minorEastAsia" w:eastAsiaTheme="minorEastAsia"/>
          <w:b w:val="0"/>
        </w:rPr>
        <w:t>（一）部门（单位）主要职责职能，组织架构、人员及资产等基本情况。</w:t>
      </w:r>
    </w:p>
    <w:p>
      <w:pPr>
        <w:pStyle w:val="10"/>
        <w:spacing w:line="560" w:lineRule="exact"/>
        <w:ind w:left="0" w:right="502" w:firstLine="640" w:firstLineChars="200"/>
        <w:rPr>
          <w:rFonts w:cs="宋体" w:asciiTheme="minorEastAsia" w:hAnsiTheme="minorEastAsia" w:eastAsiaTheme="minorEastAsia"/>
          <w:color w:val="000000"/>
        </w:rPr>
      </w:pPr>
      <w:r>
        <w:rPr>
          <w:rFonts w:hint="eastAsia" w:asciiTheme="minorEastAsia" w:hAnsiTheme="minorEastAsia" w:eastAsiaTheme="minorEastAsia"/>
          <w:b w:val="0"/>
          <w:lang w:val="en-US"/>
        </w:rPr>
        <w:t>1.</w:t>
      </w:r>
      <w:r>
        <w:rPr>
          <w:rFonts w:hint="eastAsia" w:cs="宋体" w:asciiTheme="minorEastAsia" w:hAnsiTheme="minorEastAsia" w:eastAsiaTheme="minorEastAsia"/>
          <w:color w:val="000000"/>
        </w:rPr>
        <w:t>主要职责：</w:t>
      </w:r>
    </w:p>
    <w:p>
      <w:pPr>
        <w:spacing w:after="0" w:line="560" w:lineRule="exact"/>
        <w:ind w:firstLine="640" w:firstLineChars="200"/>
        <w:rPr>
          <w:rFonts w:cs="Times New Roman" w:asciiTheme="minorEastAsia" w:hAnsiTheme="minorEastAsia" w:eastAsiaTheme="minorEastAsia"/>
          <w:sz w:val="32"/>
          <w:szCs w:val="32"/>
        </w:rPr>
      </w:pPr>
      <w:r>
        <w:rPr>
          <w:rFonts w:hint="eastAsia" w:asciiTheme="minorEastAsia" w:hAnsiTheme="minorEastAsia" w:eastAsiaTheme="minorEastAsia"/>
          <w:sz w:val="32"/>
          <w:szCs w:val="32"/>
        </w:rPr>
        <w:t>一、部门主要职能</w:t>
      </w:r>
    </w:p>
    <w:p>
      <w:pPr>
        <w:spacing w:after="0" w:line="56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（1）贯彻执行党和国家有关行政管理体制和机构改革以及机构编制管理方针、政策、拟定全区有关行政管理体制和机构改革以及机构编制管理的实施办法和措施。</w:t>
      </w:r>
    </w:p>
    <w:p>
      <w:pPr>
        <w:spacing w:after="0" w:line="56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（2）统一管理全区党政机关，人大、政协机关，检察院、法院机关，人民团体的机构编制工作。</w:t>
      </w:r>
    </w:p>
    <w:p>
      <w:pPr>
        <w:spacing w:after="0" w:line="56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（3）拟定全区行政管理体制和机构改革的总体方案，组织实施区直党政机构改革工作。审核街道、镇、园机构改革方案，指导协调全区各级行政管理体制和机构改革以及机构编制管理工作。</w:t>
      </w:r>
    </w:p>
    <w:p>
      <w:pPr>
        <w:spacing w:after="0" w:line="56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（4）协调区委各部门、区政府各部门的职能配置及其调整，协调区委各部门之间，区政府各部门之间，区委各部门和区政府各部门之间以及区直各部门与街道、镇之间的职责分工。</w:t>
      </w:r>
    </w:p>
    <w:p>
      <w:pPr>
        <w:spacing w:after="0" w:line="56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（5）负责审核区委各部门、区政府各部门及区直事业单位的内设机构、人员编制和领导职数；审核街道、镇、园党政工作机构设置和人员编制；审核全区行政事业机构的设置与报批。</w:t>
      </w:r>
    </w:p>
    <w:p>
      <w:pPr>
        <w:spacing w:after="0" w:line="56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（6）负责审核区人大、区政协、区人民法院、区人民检察院和人民团体的机构设置、人员编制和领导职数。</w:t>
      </w:r>
    </w:p>
    <w:p>
      <w:pPr>
        <w:spacing w:after="0" w:line="56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7）拟定全区事业单位管理体制和机构改革的方案；审核区属各类事业单位的机构编制；拟定本区有关事业单位的定员标准并组织实施；负责事业单位机构编制管理方面的其他重要事项；指导并协调全区各级事业单位管理体制改革和机构编制编制管理工作。</w:t>
      </w:r>
    </w:p>
    <w:p>
      <w:pPr>
        <w:spacing w:after="0" w:line="56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（8）拟定本区事业单位登记管理的具体实施办法，并加强监督检查；负责本级事业单位登记、变更、注销和年度报告工作。</w:t>
      </w:r>
    </w:p>
    <w:p>
      <w:pPr>
        <w:spacing w:after="0" w:line="56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（9）监督检查全区各级行政管理体制和机构改革方案、事业单位管理体制和机构改革方案以及机构编制政策法规的执行情况。</w:t>
      </w:r>
    </w:p>
    <w:p>
      <w:pPr>
        <w:spacing w:after="0" w:line="56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（10）承办区委、区编委交办的其他工作。</w:t>
      </w:r>
    </w:p>
    <w:p>
      <w:pPr>
        <w:spacing w:after="0"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2.机构部门情况:纳入本套部门决算汇编范围的单位共2个，为区机构编制委员会办公室和区事业单位登记管理局。</w:t>
      </w:r>
    </w:p>
    <w:p>
      <w:pPr>
        <w:spacing w:after="0"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（1）综合科</w:t>
      </w:r>
    </w:p>
    <w:p>
      <w:pPr>
        <w:spacing w:after="0"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负责文电、会务、机要、保密、档案等机关日常运转和综合协调工作；承担综合性文稿起草、内部督查、信息、宣传、政务公开等行政事务工作和财务、固定资产以及后勤保障等工作；负责审核办理区直机关、事业单位人员编制和股级职数的使用核准等日常管理工作。负责监督检查省、市、区下达的机构编制总额执行情况、实名制管理情况和编制使用许可报批制度执行情况；负责受理违反机构编制法规、纪律的检举和投诉以及群众来信来访处理工作，对违反机构编制法规、纪律的问题进行调查核实并提出处理意见。</w:t>
      </w:r>
    </w:p>
    <w:p>
      <w:pPr>
        <w:spacing w:after="0"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（2）业务科</w:t>
      </w:r>
    </w:p>
    <w:p>
      <w:pPr>
        <w:spacing w:after="0"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研究拟定全区党政机关、事业单位机构改革方案及机构编制管理办法和措施；起草综合性文件和机构编制管理规章制度；组织调查研究，做好机构编制管理工作；综合管理全区党政机关，人大、政协机关、检察院、法院机关，人民团体及区直事业单位、派出机构的机构编制和股级领导职数；负责区人大代表和区政协委员有关机构编制工作建议和提案的办理工作；负责人员编制的日常管理，审核办理人员编制上、下册和进人核编事项。负责全区机构编制监督检查工作；负责监督检查各部门“三定”规定的落实情况，行政管理体制改革和机构改革方案的落实情况。</w:t>
      </w:r>
    </w:p>
    <w:p>
      <w:pPr>
        <w:spacing w:after="0"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区编办行政编制3名，事业单位登记管理局事业编制5名。（二）当年部门（单位）履职总体目标、工作任务。</w:t>
      </w:r>
    </w:p>
    <w:p>
      <w:pPr>
        <w:pStyle w:val="2"/>
        <w:spacing w:after="0" w:line="560" w:lineRule="exact"/>
        <w:ind w:left="640" w:leftChars="0"/>
        <w:rPr>
          <w:rFonts w:asciiTheme="minorEastAsia" w:hAnsiTheme="minorEastAsia" w:eastAsiaTheme="minorEastAsia"/>
          <w:sz w:val="32"/>
          <w:szCs w:val="32"/>
        </w:rPr>
      </w:pPr>
      <w:r>
        <w:rPr>
          <w:rFonts w:hint="eastAsia" w:asciiTheme="minorEastAsia" w:hAnsiTheme="minorEastAsia" w:eastAsiaTheme="minorEastAsia"/>
          <w:sz w:val="32"/>
          <w:szCs w:val="32"/>
        </w:rPr>
        <w:t>1.总体目标</w:t>
      </w:r>
    </w:p>
    <w:p>
      <w:pPr>
        <w:pStyle w:val="2"/>
        <w:spacing w:after="0" w:line="560" w:lineRule="exact"/>
        <w:ind w:left="0" w:leftChars="0" w:firstLine="640"/>
        <w:rPr>
          <w:rFonts w:asciiTheme="minorEastAsia" w:hAnsiTheme="minorEastAsia" w:eastAsiaTheme="minorEastAsia"/>
          <w:sz w:val="32"/>
          <w:szCs w:val="32"/>
        </w:rPr>
      </w:pPr>
      <w:r>
        <w:rPr>
          <w:rFonts w:hint="eastAsia" w:asciiTheme="minorEastAsia" w:hAnsiTheme="minorEastAsia" w:eastAsiaTheme="minorEastAsia"/>
          <w:sz w:val="32"/>
          <w:szCs w:val="32"/>
        </w:rPr>
        <w:t>贯彻执行党和国家有关行政管理体制和机构改革以及机构编制管理方针、政策、拟定全区有关行政管理体制和机构改革以及机构编制管理的实施办法和措施</w:t>
      </w:r>
    </w:p>
    <w:p>
      <w:pPr>
        <w:pStyle w:val="2"/>
        <w:spacing w:after="0" w:line="560" w:lineRule="exact"/>
        <w:ind w:left="0" w:leftChars="0"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2.工作任务</w:t>
      </w:r>
    </w:p>
    <w:p>
      <w:pPr>
        <w:tabs>
          <w:tab w:val="left" w:pos="1823"/>
        </w:tabs>
        <w:spacing w:after="0"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（1）完善落实了事业单位党的领导体制和工作机制。各涉改事业单位的</w:t>
      </w:r>
      <w:r>
        <w:rPr>
          <w:rFonts w:asciiTheme="minorEastAsia" w:hAnsiTheme="minorEastAsia" w:eastAsiaTheme="minorEastAsia"/>
          <w:sz w:val="32"/>
          <w:szCs w:val="32"/>
        </w:rPr>
        <w:t>“</w:t>
      </w:r>
      <w:r>
        <w:rPr>
          <w:rFonts w:hint="eastAsia" w:asciiTheme="minorEastAsia" w:hAnsiTheme="minorEastAsia" w:eastAsiaTheme="minorEastAsia"/>
          <w:sz w:val="32"/>
          <w:szCs w:val="32"/>
        </w:rPr>
        <w:t>三定</w:t>
      </w:r>
      <w:r>
        <w:rPr>
          <w:rFonts w:asciiTheme="minorEastAsia" w:hAnsiTheme="minorEastAsia" w:eastAsiaTheme="minorEastAsia"/>
          <w:sz w:val="32"/>
          <w:szCs w:val="32"/>
        </w:rPr>
        <w:t>”</w:t>
      </w:r>
      <w:r>
        <w:rPr>
          <w:rFonts w:hint="eastAsia" w:asciiTheme="minorEastAsia" w:hAnsiTheme="minorEastAsia" w:eastAsiaTheme="minorEastAsia"/>
          <w:sz w:val="32"/>
          <w:szCs w:val="32"/>
        </w:rPr>
        <w:t>均明确党组织的地位和作用，保证党的领导制度安排到位、作用发挥到位、实际效果到位。同时，坚持党建工作与改革工作同谋划、同推进。改革中优化重组、精简撤并的事业单位，均严格按照改革要求，同步设置或调整党的组织，理顺党组织隶属关系，转移党员组织关系，确保党的工作不间断、党组织作用不削弱、党员先锋模范作用得到充分发挥。</w:t>
      </w:r>
    </w:p>
    <w:p>
      <w:pPr>
        <w:spacing w:after="0" w:line="560" w:lineRule="exact"/>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（三）当年部门（单位）年度整体支出绩效目标。</w:t>
      </w:r>
    </w:p>
    <w:p>
      <w:pPr>
        <w:spacing w:after="0" w:line="56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主要达成目标是保障南昌市青云谱区编办工作有序开展，提升全区机构编制工作保障水平，促进团结进步，和谐稳定，工作情况总体可控。</w:t>
      </w:r>
    </w:p>
    <w:p>
      <w:pPr>
        <w:spacing w:after="0" w:line="560" w:lineRule="exact"/>
        <w:ind w:firstLine="640" w:firstLineChars="200"/>
        <w:rPr>
          <w:rFonts w:cs="仿宋" w:asciiTheme="minorEastAsia" w:hAnsiTheme="minorEastAsia" w:eastAsiaTheme="minorEastAsia"/>
          <w:color w:val="000000"/>
          <w:sz w:val="32"/>
          <w:szCs w:val="32"/>
        </w:rPr>
      </w:pPr>
      <w:r>
        <w:rPr>
          <w:rFonts w:hint="eastAsia" w:asciiTheme="minorEastAsia" w:hAnsiTheme="minorEastAsia" w:eastAsiaTheme="minorEastAsia"/>
          <w:sz w:val="32"/>
          <w:szCs w:val="32"/>
        </w:rPr>
        <w:t>（四）部门（单位）预算绩效管理开展情况。</w:t>
      </w:r>
    </w:p>
    <w:p>
      <w:pPr>
        <w:spacing w:after="0" w:line="560" w:lineRule="exact"/>
        <w:ind w:firstLine="160" w:firstLineChars="50"/>
        <w:rPr>
          <w:rFonts w:cs="仿宋_GB2312" w:asciiTheme="minorEastAsia" w:hAnsiTheme="minorEastAsia" w:eastAsiaTheme="minorEastAsia"/>
          <w:sz w:val="32"/>
          <w:szCs w:val="32"/>
        </w:rPr>
      </w:pPr>
      <w:r>
        <w:rPr>
          <w:rFonts w:hint="eastAsia" w:cs="仿宋" w:asciiTheme="minorEastAsia" w:hAnsiTheme="minorEastAsia" w:eastAsiaTheme="minorEastAsia"/>
          <w:sz w:val="32"/>
          <w:szCs w:val="32"/>
        </w:rPr>
        <w:t>　</w:t>
      </w:r>
      <w:r>
        <w:rPr>
          <w:rFonts w:hint="eastAsia" w:cs="仿宋_GB2312" w:asciiTheme="minorEastAsia" w:hAnsiTheme="minorEastAsia" w:eastAsiaTheme="minorEastAsia"/>
          <w:sz w:val="32"/>
          <w:szCs w:val="32"/>
        </w:rPr>
        <w:t>1.绩效评价目的。树立青云谱区机构编制工作“新常态思维”，全面落实编办各项工作的积极作用。</w:t>
      </w:r>
    </w:p>
    <w:p>
      <w:pPr>
        <w:spacing w:after="0" w:line="560" w:lineRule="exact"/>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　　2.绩效评价实施过程。根据《青云谱区财政局关于开展2021年度区直部门整体支出绩效评价工作的通知》相关文件要求，青云谱区编办制定了部门整体支出绩效评价的工作方案、评价指标，绩效评价工作主要如下：</w:t>
      </w:r>
    </w:p>
    <w:p>
      <w:pPr>
        <w:spacing w:after="0" w:line="560" w:lineRule="exact"/>
        <w:ind w:firstLine="645"/>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（一）核实数据。对202</w:t>
      </w:r>
      <w:r>
        <w:rPr>
          <w:rFonts w:hint="eastAsia" w:cs="仿宋_GB2312" w:asciiTheme="minorEastAsia" w:hAnsiTheme="minorEastAsia" w:eastAsiaTheme="minorEastAsia"/>
          <w:sz w:val="32"/>
          <w:szCs w:val="32"/>
          <w:lang w:val="en-US" w:eastAsia="zh-CN"/>
        </w:rPr>
        <w:t>2</w:t>
      </w:r>
      <w:r>
        <w:rPr>
          <w:rFonts w:hint="eastAsia" w:cs="仿宋_GB2312" w:asciiTheme="minorEastAsia" w:hAnsiTheme="minorEastAsia" w:eastAsiaTheme="minorEastAsia"/>
          <w:sz w:val="32"/>
          <w:szCs w:val="32"/>
        </w:rPr>
        <w:t>年度部门整体支出数据的准确性、真实性进行核实，将202</w:t>
      </w:r>
      <w:r>
        <w:rPr>
          <w:rFonts w:hint="eastAsia" w:cs="仿宋_GB2312" w:asciiTheme="minorEastAsia" w:hAnsiTheme="minorEastAsia" w:eastAsiaTheme="minorEastAsia"/>
          <w:sz w:val="32"/>
          <w:szCs w:val="32"/>
          <w:lang w:val="en-US" w:eastAsia="zh-CN"/>
        </w:rPr>
        <w:t>2</w:t>
      </w:r>
      <w:r>
        <w:rPr>
          <w:rFonts w:hint="eastAsia" w:cs="仿宋_GB2312" w:asciiTheme="minorEastAsia" w:hAnsiTheme="minorEastAsia" w:eastAsiaTheme="minorEastAsia"/>
          <w:sz w:val="32"/>
          <w:szCs w:val="32"/>
        </w:rPr>
        <w:t>年度和202</w:t>
      </w:r>
      <w:r>
        <w:rPr>
          <w:rFonts w:hint="eastAsia" w:cs="仿宋_GB2312" w:asciiTheme="minorEastAsia" w:hAnsiTheme="minorEastAsia" w:eastAsiaTheme="minorEastAsia"/>
          <w:sz w:val="32"/>
          <w:szCs w:val="32"/>
          <w:lang w:val="en-US" w:eastAsia="zh-CN"/>
        </w:rPr>
        <w:t>1</w:t>
      </w:r>
      <w:r>
        <w:rPr>
          <w:rFonts w:hint="eastAsia" w:cs="仿宋_GB2312" w:asciiTheme="minorEastAsia" w:hAnsiTheme="minorEastAsia" w:eastAsiaTheme="minorEastAsia"/>
          <w:sz w:val="32"/>
          <w:szCs w:val="32"/>
        </w:rPr>
        <w:t>年度部门整体支出情况进行比较分析。</w:t>
      </w:r>
    </w:p>
    <w:p>
      <w:pPr>
        <w:spacing w:after="0" w:line="560" w:lineRule="exact"/>
        <w:ind w:firstLine="645"/>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（二）查阅资料。查阅202</w:t>
      </w:r>
      <w:r>
        <w:rPr>
          <w:rFonts w:hint="eastAsia" w:cs="仿宋_GB2312" w:asciiTheme="minorEastAsia" w:hAnsiTheme="minorEastAsia" w:eastAsiaTheme="minorEastAsia"/>
          <w:sz w:val="32"/>
          <w:szCs w:val="32"/>
          <w:lang w:val="en-US" w:eastAsia="zh-CN"/>
        </w:rPr>
        <w:t>2</w:t>
      </w:r>
      <w:r>
        <w:rPr>
          <w:rFonts w:hint="eastAsia" w:cs="仿宋_GB2312" w:asciiTheme="minorEastAsia" w:hAnsiTheme="minorEastAsia" w:eastAsiaTheme="minorEastAsia"/>
          <w:sz w:val="32"/>
          <w:szCs w:val="32"/>
        </w:rPr>
        <w:t>年度预算安排、预算追加、资金管理、经费支出、资产管理等相关文件资料和财务凭证。</w:t>
      </w:r>
    </w:p>
    <w:p>
      <w:pPr>
        <w:spacing w:after="0" w:line="560" w:lineRule="exact"/>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　　（三）实地查看。现场查看实物资产等。</w:t>
      </w:r>
    </w:p>
    <w:p>
      <w:pPr>
        <w:spacing w:after="0" w:line="560" w:lineRule="exact"/>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　　（四）发放调查问卷。对部门履行职责情况的公众满意度进行调查。</w:t>
      </w:r>
    </w:p>
    <w:p>
      <w:pPr>
        <w:spacing w:after="0" w:line="560" w:lineRule="exact"/>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　　（五）归纳汇总。对提供的材料及自评报告，结合现场评价情况进行综合分析、归纳汇总。</w:t>
      </w:r>
    </w:p>
    <w:p>
      <w:pPr>
        <w:spacing w:after="0" w:line="560" w:lineRule="exact"/>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　　（六）评价组对各项评价指标进行分析讨论。</w:t>
      </w:r>
    </w:p>
    <w:p>
      <w:pPr>
        <w:spacing w:after="0" w:line="560" w:lineRule="exact"/>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　　（七）形成绩效评价报告。</w:t>
      </w:r>
    </w:p>
    <w:p>
      <w:pPr>
        <w:spacing w:after="0" w:line="560" w:lineRule="exact"/>
        <w:ind w:firstLine="640" w:firstLineChars="200"/>
        <w:rPr>
          <w:rFonts w:cs="Times New Roman" w:asciiTheme="minorEastAsia" w:hAnsiTheme="minorEastAsia" w:eastAsiaTheme="minorEastAsia"/>
          <w:sz w:val="32"/>
          <w:szCs w:val="32"/>
        </w:rPr>
      </w:pPr>
      <w:r>
        <w:rPr>
          <w:rFonts w:hint="eastAsia" w:asciiTheme="minorEastAsia" w:hAnsiTheme="minorEastAsia" w:eastAsiaTheme="minorEastAsia"/>
          <w:sz w:val="32"/>
          <w:szCs w:val="32"/>
        </w:rPr>
        <w:t>（五）当年部门（单位）预算及执行情况。</w:t>
      </w:r>
    </w:p>
    <w:p>
      <w:pPr>
        <w:pStyle w:val="2"/>
        <w:spacing w:after="0" w:line="560" w:lineRule="exact"/>
        <w:ind w:left="0" w:leftChars="0" w:firstLine="640" w:firstLineChars="200"/>
        <w:rPr>
          <w:rFonts w:cs="仿宋" w:asciiTheme="minorEastAsia" w:hAnsiTheme="minorEastAsia" w:eastAsiaTheme="minorEastAsia"/>
          <w:sz w:val="32"/>
          <w:szCs w:val="32"/>
        </w:rPr>
      </w:pPr>
      <w:r>
        <w:rPr>
          <w:rFonts w:hint="eastAsia" w:cs="仿宋_GB2312" w:asciiTheme="minorEastAsia" w:hAnsiTheme="minorEastAsia" w:eastAsiaTheme="minorEastAsia"/>
          <w:sz w:val="32"/>
          <w:szCs w:val="32"/>
        </w:rPr>
        <w:t>202</w:t>
      </w:r>
      <w:r>
        <w:rPr>
          <w:rFonts w:hint="eastAsia" w:cs="仿宋_GB2312" w:asciiTheme="minorEastAsia" w:hAnsiTheme="minorEastAsia" w:eastAsiaTheme="minorEastAsia"/>
          <w:sz w:val="32"/>
          <w:szCs w:val="32"/>
          <w:lang w:val="en-US" w:eastAsia="zh-CN"/>
        </w:rPr>
        <w:t>2</w:t>
      </w:r>
      <w:r>
        <w:rPr>
          <w:rFonts w:hint="eastAsia" w:cs="仿宋_GB2312" w:asciiTheme="minorEastAsia" w:hAnsiTheme="minorEastAsia" w:eastAsiaTheme="minorEastAsia"/>
          <w:sz w:val="32"/>
          <w:szCs w:val="32"/>
        </w:rPr>
        <w:t>年年初预算数</w:t>
      </w:r>
      <w:r>
        <w:rPr>
          <w:rFonts w:hint="eastAsia" w:cs="仿宋_GB2312" w:asciiTheme="minorEastAsia" w:hAnsiTheme="minorEastAsia" w:eastAsiaTheme="minorEastAsia"/>
          <w:sz w:val="32"/>
          <w:szCs w:val="32"/>
          <w:lang w:val="en-US" w:eastAsia="zh-CN"/>
        </w:rPr>
        <w:t>150.97</w:t>
      </w:r>
      <w:r>
        <w:rPr>
          <w:rFonts w:hint="eastAsia" w:cs="仿宋_GB2312" w:asciiTheme="minorEastAsia" w:hAnsiTheme="minorEastAsia" w:eastAsiaTheme="minorEastAsia"/>
          <w:sz w:val="32"/>
          <w:szCs w:val="32"/>
        </w:rPr>
        <w:t>万元，支出数为</w:t>
      </w:r>
      <w:r>
        <w:rPr>
          <w:rFonts w:hint="eastAsia" w:cs="仿宋_GB2312" w:asciiTheme="minorEastAsia" w:hAnsiTheme="minorEastAsia" w:eastAsiaTheme="minorEastAsia"/>
          <w:sz w:val="32"/>
          <w:szCs w:val="32"/>
          <w:lang w:val="en-US" w:eastAsia="zh-CN"/>
        </w:rPr>
        <w:t>107.25</w:t>
      </w:r>
      <w:r>
        <w:rPr>
          <w:rFonts w:hint="eastAsia" w:cs="仿宋_GB2312" w:asciiTheme="minorEastAsia" w:hAnsiTheme="minorEastAsia" w:eastAsiaTheme="minorEastAsia"/>
          <w:sz w:val="32"/>
          <w:szCs w:val="32"/>
        </w:rPr>
        <w:t>万元。我区严格按照财政要求，及时地完成单位会计核算并和财政对完账，认真地做好当年部门预算，严格按照资金性质、分功能科目类别、分经济科目、分项目填列，按实际工作开展需要，并经审核。通过对部门预算分析更可以清晰地看到单位资金使用情况，为单位作出决策提供更清晰的数据</w:t>
      </w:r>
      <w:r>
        <w:rPr>
          <w:rFonts w:hint="eastAsia" w:cs="仿宋" w:asciiTheme="minorEastAsia" w:hAnsiTheme="minorEastAsia" w:eastAsiaTheme="minorEastAsia"/>
          <w:sz w:val="32"/>
          <w:szCs w:val="32"/>
        </w:rPr>
        <w:t>。</w:t>
      </w:r>
    </w:p>
    <w:p>
      <w:pPr>
        <w:pStyle w:val="3"/>
        <w:spacing w:line="560" w:lineRule="exact"/>
        <w:rPr>
          <w:rFonts w:asciiTheme="minorEastAsia" w:hAnsiTheme="minorEastAsia" w:eastAsiaTheme="minorEastAsia"/>
        </w:rPr>
      </w:pPr>
      <w:r>
        <w:rPr>
          <w:rFonts w:hint="eastAsia" w:asciiTheme="minorEastAsia" w:hAnsiTheme="minorEastAsia" w:eastAsiaTheme="minorEastAsia"/>
        </w:rPr>
        <w:t>二、部门（单位）整体支出绩效实现情况</w:t>
      </w:r>
    </w:p>
    <w:p>
      <w:pPr>
        <w:pStyle w:val="10"/>
        <w:spacing w:line="560" w:lineRule="exact"/>
        <w:ind w:left="0" w:right="502" w:firstLine="640" w:firstLineChars="200"/>
        <w:rPr>
          <w:rFonts w:asciiTheme="minorEastAsia" w:hAnsiTheme="minorEastAsia" w:eastAsiaTheme="minorEastAsia"/>
          <w:b w:val="0"/>
        </w:rPr>
      </w:pPr>
      <w:r>
        <w:rPr>
          <w:rFonts w:hint="eastAsia" w:asciiTheme="minorEastAsia" w:hAnsiTheme="minorEastAsia" w:eastAsiaTheme="minorEastAsia"/>
          <w:b w:val="0"/>
        </w:rPr>
        <w:t>（一）履职完成情况：从数量、质量、时效等方面归纳反映年度主要计划任务完成情况。</w:t>
      </w:r>
    </w:p>
    <w:p>
      <w:pPr>
        <w:pStyle w:val="10"/>
        <w:spacing w:line="560" w:lineRule="exact"/>
        <w:ind w:left="0" w:right="502" w:firstLine="640" w:firstLineChars="200"/>
        <w:rPr>
          <w:rFonts w:cs="仿宋" w:asciiTheme="minorEastAsia" w:hAnsiTheme="minorEastAsia" w:eastAsiaTheme="minorEastAsia"/>
          <w:b w:val="0"/>
          <w:bCs w:val="0"/>
          <w:lang w:val="en-US" w:bidi="ar-SA"/>
        </w:rPr>
      </w:pPr>
      <w:r>
        <w:rPr>
          <w:rFonts w:hint="eastAsia" w:cs="仿宋" w:asciiTheme="minorEastAsia" w:hAnsiTheme="minorEastAsia" w:eastAsiaTheme="minorEastAsia"/>
          <w:b w:val="0"/>
          <w:bCs w:val="0"/>
          <w:lang w:val="en-US" w:bidi="ar-SA"/>
        </w:rPr>
        <w:t>数量指标：</w:t>
      </w:r>
      <w:r>
        <w:rPr>
          <w:rFonts w:hint="eastAsia" w:cs="仿宋" w:asciiTheme="minorEastAsia" w:hAnsiTheme="minorEastAsia" w:eastAsiaTheme="minorEastAsia"/>
          <w:b w:val="0"/>
          <w:bCs w:val="0"/>
          <w:lang w:val="en-US" w:eastAsia="zh-CN" w:bidi="ar-SA"/>
        </w:rPr>
        <w:t>业务培训次数1次，机构编制统计数据上报次数4次，开展专项活动3次</w:t>
      </w:r>
      <w:r>
        <w:rPr>
          <w:rFonts w:hint="eastAsia" w:cs="仿宋" w:asciiTheme="minorEastAsia" w:hAnsiTheme="minorEastAsia" w:eastAsiaTheme="minorEastAsia"/>
          <w:b w:val="0"/>
          <w:bCs w:val="0"/>
          <w:lang w:val="en-US" w:bidi="ar-SA"/>
        </w:rPr>
        <w:t>。</w:t>
      </w:r>
    </w:p>
    <w:p>
      <w:pPr>
        <w:pStyle w:val="10"/>
        <w:spacing w:line="560" w:lineRule="exact"/>
        <w:ind w:left="0" w:right="502" w:firstLine="640" w:firstLineChars="200"/>
        <w:rPr>
          <w:rFonts w:cs="仿宋" w:asciiTheme="minorEastAsia" w:hAnsiTheme="minorEastAsia" w:eastAsiaTheme="minorEastAsia"/>
          <w:b w:val="0"/>
          <w:bCs w:val="0"/>
          <w:lang w:val="en-US" w:bidi="ar-SA"/>
        </w:rPr>
      </w:pPr>
      <w:r>
        <w:rPr>
          <w:rFonts w:hint="eastAsia" w:cs="仿宋" w:asciiTheme="minorEastAsia" w:hAnsiTheme="minorEastAsia" w:eastAsiaTheme="minorEastAsia"/>
          <w:b w:val="0"/>
          <w:bCs w:val="0"/>
          <w:lang w:val="en-US" w:bidi="ar-SA"/>
        </w:rPr>
        <w:t>质量指标：积极稳妥推进全区事业单位改革工作</w:t>
      </w:r>
      <w:r>
        <w:rPr>
          <w:rFonts w:hint="eastAsia" w:cs="仿宋" w:asciiTheme="minorEastAsia" w:hAnsiTheme="minorEastAsia" w:eastAsiaTheme="minorEastAsia"/>
          <w:b w:val="0"/>
          <w:bCs w:val="0"/>
          <w:lang w:val="en-US" w:eastAsia="zh-CN" w:bidi="ar-SA"/>
        </w:rPr>
        <w:t>90%，严守编制基数“红线”，严肃机构编制纪律，坚持人员调配在编内进行100%</w:t>
      </w:r>
      <w:r>
        <w:rPr>
          <w:rFonts w:hint="eastAsia" w:cs="仿宋" w:asciiTheme="minorEastAsia" w:hAnsiTheme="minorEastAsia" w:eastAsiaTheme="minorEastAsia"/>
          <w:b w:val="0"/>
          <w:bCs w:val="0"/>
          <w:lang w:val="en-US" w:bidi="ar-SA"/>
        </w:rPr>
        <w:t>。</w:t>
      </w:r>
    </w:p>
    <w:p>
      <w:pPr>
        <w:pStyle w:val="10"/>
        <w:spacing w:line="560" w:lineRule="exact"/>
        <w:ind w:left="0" w:right="502" w:firstLine="640" w:firstLineChars="200"/>
        <w:rPr>
          <w:rFonts w:cs="仿宋" w:asciiTheme="minorEastAsia" w:hAnsiTheme="minorEastAsia" w:eastAsiaTheme="minorEastAsia"/>
          <w:b w:val="0"/>
          <w:bCs w:val="0"/>
          <w:lang w:val="en-US" w:bidi="ar-SA"/>
        </w:rPr>
      </w:pPr>
      <w:r>
        <w:rPr>
          <w:rFonts w:hint="eastAsia" w:cs="仿宋" w:asciiTheme="minorEastAsia" w:hAnsiTheme="minorEastAsia" w:eastAsiaTheme="minorEastAsia"/>
          <w:b w:val="0"/>
          <w:bCs w:val="0"/>
          <w:lang w:val="en-US" w:bidi="ar-SA"/>
        </w:rPr>
        <w:t>时效指标：各项工作完成及时率</w:t>
      </w:r>
      <w:r>
        <w:rPr>
          <w:rFonts w:hint="eastAsia" w:cs="仿宋" w:asciiTheme="minorEastAsia" w:hAnsiTheme="minorEastAsia" w:eastAsiaTheme="minorEastAsia"/>
          <w:b w:val="0"/>
          <w:bCs w:val="0"/>
          <w:lang w:val="en-US" w:eastAsia="zh-CN" w:bidi="ar-SA"/>
        </w:rPr>
        <w:t>100%</w:t>
      </w:r>
      <w:r>
        <w:rPr>
          <w:rFonts w:hint="eastAsia" w:cs="仿宋" w:asciiTheme="minorEastAsia" w:hAnsiTheme="minorEastAsia" w:eastAsiaTheme="minorEastAsia"/>
          <w:b w:val="0"/>
          <w:bCs w:val="0"/>
          <w:lang w:val="en-US" w:bidi="ar-SA"/>
        </w:rPr>
        <w:t>。</w:t>
      </w:r>
    </w:p>
    <w:p>
      <w:pPr>
        <w:numPr>
          <w:ilvl w:val="0"/>
          <w:numId w:val="1"/>
        </w:numPr>
        <w:spacing w:after="0" w:line="560" w:lineRule="exact"/>
        <w:ind w:right="500" w:firstLine="640" w:firstLineChars="200"/>
        <w:rPr>
          <w:rFonts w:cs="Times New Roman" w:asciiTheme="minorEastAsia" w:hAnsiTheme="minorEastAsia" w:eastAsiaTheme="minorEastAsia"/>
          <w:sz w:val="32"/>
          <w:szCs w:val="32"/>
        </w:rPr>
      </w:pPr>
      <w:r>
        <w:rPr>
          <w:rFonts w:hint="eastAsia" w:asciiTheme="minorEastAsia" w:hAnsiTheme="minorEastAsia" w:eastAsiaTheme="minorEastAsia"/>
          <w:sz w:val="32"/>
          <w:szCs w:val="32"/>
        </w:rPr>
        <w:t>履职效果情况：从社会效益、经济效益（如有）、生态效益（如有）等方面反映部门（单位）履职效果的实现情况。</w:t>
      </w:r>
    </w:p>
    <w:p>
      <w:pPr>
        <w:pStyle w:val="2"/>
        <w:spacing w:after="0" w:line="560" w:lineRule="exact"/>
        <w:ind w:left="0" w:leftChars="0"/>
        <w:rPr>
          <w:rFonts w:cs="仿宋" w:asciiTheme="minorEastAsia" w:hAnsiTheme="minorEastAsia" w:eastAsiaTheme="minorEastAsia"/>
          <w:sz w:val="32"/>
          <w:szCs w:val="32"/>
        </w:rPr>
      </w:pPr>
      <w:r>
        <w:rPr>
          <w:rFonts w:asciiTheme="minorEastAsia" w:hAnsiTheme="minorEastAsia" w:eastAsiaTheme="minorEastAsia"/>
          <w:sz w:val="32"/>
          <w:szCs w:val="32"/>
        </w:rPr>
        <w:t xml:space="preserve">       </w:t>
      </w:r>
      <w:r>
        <w:rPr>
          <w:rFonts w:hint="eastAsia" w:cs="仿宋" w:asciiTheme="minorEastAsia" w:hAnsiTheme="minorEastAsia" w:eastAsiaTheme="minorEastAsia"/>
          <w:sz w:val="32"/>
          <w:szCs w:val="32"/>
        </w:rPr>
        <w:t>社会效益指标：为全市经济社会大局提供机构编制保障</w:t>
      </w:r>
      <w:r>
        <w:rPr>
          <w:rFonts w:hint="eastAsia" w:cs="仿宋" w:asciiTheme="minorEastAsia" w:hAnsiTheme="minorEastAsia" w:eastAsiaTheme="minorEastAsia"/>
          <w:sz w:val="32"/>
          <w:szCs w:val="32"/>
          <w:lang w:val="en-US" w:eastAsia="zh-CN"/>
        </w:rPr>
        <w:t>95%，政治与作风建设加强率90%</w:t>
      </w:r>
      <w:r>
        <w:rPr>
          <w:rFonts w:hint="eastAsia" w:cs="仿宋" w:asciiTheme="minorEastAsia" w:hAnsiTheme="minorEastAsia" w:eastAsiaTheme="minorEastAsia"/>
          <w:sz w:val="32"/>
          <w:szCs w:val="32"/>
        </w:rPr>
        <w:t>。</w:t>
      </w:r>
    </w:p>
    <w:p>
      <w:pPr>
        <w:spacing w:after="0" w:line="560" w:lineRule="exact"/>
        <w:ind w:firstLine="64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经济效益指标：资金使用节约率达到</w:t>
      </w:r>
      <w:r>
        <w:rPr>
          <w:rFonts w:hint="eastAsia" w:cs="仿宋" w:asciiTheme="minorEastAsia" w:hAnsiTheme="minorEastAsia" w:eastAsiaTheme="minorEastAsia"/>
          <w:sz w:val="32"/>
          <w:szCs w:val="32"/>
          <w:lang w:val="en-US" w:eastAsia="zh-CN"/>
        </w:rPr>
        <w:t>95%</w:t>
      </w:r>
      <w:r>
        <w:rPr>
          <w:rFonts w:hint="eastAsia" w:cs="仿宋" w:asciiTheme="minorEastAsia" w:hAnsiTheme="minorEastAsia" w:eastAsiaTheme="minorEastAsia"/>
          <w:sz w:val="32"/>
          <w:szCs w:val="32"/>
        </w:rPr>
        <w:t>。</w:t>
      </w:r>
    </w:p>
    <w:p>
      <w:pPr>
        <w:pStyle w:val="2"/>
        <w:spacing w:after="0" w:line="560" w:lineRule="exact"/>
        <w:ind w:left="0" w:leftChars="0" w:firstLine="640"/>
        <w:rPr>
          <w:rFonts w:hint="default" w:cs="仿宋" w:asciiTheme="minorEastAsia" w:hAnsiTheme="minorEastAsia" w:eastAsiaTheme="minorEastAsia"/>
          <w:sz w:val="32"/>
          <w:szCs w:val="32"/>
          <w:lang w:val="en-US" w:eastAsia="zh-CN"/>
        </w:rPr>
      </w:pPr>
      <w:r>
        <w:rPr>
          <w:rFonts w:hint="eastAsia" w:cs="仿宋" w:asciiTheme="minorEastAsia" w:hAnsiTheme="minorEastAsia" w:eastAsiaTheme="minorEastAsia"/>
          <w:sz w:val="32"/>
          <w:szCs w:val="32"/>
        </w:rPr>
        <w:t>生态效益指标：抓好《中国共产党机构编制工作条例》的学习宣传和贯彻落实</w:t>
      </w:r>
      <w:r>
        <w:rPr>
          <w:rFonts w:hint="eastAsia" w:cs="仿宋" w:asciiTheme="minorEastAsia" w:hAnsiTheme="minorEastAsia" w:eastAsiaTheme="minorEastAsia"/>
          <w:sz w:val="32"/>
          <w:szCs w:val="32"/>
          <w:lang w:val="en-US" w:eastAsia="zh-CN"/>
        </w:rPr>
        <w:t>96%，</w:t>
      </w:r>
    </w:p>
    <w:p>
      <w:pPr>
        <w:pStyle w:val="2"/>
        <w:numPr>
          <w:ilvl w:val="0"/>
          <w:numId w:val="1"/>
        </w:numPr>
        <w:spacing w:after="0" w:line="560" w:lineRule="exact"/>
        <w:ind w:leftChars="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社会满意度及可持续性影响（如有）</w:t>
      </w:r>
    </w:p>
    <w:p>
      <w:pPr>
        <w:spacing w:after="0" w:line="560" w:lineRule="exact"/>
        <w:ind w:left="440" w:leftChars="200"/>
        <w:rPr>
          <w:rFonts w:cs="仿宋" w:asciiTheme="minorEastAsia" w:hAnsiTheme="minorEastAsia" w:eastAsiaTheme="minorEastAsia"/>
          <w:sz w:val="32"/>
          <w:szCs w:val="32"/>
        </w:rPr>
      </w:pPr>
      <w:r>
        <w:rPr>
          <w:rFonts w:asciiTheme="minorEastAsia" w:hAnsiTheme="minorEastAsia" w:eastAsiaTheme="minorEastAsia"/>
          <w:sz w:val="32"/>
          <w:szCs w:val="32"/>
        </w:rPr>
        <w:t xml:space="preserve">  </w:t>
      </w:r>
      <w:r>
        <w:rPr>
          <w:rFonts w:hint="eastAsia" w:cs="仿宋" w:asciiTheme="minorEastAsia" w:hAnsiTheme="minorEastAsia" w:eastAsiaTheme="minorEastAsia"/>
          <w:sz w:val="32"/>
          <w:szCs w:val="32"/>
        </w:rPr>
        <w:t xml:space="preserve"> 满意度指标：服务对象满意度9</w:t>
      </w:r>
      <w:r>
        <w:rPr>
          <w:rFonts w:hint="eastAsia" w:cs="仿宋" w:asciiTheme="minorEastAsia" w:hAnsiTheme="minorEastAsia" w:eastAsiaTheme="minorEastAsia"/>
          <w:sz w:val="32"/>
          <w:szCs w:val="32"/>
          <w:lang w:val="en-US" w:eastAsia="zh-CN"/>
        </w:rPr>
        <w:t>5</w:t>
      </w:r>
      <w:r>
        <w:rPr>
          <w:rFonts w:hint="eastAsia" w:cs="仿宋" w:asciiTheme="minorEastAsia" w:hAnsiTheme="minorEastAsia" w:eastAsiaTheme="minorEastAsia"/>
          <w:sz w:val="32"/>
          <w:szCs w:val="32"/>
        </w:rPr>
        <w:t>%。</w:t>
      </w:r>
    </w:p>
    <w:p>
      <w:pPr>
        <w:pStyle w:val="3"/>
        <w:numPr>
          <w:ilvl w:val="0"/>
          <w:numId w:val="2"/>
        </w:numPr>
        <w:spacing w:line="560" w:lineRule="exact"/>
        <w:ind w:firstLine="640" w:firstLineChars="200"/>
        <w:rPr>
          <w:rFonts w:asciiTheme="minorEastAsia" w:hAnsiTheme="minorEastAsia" w:eastAsiaTheme="minorEastAsia"/>
        </w:rPr>
      </w:pPr>
      <w:r>
        <w:rPr>
          <w:rFonts w:hint="eastAsia" w:asciiTheme="minorEastAsia" w:hAnsiTheme="minorEastAsia" w:eastAsiaTheme="minorEastAsia"/>
        </w:rPr>
        <w:t>部门整体支出绩效中存在问题及改进措施</w:t>
      </w:r>
    </w:p>
    <w:p>
      <w:pPr>
        <w:spacing w:after="0" w:line="560" w:lineRule="exact"/>
        <w:ind w:left="440" w:leftChars="200"/>
        <w:rPr>
          <w:rFonts w:cs="仿宋" w:asciiTheme="minorEastAsia" w:hAnsiTheme="minorEastAsia" w:eastAsiaTheme="minorEastAsia"/>
          <w:sz w:val="32"/>
          <w:szCs w:val="32"/>
        </w:rPr>
      </w:pPr>
      <w:r>
        <w:rPr>
          <w:rFonts w:asciiTheme="minorEastAsia" w:hAnsiTheme="minorEastAsia" w:eastAsiaTheme="minorEastAsia"/>
          <w:sz w:val="32"/>
          <w:szCs w:val="32"/>
        </w:rPr>
        <w:t xml:space="preserve"> </w:t>
      </w:r>
      <w:r>
        <w:rPr>
          <w:rFonts w:hint="eastAsia" w:cs="仿宋" w:asciiTheme="minorEastAsia" w:hAnsiTheme="minorEastAsia" w:eastAsiaTheme="minorEastAsia"/>
          <w:sz w:val="32"/>
          <w:szCs w:val="32"/>
        </w:rPr>
        <w:t xml:space="preserve"> </w:t>
      </w:r>
      <w:bookmarkStart w:id="0" w:name="_Hlk79796932"/>
      <w:r>
        <w:rPr>
          <w:rFonts w:hint="eastAsia" w:cs="仿宋" w:asciiTheme="minorEastAsia" w:hAnsiTheme="minorEastAsia" w:eastAsiaTheme="minorEastAsia"/>
          <w:sz w:val="32"/>
          <w:szCs w:val="32"/>
        </w:rPr>
        <w:t>1、经青云谱区编办对每个项目经费管理、实施过程与效果进行认真自评检查。截至202</w:t>
      </w:r>
      <w:r>
        <w:rPr>
          <w:rFonts w:hint="eastAsia" w:cs="仿宋" w:asciiTheme="minorEastAsia" w:hAnsiTheme="minorEastAsia" w:eastAsiaTheme="minorEastAsia"/>
          <w:sz w:val="32"/>
          <w:szCs w:val="32"/>
          <w:lang w:val="en-US" w:eastAsia="zh-CN"/>
        </w:rPr>
        <w:t>2</w:t>
      </w:r>
      <w:r>
        <w:rPr>
          <w:rFonts w:hint="eastAsia" w:cs="仿宋" w:asciiTheme="minorEastAsia" w:hAnsiTheme="minorEastAsia" w:eastAsiaTheme="minorEastAsia"/>
          <w:sz w:val="32"/>
          <w:szCs w:val="32"/>
        </w:rPr>
        <w:t>年12月31日，青云谱区编办经费项目基本按照项目规划规定的实施内容及工作要求实施完毕，达到了预期绩效目标。</w:t>
      </w:r>
    </w:p>
    <w:p>
      <w:pPr>
        <w:spacing w:after="0" w:line="560" w:lineRule="exact"/>
        <w:rPr>
          <w:rFonts w:asciiTheme="minorEastAsia" w:hAnsiTheme="minorEastAsia" w:eastAsiaTheme="minorEastAsia"/>
          <w:sz w:val="32"/>
          <w:szCs w:val="32"/>
        </w:rPr>
      </w:pPr>
      <w:r>
        <w:rPr>
          <w:rFonts w:hint="eastAsia" w:cs="仿宋" w:asciiTheme="minorEastAsia" w:hAnsiTheme="minorEastAsia" w:eastAsiaTheme="minorEastAsia"/>
          <w:sz w:val="32"/>
          <w:szCs w:val="32"/>
        </w:rPr>
        <w:t>2、存在绩效问题。年初编制的预算不够精确，预算控制率和预算执行率均较低，影响单位评分及评价等次。</w:t>
      </w:r>
      <w:bookmarkEnd w:id="0"/>
    </w:p>
    <w:sectPr>
      <w:pgSz w:w="11906" w:h="16838"/>
      <w:pgMar w:top="1440" w:right="1800" w:bottom="1440" w:left="1800" w:header="708" w:footer="708"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5664AE"/>
    <w:multiLevelType w:val="singleLevel"/>
    <w:tmpl w:val="CF5664AE"/>
    <w:lvl w:ilvl="0" w:tentative="0">
      <w:start w:val="3"/>
      <w:numFmt w:val="chineseCounting"/>
      <w:suff w:val="nothing"/>
      <w:lvlText w:val="%1、"/>
      <w:lvlJc w:val="left"/>
      <w:pPr>
        <w:ind w:left="0" w:firstLine="0"/>
      </w:pPr>
    </w:lvl>
  </w:abstractNum>
  <w:abstractNum w:abstractNumId="1">
    <w:nsid w:val="FA6AA689"/>
    <w:multiLevelType w:val="singleLevel"/>
    <w:tmpl w:val="FA6AA689"/>
    <w:lvl w:ilvl="0" w:tentative="0">
      <w:start w:val="2"/>
      <w:numFmt w:val="chineseCounting"/>
      <w:suff w:val="nothing"/>
      <w:lvlText w:val="（%1）"/>
      <w:lvlJc w:val="left"/>
      <w:pPr>
        <w:ind w:left="0" w:firstLine="0"/>
      </w:pPr>
    </w:lvl>
  </w:abstractNum>
  <w:num w:numId="1">
    <w:abstractNumId w:val="1"/>
    <w:lvlOverride w:ilvl="0">
      <w:startOverride w:val="2"/>
    </w:lvlOverride>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1ZWY1NmQ1ZWY5YTkyMDI5MzAwYWZlODUyZmYwNjgifQ=="/>
  </w:docVars>
  <w:rsids>
    <w:rsidRoot w:val="00D31D50"/>
    <w:rsid w:val="00014DB1"/>
    <w:rsid w:val="000F73BE"/>
    <w:rsid w:val="002073D3"/>
    <w:rsid w:val="00323B43"/>
    <w:rsid w:val="003D37D8"/>
    <w:rsid w:val="00426133"/>
    <w:rsid w:val="004358AB"/>
    <w:rsid w:val="008B7726"/>
    <w:rsid w:val="009F49E4"/>
    <w:rsid w:val="00B41FE7"/>
    <w:rsid w:val="00D31D50"/>
    <w:rsid w:val="00D45DF8"/>
    <w:rsid w:val="00F3772D"/>
    <w:rsid w:val="226B6A19"/>
    <w:rsid w:val="71825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qFormat="1"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unhideWhenUsed/>
    <w:qFormat/>
    <w:uiPriority w:val="39"/>
    <w:pPr>
      <w:ind w:left="2520" w:leftChars="1200"/>
    </w:pPr>
    <w:rPr>
      <w:rFonts w:cs="Times New Roman"/>
    </w:rPr>
  </w:style>
  <w:style w:type="paragraph" w:styleId="3">
    <w:name w:val="Body Text"/>
    <w:basedOn w:val="1"/>
    <w:link w:val="8"/>
    <w:semiHidden/>
    <w:unhideWhenUsed/>
    <w:qFormat/>
    <w:uiPriority w:val="1"/>
    <w:pPr>
      <w:widowControl w:val="0"/>
      <w:autoSpaceDE w:val="0"/>
      <w:autoSpaceDN w:val="0"/>
      <w:adjustRightInd/>
      <w:snapToGrid/>
      <w:spacing w:after="0"/>
    </w:pPr>
    <w:rPr>
      <w:rFonts w:ascii="宋体" w:hAnsi="宋体" w:eastAsia="宋体" w:cs="宋体"/>
      <w:sz w:val="32"/>
      <w:szCs w:val="32"/>
      <w:lang w:val="zh-CN" w:bidi="zh-CN"/>
    </w:rPr>
  </w:style>
  <w:style w:type="paragraph" w:styleId="4">
    <w:name w:val="footer"/>
    <w:basedOn w:val="1"/>
    <w:link w:val="12"/>
    <w:semiHidden/>
    <w:unhideWhenUsed/>
    <w:qFormat/>
    <w:uiPriority w:val="99"/>
    <w:pPr>
      <w:tabs>
        <w:tab w:val="center" w:pos="4153"/>
        <w:tab w:val="right" w:pos="8306"/>
      </w:tabs>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8">
    <w:name w:val="正文文本 Char"/>
    <w:basedOn w:val="7"/>
    <w:link w:val="3"/>
    <w:semiHidden/>
    <w:qFormat/>
    <w:uiPriority w:val="1"/>
    <w:rPr>
      <w:rFonts w:ascii="宋体" w:hAnsi="宋体" w:eastAsia="宋体" w:cs="宋体"/>
      <w:sz w:val="32"/>
      <w:szCs w:val="32"/>
      <w:lang w:val="zh-CN" w:bidi="zh-CN"/>
    </w:rPr>
  </w:style>
  <w:style w:type="paragraph" w:customStyle="1" w:styleId="9">
    <w:name w:val="Heading 1"/>
    <w:basedOn w:val="1"/>
    <w:qFormat/>
    <w:uiPriority w:val="1"/>
    <w:pPr>
      <w:widowControl w:val="0"/>
      <w:autoSpaceDE w:val="0"/>
      <w:autoSpaceDN w:val="0"/>
      <w:adjustRightInd/>
      <w:snapToGrid/>
      <w:spacing w:after="0"/>
      <w:ind w:right="1484"/>
      <w:jc w:val="center"/>
      <w:outlineLvl w:val="1"/>
    </w:pPr>
    <w:rPr>
      <w:rFonts w:ascii="宋体" w:hAnsi="宋体" w:eastAsia="宋体" w:cs="宋体"/>
      <w:sz w:val="44"/>
      <w:szCs w:val="44"/>
      <w:lang w:val="zh-CN" w:bidi="zh-CN"/>
    </w:rPr>
  </w:style>
  <w:style w:type="paragraph" w:customStyle="1" w:styleId="10">
    <w:name w:val="Heading 2"/>
    <w:basedOn w:val="1"/>
    <w:qFormat/>
    <w:uiPriority w:val="1"/>
    <w:pPr>
      <w:widowControl w:val="0"/>
      <w:autoSpaceDE w:val="0"/>
      <w:autoSpaceDN w:val="0"/>
      <w:adjustRightInd/>
      <w:snapToGrid/>
      <w:spacing w:after="0"/>
      <w:ind w:left="1476"/>
      <w:outlineLvl w:val="2"/>
    </w:pPr>
    <w:rPr>
      <w:rFonts w:ascii="Microsoft JhengHei" w:hAnsi="Microsoft JhengHei" w:eastAsia="Microsoft JhengHei" w:cs="Microsoft JhengHei"/>
      <w:b/>
      <w:bCs/>
      <w:sz w:val="32"/>
      <w:szCs w:val="32"/>
      <w:lang w:val="zh-CN" w:bidi="zh-CN"/>
    </w:rPr>
  </w:style>
  <w:style w:type="character" w:customStyle="1" w:styleId="11">
    <w:name w:val="页眉 Char"/>
    <w:basedOn w:val="7"/>
    <w:link w:val="5"/>
    <w:semiHidden/>
    <w:qFormat/>
    <w:uiPriority w:val="99"/>
    <w:rPr>
      <w:rFonts w:ascii="Tahoma" w:hAnsi="Tahoma"/>
      <w:sz w:val="18"/>
      <w:szCs w:val="18"/>
    </w:rPr>
  </w:style>
  <w:style w:type="character" w:customStyle="1" w:styleId="12">
    <w:name w:val="页脚 Char"/>
    <w:basedOn w:val="7"/>
    <w:link w:val="4"/>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2727</Words>
  <Characters>2788</Characters>
  <Lines>20</Lines>
  <Paragraphs>5</Paragraphs>
  <TotalTime>18</TotalTime>
  <ScaleCrop>false</ScaleCrop>
  <LinksUpToDate>false</LinksUpToDate>
  <CharactersWithSpaces>2846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13767981036手机用户</cp:lastModifiedBy>
  <dcterms:modified xsi:type="dcterms:W3CDTF">2023-05-30T07:41:35Z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83657501553043BA81D0E24C31F99B2D_13</vt:lpwstr>
  </property>
</Properties>
</file>