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0"/>
        <w:ind w:firstLine="320" w:firstLineChars="100"/>
        <w:rPr>
          <w:rFonts w:ascii="黑体" w:eastAsia="黑体"/>
        </w:rPr>
      </w:pPr>
    </w:p>
    <w:p>
      <w:pPr>
        <w:pStyle w:val="3"/>
        <w:rPr>
          <w:rFonts w:ascii="黑体"/>
          <w:sz w:val="20"/>
        </w:rPr>
      </w:pPr>
    </w:p>
    <w:p>
      <w:pPr>
        <w:pStyle w:val="3"/>
        <w:rPr>
          <w:rFonts w:ascii="黑体"/>
          <w:sz w:val="20"/>
        </w:rPr>
      </w:pPr>
    </w:p>
    <w:p>
      <w:pPr>
        <w:pStyle w:val="14"/>
        <w:spacing w:before="237"/>
        <w:ind w:right="238"/>
        <w:rPr>
          <w:rFonts w:ascii="PMingLiU" w:eastAsia="PMingLiU"/>
        </w:rPr>
      </w:pPr>
      <w:r>
        <w:rPr>
          <w:rFonts w:hint="eastAsia" w:ascii="PMingLiU" w:eastAsia="PMingLiU"/>
        </w:rPr>
        <w:t>项目支出部门评价报告</w:t>
      </w:r>
    </w:p>
    <w:p>
      <w:pPr>
        <w:pStyle w:val="3"/>
        <w:spacing w:before="5"/>
        <w:rPr>
          <w:rFonts w:ascii="PMingLiU"/>
          <w:sz w:val="67"/>
        </w:rPr>
      </w:pPr>
    </w:p>
    <w:p>
      <w:pPr>
        <w:pStyle w:val="3"/>
        <w:tabs>
          <w:tab w:val="left" w:pos="5404"/>
        </w:tabs>
        <w:ind w:right="665"/>
        <w:jc w:val="center"/>
        <w:rPr>
          <w:rFonts w:ascii="黑体" w:hAnsi="黑体" w:eastAsia="黑体"/>
        </w:rPr>
      </w:pPr>
      <w:r>
        <mc:AlternateContent>
          <mc:Choice Requires="wps">
            <w:drawing>
              <wp:anchor distT="0" distB="0" distL="114300" distR="114300" simplePos="0" relativeHeight="251659264"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76.75pt;margin-top:18.45pt;height:0pt;width:324.45pt;mso-position-horizontal-relative:page;z-index:-251657216;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saa5DWAAAACgEAAA8AAAAAAAAAAQAgAAAAIgAAAGRy&#10;cy9kb3ducmV2LnhtbFBLAQIUABQAAAAIAIdO4kAL3uTMzgEAAI0DAAAOAAAAAAAAAAEAIAAAACUB&#10;AABkcnMvZTJvRG9jLnhtbFBLBQYAAAAABgAGAFkBAABlBQAAAAA=&#10;">
                <v:fill on="f" focussize="0,0"/>
                <v:stroke weight="0.78pt" color="#000000" joinstyle="round"/>
                <v:imagedata o:title=""/>
                <o:lock v:ext="edit" aspectratio="f"/>
              </v:line>
            </w:pict>
          </mc:Fallback>
        </mc:AlternateContent>
      </w:r>
      <w:r>
        <w:rPr>
          <w:rFonts w:hint="eastAsia" w:ascii="黑体" w:hAnsi="黑体" w:eastAsia="黑体"/>
        </w:rPr>
        <w:t>评价类型：</w:t>
      </w:r>
      <w:r>
        <w:rPr>
          <w:rFonts w:ascii="Wingdings 2" w:hAnsi="Wingdings 2" w:eastAsia="Wingdings 2"/>
        </w:rPr>
        <w:sym w:font="Wingdings 2" w:char="0052"/>
      </w:r>
      <w:r>
        <w:rPr>
          <w:rFonts w:hint="eastAsia" w:ascii="黑体" w:hAnsi="黑体" w:eastAsia="黑体"/>
        </w:rPr>
        <w:t>实施过程评价</w:t>
      </w:r>
      <w:r>
        <w:rPr>
          <w:rFonts w:hint="eastAsia" w:ascii="黑体" w:hAnsi="黑体" w:eastAsia="黑体"/>
        </w:rPr>
        <w:tab/>
      </w:r>
      <w:r>
        <w:rPr>
          <w:rFonts w:ascii="Wingdings 2" w:hAnsi="Wingdings 2" w:eastAsia="Wingdings 2"/>
        </w:rPr>
        <w:sym w:font="Wingdings 2" w:char="0052"/>
      </w:r>
      <w:r>
        <w:rPr>
          <w:rFonts w:hint="eastAsia" w:ascii="黑体" w:hAnsi="黑体" w:eastAsia="黑体"/>
        </w:rPr>
        <w:t>完成结果评价</w:t>
      </w:r>
    </w:p>
    <w:p>
      <w:pPr>
        <w:pStyle w:val="3"/>
        <w:rPr>
          <w:rFonts w:ascii="黑体"/>
          <w:sz w:val="20"/>
        </w:rPr>
      </w:pPr>
    </w:p>
    <w:p>
      <w:pPr>
        <w:pStyle w:val="3"/>
        <w:rPr>
          <w:rFonts w:ascii="黑体"/>
          <w:sz w:val="20"/>
        </w:rPr>
      </w:pPr>
    </w:p>
    <w:p>
      <w:pPr>
        <w:pStyle w:val="3"/>
        <w:spacing w:before="7"/>
        <w:rPr>
          <w:rFonts w:ascii="黑体"/>
          <w:sz w:val="16"/>
        </w:rPr>
      </w:pPr>
    </w:p>
    <w:p>
      <w:pPr>
        <w:pStyle w:val="3"/>
        <w:tabs>
          <w:tab w:val="left" w:pos="8157"/>
        </w:tabs>
        <w:spacing w:before="66"/>
        <w:ind w:right="117"/>
        <w:jc w:val="center"/>
        <w:rPr>
          <w:rFonts w:ascii="Times New Roman" w:eastAsia="Times New Roman"/>
        </w:rPr>
      </w:pPr>
      <w:r>
        <w:rPr>
          <w:rFonts w:hint="eastAsia" w:ascii="黑体" w:eastAsia="黑体"/>
          <w:spacing w:val="-1"/>
        </w:rPr>
        <w:t>项目名称</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 xml:space="preserve">                      </w:t>
      </w:r>
      <w:r>
        <w:rPr>
          <w:rFonts w:hint="eastAsia" w:ascii="黑体" w:eastAsia="黑体"/>
          <w:spacing w:val="-1"/>
          <w:u w:val="single"/>
        </w:rPr>
        <w:t>会计代理经费</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rPr>
          <w:rFonts w:ascii="Times New Roman"/>
          <w:sz w:val="23"/>
        </w:rPr>
      </w:pPr>
    </w:p>
    <w:p>
      <w:pPr>
        <w:pStyle w:val="3"/>
        <w:tabs>
          <w:tab w:val="left" w:pos="8157"/>
        </w:tabs>
        <w:spacing w:before="65"/>
        <w:ind w:right="117"/>
        <w:jc w:val="center"/>
        <w:rPr>
          <w:rFonts w:ascii="Times New Roman" w:eastAsia="Times New Roman"/>
          <w:u w:val="single"/>
        </w:rPr>
      </w:pPr>
      <w:r>
        <w:rPr>
          <w:rFonts w:hint="eastAsia" w:ascii="黑体" w:eastAsia="黑体"/>
          <w:spacing w:val="-1"/>
        </w:rPr>
        <w:t>项目单位：</w:t>
      </w:r>
      <w:r>
        <w:rPr>
          <w:rFonts w:hint="eastAsia" w:ascii="黑体" w:eastAsia="黑体"/>
          <w:spacing w:val="-1"/>
          <w:u w:val="single"/>
          <w:lang w:val="en-US" w:eastAsia="zh-CN"/>
        </w:rPr>
        <w:t xml:space="preserve">    </w:t>
      </w:r>
      <w:r>
        <w:rPr>
          <w:rFonts w:hint="eastAsia" w:ascii="黑体" w:eastAsia="黑体"/>
          <w:spacing w:val="-1"/>
          <w:u w:val="single"/>
        </w:rPr>
        <w:t>南昌市青云谱区财政公共服务中心</w:t>
      </w:r>
      <w:r>
        <w:rPr>
          <w:rFonts w:ascii="Times New Roman" w:eastAsia="Times New Roman"/>
          <w:u w:val="single"/>
        </w:rPr>
        <w:tab/>
      </w:r>
    </w:p>
    <w:p>
      <w:pPr>
        <w:pStyle w:val="3"/>
        <w:rPr>
          <w:rFonts w:ascii="Times New Roman"/>
          <w:sz w:val="20"/>
          <w:u w:val="single"/>
        </w:rPr>
      </w:pPr>
    </w:p>
    <w:p>
      <w:pPr>
        <w:pStyle w:val="3"/>
        <w:rPr>
          <w:rFonts w:ascii="Times New Roman"/>
          <w:sz w:val="20"/>
        </w:rPr>
      </w:pPr>
    </w:p>
    <w:p>
      <w:pPr>
        <w:pStyle w:val="3"/>
        <w:rPr>
          <w:rFonts w:ascii="Times New Roman"/>
          <w:sz w:val="23"/>
        </w:rPr>
      </w:pPr>
    </w:p>
    <w:p>
      <w:pPr>
        <w:pStyle w:val="3"/>
        <w:tabs>
          <w:tab w:val="left" w:pos="6876"/>
        </w:tabs>
        <w:spacing w:before="66"/>
        <w:ind w:right="118"/>
        <w:jc w:val="center"/>
        <w:rPr>
          <w:rFonts w:ascii="黑体" w:eastAsia="黑体"/>
        </w:rPr>
      </w:pPr>
      <w:r>
        <w:rPr>
          <w:rFonts w:hint="eastAsia" w:ascii="黑体" w:eastAsia="黑体"/>
        </w:rPr>
        <w:t>主管部门：</w:t>
      </w:r>
      <w:r>
        <w:rPr>
          <w:rFonts w:hint="eastAsia" w:ascii="黑体" w:eastAsia="黑体"/>
          <w:u w:val="single"/>
        </w:rPr>
        <w:t xml:space="preserve"> </w:t>
      </w:r>
      <w:r>
        <w:rPr>
          <w:rFonts w:hint="eastAsia" w:ascii="黑体" w:eastAsia="黑体"/>
          <w:u w:val="single"/>
          <w:lang w:val="en-US" w:eastAsia="zh-CN"/>
        </w:rPr>
        <w:t xml:space="preserve">     南昌市</w:t>
      </w:r>
      <w:r>
        <w:rPr>
          <w:rFonts w:hint="eastAsia" w:ascii="黑体" w:hAnsi="黑体" w:eastAsia="黑体" w:cs="黑体"/>
          <w:bCs/>
          <w:color w:val="000000"/>
          <w:sz w:val="32"/>
          <w:szCs w:val="32"/>
          <w:u w:val="single"/>
        </w:rPr>
        <w:t xml:space="preserve">青云谱区财政局 </w:t>
      </w:r>
      <w:r>
        <w:rPr>
          <w:rFonts w:hint="eastAsia" w:ascii="黑体" w:eastAsia="黑体"/>
          <w:u w:val="single"/>
        </w:rPr>
        <w:tab/>
      </w:r>
      <w:r>
        <w:rPr>
          <w:rFonts w:hint="eastAsia" w:ascii="黑体" w:eastAsia="黑体"/>
          <w:u w:val="single"/>
        </w:rPr>
        <w:t>（盖章）</w:t>
      </w:r>
    </w:p>
    <w:p>
      <w:pPr>
        <w:pStyle w:val="3"/>
        <w:rPr>
          <w:rFonts w:ascii="黑体"/>
          <w:sz w:val="20"/>
        </w:rPr>
      </w:pPr>
    </w:p>
    <w:p>
      <w:pPr>
        <w:pStyle w:val="3"/>
        <w:rPr>
          <w:rFonts w:ascii="黑体"/>
          <w:sz w:val="20"/>
        </w:rPr>
      </w:pPr>
    </w:p>
    <w:p>
      <w:pPr>
        <w:pStyle w:val="3"/>
        <w:spacing w:before="4"/>
        <w:rPr>
          <w:rFonts w:ascii="黑体"/>
          <w:sz w:val="17"/>
        </w:rPr>
      </w:pPr>
    </w:p>
    <w:p>
      <w:pPr>
        <w:pStyle w:val="3"/>
        <w:tabs>
          <w:tab w:val="left" w:pos="3914"/>
          <w:tab w:val="left" w:pos="4714"/>
          <w:tab w:val="left" w:pos="5514"/>
          <w:tab w:val="left" w:pos="6793"/>
          <w:tab w:val="left" w:pos="7593"/>
          <w:tab w:val="left" w:pos="8393"/>
        </w:tabs>
        <w:spacing w:before="56"/>
        <w:ind w:left="1354"/>
        <w:rPr>
          <w:rFonts w:ascii="黑体" w:eastAsia="黑体"/>
        </w:rPr>
      </w:pPr>
      <w:r>
        <mc:AlternateContent>
          <mc:Choice Requires="wps">
            <w:drawing>
              <wp:anchor distT="0" distB="0" distL="114300" distR="114300" simplePos="0" relativeHeight="251660288"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76.75pt;margin-top:21.3pt;height:0pt;width:327.9pt;mso-position-horizontal-relative:page;z-index:-251656192;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&#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pRbCo1wAAAAoBAAAPAAAAAAAAAAEAIAAAACIAAABk&#10;cnMvZG93bnJldi54bWxQSwECFAAUAAAACACHTuJA0MRtYM4BAACNAwAADgAAAAAAAAABACAAAAAm&#10;AQAAZHJzL2Uyb0RvYy54bWxQSwUGAAAAAAYABgBZAQAAZgUAAAAA&#10;">
                <v:fill on="f" focussize="0,0"/>
                <v:stroke weight="0.78pt" color="#000000" joinstyle="round"/>
                <v:imagedata o:title=""/>
                <o:lock v:ext="edit" aspectratio="f"/>
              </v:line>
            </w:pict>
          </mc:Fallback>
        </mc:AlternateContent>
      </w:r>
      <w:r>
        <w:rPr>
          <w:rFonts w:hint="eastAsia" w:ascii="黑体" w:eastAsia="黑体"/>
        </w:rPr>
        <w:t>评价时间：</w:t>
      </w:r>
      <w:r>
        <w:rPr>
          <w:rFonts w:hint="eastAsia" w:ascii="黑体" w:eastAsia="黑体"/>
          <w:lang w:val="en-US" w:eastAsia="zh-CN"/>
        </w:rPr>
        <w:t xml:space="preserve">    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06</w:t>
      </w:r>
      <w:r>
        <w:rPr>
          <w:rFonts w:hint="eastAsia" w:ascii="黑体" w:eastAsia="黑体"/>
        </w:rPr>
        <w:t>日</w:t>
      </w:r>
      <w:r>
        <w:rPr>
          <w:rFonts w:hint="eastAsia" w:ascii="黑体" w:eastAsia="黑体"/>
          <w:lang w:val="en-US" w:eastAsia="zh-CN"/>
        </w:rPr>
        <w:t>至2023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日</w:t>
      </w:r>
    </w:p>
    <w:p>
      <w:pPr>
        <w:pStyle w:val="3"/>
        <w:rPr>
          <w:rFonts w:ascii="黑体"/>
          <w:sz w:val="20"/>
        </w:rPr>
      </w:pPr>
    </w:p>
    <w:p>
      <w:pPr>
        <w:pStyle w:val="3"/>
        <w:rPr>
          <w:rFonts w:ascii="黑体"/>
          <w:sz w:val="20"/>
        </w:rPr>
      </w:pPr>
    </w:p>
    <w:p>
      <w:pPr>
        <w:pStyle w:val="3"/>
        <w:spacing w:before="4"/>
        <w:rPr>
          <w:rFonts w:ascii="黑体"/>
          <w:sz w:val="17"/>
        </w:rPr>
      </w:pPr>
    </w:p>
    <w:p>
      <w:pPr>
        <w:pStyle w:val="3"/>
        <w:tabs>
          <w:tab w:val="left" w:pos="4125"/>
          <w:tab w:val="left" w:pos="6009"/>
        </w:tabs>
        <w:spacing w:before="55"/>
        <w:ind w:right="380"/>
        <w:jc w:val="center"/>
        <w:rPr>
          <w:rFonts w:ascii="黑体" w:hAnsi="黑体" w:eastAsia="黑体"/>
        </w:rPr>
      </w:pPr>
      <w:r>
        <mc:AlternateContent>
          <mc:Choice Requires="wps">
            <w:drawing>
              <wp:anchor distT="0" distB="0" distL="114300" distR="114300" simplePos="0" relativeHeight="251661312"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6.75pt;margin-top:21.2pt;height:0pt;width:330.65pt;mso-position-horizontal-relative:page;z-index:-251655168;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uoSR7WAAAACgEAAA8AAAAAAAAAAQAgAAAAIgAAAGRy&#10;cy9kb3ducmV2LnhtbFBLAQIUABQAAAAIAIdO4kDsV64JzgEAAI0DAAAOAAAAAAAAAAEAIAAAACUB&#10;AABkcnMvZTJvRG9jLnhtbFBLBQYAAAAABgAGAFkBAABlBQAAAAA=&#10;">
                <v:fill on="f" focussize="0,0"/>
                <v:stroke weight="0.78pt" color="#000000" joinstyle="round"/>
                <v:imagedata o:title=""/>
                <o:lock v:ext="edit" aspectratio="f"/>
              </v:line>
            </w:pict>
          </mc:Fallback>
        </mc:AlternateContent>
      </w:r>
      <w:r>
        <w:rPr>
          <w:rFonts w:hint="eastAsia" w:ascii="黑体" w:hAnsi="黑体" w:eastAsia="黑体"/>
        </w:rPr>
        <w:t>评价机构：</w:t>
      </w:r>
      <w:r>
        <w:rPr>
          <w:rFonts w:ascii="Wingdings 2" w:hAnsi="Wingdings 2" w:eastAsia="Wingdings 2"/>
        </w:rPr>
        <w:t></w:t>
      </w:r>
      <w:r>
        <w:rPr>
          <w:rFonts w:hint="eastAsia" w:ascii="黑体" w:hAnsi="黑体" w:eastAsia="黑体"/>
        </w:rPr>
        <w:t>第三方机构</w:t>
      </w:r>
      <w:r>
        <w:rPr>
          <w:rFonts w:hint="eastAsia" w:ascii="黑体" w:hAnsi="黑体" w:eastAsia="黑体"/>
        </w:rPr>
        <w:tab/>
      </w:r>
      <w:r>
        <w:rPr>
          <w:rFonts w:ascii="Wingdings 2" w:hAnsi="Wingdings 2" w:eastAsia="Wingdings 2"/>
        </w:rPr>
        <w:t></w:t>
      </w:r>
      <w:r>
        <w:rPr>
          <w:rFonts w:hint="eastAsia" w:ascii="黑体" w:hAnsi="黑体" w:eastAsia="黑体"/>
        </w:rPr>
        <w:t>专家组</w:t>
      </w:r>
      <w:r>
        <w:rPr>
          <w:rFonts w:hint="eastAsia" w:ascii="黑体" w:hAnsi="黑体" w:eastAsia="黑体"/>
        </w:rPr>
        <w:tab/>
      </w:r>
      <w:r>
        <w:rPr>
          <w:rFonts w:ascii="Wingdings 2" w:hAnsi="Wingdings 2" w:eastAsia="Wingdings 2"/>
        </w:rPr>
        <w:sym w:font="Wingdings 2" w:char="0052"/>
      </w:r>
      <w:r>
        <w:rPr>
          <w:rFonts w:hint="eastAsia" w:ascii="黑体" w:hAnsi="黑体" w:eastAsia="黑体"/>
        </w:rPr>
        <w:t>部门评价组</w:t>
      </w: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tabs>
          <w:tab w:val="left" w:pos="959"/>
          <w:tab w:val="left" w:pos="1920"/>
        </w:tabs>
        <w:spacing w:before="56"/>
        <w:ind w:right="238" w:firstLine="4480" w:firstLineChars="1400"/>
        <w:jc w:val="both"/>
        <w:rPr>
          <w:rFonts w:hint="eastAsia" w:ascii="黑体" w:eastAsia="黑体"/>
          <w:lang w:val="en-US" w:eastAsia="zh-CN"/>
        </w:rPr>
      </w:pPr>
    </w:p>
    <w:p>
      <w:pPr>
        <w:pStyle w:val="3"/>
        <w:tabs>
          <w:tab w:val="left" w:pos="959"/>
          <w:tab w:val="left" w:pos="1920"/>
        </w:tabs>
        <w:spacing w:before="56"/>
        <w:ind w:right="238" w:firstLine="4480" w:firstLineChars="1400"/>
        <w:jc w:val="both"/>
        <w:rPr>
          <w:rFonts w:ascii="黑体" w:eastAsia="黑体"/>
        </w:rPr>
      </w:pPr>
      <w:r>
        <w:rPr>
          <w:rFonts w:hint="eastAsia" w:ascii="黑体" w:eastAsia="黑体"/>
          <w:lang w:val="en-US" w:eastAsia="zh-CN"/>
        </w:rPr>
        <w:t xml:space="preserve"> 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13</w:t>
      </w:r>
      <w:r>
        <w:rPr>
          <w:rFonts w:hint="eastAsia" w:ascii="黑体" w:eastAsia="黑体"/>
        </w:rPr>
        <w:t>日</w:t>
      </w:r>
    </w:p>
    <w:p>
      <w:pPr>
        <w:pStyle w:val="3"/>
        <w:rPr>
          <w:rFonts w:ascii="黑体"/>
          <w:sz w:val="20"/>
        </w:rPr>
      </w:pPr>
    </w:p>
    <w:p>
      <w:pPr>
        <w:pStyle w:val="3"/>
        <w:rPr>
          <w:rFonts w:ascii="黑体"/>
          <w:sz w:val="20"/>
        </w:rPr>
      </w:pPr>
    </w:p>
    <w:p>
      <w:pPr>
        <w:pStyle w:val="3"/>
        <w:spacing w:before="12"/>
        <w:rPr>
          <w:rFonts w:ascii="黑体"/>
          <w:sz w:val="14"/>
        </w:rPr>
      </w:pPr>
    </w:p>
    <w:p>
      <w:pPr>
        <w:rPr>
          <w:rFonts w:ascii="Times New Roman" w:hAnsi="Times New Roman"/>
          <w:sz w:val="24"/>
        </w:rPr>
        <w:sectPr>
          <w:footerReference r:id="rId3" w:type="even"/>
          <w:pgSz w:w="11910" w:h="16840"/>
          <w:pgMar w:top="1200" w:right="338" w:bottom="280" w:left="580" w:header="0" w:footer="0" w:gutter="0"/>
          <w:cols w:space="720" w:num="1"/>
        </w:sectPr>
      </w:pPr>
    </w:p>
    <w:p>
      <w:pPr>
        <w:jc w:val="center"/>
        <w:rPr>
          <w:rFonts w:hint="eastAsia" w:ascii="方正小标宋简体" w:hAnsi="宋体" w:eastAsia="方正小标宋简体" w:cs="Arial"/>
          <w:bCs/>
          <w:color w:val="000000"/>
          <w:sz w:val="44"/>
          <w:szCs w:val="44"/>
          <w:lang w:val="en-US" w:eastAsia="zh-CN"/>
        </w:rPr>
      </w:pPr>
    </w:p>
    <w:p>
      <w:pPr>
        <w:keepNext w:val="0"/>
        <w:keepLines w:val="0"/>
        <w:pageBreakBefore w:val="0"/>
        <w:kinsoku/>
        <w:wordWrap/>
        <w:overflowPunct/>
        <w:topLinePunct w:val="0"/>
        <w:bidi w:val="0"/>
        <w:spacing w:after="0" w:line="640" w:lineRule="exact"/>
        <w:ind w:right="0" w:rightChars="0"/>
        <w:jc w:val="center"/>
        <w:textAlignment w:val="auto"/>
        <w:rPr>
          <w:rFonts w:hint="eastAsia" w:ascii="方正小标宋简体" w:hAnsi="宋体" w:eastAsia="方正小标宋简体" w:cs="Arial"/>
          <w:bCs/>
          <w:color w:val="000000"/>
          <w:sz w:val="44"/>
          <w:szCs w:val="44"/>
          <w:lang w:val="en-US" w:eastAsia="zh-CN"/>
        </w:rPr>
      </w:pPr>
      <w:r>
        <w:rPr>
          <w:rFonts w:hint="eastAsia" w:ascii="方正小标宋简体" w:hAnsi="宋体" w:eastAsia="方正小标宋简体" w:cs="Arial"/>
          <w:bCs/>
          <w:color w:val="000000"/>
          <w:sz w:val="44"/>
          <w:szCs w:val="44"/>
          <w:lang w:val="en-US" w:eastAsia="zh-CN"/>
        </w:rPr>
        <w:t>青云谱区财政公共服务中心</w:t>
      </w:r>
    </w:p>
    <w:p>
      <w:pPr>
        <w:keepNext w:val="0"/>
        <w:keepLines w:val="0"/>
        <w:pageBreakBefore w:val="0"/>
        <w:kinsoku/>
        <w:wordWrap/>
        <w:overflowPunct/>
        <w:topLinePunct w:val="0"/>
        <w:bidi w:val="0"/>
        <w:spacing w:after="0" w:line="640" w:lineRule="exact"/>
        <w:ind w:right="0" w:rightChars="0"/>
        <w:jc w:val="center"/>
        <w:textAlignment w:val="auto"/>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lang w:val="en-US" w:eastAsia="zh-CN"/>
        </w:rPr>
        <w:t>会计代理经费</w:t>
      </w:r>
      <w:r>
        <w:rPr>
          <w:rFonts w:hint="eastAsia" w:ascii="方正小标宋简体" w:hAnsi="宋体" w:eastAsia="方正小标宋简体" w:cs="Arial"/>
          <w:bCs/>
          <w:color w:val="000000"/>
          <w:sz w:val="44"/>
          <w:szCs w:val="44"/>
        </w:rPr>
        <w:t>项目支出绩效评价报告</w:t>
      </w:r>
    </w:p>
    <w:p>
      <w:pPr>
        <w:pStyle w:val="3"/>
        <w:keepNext w:val="0"/>
        <w:keepLines w:val="0"/>
        <w:pageBreakBefore w:val="0"/>
        <w:kinsoku/>
        <w:wordWrap/>
        <w:overflowPunct/>
        <w:topLinePunct w:val="0"/>
        <w:bidi w:val="0"/>
        <w:spacing w:after="0" w:line="640" w:lineRule="exact"/>
        <w:ind w:left="1476" w:right="0" w:rightChars="0"/>
        <w:textAlignment w:val="auto"/>
        <w:rPr>
          <w:rFonts w:hint="eastAsia" w:asciiTheme="minorEastAsia" w:hAnsiTheme="minorEastAsia" w:eastAsiaTheme="minorEastAsia"/>
          <w:w w:val="95"/>
        </w:rPr>
      </w:pPr>
    </w:p>
    <w:p>
      <w:pPr>
        <w:pStyle w:val="3"/>
        <w:keepNext w:val="0"/>
        <w:keepLines w:val="0"/>
        <w:pageBreakBefore w:val="0"/>
        <w:kinsoku/>
        <w:wordWrap/>
        <w:overflowPunct/>
        <w:topLinePunct w:val="0"/>
        <w:bidi w:val="0"/>
        <w:spacing w:after="0" w:line="640" w:lineRule="exact"/>
        <w:ind w:left="440" w:leftChars="200" w:right="0" w:rightChars="0"/>
        <w:jc w:val="left"/>
        <w:textAlignment w:val="auto"/>
        <w:rPr>
          <w:rFonts w:asciiTheme="minorEastAsia" w:hAnsiTheme="minorEastAsia" w:eastAsiaTheme="minorEastAsia"/>
          <w:sz w:val="32"/>
          <w:szCs w:val="32"/>
        </w:rPr>
      </w:pPr>
      <w:r>
        <w:rPr>
          <w:rFonts w:hint="eastAsia" w:asciiTheme="minorEastAsia" w:hAnsiTheme="minorEastAsia" w:eastAsiaTheme="minorEastAsia"/>
          <w:w w:val="95"/>
          <w:sz w:val="32"/>
          <w:szCs w:val="32"/>
        </w:rPr>
        <w:t>一、基本情况</w:t>
      </w:r>
    </w:p>
    <w:p>
      <w:pPr>
        <w:pStyle w:val="15"/>
        <w:keepNext w:val="0"/>
        <w:keepLines w:val="0"/>
        <w:pageBreakBefore w:val="0"/>
        <w:kinsoku/>
        <w:wordWrap/>
        <w:overflowPunct/>
        <w:topLinePunct w:val="0"/>
        <w:bidi w:val="0"/>
        <w:spacing w:after="0" w:line="640" w:lineRule="exact"/>
        <w:ind w:left="0" w:leftChars="0" w:right="0" w:rightChars="0" w:firstLine="960" w:firstLineChars="300"/>
        <w:jc w:val="left"/>
        <w:textAlignment w:val="auto"/>
        <w:rPr>
          <w:rFonts w:asciiTheme="minorEastAsia" w:hAnsiTheme="minorEastAsia" w:eastAsiaTheme="minorEastAsia"/>
          <w:b w:val="0"/>
          <w:sz w:val="32"/>
          <w:szCs w:val="32"/>
        </w:rPr>
      </w:pPr>
      <w:bookmarkStart w:id="0" w:name="（一）项目概况。包括项目背景、主要内容及实施情况、资金投入和使用情况等。"/>
      <w:bookmarkEnd w:id="0"/>
      <w:r>
        <w:rPr>
          <w:rFonts w:asciiTheme="minorEastAsia" w:hAnsiTheme="minorEastAsia" w:eastAsiaTheme="minorEastAsia"/>
          <w:b w:val="0"/>
          <w:sz w:val="32"/>
          <w:szCs w:val="32"/>
        </w:rPr>
        <w:t>（一）项目概况</w:t>
      </w:r>
    </w:p>
    <w:p>
      <w:pPr>
        <w:pStyle w:val="15"/>
        <w:keepNext w:val="0"/>
        <w:keepLines w:val="0"/>
        <w:pageBreakBefore w:val="0"/>
        <w:kinsoku/>
        <w:wordWrap/>
        <w:overflowPunct/>
        <w:topLinePunct w:val="0"/>
        <w:bidi w:val="0"/>
        <w:spacing w:after="0" w:line="640" w:lineRule="exact"/>
        <w:ind w:left="0" w:leftChars="0" w:right="0" w:rightChars="0" w:firstLine="1280" w:firstLineChars="4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1.项目背景</w:t>
      </w:r>
    </w:p>
    <w:p>
      <w:pPr>
        <w:keepNext w:val="0"/>
        <w:keepLines w:val="0"/>
        <w:pageBreakBefore w:val="0"/>
        <w:numPr>
          <w:ilvl w:val="0"/>
          <w:numId w:val="0"/>
        </w:numPr>
        <w:tabs>
          <w:tab w:val="left" w:pos="10120"/>
        </w:tabs>
        <w:kinsoku/>
        <w:wordWrap/>
        <w:overflowPunct/>
        <w:topLinePunct w:val="0"/>
        <w:bidi w:val="0"/>
        <w:spacing w:after="0" w:line="640" w:lineRule="exact"/>
        <w:ind w:left="440" w:leftChars="200" w:right="0" w:rightChars="0" w:firstLine="675" w:firstLineChars="211"/>
        <w:jc w:val="left"/>
        <w:textAlignment w:val="auto"/>
        <w:rPr>
          <w:rFonts w:hint="eastAsia" w:asciiTheme="minorEastAsia" w:hAnsiTheme="minorEastAsia" w:eastAsiaTheme="minorEastAsia" w:cstheme="minorEastAsia"/>
          <w:b w:val="0"/>
          <w:bCs/>
          <w:sz w:val="32"/>
          <w:szCs w:val="32"/>
          <w:lang w:val="en-US" w:eastAsia="zh-CN" w:bidi="zh-CN"/>
        </w:rPr>
      </w:pPr>
      <w:bookmarkStart w:id="1" w:name="（二）项目绩效目标。包括总体目标和阶段性目标。"/>
      <w:bookmarkEnd w:id="1"/>
      <w:r>
        <w:rPr>
          <w:rFonts w:hint="eastAsia" w:asciiTheme="minorEastAsia" w:hAnsiTheme="minorEastAsia" w:eastAsiaTheme="minorEastAsia" w:cstheme="minorEastAsia"/>
          <w:b w:val="0"/>
          <w:bCs/>
          <w:sz w:val="32"/>
          <w:szCs w:val="32"/>
          <w:lang w:val="en-US" w:eastAsia="zh-CN" w:bidi="zh-CN"/>
        </w:rPr>
        <w:t>为进一步加强单位财务管理，规范单位财务行为，提高会计信息质量，减轻各单位财务工作负担，核算中心通过采取政府采购购买第三方服务，实行由第三方负责各单位的账务处理等业务，财政负责监督第三方的代理记帐行为的改革模式，引进第三方代理记账机构代理全区行政事业单位账务。</w:t>
      </w:r>
    </w:p>
    <w:p>
      <w:pPr>
        <w:pStyle w:val="15"/>
        <w:keepNext w:val="0"/>
        <w:keepLines w:val="0"/>
        <w:pageBreakBefore w:val="0"/>
        <w:kinsoku/>
        <w:wordWrap/>
        <w:overflowPunct/>
        <w:topLinePunct w:val="0"/>
        <w:bidi w:val="0"/>
        <w:spacing w:after="0" w:line="640" w:lineRule="exact"/>
        <w:ind w:left="0" w:leftChars="0" w:right="0" w:rightChars="0" w:firstLine="1280" w:firstLineChars="400"/>
        <w:jc w:val="left"/>
        <w:textAlignment w:val="auto"/>
        <w:rPr>
          <w:rFonts w:hint="eastAsia" w:asciiTheme="minorEastAsia" w:hAnsiTheme="minorEastAsia" w:eastAsiaTheme="minorEastAsia" w:cstheme="minorEastAsia"/>
          <w:b w:val="0"/>
          <w:sz w:val="32"/>
          <w:szCs w:val="32"/>
          <w:lang w:val="en-US" w:eastAsia="zh-CN"/>
        </w:rPr>
      </w:pPr>
      <w:r>
        <w:rPr>
          <w:rFonts w:hint="eastAsia" w:asciiTheme="minorEastAsia" w:hAnsiTheme="minorEastAsia" w:eastAsiaTheme="minorEastAsia" w:cstheme="minorEastAsia"/>
          <w:b w:val="0"/>
          <w:sz w:val="32"/>
          <w:szCs w:val="32"/>
          <w:lang w:val="en-US" w:eastAsia="zh-CN"/>
        </w:rPr>
        <w:t>2.主要</w:t>
      </w:r>
      <w:r>
        <w:rPr>
          <w:rFonts w:hint="eastAsia" w:asciiTheme="minorEastAsia" w:hAnsiTheme="minorEastAsia" w:eastAsiaTheme="minorEastAsia" w:cstheme="minorEastAsia"/>
          <w:b w:val="0"/>
          <w:sz w:val="32"/>
          <w:szCs w:val="32"/>
          <w:lang w:val="zh-CN" w:eastAsia="zh-CN"/>
        </w:rPr>
        <w:t>内容</w:t>
      </w:r>
      <w:r>
        <w:rPr>
          <w:rFonts w:hint="eastAsia" w:asciiTheme="minorEastAsia" w:hAnsiTheme="minorEastAsia" w:eastAsiaTheme="minorEastAsia" w:cstheme="minorEastAsia"/>
          <w:b w:val="0"/>
          <w:sz w:val="32"/>
          <w:szCs w:val="32"/>
          <w:lang w:val="en-US" w:eastAsia="zh-CN"/>
        </w:rPr>
        <w:t>及实施情况</w:t>
      </w:r>
    </w:p>
    <w:p>
      <w:pPr>
        <w:keepNext w:val="0"/>
        <w:keepLines w:val="0"/>
        <w:pageBreakBefore w:val="0"/>
        <w:numPr>
          <w:ilvl w:val="0"/>
          <w:numId w:val="0"/>
        </w:numPr>
        <w:tabs>
          <w:tab w:val="left" w:pos="10120"/>
        </w:tabs>
        <w:kinsoku/>
        <w:wordWrap/>
        <w:overflowPunct/>
        <w:topLinePunct w:val="0"/>
        <w:bidi w:val="0"/>
        <w:spacing w:after="0" w:line="640" w:lineRule="exact"/>
        <w:ind w:left="440" w:leftChars="200" w:right="0" w:rightChars="0" w:firstLine="675" w:firstLineChars="211"/>
        <w:jc w:val="left"/>
        <w:textAlignment w:val="auto"/>
        <w:rPr>
          <w:rFonts w:hint="eastAsia" w:asciiTheme="minorEastAsia" w:hAnsiTheme="minorEastAsia" w:eastAsiaTheme="minorEastAsia" w:cstheme="minorEastAsia"/>
          <w:b w:val="0"/>
          <w:bCs/>
          <w:sz w:val="32"/>
          <w:szCs w:val="32"/>
          <w:lang w:val="en-US" w:eastAsia="zh-CN" w:bidi="zh-CN"/>
        </w:rPr>
      </w:pPr>
      <w:r>
        <w:rPr>
          <w:rFonts w:hint="eastAsia" w:asciiTheme="minorEastAsia" w:hAnsiTheme="minorEastAsia" w:eastAsiaTheme="minorEastAsia" w:cstheme="minorEastAsia"/>
          <w:b w:val="0"/>
          <w:bCs/>
          <w:sz w:val="32"/>
          <w:szCs w:val="32"/>
          <w:lang w:val="en-US" w:eastAsia="zh-CN" w:bidi="zh-CN"/>
        </w:rPr>
        <w:t>(1)主要内容:持续推进会计集中核算向专业会计机构代理转轨的改革。通过委托社会中介机构代理账务的模式，为服务对象提供更加高效细致的服务。切实减轻了各单位财务工作负担，规范了各单位财务行为，提高了会计信息质量。日常工作中加强对会计代理记账公司的管理，从日常考勤、会计核算、报表质量等方面强化监督和管理，定期抽查账务，组织培训，做好代理会计与核算单位的沟通协调，及时处理和反馈核算单位反映的问题和提出的意见，不断提升会计代理服务质量和服务水平，确保日常代理记账业务的平稳运行。在核算中心的监督管理下，代理公司完成部门决算、内部控制、国有资产年报、绩效评价等大型报表报送工作，处理行政事业单位日常报账业务一万多笔，切实保证了各单位财务工作正常运行。</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b w:val="0"/>
          <w:bCs/>
          <w:sz w:val="32"/>
          <w:szCs w:val="32"/>
          <w:lang w:val="en-US" w:eastAsia="zh-CN" w:bidi="zh-CN"/>
        </w:rPr>
      </w:pPr>
      <w:r>
        <w:rPr>
          <w:rFonts w:hint="eastAsia" w:asciiTheme="minorEastAsia" w:hAnsiTheme="minorEastAsia" w:eastAsiaTheme="minorEastAsia" w:cstheme="minorEastAsia"/>
          <w:b w:val="0"/>
          <w:bCs/>
          <w:sz w:val="32"/>
          <w:szCs w:val="32"/>
          <w:lang w:val="en-US" w:eastAsia="zh-CN" w:bidi="zh-CN"/>
        </w:rPr>
        <w:t>(2)实施情况：预算资金到位，直接完成支付，100%完成项目的工作进度。具体实施情况如下：实施了职业技能和实用技术培训，处理位报账业务笔数，有效投诉次数低于5次等。</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3.资金投入和使用情况</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年预算安排</w:t>
      </w:r>
      <w:r>
        <w:rPr>
          <w:rFonts w:hint="eastAsia" w:asciiTheme="minorEastAsia" w:hAnsiTheme="minorEastAsia" w:eastAsiaTheme="minorEastAsia" w:cstheme="minorEastAsia"/>
          <w:b w:val="0"/>
          <w:sz w:val="32"/>
          <w:szCs w:val="32"/>
          <w:lang w:val="en-US" w:eastAsia="zh-CN"/>
        </w:rPr>
        <w:t>80</w:t>
      </w:r>
      <w:r>
        <w:rPr>
          <w:rFonts w:hint="eastAsia" w:asciiTheme="minorEastAsia" w:hAnsiTheme="minorEastAsia" w:eastAsiaTheme="minorEastAsia" w:cstheme="minorEastAsia"/>
          <w:b w:val="0"/>
          <w:sz w:val="32"/>
          <w:szCs w:val="32"/>
        </w:rPr>
        <w:t>万元，实际到位资金</w:t>
      </w:r>
      <w:r>
        <w:rPr>
          <w:rFonts w:hint="eastAsia" w:asciiTheme="minorEastAsia" w:hAnsiTheme="minorEastAsia" w:eastAsiaTheme="minorEastAsia" w:cstheme="minorEastAsia"/>
          <w:b w:val="0"/>
          <w:sz w:val="32"/>
          <w:szCs w:val="32"/>
          <w:lang w:val="en-US" w:eastAsia="zh-CN"/>
        </w:rPr>
        <w:t>80</w:t>
      </w:r>
      <w:r>
        <w:rPr>
          <w:rFonts w:hint="eastAsia" w:asciiTheme="minorEastAsia" w:hAnsiTheme="minorEastAsia" w:eastAsiaTheme="minorEastAsia" w:cstheme="minorEastAsia"/>
          <w:b w:val="0"/>
          <w:sz w:val="32"/>
          <w:szCs w:val="32"/>
        </w:rPr>
        <w:t>万元。本年度实际支出</w:t>
      </w:r>
      <w:r>
        <w:rPr>
          <w:rFonts w:hint="eastAsia" w:asciiTheme="minorEastAsia" w:hAnsiTheme="minorEastAsia" w:eastAsiaTheme="minorEastAsia" w:cstheme="minorEastAsia"/>
          <w:b w:val="0"/>
          <w:sz w:val="32"/>
          <w:szCs w:val="32"/>
          <w:lang w:val="en-US" w:eastAsia="zh-CN"/>
        </w:rPr>
        <w:t>80</w:t>
      </w:r>
      <w:r>
        <w:rPr>
          <w:rFonts w:hint="eastAsia" w:asciiTheme="minorEastAsia" w:hAnsiTheme="minorEastAsia" w:eastAsiaTheme="minorEastAsia" w:cstheme="minorEastAsia"/>
          <w:b w:val="0"/>
          <w:sz w:val="32"/>
          <w:szCs w:val="32"/>
        </w:rPr>
        <w:t>万元，预算资金执行率</w:t>
      </w:r>
      <w:r>
        <w:rPr>
          <w:rFonts w:hint="eastAsia" w:asciiTheme="minorEastAsia" w:hAnsiTheme="minorEastAsia" w:eastAsiaTheme="minorEastAsia" w:cstheme="minorEastAsia"/>
          <w:b w:val="0"/>
          <w:sz w:val="32"/>
          <w:szCs w:val="32"/>
          <w:lang w:val="en-US" w:eastAsia="zh-CN"/>
        </w:rPr>
        <w:t>100</w:t>
      </w:r>
      <w:r>
        <w:rPr>
          <w:rFonts w:hint="eastAsia" w:asciiTheme="minorEastAsia" w:hAnsiTheme="minorEastAsia" w:eastAsiaTheme="minorEastAsia" w:cstheme="minorEastAsia"/>
          <w:b w:val="0"/>
          <w:sz w:val="32"/>
          <w:szCs w:val="32"/>
        </w:rPr>
        <w:t>%。</w:t>
      </w:r>
    </w:p>
    <w:p>
      <w:pPr>
        <w:keepNext w:val="0"/>
        <w:keepLines w:val="0"/>
        <w:pageBreakBefore w:val="0"/>
        <w:numPr>
          <w:numId w:val="0"/>
        </w:numPr>
        <w:kinsoku/>
        <w:wordWrap/>
        <w:overflowPunct/>
        <w:topLinePunct w:val="0"/>
        <w:bidi w:val="0"/>
        <w:spacing w:after="0" w:line="640" w:lineRule="exact"/>
        <w:ind w:right="0" w:rightChars="0" w:firstLine="960" w:firstLineChars="3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二</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项目绩效目标</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b w:val="0"/>
          <w:sz w:val="32"/>
          <w:szCs w:val="32"/>
          <w:lang w:val="en-US" w:eastAsia="zh-CN"/>
        </w:rPr>
      </w:pPr>
      <w:r>
        <w:rPr>
          <w:rFonts w:hint="eastAsia" w:asciiTheme="minorEastAsia" w:hAnsiTheme="minorEastAsia" w:eastAsiaTheme="minorEastAsia" w:cstheme="minorEastAsia"/>
          <w:b w:val="0"/>
          <w:sz w:val="32"/>
          <w:szCs w:val="32"/>
          <w:lang w:val="en-US" w:eastAsia="zh-CN"/>
        </w:rPr>
        <w:t>总体目标：进一步加强单位财务管理，规范单位财务行务，提高会计信息质量，减轻各单位财务工作负担，提升会计核算业务水平，为服务对象提供更加高效细致的服务，保障各单位日常财务工作正常运行。</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b w:val="0"/>
          <w:bCs w:val="0"/>
          <w:color w:val="333333"/>
          <w:kern w:val="0"/>
          <w:sz w:val="32"/>
          <w:szCs w:val="32"/>
          <w:shd w:val="clear" w:color="auto" w:fill="FFFFFF"/>
          <w:lang w:val="en-US" w:eastAsia="zh-CN" w:bidi="ar-SA"/>
        </w:rPr>
      </w:pPr>
      <w:r>
        <w:rPr>
          <w:rFonts w:hint="eastAsia" w:asciiTheme="minorEastAsia" w:hAnsiTheme="minorEastAsia" w:eastAsiaTheme="minorEastAsia" w:cstheme="minorEastAsia"/>
          <w:b w:val="0"/>
          <w:sz w:val="32"/>
          <w:szCs w:val="32"/>
          <w:lang w:val="en-US" w:eastAsia="zh-CN"/>
        </w:rPr>
        <w:t>阶段性目标：按照年度制定项目任务要求，分批分期将在核算中心集中核算的区属行政事业单位纳入会计代理，提升会计记账和财务报表报送质量，减少差错率，增强服务对象满意度。</w:t>
      </w:r>
    </w:p>
    <w:p>
      <w:pPr>
        <w:keepNext w:val="0"/>
        <w:keepLines w:val="0"/>
        <w:pageBreakBefore w:val="0"/>
        <w:numPr>
          <w:ilvl w:val="0"/>
          <w:numId w:val="0"/>
        </w:numPr>
        <w:kinsoku/>
        <w:wordWrap/>
        <w:overflowPunct/>
        <w:topLinePunct w:val="0"/>
        <w:bidi w:val="0"/>
        <w:spacing w:after="0" w:line="640" w:lineRule="exact"/>
        <w:ind w:left="440" w:leftChars="199" w:right="0" w:rightChars="0" w:hanging="2" w:firstLineChars="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二、绩效评价工作开展情况</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asciiTheme="minorEastAsia" w:hAnsiTheme="minorEastAsia" w:eastAsiaTheme="minorEastAsia"/>
          <w:b w:val="0"/>
          <w:sz w:val="32"/>
          <w:szCs w:val="32"/>
        </w:rPr>
      </w:pPr>
      <w:bookmarkStart w:id="2" w:name="（一）绩效评价目的、对象和范围。"/>
      <w:bookmarkEnd w:id="2"/>
      <w:r>
        <w:rPr>
          <w:rFonts w:asciiTheme="minorEastAsia" w:hAnsiTheme="minorEastAsia" w:eastAsiaTheme="minorEastAsia"/>
          <w:b w:val="0"/>
          <w:sz w:val="32"/>
          <w:szCs w:val="32"/>
        </w:rPr>
        <w:t>（一）绩效评价目的、对象和范围</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b w:val="0"/>
          <w:sz w:val="32"/>
          <w:szCs w:val="32"/>
          <w:lang w:val="en-US" w:eastAsia="zh-CN"/>
        </w:rPr>
      </w:pPr>
      <w:r>
        <w:rPr>
          <w:rFonts w:hint="eastAsia" w:asciiTheme="minorEastAsia" w:hAnsiTheme="minorEastAsia" w:eastAsiaTheme="minorEastAsia" w:cstheme="minorEastAsia"/>
          <w:b w:val="0"/>
          <w:sz w:val="32"/>
          <w:szCs w:val="32"/>
          <w:lang w:val="en-US" w:eastAsia="zh-CN"/>
        </w:rPr>
        <w:t>绩效评价目的：提高会计信息质量，减轻各单位财务工作负担，核算中心通过采取政府采购购买第三方服务，实行由第三方负责各单位的账务处理等业务。</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b w:val="0"/>
          <w:sz w:val="32"/>
          <w:szCs w:val="32"/>
          <w:lang w:val="en-US" w:eastAsia="zh-CN"/>
        </w:rPr>
      </w:pPr>
      <w:r>
        <w:rPr>
          <w:rFonts w:hint="eastAsia" w:asciiTheme="minorEastAsia" w:hAnsiTheme="minorEastAsia" w:eastAsiaTheme="minorEastAsia" w:cstheme="minorEastAsia"/>
          <w:b w:val="0"/>
          <w:sz w:val="32"/>
          <w:szCs w:val="32"/>
          <w:lang w:val="en-US" w:eastAsia="zh-CN"/>
        </w:rPr>
        <w:t>绩效评价对象：会计代理经费</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hint="default" w:asciiTheme="minorEastAsia" w:hAnsiTheme="minorEastAsia" w:eastAsiaTheme="minorEastAsia" w:cstheme="minorEastAsia"/>
          <w:b w:val="0"/>
          <w:sz w:val="32"/>
          <w:szCs w:val="32"/>
          <w:lang w:val="en-US" w:eastAsia="zh-CN"/>
        </w:rPr>
      </w:pPr>
      <w:r>
        <w:rPr>
          <w:rFonts w:hint="eastAsia" w:asciiTheme="minorEastAsia" w:hAnsiTheme="minorEastAsia" w:eastAsiaTheme="minorEastAsia" w:cstheme="minorEastAsia"/>
          <w:b w:val="0"/>
          <w:sz w:val="32"/>
          <w:szCs w:val="32"/>
          <w:lang w:val="en-US" w:eastAsia="zh-CN"/>
        </w:rPr>
        <w:t>绩效评价范围：代理记账单位数、处理报账业务笔数、开展业务培训、财务培训合格率、财务核算完成及时性、财政资金规范使用率、有效投诉次数、财务事故发生率、财政监督管理机制长效运行、服务对象满意度</w:t>
      </w:r>
    </w:p>
    <w:p>
      <w:pPr>
        <w:keepNext w:val="0"/>
        <w:keepLines w:val="0"/>
        <w:pageBreakBefore w:val="0"/>
        <w:numPr>
          <w:ilvl w:val="0"/>
          <w:numId w:val="0"/>
        </w:numPr>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sz w:val="32"/>
          <w:szCs w:val="32"/>
          <w:lang w:val="en-US" w:eastAsia="zh-CN"/>
        </w:rPr>
      </w:pPr>
      <w:bookmarkStart w:id="3" w:name="（二）绩效评价原则、评价指标体系（附表说明）、评价方法、评价标准等。"/>
      <w:bookmarkEnd w:id="3"/>
      <w:r>
        <w:rPr>
          <w:rFonts w:hint="eastAsia" w:asciiTheme="minorEastAsia" w:hAnsiTheme="minorEastAsia" w:eastAsiaTheme="minorEastAsia" w:cstheme="minorEastAsia"/>
          <w:sz w:val="32"/>
          <w:szCs w:val="32"/>
          <w:lang w:val="en-US" w:eastAsia="zh-CN"/>
        </w:rPr>
        <w:t>（二）绩效评价原则、评价指标体系（附</w:t>
      </w:r>
      <w:r>
        <w:rPr>
          <w:rFonts w:hint="eastAsia" w:asciiTheme="minorEastAsia" w:hAnsiTheme="minorEastAsia" w:eastAsiaTheme="minorEastAsia" w:cstheme="minorEastAsia"/>
          <w:sz w:val="32"/>
          <w:szCs w:val="32"/>
        </w:rPr>
        <w:t>表说明）、评价</w:t>
      </w:r>
      <w:r>
        <w:rPr>
          <w:rFonts w:hint="eastAsia" w:asciiTheme="minorEastAsia" w:hAnsiTheme="minorEastAsia" w:eastAsiaTheme="minorEastAsia" w:cstheme="minorEastAsia"/>
          <w:sz w:val="32"/>
          <w:szCs w:val="32"/>
          <w:lang w:val="en-US" w:eastAsia="zh-CN"/>
        </w:rPr>
        <w:t>方法、评价标准等</w:t>
      </w:r>
    </w:p>
    <w:p>
      <w:pPr>
        <w:keepNext w:val="0"/>
        <w:keepLines w:val="0"/>
        <w:pageBreakBefore w:val="0"/>
        <w:numPr>
          <w:ilvl w:val="0"/>
          <w:numId w:val="0"/>
        </w:numPr>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绩效评价原则:科学规范原则，公正公开原则，分级分类原则，绩效相关原则。</w:t>
      </w:r>
    </w:p>
    <w:p>
      <w:pPr>
        <w:keepNext w:val="0"/>
        <w:keepLines w:val="0"/>
        <w:pageBreakBefore w:val="0"/>
        <w:numPr>
          <w:ilvl w:val="0"/>
          <w:numId w:val="0"/>
        </w:numPr>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绩效评价指标体系：根据财政部《预算绩效评价共</w:t>
      </w:r>
      <w:r>
        <w:rPr>
          <w:rFonts w:hint="eastAsia" w:asciiTheme="minorEastAsia" w:hAnsiTheme="minorEastAsia" w:eastAsiaTheme="minorEastAsia" w:cstheme="minorEastAsia"/>
          <w:sz w:val="32"/>
          <w:szCs w:val="32"/>
        </w:rPr>
        <w:t>性指标体系框架》等文件精神及本项目的具体特点，设置了合理可行的评价体系，包括投入指标（项目立项、资金落实）、过程指标（业务管理、财务管理）、产出数量与质量指标、社会效益与可持续影响指标等。</w:t>
      </w:r>
    </w:p>
    <w:p>
      <w:pPr>
        <w:keepNext w:val="0"/>
        <w:keepLines w:val="0"/>
        <w:pageBreakBefore w:val="0"/>
        <w:numPr>
          <w:ilvl w:val="0"/>
          <w:numId w:val="0"/>
        </w:numPr>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评价方法：本项目绩效评价主要采用数据对比，同时辅以抽样调查、座谈研讨、专家评估等方式。</w:t>
      </w:r>
    </w:p>
    <w:p>
      <w:pPr>
        <w:keepNext w:val="0"/>
        <w:keepLines w:val="0"/>
        <w:pageBreakBefore w:val="0"/>
        <w:numPr>
          <w:ilvl w:val="0"/>
          <w:numId w:val="0"/>
        </w:numPr>
        <w:kinsoku/>
        <w:wordWrap/>
        <w:overflowPunct/>
        <w:topLinePunct w:val="0"/>
        <w:bidi w:val="0"/>
        <w:spacing w:after="0" w:line="640" w:lineRule="exact"/>
        <w:ind w:left="440" w:leftChars="200" w:right="0" w:rightChars="0" w:firstLine="0" w:firstLineChars="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评价标准：绩效评价标准通常包括计划标准、行业标准、历史标准等，用于对绩效指标完成情况进行比较。</w:t>
      </w:r>
    </w:p>
    <w:p>
      <w:pPr>
        <w:keepNext w:val="0"/>
        <w:keepLines w:val="0"/>
        <w:pageBreakBefore w:val="0"/>
        <w:numPr>
          <w:ilvl w:val="0"/>
          <w:numId w:val="0"/>
        </w:numPr>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1.计划标准。指以预先制定的目标、计划、预算、定额等作为评价标准。</w:t>
      </w:r>
    </w:p>
    <w:p>
      <w:pPr>
        <w:keepNext w:val="0"/>
        <w:keepLines w:val="0"/>
        <w:pageBreakBefore w:val="0"/>
        <w:numPr>
          <w:ilvl w:val="0"/>
          <w:numId w:val="0"/>
        </w:numPr>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2.行业标准。指参照国家公布的行业指标数据制定的评价标准。</w:t>
      </w:r>
    </w:p>
    <w:p>
      <w:pPr>
        <w:keepNext w:val="0"/>
        <w:keepLines w:val="0"/>
        <w:pageBreakBefore w:val="0"/>
        <w:numPr>
          <w:ilvl w:val="0"/>
          <w:numId w:val="0"/>
        </w:numPr>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3.历史标准。指参照历史数据制定的评价标准，为体现绩效改进的原则，在可实现的条件下应当确定相对较高的评价标准。</w:t>
      </w:r>
    </w:p>
    <w:p>
      <w:pPr>
        <w:keepNext w:val="0"/>
        <w:keepLines w:val="0"/>
        <w:pageBreakBefore w:val="0"/>
        <w:numPr>
          <w:ilvl w:val="0"/>
          <w:numId w:val="0"/>
        </w:numPr>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4.财政部门和预算部门确认或认可的其他标准。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40" w:lineRule="exact"/>
        <w:ind w:right="0" w:rightChars="0" w:firstLine="960" w:firstLineChars="3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三）</w:t>
      </w:r>
      <w:r>
        <w:rPr>
          <w:rFonts w:hint="eastAsia" w:asciiTheme="minorEastAsia" w:hAnsiTheme="minorEastAsia" w:eastAsiaTheme="minorEastAsia"/>
          <w:sz w:val="32"/>
          <w:szCs w:val="32"/>
        </w:rPr>
        <w:t>绩效评价工作过程</w:t>
      </w:r>
    </w:p>
    <w:p>
      <w:pPr>
        <w:keepNext w:val="0"/>
        <w:keepLines w:val="0"/>
        <w:pageBreakBefore w:val="0"/>
        <w:numPr>
          <w:ilvl w:val="0"/>
          <w:numId w:val="0"/>
        </w:numPr>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年会计代理项目经费预算80万元，支出代理机构会计代理费</w:t>
      </w:r>
      <w:r>
        <w:rPr>
          <w:rFonts w:hint="eastAsia" w:asciiTheme="minorEastAsia" w:hAnsiTheme="minorEastAsia" w:eastAsiaTheme="minorEastAsia" w:cstheme="minorEastAsia"/>
          <w:sz w:val="32"/>
          <w:szCs w:val="32"/>
          <w:lang w:val="en-US" w:eastAsia="zh-CN"/>
        </w:rPr>
        <w:t>80</w:t>
      </w:r>
      <w:r>
        <w:rPr>
          <w:rFonts w:hint="eastAsia" w:asciiTheme="minorEastAsia" w:hAnsiTheme="minorEastAsia" w:eastAsiaTheme="minorEastAsia" w:cstheme="minorEastAsia"/>
          <w:sz w:val="32"/>
          <w:szCs w:val="32"/>
        </w:rPr>
        <w:t>万元。项目严格按照财务制度和相关财经纪律，拨付工作经费，达到预期目的。资金支付标准、支付依据合法合规，无截留、挪用等现象，资金支付与预算相符。项目经费严格按照财务制度和预算支出范围使用，按照项目计划安排和实际工作情况开支。</w:t>
      </w:r>
    </w:p>
    <w:p>
      <w:pPr>
        <w:keepNext w:val="0"/>
        <w:keepLines w:val="0"/>
        <w:pageBreakBefore w:val="0"/>
        <w:numPr>
          <w:numId w:val="0"/>
        </w:numPr>
        <w:tabs>
          <w:tab w:val="left" w:pos="9460"/>
        </w:tabs>
        <w:kinsoku/>
        <w:wordWrap/>
        <w:overflowPunct/>
        <w:topLinePunct w:val="0"/>
        <w:bidi w:val="0"/>
        <w:spacing w:after="0" w:line="640" w:lineRule="exact"/>
        <w:ind w:left="0" w:leftChars="0" w:right="0" w:rightChars="0" w:firstLine="437" w:firstLineChars="131"/>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pacing w:val="7"/>
          <w:sz w:val="32"/>
          <w:szCs w:val="32"/>
          <w:lang w:val="en-US" w:eastAsia="zh-CN"/>
        </w:rPr>
        <w:t>三、</w:t>
      </w:r>
      <w:r>
        <w:rPr>
          <w:rFonts w:hint="eastAsia" w:asciiTheme="minorEastAsia" w:hAnsiTheme="minorEastAsia" w:eastAsiaTheme="minorEastAsia"/>
          <w:spacing w:val="7"/>
          <w:sz w:val="32"/>
          <w:szCs w:val="32"/>
        </w:rPr>
        <w:t>综合评价情况及评价结论</w:t>
      </w:r>
      <w:r>
        <w:rPr>
          <w:rFonts w:hint="eastAsia" w:asciiTheme="minorEastAsia" w:hAnsiTheme="minorEastAsia" w:eastAsiaTheme="minorEastAsia"/>
          <w:sz w:val="32"/>
          <w:szCs w:val="32"/>
        </w:rPr>
        <w:t xml:space="preserve">（附相关评分表） </w:t>
      </w:r>
    </w:p>
    <w:p>
      <w:pPr>
        <w:keepNext w:val="0"/>
        <w:keepLines w:val="0"/>
        <w:pageBreakBefore w:val="0"/>
        <w:numPr>
          <w:ilvl w:val="0"/>
          <w:numId w:val="0"/>
        </w:numPr>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绩效评价情况：经过严格细致的自评工作，该项目的自评分为91.00分。绩效评级为“优”。</w:t>
      </w:r>
    </w:p>
    <w:p>
      <w:pPr>
        <w:keepNext w:val="0"/>
        <w:keepLines w:val="0"/>
        <w:pageBreakBefore w:val="0"/>
        <w:numPr>
          <w:ilvl w:val="0"/>
          <w:numId w:val="0"/>
        </w:numPr>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会计代理经费项目加强了领导，经过了精心安排、精心组织实施，圆满完成了项目设定的年度目标任务。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keepNext w:val="0"/>
        <w:keepLines w:val="0"/>
        <w:pageBreakBefore w:val="0"/>
        <w:numPr>
          <w:ilvl w:val="0"/>
          <w:numId w:val="0"/>
        </w:numPr>
        <w:kinsoku/>
        <w:wordWrap/>
        <w:overflowPunct/>
        <w:topLinePunct w:val="0"/>
        <w:bidi w:val="0"/>
        <w:spacing w:after="0" w:line="640" w:lineRule="exact"/>
        <w:ind w:left="440" w:leftChars="199" w:right="0" w:rightChars="0" w:hanging="2" w:firstLineChars="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四、绩效评价指标分析</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asciiTheme="minorEastAsia" w:hAnsiTheme="minorEastAsia" w:eastAsiaTheme="minorEastAsia"/>
          <w:b w:val="0"/>
          <w:sz w:val="32"/>
          <w:szCs w:val="32"/>
        </w:rPr>
      </w:pPr>
      <w:bookmarkStart w:id="4" w:name="（一）项目决策情况。"/>
      <w:bookmarkEnd w:id="4"/>
      <w:r>
        <w:rPr>
          <w:rFonts w:asciiTheme="minorEastAsia" w:hAnsiTheme="minorEastAsia" w:eastAsiaTheme="minorEastAsia"/>
          <w:b w:val="0"/>
          <w:sz w:val="32"/>
          <w:szCs w:val="32"/>
        </w:rPr>
        <w:t>（一）项目决策情况</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b w:val="0"/>
          <w:sz w:val="32"/>
          <w:szCs w:val="32"/>
          <w:lang w:val="en-US" w:eastAsia="zh-CN"/>
        </w:rPr>
      </w:pPr>
      <w:r>
        <w:rPr>
          <w:rFonts w:hint="eastAsia" w:asciiTheme="minorEastAsia" w:hAnsiTheme="minorEastAsia" w:eastAsiaTheme="minorEastAsia"/>
          <w:b w:val="0"/>
          <w:sz w:val="32"/>
          <w:szCs w:val="32"/>
          <w:lang w:val="en-US" w:eastAsia="zh-CN"/>
        </w:rPr>
        <w:t>1.立项规范</w:t>
      </w:r>
    </w:p>
    <w:p>
      <w:pPr>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项目依据《预算绩效目标申报表》</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《青云谱区国库集中收付核算中心会计代理管理办法》</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立项依据较充分。</w:t>
      </w:r>
    </w:p>
    <w:p>
      <w:pPr>
        <w:pStyle w:val="15"/>
        <w:keepNext w:val="0"/>
        <w:keepLines w:val="0"/>
        <w:pageBreakBefore w:val="0"/>
        <w:kinsoku/>
        <w:wordWrap/>
        <w:overflowPunct/>
        <w:topLinePunct w:val="0"/>
        <w:bidi w:val="0"/>
        <w:spacing w:after="0" w:line="640" w:lineRule="exact"/>
        <w:ind w:left="440" w:leftChars="200" w:right="0" w:rightChars="0" w:firstLine="640" w:firstLineChars="200"/>
        <w:jc w:val="left"/>
        <w:textAlignment w:val="auto"/>
        <w:rPr>
          <w:rFonts w:hint="eastAsia" w:asciiTheme="minorEastAsia" w:hAnsiTheme="minorEastAsia" w:eastAsiaTheme="minorEastAsia"/>
          <w:b w:val="0"/>
          <w:sz w:val="32"/>
          <w:szCs w:val="32"/>
          <w:lang w:val="en-US" w:eastAsia="zh-CN"/>
        </w:rPr>
      </w:pPr>
      <w:r>
        <w:rPr>
          <w:rFonts w:hint="eastAsia" w:asciiTheme="minorEastAsia" w:hAnsiTheme="minorEastAsia" w:eastAsiaTheme="minorEastAsia"/>
          <w:b w:val="0"/>
          <w:sz w:val="32"/>
          <w:szCs w:val="32"/>
          <w:lang w:val="en-US" w:eastAsia="zh-CN"/>
        </w:rPr>
        <w:t>2.绩效目标</w:t>
      </w:r>
    </w:p>
    <w:p>
      <w:pPr>
        <w:pStyle w:val="15"/>
        <w:keepNext w:val="0"/>
        <w:keepLines w:val="0"/>
        <w:pageBreakBefore w:val="0"/>
        <w:numPr>
          <w:ilvl w:val="0"/>
          <w:numId w:val="0"/>
        </w:numPr>
        <w:kinsoku/>
        <w:wordWrap/>
        <w:overflowPunct/>
        <w:topLinePunct w:val="0"/>
        <w:bidi w:val="0"/>
        <w:spacing w:after="0" w:line="640" w:lineRule="exact"/>
        <w:ind w:left="319" w:leftChars="145" w:right="0" w:rightChars="0" w:firstLine="748" w:firstLineChars="234"/>
        <w:jc w:val="left"/>
        <w:textAlignment w:val="auto"/>
        <w:rPr>
          <w:rFonts w:hint="eastAsia" w:asciiTheme="minorEastAsia" w:hAnsiTheme="minorEastAsia" w:eastAsiaTheme="minorEastAsia" w:cstheme="minorEastAsia"/>
          <w:b w:val="0"/>
          <w:bCs/>
          <w:color w:val="000000" w:themeColor="text1"/>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bidi="ar-SA"/>
          <w14:textFill>
            <w14:solidFill>
              <w14:schemeClr w14:val="tx1"/>
            </w14:solidFill>
          </w14:textFill>
        </w:rPr>
        <w:t>持续推进会计集中核算向专业会计机构代理转轨的改革。通过委托社会中介机构代理账务的模式，为服务对象提供更加高效细致的服务。切实减轻了各单位财务工作负担，规范了各单位财务行为，提高了会计信息质量。</w:t>
      </w:r>
      <w:bookmarkStart w:id="5" w:name="（二）项目过程情况。"/>
      <w:bookmarkEnd w:id="5"/>
    </w:p>
    <w:p>
      <w:pPr>
        <w:pStyle w:val="15"/>
        <w:keepNext w:val="0"/>
        <w:keepLines w:val="0"/>
        <w:pageBreakBefore w:val="0"/>
        <w:numPr>
          <w:ilvl w:val="0"/>
          <w:numId w:val="0"/>
        </w:numPr>
        <w:kinsoku/>
        <w:wordWrap/>
        <w:overflowPunct/>
        <w:topLinePunct w:val="0"/>
        <w:bidi w:val="0"/>
        <w:spacing w:after="0" w:line="640" w:lineRule="exact"/>
        <w:ind w:right="0" w:rightChars="0" w:firstLine="960" w:firstLineChars="300"/>
        <w:jc w:val="left"/>
        <w:textAlignment w:val="auto"/>
        <w:rPr>
          <w:rFonts w:hint="eastAsia" w:asciiTheme="minorEastAsia" w:hAnsiTheme="minorEastAsia" w:eastAsiaTheme="minorEastAsia" w:cstheme="minorEastAsia"/>
          <w:b w:val="0"/>
          <w:bCs/>
          <w:color w:val="000000" w:themeColor="text1"/>
          <w:sz w:val="32"/>
          <w:szCs w:val="32"/>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shd w:val="clear" w:color="auto" w:fill="FFFFFF"/>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t>资金</w:t>
      </w:r>
      <w:r>
        <w:rPr>
          <w:rFonts w:hint="eastAsia" w:asciiTheme="minorEastAsia" w:hAnsiTheme="minorEastAsia" w:eastAsiaTheme="minorEastAsia" w:cstheme="minorEastAsia"/>
          <w:b w:val="0"/>
          <w:bCs/>
          <w:color w:val="000000" w:themeColor="text1"/>
          <w:sz w:val="32"/>
          <w:szCs w:val="32"/>
          <w:shd w:val="clear" w:color="auto" w:fill="FFFFFF"/>
          <w:lang w:val="en-US" w:eastAsia="zh-CN"/>
          <w14:textFill>
            <w14:solidFill>
              <w14:schemeClr w14:val="tx1"/>
            </w14:solidFill>
          </w14:textFill>
        </w:rPr>
        <w:t>投入</w:t>
      </w:r>
    </w:p>
    <w:p>
      <w:pPr>
        <w:pStyle w:val="15"/>
        <w:keepNext w:val="0"/>
        <w:keepLines w:val="0"/>
        <w:pageBreakBefore w:val="0"/>
        <w:numPr>
          <w:ilvl w:val="0"/>
          <w:numId w:val="0"/>
        </w:numPr>
        <w:kinsoku/>
        <w:wordWrap/>
        <w:overflowPunct/>
        <w:topLinePunct w:val="0"/>
        <w:bidi w:val="0"/>
        <w:spacing w:after="0" w:line="640" w:lineRule="exact"/>
        <w:ind w:left="0" w:leftChars="0" w:right="0" w:rightChars="0" w:firstLine="0" w:firstLineChars="0"/>
        <w:jc w:val="left"/>
        <w:textAlignment w:val="auto"/>
        <w:rPr>
          <w:rFonts w:hint="default" w:asciiTheme="minorEastAsia" w:hAnsiTheme="minorEastAsia" w:eastAsiaTheme="minorEastAsia" w:cstheme="minorEastAsia"/>
          <w:b w:val="0"/>
          <w:bCs/>
          <w:color w:val="000000" w:themeColor="text1"/>
          <w:sz w:val="32"/>
          <w:szCs w:val="32"/>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shd w:val="clear" w:color="auto"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年预算安排</w:t>
      </w:r>
      <w:r>
        <w:rPr>
          <w:rFonts w:hint="eastAsia" w:asciiTheme="minorEastAsia" w:hAnsiTheme="minorEastAsia" w:eastAsiaTheme="minorEastAsia" w:cstheme="minorEastAsia"/>
          <w:b w:val="0"/>
          <w:sz w:val="32"/>
          <w:szCs w:val="32"/>
          <w:lang w:val="en-US" w:eastAsia="zh-CN"/>
        </w:rPr>
        <w:t>80</w:t>
      </w:r>
      <w:r>
        <w:rPr>
          <w:rFonts w:hint="eastAsia" w:asciiTheme="minorEastAsia" w:hAnsiTheme="minorEastAsia" w:eastAsiaTheme="minorEastAsia" w:cstheme="minorEastAsia"/>
          <w:b w:val="0"/>
          <w:sz w:val="32"/>
          <w:szCs w:val="32"/>
        </w:rPr>
        <w:t>万元</w:t>
      </w:r>
      <w:r>
        <w:rPr>
          <w:rFonts w:hint="eastAsia" w:asciiTheme="minorEastAsia" w:hAnsiTheme="minorEastAsia" w:eastAsiaTheme="minorEastAsia" w:cstheme="minorEastAsia"/>
          <w:b w:val="0"/>
          <w:sz w:val="32"/>
          <w:szCs w:val="32"/>
          <w:lang w:eastAsia="zh-CN"/>
        </w:rPr>
        <w:t>，</w:t>
      </w:r>
      <w:r>
        <w:rPr>
          <w:rFonts w:hint="eastAsia" w:asciiTheme="minorEastAsia" w:hAnsiTheme="minorEastAsia" w:eastAsiaTheme="minorEastAsia" w:cstheme="minorEastAsia"/>
          <w:b w:val="0"/>
          <w:sz w:val="32"/>
          <w:szCs w:val="32"/>
          <w:lang w:val="en-US" w:eastAsia="zh-CN"/>
        </w:rPr>
        <w:t>执行数80万元。</w:t>
      </w:r>
      <w:r>
        <w:rPr>
          <w:rFonts w:hint="eastAsia" w:asciiTheme="minorEastAsia" w:hAnsiTheme="minorEastAsia" w:eastAsiaTheme="minorEastAsia" w:cstheme="minorEastAsia"/>
          <w:b w:val="0"/>
          <w:bCs/>
          <w:color w:val="000000" w:themeColor="text1"/>
          <w:sz w:val="32"/>
          <w:szCs w:val="32"/>
          <w:shd w:val="clear" w:color="auto" w:fill="FFFFFF"/>
          <w:lang w:val="en-US" w:eastAsia="zh-CN"/>
          <w14:textFill>
            <w14:solidFill>
              <w14:schemeClr w14:val="tx1"/>
            </w14:solidFill>
          </w14:textFill>
        </w:rPr>
        <w:t xml:space="preserve"> </w:t>
      </w:r>
    </w:p>
    <w:p>
      <w:pPr>
        <w:pStyle w:val="15"/>
        <w:keepNext w:val="0"/>
        <w:keepLines w:val="0"/>
        <w:pageBreakBefore w:val="0"/>
        <w:numPr>
          <w:ilvl w:val="0"/>
          <w:numId w:val="0"/>
        </w:numPr>
        <w:kinsoku/>
        <w:wordWrap/>
        <w:overflowPunct/>
        <w:topLinePunct w:val="0"/>
        <w:bidi w:val="0"/>
        <w:spacing w:after="0" w:line="640" w:lineRule="exact"/>
        <w:ind w:left="0" w:leftChars="0" w:right="0" w:rightChars="0" w:firstLine="960" w:firstLineChars="3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lang w:eastAsia="zh-CN"/>
        </w:rPr>
        <w:t>（</w:t>
      </w:r>
      <w:r>
        <w:rPr>
          <w:rFonts w:hint="eastAsia" w:asciiTheme="minorEastAsia" w:hAnsiTheme="minorEastAsia" w:eastAsiaTheme="minorEastAsia" w:cstheme="minorEastAsia"/>
          <w:b w:val="0"/>
          <w:sz w:val="32"/>
          <w:szCs w:val="32"/>
          <w:lang w:val="en-US" w:eastAsia="zh-CN"/>
        </w:rPr>
        <w:t>二）</w:t>
      </w:r>
      <w:r>
        <w:rPr>
          <w:rFonts w:hint="eastAsia" w:asciiTheme="minorEastAsia" w:hAnsiTheme="minorEastAsia" w:eastAsiaTheme="minorEastAsia" w:cstheme="minorEastAsia"/>
          <w:b w:val="0"/>
          <w:sz w:val="32"/>
          <w:szCs w:val="32"/>
        </w:rPr>
        <w:t>项目过程情况</w:t>
      </w:r>
    </w:p>
    <w:p>
      <w:pPr>
        <w:keepNext w:val="0"/>
        <w:keepLines w:val="0"/>
        <w:pageBreakBefore w:val="0"/>
        <w:numPr>
          <w:ilvl w:val="0"/>
          <w:numId w:val="0"/>
        </w:numPr>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1.业务管理指标</w:t>
      </w:r>
    </w:p>
    <w:p>
      <w:pPr>
        <w:keepNext w:val="0"/>
        <w:keepLines w:val="0"/>
        <w:pageBreakBefore w:val="0"/>
        <w:numPr>
          <w:ilvl w:val="0"/>
          <w:numId w:val="0"/>
        </w:numPr>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①管理制度健全性：考查是否建立了保证项目顺利实施的工作方案和办法等相关制度。召开了党组会议对下拨的项目资金管理分配、监管进行了专题研究。</w:t>
      </w:r>
    </w:p>
    <w:p>
      <w:pPr>
        <w:pStyle w:val="15"/>
        <w:keepNext w:val="0"/>
        <w:keepLines w:val="0"/>
        <w:pageBreakBefore w:val="0"/>
        <w:numPr>
          <w:ilvl w:val="0"/>
          <w:numId w:val="0"/>
        </w:numPr>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②项目质量可控性: 考查项目是否实施监督检查，建立督导方案，并组织实施。开展了2022年度部门财政项目支出绩效运行监控工作，并向财政部门集中报送绩效监控结果。</w:t>
      </w:r>
    </w:p>
    <w:p>
      <w:pPr>
        <w:keepNext w:val="0"/>
        <w:keepLines w:val="0"/>
        <w:pageBreakBefore w:val="0"/>
        <w:numPr>
          <w:ilvl w:val="0"/>
          <w:numId w:val="0"/>
        </w:numPr>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2.财务管理指标</w:t>
      </w:r>
    </w:p>
    <w:p>
      <w:pPr>
        <w:keepNext w:val="0"/>
        <w:keepLines w:val="0"/>
        <w:pageBreakBefore w:val="0"/>
        <w:numPr>
          <w:ilvl w:val="0"/>
          <w:numId w:val="0"/>
        </w:numPr>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①财务管理制度健全性:考查是否按规定财务、资产管理制度、内控制度及其执行情况，根据</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《青云谱区国库集中收付核算中心会计代理管理办法》</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的通知，对专项资金的管理规范化。按照内部控制要求制定了收支、预算、政府采购、合同、资产等各项管理制度。</w:t>
      </w:r>
    </w:p>
    <w:p>
      <w:pPr>
        <w:keepNext w:val="0"/>
        <w:keepLines w:val="0"/>
        <w:pageBreakBefore w:val="0"/>
        <w:numPr>
          <w:ilvl w:val="0"/>
          <w:numId w:val="0"/>
        </w:numPr>
        <w:tabs>
          <w:tab w:val="left" w:pos="9460"/>
        </w:tabs>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②财务监控有效性:考查是否采取了相应的财务检査和年度绩效检查等必要的监控措施或手段。按照要求将有关财务资料进行上报，并针对反馈涉及到的问题进行了整改。 </w:t>
      </w:r>
    </w:p>
    <w:p>
      <w:pPr>
        <w:keepNext w:val="0"/>
        <w:keepLines w:val="0"/>
        <w:pageBreakBefore w:val="0"/>
        <w:numPr>
          <w:numId w:val="0"/>
        </w:numPr>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sz w:val="32"/>
          <w:szCs w:val="32"/>
        </w:rPr>
      </w:pPr>
      <w:bookmarkStart w:id="6" w:name="（三）项目产出情况。"/>
      <w:bookmarkEnd w:id="6"/>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二</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项目产出情况</w:t>
      </w:r>
    </w:p>
    <w:p>
      <w:pPr>
        <w:keepNext w:val="0"/>
        <w:keepLines w:val="0"/>
        <w:pageBreakBefore w:val="0"/>
        <w:numPr>
          <w:ilvl w:val="0"/>
          <w:numId w:val="0"/>
        </w:numPr>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1.产出数量指标：</w:t>
      </w:r>
      <w:r>
        <w:rPr>
          <w:rFonts w:hint="eastAsia" w:asciiTheme="minorEastAsia" w:hAnsiTheme="minorEastAsia" w:eastAsiaTheme="minorEastAsia"/>
          <w:sz w:val="32"/>
          <w:szCs w:val="32"/>
        </w:rPr>
        <w:t>代理记账单位</w:t>
      </w:r>
      <w:r>
        <w:rPr>
          <w:rFonts w:hint="eastAsia" w:asciiTheme="minorEastAsia" w:hAnsiTheme="minorEastAsia" w:eastAsiaTheme="minorEastAsia"/>
          <w:sz w:val="32"/>
          <w:szCs w:val="32"/>
          <w:lang w:val="en-US" w:eastAsia="zh-CN"/>
        </w:rPr>
        <w:t>处理报账业务笔数9500笔，开展业务培训1次。</w:t>
      </w:r>
    </w:p>
    <w:p>
      <w:pPr>
        <w:keepNext w:val="0"/>
        <w:keepLines w:val="0"/>
        <w:pageBreakBefore w:val="0"/>
        <w:numPr>
          <w:ilvl w:val="0"/>
          <w:numId w:val="0"/>
        </w:numPr>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2.产出质量指标：财务培训合格率、账务处理合格率均达标。</w:t>
      </w:r>
    </w:p>
    <w:p>
      <w:pPr>
        <w:keepNext w:val="0"/>
        <w:keepLines w:val="0"/>
        <w:pageBreakBefore w:val="0"/>
        <w:numPr>
          <w:ilvl w:val="0"/>
          <w:numId w:val="0"/>
        </w:numPr>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3.产出时效指标：财务核算完成及时。</w:t>
      </w:r>
    </w:p>
    <w:p>
      <w:pPr>
        <w:keepNext w:val="0"/>
        <w:keepLines w:val="0"/>
        <w:pageBreakBefore w:val="0"/>
        <w:numPr>
          <w:numId w:val="0"/>
        </w:numPr>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sz w:val="32"/>
          <w:szCs w:val="32"/>
          <w:lang w:eastAsia="zh-CN"/>
        </w:rPr>
      </w:pPr>
      <w:bookmarkStart w:id="7" w:name="（四）项目效益情况。"/>
      <w:bookmarkEnd w:id="7"/>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三</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项目效益情况</w:t>
      </w:r>
    </w:p>
    <w:p>
      <w:pPr>
        <w:keepNext w:val="0"/>
        <w:keepLines w:val="0"/>
        <w:pageBreakBefore w:val="0"/>
        <w:numPr>
          <w:ilvl w:val="0"/>
          <w:numId w:val="0"/>
        </w:numPr>
        <w:kinsoku/>
        <w:wordWrap/>
        <w:overflowPunct/>
        <w:topLinePunct w:val="0"/>
        <w:bidi w:val="0"/>
        <w:spacing w:after="0" w:line="640" w:lineRule="exact"/>
        <w:ind w:left="220" w:leftChars="100" w:right="0" w:rightChars="0" w:firstLine="640" w:firstLineChars="200"/>
        <w:jc w:val="left"/>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1.经济效益：</w:t>
      </w:r>
      <w:r>
        <w:rPr>
          <w:rFonts w:hint="eastAsia" w:asciiTheme="minorEastAsia" w:hAnsiTheme="minorEastAsia" w:eastAsiaTheme="minorEastAsia"/>
          <w:sz w:val="32"/>
          <w:szCs w:val="32"/>
        </w:rPr>
        <w:t>财政资金规范使用率</w:t>
      </w:r>
      <w:r>
        <w:rPr>
          <w:rFonts w:hint="eastAsia" w:asciiTheme="minorEastAsia" w:hAnsiTheme="minorEastAsia" w:eastAsiaTheme="minorEastAsia"/>
          <w:sz w:val="32"/>
          <w:szCs w:val="32"/>
          <w:lang w:val="en-US" w:eastAsia="zh-CN"/>
        </w:rPr>
        <w:t>100%。</w:t>
      </w:r>
    </w:p>
    <w:p>
      <w:pPr>
        <w:keepNext w:val="0"/>
        <w:keepLines w:val="0"/>
        <w:pageBreakBefore w:val="0"/>
        <w:numPr>
          <w:ilvl w:val="0"/>
          <w:numId w:val="0"/>
        </w:numPr>
        <w:kinsoku/>
        <w:wordWrap/>
        <w:overflowPunct/>
        <w:topLinePunct w:val="0"/>
        <w:bidi w:val="0"/>
        <w:spacing w:after="0" w:line="640" w:lineRule="exact"/>
        <w:ind w:left="220" w:leftChars="100" w:right="0" w:rightChars="0" w:firstLine="640" w:firstLineChars="200"/>
        <w:jc w:val="left"/>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2.社会效益：有效投诉次数为低于5次。</w:t>
      </w:r>
    </w:p>
    <w:p>
      <w:pPr>
        <w:keepNext w:val="0"/>
        <w:keepLines w:val="0"/>
        <w:pageBreakBefore w:val="0"/>
        <w:numPr>
          <w:ilvl w:val="0"/>
          <w:numId w:val="0"/>
        </w:numPr>
        <w:kinsoku/>
        <w:wordWrap/>
        <w:overflowPunct/>
        <w:topLinePunct w:val="0"/>
        <w:bidi w:val="0"/>
        <w:spacing w:after="0" w:line="640" w:lineRule="exact"/>
        <w:ind w:right="0" w:rightChars="0" w:firstLine="960" w:firstLineChars="300"/>
        <w:jc w:val="left"/>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3.生态效益：财务事故发生率为0。</w:t>
      </w:r>
    </w:p>
    <w:p>
      <w:pPr>
        <w:keepNext w:val="0"/>
        <w:keepLines w:val="0"/>
        <w:pageBreakBefore w:val="0"/>
        <w:numPr>
          <w:ilvl w:val="0"/>
          <w:numId w:val="0"/>
        </w:numPr>
        <w:kinsoku/>
        <w:wordWrap/>
        <w:overflowPunct/>
        <w:topLinePunct w:val="0"/>
        <w:bidi w:val="0"/>
        <w:spacing w:after="0" w:line="640" w:lineRule="exact"/>
        <w:ind w:right="0" w:rightChars="0" w:firstLine="960" w:firstLineChars="300"/>
        <w:jc w:val="left"/>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4.可持续影响：财政监督管理机制长效运行为100%。</w:t>
      </w:r>
    </w:p>
    <w:p>
      <w:pPr>
        <w:keepNext w:val="0"/>
        <w:keepLines w:val="0"/>
        <w:pageBreakBefore w:val="0"/>
        <w:numPr>
          <w:ilvl w:val="0"/>
          <w:numId w:val="0"/>
        </w:numPr>
        <w:kinsoku/>
        <w:wordWrap/>
        <w:overflowPunct/>
        <w:topLinePunct w:val="0"/>
        <w:bidi w:val="0"/>
        <w:spacing w:after="0" w:line="640" w:lineRule="exact"/>
        <w:ind w:left="0" w:leftChars="0" w:right="0" w:rightChars="0" w:firstLine="960" w:firstLineChars="300"/>
        <w:jc w:val="left"/>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5.满意度：服务对象满意度达95%。</w:t>
      </w:r>
    </w:p>
    <w:p>
      <w:pPr>
        <w:keepNext w:val="0"/>
        <w:keepLines w:val="0"/>
        <w:pageBreakBefore w:val="0"/>
        <w:numPr>
          <w:ilvl w:val="0"/>
          <w:numId w:val="0"/>
        </w:numPr>
        <w:kinsoku/>
        <w:wordWrap/>
        <w:overflowPunct/>
        <w:topLinePunct w:val="0"/>
        <w:bidi w:val="0"/>
        <w:spacing w:after="0" w:line="640" w:lineRule="exact"/>
        <w:ind w:left="216" w:leftChars="98" w:right="0" w:rightChars="0" w:firstLine="3" w:firstLineChars="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五、主要经验及做法、存在的问</w:t>
      </w:r>
      <w:r>
        <w:rPr>
          <w:rFonts w:hint="eastAsia" w:asciiTheme="minorEastAsia" w:hAnsiTheme="minorEastAsia" w:eastAsiaTheme="minorEastAsia"/>
          <w:sz w:val="32"/>
          <w:szCs w:val="32"/>
          <w:lang w:val="en-US" w:eastAsia="zh-CN"/>
        </w:rPr>
        <w:t>题</w:t>
      </w:r>
      <w:r>
        <w:rPr>
          <w:rFonts w:hint="eastAsia" w:asciiTheme="minorEastAsia" w:hAnsiTheme="minorEastAsia" w:eastAsiaTheme="minorEastAsia"/>
          <w:sz w:val="32"/>
          <w:szCs w:val="32"/>
        </w:rPr>
        <w:t>及原因分析</w:t>
      </w:r>
    </w:p>
    <w:p>
      <w:pPr>
        <w:pStyle w:val="2"/>
        <w:keepNext w:val="0"/>
        <w:keepLines w:val="0"/>
        <w:pageBreakBefore w:val="0"/>
        <w:widowControl w:val="0"/>
        <w:kinsoku/>
        <w:wordWrap/>
        <w:overflowPunct/>
        <w:topLinePunct w:val="0"/>
        <w:autoSpaceDE w:val="0"/>
        <w:autoSpaceDN w:val="0"/>
        <w:bidi w:val="0"/>
        <w:adjustRightInd/>
        <w:snapToGrid/>
        <w:spacing w:after="0" w:line="640" w:lineRule="exact"/>
        <w:ind w:left="216" w:leftChars="98" w:right="0" w:rightChars="0" w:firstLine="640" w:firstLineChars="200"/>
        <w:jc w:val="left"/>
        <w:textAlignment w:val="auto"/>
        <w:rPr>
          <w:rFonts w:hint="eastAsia" w:asciiTheme="minorEastAsia" w:hAnsiTheme="minorEastAsia" w:eastAsiaTheme="minorEastAsia" w:cstheme="minorBidi"/>
          <w:sz w:val="32"/>
          <w:szCs w:val="32"/>
          <w:lang w:val="en-US" w:eastAsia="zh-CN" w:bidi="ar-SA"/>
        </w:rPr>
      </w:pPr>
      <w:r>
        <w:rPr>
          <w:rFonts w:hint="eastAsia" w:asciiTheme="minorEastAsia" w:hAnsiTheme="minorEastAsia" w:eastAsiaTheme="minorEastAsia" w:cstheme="minorBidi"/>
          <w:sz w:val="32"/>
          <w:szCs w:val="32"/>
          <w:lang w:val="en-US" w:eastAsia="zh-CN" w:bidi="ar-SA"/>
        </w:rPr>
        <w:t>合理考虑各种因素，加强成本控制，不断提高预算编制的准确率;加强业务培训，提高会计代理人员记账水平。</w:t>
      </w:r>
    </w:p>
    <w:p>
      <w:pPr>
        <w:pStyle w:val="3"/>
        <w:keepNext w:val="0"/>
        <w:keepLines w:val="0"/>
        <w:pageBreakBefore w:val="0"/>
        <w:numPr>
          <w:ilvl w:val="0"/>
          <w:numId w:val="1"/>
        </w:numPr>
        <w:kinsoku/>
        <w:wordWrap/>
        <w:overflowPunct/>
        <w:topLinePunct w:val="0"/>
        <w:bidi w:val="0"/>
        <w:spacing w:after="0" w:line="640" w:lineRule="exact"/>
        <w:ind w:left="216" w:leftChars="98" w:right="0" w:rightChars="0" w:firstLine="3" w:firstLineChars="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有关建议</w:t>
      </w:r>
    </w:p>
    <w:p>
      <w:pPr>
        <w:pStyle w:val="3"/>
        <w:keepNext w:val="0"/>
        <w:keepLines w:val="0"/>
        <w:pageBreakBefore w:val="0"/>
        <w:numPr>
          <w:ilvl w:val="0"/>
          <w:numId w:val="0"/>
        </w:numPr>
        <w:kinsoku/>
        <w:wordWrap/>
        <w:overflowPunct/>
        <w:topLinePunct w:val="0"/>
        <w:bidi w:val="0"/>
        <w:spacing w:after="0" w:line="640" w:lineRule="exact"/>
        <w:ind w:left="216" w:leftChars="98" w:right="0" w:rightChars="0" w:firstLine="3" w:firstLineChars="0"/>
        <w:jc w:val="left"/>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在以后的工作中，项目实施单位要继续秉持这为人民服务的总之，服务于建设社会主义法治国家，积极响应号召，在控制项目成本的基础上，不断提升服务质量和案件质量。</w:t>
      </w:r>
    </w:p>
    <w:p>
      <w:pPr>
        <w:pStyle w:val="3"/>
        <w:keepNext w:val="0"/>
        <w:keepLines w:val="0"/>
        <w:pageBreakBefore w:val="0"/>
        <w:kinsoku/>
        <w:wordWrap/>
        <w:overflowPunct/>
        <w:topLinePunct w:val="0"/>
        <w:bidi w:val="0"/>
        <w:spacing w:after="0" w:line="640" w:lineRule="exact"/>
        <w:ind w:left="216" w:leftChars="98" w:right="0" w:rightChars="0" w:firstLine="3" w:firstLineChars="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七、其他需要说明的问题</w:t>
      </w:r>
    </w:p>
    <w:p>
      <w:pPr>
        <w:keepNext w:val="0"/>
        <w:keepLines w:val="0"/>
        <w:pageBreakBefore w:val="0"/>
        <w:kinsoku/>
        <w:wordWrap/>
        <w:overflowPunct/>
        <w:topLinePunct w:val="0"/>
        <w:bidi w:val="0"/>
        <w:spacing w:after="0" w:line="640" w:lineRule="exact"/>
        <w:ind w:left="0" w:leftChars="0" w:right="0" w:rightChars="0" w:firstLine="0" w:firstLineChars="0"/>
        <w:jc w:val="left"/>
        <w:textAlignment w:val="auto"/>
        <w:rPr>
          <w:rFonts w:hint="default" w:ascii="黑体" w:eastAsia="黑体"/>
          <w:sz w:val="32"/>
          <w:szCs w:val="32"/>
          <w:lang w:val="en-US" w:eastAsia="zh-CN"/>
        </w:rPr>
      </w:pPr>
      <w:r>
        <w:rPr>
          <w:rFonts w:hint="eastAsia" w:ascii="黑体" w:eastAsia="黑体"/>
          <w:sz w:val="32"/>
          <w:szCs w:val="32"/>
          <w:lang w:val="en-US" w:eastAsia="zh-CN"/>
        </w:rPr>
        <w:t xml:space="preserve">      </w:t>
      </w:r>
      <w:r>
        <w:rPr>
          <w:rFonts w:hint="eastAsia" w:asciiTheme="minorEastAsia" w:hAnsiTheme="minorEastAsia" w:eastAsiaTheme="minorEastAsia" w:cstheme="minorEastAsia"/>
          <w:sz w:val="32"/>
          <w:szCs w:val="32"/>
          <w:lang w:val="en-US" w:eastAsia="zh-CN"/>
        </w:rPr>
        <w:t>无。</w:t>
      </w:r>
    </w:p>
    <w:p>
      <w:pPr>
        <w:keepNext w:val="0"/>
        <w:keepLines w:val="0"/>
        <w:pageBreakBefore w:val="0"/>
        <w:kinsoku/>
        <w:wordWrap/>
        <w:overflowPunct/>
        <w:topLinePunct w:val="0"/>
        <w:bidi w:val="0"/>
        <w:spacing w:line="580" w:lineRule="exact"/>
        <w:ind w:right="-1100" w:rightChars="-500"/>
        <w:textAlignment w:val="auto"/>
        <w:rPr>
          <w:rFonts w:hint="default" w:ascii="黑体" w:eastAsia="黑体"/>
          <w:lang w:val="en-US" w:eastAsia="zh-CN"/>
        </w:rPr>
        <w:sectPr>
          <w:footerReference r:id="rId4" w:type="default"/>
          <w:pgSz w:w="11910" w:h="16840"/>
          <w:pgMar w:top="720" w:right="1290" w:bottom="720" w:left="1160" w:header="0" w:footer="1034" w:gutter="0"/>
          <w:pgNumType w:start="19"/>
          <w:cols w:space="720" w:num="1"/>
        </w:sectPr>
      </w:pPr>
      <w:r>
        <w:rPr>
          <w:rFonts w:hint="eastAsia" w:ascii="黑体" w:eastAsia="黑体"/>
          <w:lang w:val="en-US" w:eastAsia="zh-CN"/>
        </w:rPr>
        <w:t xml:space="preserve">              </w:t>
      </w:r>
    </w:p>
    <w:p>
      <w:pPr>
        <w:pStyle w:val="14"/>
        <w:spacing w:before="39"/>
        <w:ind w:left="1244"/>
      </w:pPr>
    </w:p>
    <w:p>
      <w:pPr>
        <w:pStyle w:val="14"/>
        <w:spacing w:before="39"/>
        <w:ind w:left="1244"/>
      </w:pPr>
      <w:r>
        <w:t>项目支出绩效评分表</w:t>
      </w:r>
    </w:p>
    <w:p>
      <w:pPr>
        <w:pStyle w:val="3"/>
        <w:spacing w:before="8"/>
        <w:rPr>
          <w:sz w:val="16"/>
        </w:rPr>
      </w:pPr>
    </w:p>
    <w:tbl>
      <w:tblPr>
        <w:tblStyle w:val="12"/>
        <w:tblW w:w="10480" w:type="dxa"/>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390"/>
        <w:gridCol w:w="978"/>
        <w:gridCol w:w="599"/>
        <w:gridCol w:w="1974"/>
        <w:gridCol w:w="710"/>
        <w:gridCol w:w="4002"/>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3" w:hRule="atLeast"/>
        </w:trPr>
        <w:tc>
          <w:tcPr>
            <w:tcW w:w="1148" w:type="dxa"/>
          </w:tcPr>
          <w:p>
            <w:pPr>
              <w:pStyle w:val="17"/>
              <w:spacing w:before="20"/>
              <w:ind w:left="3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一级</w:t>
            </w:r>
          </w:p>
          <w:p>
            <w:pPr>
              <w:pStyle w:val="17"/>
              <w:spacing w:before="43"/>
              <w:ind w:left="3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指标</w:t>
            </w:r>
          </w:p>
        </w:tc>
        <w:tc>
          <w:tcPr>
            <w:tcW w:w="1368" w:type="dxa"/>
            <w:gridSpan w:val="2"/>
          </w:tcPr>
          <w:p>
            <w:pPr>
              <w:pStyle w:val="17"/>
              <w:spacing w:before="176"/>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二级指标</w:t>
            </w:r>
          </w:p>
        </w:tc>
        <w:tc>
          <w:tcPr>
            <w:tcW w:w="599" w:type="dxa"/>
          </w:tcPr>
          <w:p>
            <w:pPr>
              <w:pStyle w:val="17"/>
              <w:spacing w:before="20"/>
              <w:ind w:left="19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w w:val="99"/>
                <w:sz w:val="21"/>
                <w:lang w:eastAsia="en-US"/>
                <w14:textFill>
                  <w14:solidFill>
                    <w14:schemeClr w14:val="tx1"/>
                  </w14:solidFill>
                </w14:textFill>
              </w:rPr>
              <w:t>分</w:t>
            </w:r>
          </w:p>
          <w:p>
            <w:pPr>
              <w:pStyle w:val="17"/>
              <w:spacing w:before="43"/>
              <w:ind w:left="19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w w:val="99"/>
                <w:sz w:val="21"/>
                <w:lang w:eastAsia="en-US"/>
                <w14:textFill>
                  <w14:solidFill>
                    <w14:schemeClr w14:val="tx1"/>
                  </w14:solidFill>
                </w14:textFill>
              </w:rPr>
              <w:t>值</w:t>
            </w:r>
          </w:p>
        </w:tc>
        <w:tc>
          <w:tcPr>
            <w:tcW w:w="1974" w:type="dxa"/>
          </w:tcPr>
          <w:p>
            <w:pPr>
              <w:pStyle w:val="17"/>
              <w:spacing w:before="176"/>
              <w:ind w:left="224" w:right="217"/>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三级指标</w:t>
            </w:r>
          </w:p>
        </w:tc>
        <w:tc>
          <w:tcPr>
            <w:tcW w:w="710" w:type="dxa"/>
          </w:tcPr>
          <w:p>
            <w:pPr>
              <w:pStyle w:val="17"/>
              <w:spacing w:before="176"/>
              <w:ind w:left="141"/>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分值</w:t>
            </w:r>
          </w:p>
        </w:tc>
        <w:tc>
          <w:tcPr>
            <w:tcW w:w="4002" w:type="dxa"/>
          </w:tcPr>
          <w:p>
            <w:pPr>
              <w:pStyle w:val="17"/>
              <w:spacing w:before="176"/>
              <w:ind w:left="1548" w:right="1542"/>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评分标准</w:t>
            </w:r>
          </w:p>
        </w:tc>
        <w:tc>
          <w:tcPr>
            <w:tcW w:w="679" w:type="dxa"/>
          </w:tcPr>
          <w:p>
            <w:pPr>
              <w:pStyle w:val="17"/>
              <w:spacing w:before="20"/>
              <w:ind w:left="125"/>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评价</w:t>
            </w:r>
          </w:p>
          <w:p>
            <w:pPr>
              <w:pStyle w:val="17"/>
              <w:spacing w:before="43"/>
              <w:ind w:left="125"/>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1148" w:type="dxa"/>
            <w:vMerge w:val="restart"/>
          </w:tcPr>
          <w:p>
            <w:pPr>
              <w:pStyle w:val="17"/>
              <w:rPr>
                <w:color w:val="000000" w:themeColor="text1"/>
                <w:sz w:val="20"/>
                <w:lang w:eastAsia="en-US"/>
                <w14:textFill>
                  <w14:solidFill>
                    <w14:schemeClr w14:val="tx1"/>
                  </w14:solidFill>
                </w14:textFill>
              </w:rPr>
            </w:pPr>
          </w:p>
          <w:p>
            <w:pPr>
              <w:pStyle w:val="17"/>
              <w:rPr>
                <w:color w:val="000000" w:themeColor="text1"/>
                <w:sz w:val="20"/>
                <w:lang w:eastAsia="en-US"/>
                <w14:textFill>
                  <w14:solidFill>
                    <w14:schemeClr w14:val="tx1"/>
                  </w14:solidFill>
                </w14:textFill>
              </w:rPr>
            </w:pPr>
          </w:p>
          <w:p>
            <w:pPr>
              <w:pStyle w:val="17"/>
              <w:rPr>
                <w:color w:val="000000" w:themeColor="text1"/>
                <w:sz w:val="20"/>
                <w:lang w:eastAsia="en-US"/>
                <w14:textFill>
                  <w14:solidFill>
                    <w14:schemeClr w14:val="tx1"/>
                  </w14:solidFill>
                </w14:textFill>
              </w:rPr>
            </w:pPr>
          </w:p>
          <w:p>
            <w:pPr>
              <w:pStyle w:val="17"/>
              <w:spacing w:before="172"/>
              <w:ind w:left="74" w:right="69"/>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决策</w:t>
            </w:r>
          </w:p>
          <w:p>
            <w:pPr>
              <w:pStyle w:val="17"/>
              <w:spacing w:before="6"/>
              <w:rPr>
                <w:color w:val="000000" w:themeColor="text1"/>
                <w:sz w:val="16"/>
                <w:lang w:eastAsia="en-US"/>
                <w14:textFill>
                  <w14:solidFill>
                    <w14:schemeClr w14:val="tx1"/>
                  </w14:solidFill>
                </w14:textFill>
              </w:rPr>
            </w:pPr>
          </w:p>
          <w:p>
            <w:pPr>
              <w:pStyle w:val="17"/>
              <w:ind w:left="77" w:right="69"/>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（15 分）</w:t>
            </w:r>
          </w:p>
        </w:tc>
        <w:tc>
          <w:tcPr>
            <w:tcW w:w="1368" w:type="dxa"/>
            <w:gridSpan w:val="2"/>
            <w:vMerge w:val="restart"/>
          </w:tcPr>
          <w:p>
            <w:pPr>
              <w:pStyle w:val="17"/>
              <w:spacing w:before="11"/>
              <w:rPr>
                <w:color w:val="000000" w:themeColor="text1"/>
                <w:lang w:eastAsia="en-US"/>
                <w14:textFill>
                  <w14:solidFill>
                    <w14:schemeClr w14:val="tx1"/>
                  </w14:solidFill>
                </w14:textFill>
              </w:rPr>
            </w:pPr>
          </w:p>
          <w:p>
            <w:pPr>
              <w:pStyle w:val="17"/>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项目立项</w:t>
            </w:r>
          </w:p>
        </w:tc>
        <w:tc>
          <w:tcPr>
            <w:tcW w:w="599" w:type="dxa"/>
            <w:vMerge w:val="restart"/>
            <w:vAlign w:val="top"/>
          </w:tcPr>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p>
            <w:pPr>
              <w:pStyle w:val="17"/>
              <w:rPr>
                <w:rFonts w:ascii="Times New Roman"/>
                <w:color w:val="000000" w:themeColor="text1"/>
                <w:sz w:val="20"/>
                <w:lang w:eastAsia="en-US"/>
                <w14:textFill>
                  <w14:solidFill>
                    <w14:schemeClr w14:val="tx1"/>
                  </w14:solidFill>
                </w14:textFill>
              </w:rPr>
            </w:pPr>
          </w:p>
        </w:tc>
        <w:tc>
          <w:tcPr>
            <w:tcW w:w="1974" w:type="dxa"/>
            <w:vAlign w:val="top"/>
          </w:tcPr>
          <w:p>
            <w:pPr>
              <w:pStyle w:val="17"/>
              <w:spacing w:before="87"/>
              <w:ind w:left="224" w:right="219"/>
              <w:jc w:val="center"/>
              <w:rPr>
                <w:rFonts w:hint="eastAsia" w:ascii="黑体" w:hAnsi="黑体" w:eastAsia="黑体" w:cs="黑体"/>
                <w:sz w:val="21"/>
                <w:szCs w:val="21"/>
                <w:lang w:eastAsia="en-US"/>
              </w:rPr>
            </w:pPr>
          </w:p>
          <w:p>
            <w:pPr>
              <w:pStyle w:val="17"/>
              <w:spacing w:before="87"/>
              <w:ind w:left="224" w:leftChars="0" w:right="219" w:rightChars="0"/>
              <w:jc w:val="center"/>
              <w:rPr>
                <w:rFonts w:ascii="黑体" w:eastAsia="黑体"/>
                <w:color w:val="000000" w:themeColor="text1"/>
                <w:sz w:val="21"/>
                <w:lang w:eastAsia="en-US"/>
                <w14:textFill>
                  <w14:solidFill>
                    <w14:schemeClr w14:val="tx1"/>
                  </w14:solidFill>
                </w14:textFill>
              </w:rPr>
            </w:pPr>
            <w:r>
              <w:rPr>
                <w:rFonts w:hint="eastAsia" w:ascii="黑体" w:hAnsi="黑体" w:eastAsia="黑体" w:cs="黑体"/>
                <w:sz w:val="21"/>
                <w:szCs w:val="21"/>
                <w:lang w:eastAsia="en-US"/>
              </w:rPr>
              <w:t>立项依据充分性</w:t>
            </w:r>
          </w:p>
        </w:tc>
        <w:tc>
          <w:tcPr>
            <w:tcW w:w="710" w:type="dxa"/>
            <w:vAlign w:val="top"/>
          </w:tcPr>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2</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①项目活动专项经费申报有依据，有政府抄告单（或财政答复意见）；②申请经费报告有领导批示；③项目活动开展有领导班子集体研究。</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4"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599"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974" w:type="dxa"/>
            <w:vAlign w:val="top"/>
          </w:tcPr>
          <w:p>
            <w:pPr>
              <w:pStyle w:val="17"/>
              <w:spacing w:before="64"/>
              <w:ind w:left="224" w:right="219"/>
              <w:jc w:val="center"/>
              <w:rPr>
                <w:rFonts w:hint="eastAsia" w:ascii="黑体" w:hAnsi="黑体" w:eastAsia="黑体" w:cs="黑体"/>
                <w:sz w:val="21"/>
                <w:szCs w:val="21"/>
                <w:lang w:eastAsia="en-US"/>
              </w:rPr>
            </w:pPr>
          </w:p>
          <w:p>
            <w:pPr>
              <w:pStyle w:val="17"/>
              <w:spacing w:before="64"/>
              <w:ind w:left="224" w:leftChars="0" w:right="219" w:rightChars="0"/>
              <w:jc w:val="center"/>
              <w:rPr>
                <w:rFonts w:ascii="黑体" w:eastAsia="黑体"/>
                <w:color w:val="000000" w:themeColor="text1"/>
                <w:sz w:val="21"/>
                <w:lang w:eastAsia="en-US"/>
                <w14:textFill>
                  <w14:solidFill>
                    <w14:schemeClr w14:val="tx1"/>
                  </w14:solidFill>
                </w14:textFill>
              </w:rPr>
            </w:pPr>
            <w:r>
              <w:rPr>
                <w:rFonts w:hint="eastAsia" w:ascii="黑体" w:hAnsi="黑体" w:eastAsia="黑体" w:cs="黑体"/>
                <w:sz w:val="21"/>
                <w:szCs w:val="21"/>
                <w:lang w:eastAsia="en-US"/>
              </w:rPr>
              <w:t>立项程序规范性</w:t>
            </w:r>
          </w:p>
        </w:tc>
        <w:tc>
          <w:tcPr>
            <w:tcW w:w="710" w:type="dxa"/>
            <w:vAlign w:val="top"/>
          </w:tcPr>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3</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vMerge w:val="restart"/>
          </w:tcPr>
          <w:p>
            <w:pPr>
              <w:pStyle w:val="17"/>
              <w:rPr>
                <w:color w:val="000000" w:themeColor="text1"/>
                <w:sz w:val="24"/>
                <w:lang w:eastAsia="en-US"/>
                <w14:textFill>
                  <w14:solidFill>
                    <w14:schemeClr w14:val="tx1"/>
                  </w14:solidFill>
                </w14:textFill>
              </w:rPr>
            </w:pPr>
          </w:p>
          <w:p>
            <w:pPr>
              <w:pStyle w:val="17"/>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绩效目标</w:t>
            </w:r>
          </w:p>
        </w:tc>
        <w:tc>
          <w:tcPr>
            <w:tcW w:w="599" w:type="dxa"/>
            <w:vMerge w:val="restart"/>
            <w:vAlign w:val="top"/>
          </w:tcPr>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p>
            <w:pPr>
              <w:pStyle w:val="17"/>
              <w:rPr>
                <w:rFonts w:ascii="Times New Roman"/>
                <w:color w:val="000000" w:themeColor="text1"/>
                <w:sz w:val="20"/>
                <w:lang w:eastAsia="en-US"/>
                <w14:textFill>
                  <w14:solidFill>
                    <w14:schemeClr w14:val="tx1"/>
                  </w14:solidFill>
                </w14:textFill>
              </w:rPr>
            </w:pPr>
          </w:p>
        </w:tc>
        <w:tc>
          <w:tcPr>
            <w:tcW w:w="1974" w:type="dxa"/>
            <w:vAlign w:val="top"/>
          </w:tcPr>
          <w:p>
            <w:pPr>
              <w:pStyle w:val="17"/>
              <w:spacing w:before="63"/>
              <w:ind w:left="224" w:right="219"/>
              <w:jc w:val="center"/>
              <w:rPr>
                <w:rFonts w:hint="eastAsia" w:ascii="黑体" w:hAnsi="黑体" w:eastAsia="黑体" w:cs="黑体"/>
                <w:sz w:val="21"/>
                <w:szCs w:val="21"/>
                <w:lang w:eastAsia="en-US"/>
              </w:rPr>
            </w:pPr>
          </w:p>
          <w:p>
            <w:pPr>
              <w:pStyle w:val="17"/>
              <w:spacing w:before="63"/>
              <w:ind w:left="224" w:leftChars="0" w:right="219" w:rightChars="0"/>
              <w:jc w:val="center"/>
              <w:rPr>
                <w:rFonts w:ascii="黑体" w:eastAsia="黑体"/>
                <w:color w:val="000000" w:themeColor="text1"/>
                <w:sz w:val="21"/>
                <w:lang w:eastAsia="en-US"/>
                <w14:textFill>
                  <w14:solidFill>
                    <w14:schemeClr w14:val="tx1"/>
                  </w14:solidFill>
                </w14:textFill>
              </w:rPr>
            </w:pPr>
            <w:r>
              <w:rPr>
                <w:rFonts w:hint="eastAsia" w:ascii="黑体" w:hAnsi="黑体" w:eastAsia="黑体" w:cs="黑体"/>
                <w:sz w:val="21"/>
                <w:szCs w:val="21"/>
                <w:lang w:eastAsia="en-US"/>
              </w:rPr>
              <w:t>绩效目标合理性</w:t>
            </w:r>
          </w:p>
        </w:tc>
        <w:tc>
          <w:tcPr>
            <w:tcW w:w="710" w:type="dxa"/>
            <w:vAlign w:val="top"/>
          </w:tcPr>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2</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①是否与项目年度任务数或计划数相对应；②是否与预算确定的项目投资额或资金量相匹配。一项不符合扣一分，严重的此项完全不得分。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599"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974" w:type="dxa"/>
            <w:vAlign w:val="top"/>
          </w:tcPr>
          <w:p>
            <w:pPr>
              <w:pStyle w:val="17"/>
              <w:spacing w:before="103"/>
              <w:ind w:left="224" w:right="219"/>
              <w:jc w:val="center"/>
              <w:rPr>
                <w:rFonts w:hint="eastAsia" w:ascii="黑体" w:hAnsi="黑体" w:eastAsia="黑体" w:cs="黑体"/>
                <w:sz w:val="21"/>
                <w:szCs w:val="21"/>
                <w:lang w:eastAsia="en-US"/>
              </w:rPr>
            </w:pPr>
          </w:p>
          <w:p>
            <w:pPr>
              <w:pStyle w:val="17"/>
              <w:spacing w:before="103"/>
              <w:ind w:left="224" w:leftChars="0" w:right="219" w:rightChars="0"/>
              <w:jc w:val="center"/>
              <w:rPr>
                <w:rFonts w:ascii="黑体" w:eastAsia="黑体"/>
                <w:color w:val="000000" w:themeColor="text1"/>
                <w:sz w:val="21"/>
                <w:lang w:eastAsia="en-US"/>
                <w14:textFill>
                  <w14:solidFill>
                    <w14:schemeClr w14:val="tx1"/>
                  </w14:solidFill>
                </w14:textFill>
              </w:rPr>
            </w:pPr>
            <w:r>
              <w:rPr>
                <w:rFonts w:hint="eastAsia" w:ascii="黑体" w:hAnsi="黑体" w:eastAsia="黑体" w:cs="黑体"/>
                <w:sz w:val="21"/>
                <w:szCs w:val="21"/>
                <w:lang w:eastAsia="en-US"/>
              </w:rPr>
              <w:t>绩效指标明确性</w:t>
            </w:r>
          </w:p>
        </w:tc>
        <w:tc>
          <w:tcPr>
            <w:tcW w:w="710" w:type="dxa"/>
            <w:vAlign w:val="top"/>
          </w:tcPr>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3</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①是否将项目绩效目标细化分解为具体的绩效指标；②是否通过清晰、可衡量的指标值予以体现一项不符合扣一分，严重的此项完全不得分。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9"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vMerge w:val="restart"/>
          </w:tcPr>
          <w:p>
            <w:pPr>
              <w:pStyle w:val="17"/>
              <w:spacing w:before="10"/>
              <w:rPr>
                <w:color w:val="000000" w:themeColor="text1"/>
                <w:lang w:eastAsia="en-US"/>
                <w14:textFill>
                  <w14:solidFill>
                    <w14:schemeClr w14:val="tx1"/>
                  </w14:solidFill>
                </w14:textFill>
              </w:rPr>
            </w:pPr>
          </w:p>
          <w:p>
            <w:pPr>
              <w:pStyle w:val="17"/>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资金投入</w:t>
            </w:r>
          </w:p>
        </w:tc>
        <w:tc>
          <w:tcPr>
            <w:tcW w:w="599" w:type="dxa"/>
            <w:vMerge w:val="restart"/>
            <w:vAlign w:val="top"/>
          </w:tcPr>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p>
            <w:pPr>
              <w:pStyle w:val="17"/>
              <w:rPr>
                <w:rFonts w:ascii="Times New Roman"/>
                <w:color w:val="000000" w:themeColor="text1"/>
                <w:sz w:val="20"/>
                <w:lang w:eastAsia="en-US"/>
                <w14:textFill>
                  <w14:solidFill>
                    <w14:schemeClr w14:val="tx1"/>
                  </w14:solidFill>
                </w14:textFill>
              </w:rPr>
            </w:pPr>
          </w:p>
        </w:tc>
        <w:tc>
          <w:tcPr>
            <w:tcW w:w="1974" w:type="dxa"/>
            <w:vAlign w:val="top"/>
          </w:tcPr>
          <w:p>
            <w:pPr>
              <w:pStyle w:val="17"/>
              <w:spacing w:before="86"/>
              <w:ind w:left="224" w:right="219"/>
              <w:jc w:val="center"/>
              <w:rPr>
                <w:rFonts w:hint="eastAsia" w:ascii="黑体" w:hAnsi="黑体" w:eastAsia="黑体" w:cs="黑体"/>
                <w:sz w:val="21"/>
                <w:szCs w:val="21"/>
                <w:lang w:eastAsia="en-US"/>
              </w:rPr>
            </w:pPr>
          </w:p>
          <w:p>
            <w:pPr>
              <w:pStyle w:val="17"/>
              <w:spacing w:before="86"/>
              <w:ind w:left="224" w:leftChars="0" w:right="219" w:rightChars="0"/>
              <w:jc w:val="center"/>
              <w:rPr>
                <w:rFonts w:ascii="黑体" w:eastAsia="黑体"/>
                <w:color w:val="000000" w:themeColor="text1"/>
                <w:sz w:val="21"/>
                <w:lang w:eastAsia="en-US"/>
                <w14:textFill>
                  <w14:solidFill>
                    <w14:schemeClr w14:val="tx1"/>
                  </w14:solidFill>
                </w14:textFill>
              </w:rPr>
            </w:pPr>
            <w:r>
              <w:rPr>
                <w:rFonts w:hint="eastAsia" w:ascii="黑体" w:hAnsi="黑体" w:eastAsia="黑体" w:cs="黑体"/>
                <w:sz w:val="21"/>
                <w:szCs w:val="21"/>
                <w:lang w:eastAsia="en-US"/>
              </w:rPr>
              <w:t>预算编制科学性</w:t>
            </w:r>
          </w:p>
        </w:tc>
        <w:tc>
          <w:tcPr>
            <w:tcW w:w="710" w:type="dxa"/>
            <w:vAlign w:val="top"/>
          </w:tcPr>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2</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①预算编制符合“量力为出，收支平衡”原则，②科学测算各项收入、支出明确列示相关测算方法和依据。</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7"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599"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974" w:type="dxa"/>
            <w:vAlign w:val="top"/>
          </w:tcPr>
          <w:p>
            <w:pPr>
              <w:pStyle w:val="17"/>
              <w:spacing w:before="63"/>
              <w:ind w:left="224" w:right="219"/>
              <w:jc w:val="center"/>
              <w:rPr>
                <w:rFonts w:hint="eastAsia" w:ascii="黑体" w:hAnsi="黑体" w:eastAsia="黑体" w:cs="黑体"/>
                <w:sz w:val="21"/>
                <w:szCs w:val="21"/>
                <w:lang w:eastAsia="en-US"/>
              </w:rPr>
            </w:pPr>
          </w:p>
          <w:p>
            <w:pPr>
              <w:pStyle w:val="17"/>
              <w:spacing w:before="63"/>
              <w:ind w:left="224" w:right="219"/>
              <w:jc w:val="center"/>
              <w:rPr>
                <w:rFonts w:hint="eastAsia" w:ascii="黑体" w:hAnsi="黑体" w:eastAsia="黑体" w:cs="黑体"/>
                <w:sz w:val="21"/>
                <w:szCs w:val="21"/>
                <w:lang w:eastAsia="en-US"/>
              </w:rPr>
            </w:pPr>
          </w:p>
          <w:p>
            <w:pPr>
              <w:pStyle w:val="17"/>
              <w:spacing w:before="63"/>
              <w:ind w:left="224" w:leftChars="0" w:right="219" w:rightChars="0"/>
              <w:jc w:val="center"/>
              <w:rPr>
                <w:rFonts w:ascii="黑体" w:eastAsia="黑体"/>
                <w:color w:val="000000" w:themeColor="text1"/>
                <w:sz w:val="21"/>
                <w:lang w:eastAsia="en-US"/>
                <w14:textFill>
                  <w14:solidFill>
                    <w14:schemeClr w14:val="tx1"/>
                  </w14:solidFill>
                </w14:textFill>
              </w:rPr>
            </w:pPr>
            <w:r>
              <w:rPr>
                <w:rFonts w:hint="eastAsia" w:ascii="黑体" w:hAnsi="黑体" w:eastAsia="黑体" w:cs="黑体"/>
                <w:sz w:val="21"/>
                <w:szCs w:val="21"/>
                <w:lang w:eastAsia="en-US"/>
              </w:rPr>
              <w:t>资金分配合理性</w:t>
            </w:r>
          </w:p>
        </w:tc>
        <w:tc>
          <w:tcPr>
            <w:tcW w:w="710" w:type="dxa"/>
            <w:vAlign w:val="top"/>
          </w:tcPr>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3</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8" w:hRule="atLeast"/>
        </w:trPr>
        <w:tc>
          <w:tcPr>
            <w:tcW w:w="1148" w:type="dxa"/>
            <w:vMerge w:val="restart"/>
          </w:tcPr>
          <w:p>
            <w:pPr>
              <w:pStyle w:val="17"/>
              <w:rPr>
                <w:color w:val="000000" w:themeColor="text1"/>
                <w:sz w:val="20"/>
                <w:lang w:eastAsia="en-US"/>
                <w14:textFill>
                  <w14:solidFill>
                    <w14:schemeClr w14:val="tx1"/>
                  </w14:solidFill>
                </w14:textFill>
              </w:rPr>
            </w:pPr>
          </w:p>
          <w:p>
            <w:pPr>
              <w:pStyle w:val="17"/>
              <w:rPr>
                <w:color w:val="000000" w:themeColor="text1"/>
                <w:sz w:val="20"/>
                <w:lang w:eastAsia="en-US"/>
                <w14:textFill>
                  <w14:solidFill>
                    <w14:schemeClr w14:val="tx1"/>
                  </w14:solidFill>
                </w14:textFill>
              </w:rPr>
            </w:pPr>
          </w:p>
          <w:p>
            <w:pPr>
              <w:pStyle w:val="17"/>
              <w:spacing w:before="130" w:line="255" w:lineRule="exact"/>
              <w:ind w:left="74" w:right="69"/>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过程</w:t>
            </w:r>
          </w:p>
          <w:p>
            <w:pPr>
              <w:pStyle w:val="17"/>
              <w:spacing w:line="255" w:lineRule="exact"/>
              <w:ind w:left="77" w:right="69"/>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（15 分）</w:t>
            </w:r>
          </w:p>
        </w:tc>
        <w:tc>
          <w:tcPr>
            <w:tcW w:w="1368" w:type="dxa"/>
            <w:gridSpan w:val="2"/>
            <w:vMerge w:val="restart"/>
          </w:tcPr>
          <w:p>
            <w:pPr>
              <w:pStyle w:val="17"/>
              <w:rPr>
                <w:color w:val="000000" w:themeColor="text1"/>
                <w:sz w:val="20"/>
                <w:lang w:eastAsia="en-US"/>
                <w14:textFill>
                  <w14:solidFill>
                    <w14:schemeClr w14:val="tx1"/>
                  </w14:solidFill>
                </w14:textFill>
              </w:rPr>
            </w:pPr>
          </w:p>
          <w:p>
            <w:pPr>
              <w:pStyle w:val="17"/>
              <w:spacing w:before="175"/>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资金管理</w:t>
            </w:r>
          </w:p>
        </w:tc>
        <w:tc>
          <w:tcPr>
            <w:tcW w:w="599" w:type="dxa"/>
            <w:vMerge w:val="restart"/>
            <w:vAlign w:val="top"/>
          </w:tcPr>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p>
            <w:pPr>
              <w:pStyle w:val="17"/>
              <w:rPr>
                <w:rFonts w:ascii="Times New Roman"/>
                <w:color w:val="000000" w:themeColor="text1"/>
                <w:sz w:val="20"/>
                <w:lang w:eastAsia="en-US"/>
                <w14:textFill>
                  <w14:solidFill>
                    <w14:schemeClr w14:val="tx1"/>
                  </w14:solidFill>
                </w14:textFill>
              </w:rPr>
            </w:pPr>
          </w:p>
        </w:tc>
        <w:tc>
          <w:tcPr>
            <w:tcW w:w="1974" w:type="dxa"/>
            <w:vAlign w:val="top"/>
          </w:tcPr>
          <w:p>
            <w:pPr>
              <w:pStyle w:val="17"/>
              <w:spacing w:before="38"/>
              <w:ind w:left="224" w:right="217"/>
              <w:jc w:val="center"/>
              <w:rPr>
                <w:rFonts w:hint="eastAsia" w:ascii="黑体" w:hAnsi="黑体" w:eastAsia="黑体" w:cs="黑体"/>
                <w:sz w:val="21"/>
                <w:szCs w:val="21"/>
                <w:lang w:eastAsia="en-US"/>
              </w:rPr>
            </w:pPr>
          </w:p>
          <w:p>
            <w:pPr>
              <w:pStyle w:val="17"/>
              <w:spacing w:before="38"/>
              <w:ind w:left="224" w:right="217"/>
              <w:jc w:val="center"/>
              <w:rPr>
                <w:rFonts w:hint="eastAsia" w:ascii="黑体" w:hAnsi="黑体" w:eastAsia="黑体" w:cs="黑体"/>
                <w:sz w:val="21"/>
                <w:szCs w:val="21"/>
                <w:lang w:eastAsia="en-US"/>
              </w:rPr>
            </w:pPr>
          </w:p>
          <w:p>
            <w:pPr>
              <w:pStyle w:val="17"/>
              <w:spacing w:before="38"/>
              <w:ind w:left="224" w:right="217"/>
              <w:jc w:val="center"/>
              <w:rPr>
                <w:rFonts w:hint="eastAsia" w:ascii="黑体" w:hAnsi="黑体" w:eastAsia="黑体" w:cs="黑体"/>
                <w:sz w:val="21"/>
                <w:szCs w:val="21"/>
                <w:lang w:eastAsia="en-US"/>
              </w:rPr>
            </w:pPr>
          </w:p>
          <w:p>
            <w:pPr>
              <w:pStyle w:val="17"/>
              <w:spacing w:before="38"/>
              <w:ind w:left="224" w:leftChars="0" w:right="217" w:rightChars="0"/>
              <w:jc w:val="center"/>
              <w:rPr>
                <w:rFonts w:ascii="黑体" w:eastAsia="黑体"/>
                <w:color w:val="000000" w:themeColor="text1"/>
                <w:sz w:val="21"/>
                <w:lang w:eastAsia="en-US"/>
                <w14:textFill>
                  <w14:solidFill>
                    <w14:schemeClr w14:val="tx1"/>
                  </w14:solidFill>
                </w14:textFill>
              </w:rPr>
            </w:pPr>
            <w:r>
              <w:rPr>
                <w:rFonts w:hint="eastAsia" w:ascii="黑体" w:hAnsi="黑体" w:eastAsia="黑体" w:cs="黑体"/>
                <w:sz w:val="21"/>
                <w:szCs w:val="21"/>
                <w:lang w:eastAsia="en-US"/>
              </w:rPr>
              <w:t>资金到位率</w:t>
            </w:r>
          </w:p>
        </w:tc>
        <w:tc>
          <w:tcPr>
            <w:tcW w:w="710" w:type="dxa"/>
            <w:vAlign w:val="top"/>
          </w:tcPr>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5</w:t>
            </w:r>
          </w:p>
        </w:tc>
        <w:tc>
          <w:tcPr>
            <w:tcW w:w="4002" w:type="dxa"/>
            <w:vAlign w:val="top"/>
          </w:tcPr>
          <w:p>
            <w:pPr>
              <w:widowControl/>
              <w:autoSpaceDE w:val="0"/>
              <w:autoSpaceDN w:val="0"/>
              <w:spacing w:line="240" w:lineRule="exact"/>
              <w:rPr>
                <w:rFonts w:hint="eastAsia" w:ascii="黑体" w:hAnsi="黑体" w:eastAsia="黑体" w:cs="黑体"/>
                <w:color w:val="000000" w:themeColor="text1"/>
                <w:sz w:val="21"/>
                <w:szCs w:val="21"/>
                <w:lang w:val="en-US" w:eastAsia="en-US" w:bidi="ar-SA"/>
                <w14:textFill>
                  <w14:solidFill>
                    <w14:schemeClr w14:val="tx1"/>
                  </w14:solidFill>
                </w14:textFill>
              </w:rPr>
            </w:pPr>
            <w:r>
              <w:rPr>
                <w:rFonts w:hint="eastAsia" w:ascii="黑体" w:hAnsi="黑体" w:eastAsia="黑体" w:cs="黑体"/>
                <w:color w:val="000000"/>
                <w:kern w:val="0"/>
                <w:sz w:val="21"/>
                <w:szCs w:val="21"/>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kern w:val="0"/>
                <w:sz w:val="21"/>
                <w:szCs w:val="21"/>
                <w:lang w:val="en-US" w:eastAsia="zh-CN"/>
              </w:rPr>
              <w:t>拨付及时。</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3"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599"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974" w:type="dxa"/>
            <w:vAlign w:val="top"/>
          </w:tcPr>
          <w:p>
            <w:pPr>
              <w:pStyle w:val="17"/>
              <w:spacing w:before="37"/>
              <w:ind w:left="224" w:right="217"/>
              <w:jc w:val="center"/>
              <w:rPr>
                <w:rFonts w:hint="eastAsia" w:ascii="黑体" w:hAnsi="黑体" w:eastAsia="黑体" w:cs="黑体"/>
                <w:sz w:val="21"/>
                <w:szCs w:val="21"/>
                <w:lang w:eastAsia="en-US"/>
              </w:rPr>
            </w:pPr>
          </w:p>
          <w:p>
            <w:pPr>
              <w:pStyle w:val="17"/>
              <w:spacing w:before="37"/>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预算执行率</w:t>
            </w:r>
          </w:p>
          <w:p>
            <w:pPr>
              <w:pStyle w:val="17"/>
              <w:spacing w:before="37"/>
              <w:ind w:left="224" w:leftChars="0" w:right="217" w:rightChars="0"/>
              <w:jc w:val="center"/>
              <w:rPr>
                <w:rFonts w:ascii="黑体" w:eastAsia="黑体"/>
                <w:color w:val="000000" w:themeColor="text1"/>
                <w:sz w:val="21"/>
                <w:lang w:eastAsia="en-US"/>
                <w14:textFill>
                  <w14:solidFill>
                    <w14:schemeClr w14:val="tx1"/>
                  </w14:solidFill>
                </w14:textFill>
              </w:rPr>
            </w:pPr>
          </w:p>
        </w:tc>
        <w:tc>
          <w:tcPr>
            <w:tcW w:w="710" w:type="dxa"/>
            <w:vAlign w:val="top"/>
          </w:tcPr>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3</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（实际下拨资金/应下拨资金）X100%。每降低10%扣1分，低于60%不得分。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599"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974" w:type="dxa"/>
            <w:vAlign w:val="top"/>
          </w:tcPr>
          <w:p>
            <w:pPr>
              <w:pStyle w:val="17"/>
              <w:spacing w:before="71"/>
              <w:ind w:left="224" w:right="219"/>
              <w:jc w:val="center"/>
              <w:rPr>
                <w:rFonts w:hint="eastAsia" w:ascii="黑体" w:hAnsi="黑体" w:eastAsia="黑体" w:cs="黑体"/>
                <w:sz w:val="21"/>
                <w:szCs w:val="21"/>
                <w:lang w:eastAsia="en-US"/>
              </w:rPr>
            </w:pPr>
          </w:p>
          <w:p>
            <w:pPr>
              <w:pStyle w:val="17"/>
              <w:spacing w:before="71"/>
              <w:ind w:left="224" w:leftChars="0" w:right="219" w:rightChars="0"/>
              <w:jc w:val="center"/>
              <w:rPr>
                <w:rFonts w:ascii="黑体" w:eastAsia="黑体"/>
                <w:color w:val="000000" w:themeColor="text1"/>
                <w:sz w:val="21"/>
                <w:lang w:eastAsia="en-US"/>
                <w14:textFill>
                  <w14:solidFill>
                    <w14:schemeClr w14:val="tx1"/>
                  </w14:solidFill>
                </w14:textFill>
              </w:rPr>
            </w:pPr>
            <w:r>
              <w:rPr>
                <w:rFonts w:hint="eastAsia" w:ascii="黑体" w:hAnsi="黑体" w:eastAsia="黑体" w:cs="黑体"/>
                <w:sz w:val="21"/>
                <w:szCs w:val="21"/>
                <w:lang w:eastAsia="en-US"/>
              </w:rPr>
              <w:t>资金使用合规性</w:t>
            </w:r>
          </w:p>
        </w:tc>
        <w:tc>
          <w:tcPr>
            <w:tcW w:w="710" w:type="dxa"/>
            <w:vAlign w:val="top"/>
          </w:tcPr>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2</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①是否符合项目预算批复或合同规定的用途；②是否存在截留、挤占、挪用等情况。一项不符合扣一分，严重的此项完全不得分。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vMerge w:val="restart"/>
          </w:tcPr>
          <w:p>
            <w:pPr>
              <w:pStyle w:val="17"/>
              <w:spacing w:before="12"/>
              <w:rPr>
                <w:color w:val="000000" w:themeColor="text1"/>
                <w:sz w:val="23"/>
                <w:lang w:eastAsia="en-US"/>
                <w14:textFill>
                  <w14:solidFill>
                    <w14:schemeClr w14:val="tx1"/>
                  </w14:solidFill>
                </w14:textFill>
              </w:rPr>
            </w:pPr>
          </w:p>
          <w:p>
            <w:pPr>
              <w:pStyle w:val="17"/>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组织实施</w:t>
            </w:r>
          </w:p>
        </w:tc>
        <w:tc>
          <w:tcPr>
            <w:tcW w:w="599" w:type="dxa"/>
            <w:vMerge w:val="restart"/>
            <w:vAlign w:val="top"/>
          </w:tcPr>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zh-CN"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p>
            <w:pPr>
              <w:pStyle w:val="17"/>
              <w:rPr>
                <w:rFonts w:ascii="Times New Roman"/>
                <w:color w:val="000000" w:themeColor="text1"/>
                <w:sz w:val="20"/>
                <w:lang w:eastAsia="en-US"/>
                <w14:textFill>
                  <w14:solidFill>
                    <w14:schemeClr w14:val="tx1"/>
                  </w14:solidFill>
                </w14:textFill>
              </w:rPr>
            </w:pPr>
          </w:p>
        </w:tc>
        <w:tc>
          <w:tcPr>
            <w:tcW w:w="1974" w:type="dxa"/>
            <w:vAlign w:val="top"/>
          </w:tcPr>
          <w:p>
            <w:pPr>
              <w:pStyle w:val="17"/>
              <w:spacing w:before="93"/>
              <w:ind w:left="224" w:leftChars="0" w:right="219" w:rightChars="0"/>
              <w:jc w:val="center"/>
              <w:rPr>
                <w:rFonts w:ascii="黑体" w:eastAsia="黑体"/>
                <w:color w:val="000000" w:themeColor="text1"/>
                <w:sz w:val="21"/>
                <w:lang w:eastAsia="en-US"/>
                <w14:textFill>
                  <w14:solidFill>
                    <w14:schemeClr w14:val="tx1"/>
                  </w14:solidFill>
                </w14:textFill>
              </w:rPr>
            </w:pPr>
            <w:r>
              <w:rPr>
                <w:rFonts w:hint="eastAsia" w:ascii="黑体" w:hAnsi="黑体" w:eastAsia="黑体" w:cs="黑体"/>
                <w:sz w:val="21"/>
                <w:szCs w:val="21"/>
                <w:lang w:eastAsia="en-US"/>
              </w:rPr>
              <w:t>管理制度健全性</w:t>
            </w:r>
          </w:p>
        </w:tc>
        <w:tc>
          <w:tcPr>
            <w:tcW w:w="710" w:type="dxa"/>
            <w:vAlign w:val="top"/>
          </w:tcPr>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2</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制定专项资金管理办法的规定。</w:t>
            </w:r>
          </w:p>
        </w:tc>
        <w:tc>
          <w:tcPr>
            <w:tcW w:w="679" w:type="dxa"/>
            <w:vAlign w:val="top"/>
          </w:tcPr>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92"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599"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974" w:type="dxa"/>
            <w:vAlign w:val="top"/>
          </w:tcPr>
          <w:p>
            <w:pPr>
              <w:pStyle w:val="17"/>
              <w:spacing w:before="70"/>
              <w:ind w:left="224" w:right="219"/>
              <w:jc w:val="center"/>
              <w:rPr>
                <w:rFonts w:hint="eastAsia" w:ascii="黑体" w:hAnsi="黑体" w:eastAsia="黑体" w:cs="黑体"/>
                <w:sz w:val="21"/>
                <w:szCs w:val="21"/>
                <w:lang w:eastAsia="en-US"/>
              </w:rPr>
            </w:pPr>
          </w:p>
          <w:p>
            <w:pPr>
              <w:pStyle w:val="17"/>
              <w:spacing w:before="70"/>
              <w:ind w:left="224" w:leftChars="0" w:right="219" w:rightChars="0"/>
              <w:jc w:val="center"/>
              <w:rPr>
                <w:rFonts w:ascii="黑体" w:eastAsia="黑体"/>
                <w:color w:val="000000" w:themeColor="text1"/>
                <w:sz w:val="21"/>
                <w:lang w:eastAsia="en-US"/>
                <w14:textFill>
                  <w14:solidFill>
                    <w14:schemeClr w14:val="tx1"/>
                  </w14:solidFill>
                </w14:textFill>
              </w:rPr>
            </w:pPr>
            <w:r>
              <w:rPr>
                <w:rFonts w:hint="eastAsia" w:ascii="黑体" w:hAnsi="黑体" w:eastAsia="黑体" w:cs="黑体"/>
                <w:sz w:val="21"/>
                <w:szCs w:val="21"/>
                <w:lang w:eastAsia="en-US"/>
              </w:rPr>
              <w:t>制度执行有效性</w:t>
            </w:r>
          </w:p>
        </w:tc>
        <w:tc>
          <w:tcPr>
            <w:tcW w:w="710" w:type="dxa"/>
            <w:vAlign w:val="top"/>
          </w:tcPr>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sz w:val="21"/>
                <w:szCs w:val="21"/>
                <w:lang w:val="en-US" w:eastAsia="zh-CN"/>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3</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6" w:hRule="atLeast"/>
        </w:trPr>
        <w:tc>
          <w:tcPr>
            <w:tcW w:w="1148" w:type="dxa"/>
            <w:vMerge w:val="restart"/>
          </w:tcPr>
          <w:p>
            <w:pPr>
              <w:pStyle w:val="17"/>
              <w:rPr>
                <w:color w:val="000000" w:themeColor="text1"/>
                <w:sz w:val="20"/>
                <w:lang w:eastAsia="en-US"/>
                <w14:textFill>
                  <w14:solidFill>
                    <w14:schemeClr w14:val="tx1"/>
                  </w14:solidFill>
                </w14:textFill>
              </w:rPr>
            </w:pPr>
          </w:p>
          <w:p>
            <w:pPr>
              <w:pStyle w:val="17"/>
              <w:rPr>
                <w:color w:val="000000" w:themeColor="text1"/>
                <w:sz w:val="20"/>
                <w:lang w:eastAsia="en-US"/>
                <w14:textFill>
                  <w14:solidFill>
                    <w14:schemeClr w14:val="tx1"/>
                  </w14:solidFill>
                </w14:textFill>
              </w:rPr>
            </w:pPr>
          </w:p>
          <w:p>
            <w:pPr>
              <w:pStyle w:val="17"/>
              <w:spacing w:before="1"/>
              <w:rPr>
                <w:color w:val="000000" w:themeColor="text1"/>
                <w:lang w:eastAsia="en-US"/>
                <w14:textFill>
                  <w14:solidFill>
                    <w14:schemeClr w14:val="tx1"/>
                  </w14:solidFill>
                </w14:textFill>
              </w:rPr>
            </w:pPr>
          </w:p>
          <w:p>
            <w:pPr>
              <w:pStyle w:val="17"/>
              <w:spacing w:before="1" w:line="255" w:lineRule="exact"/>
              <w:ind w:left="74" w:right="69"/>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产出</w:t>
            </w:r>
          </w:p>
          <w:p>
            <w:pPr>
              <w:pStyle w:val="17"/>
              <w:spacing w:line="255" w:lineRule="exact"/>
              <w:ind w:left="77" w:right="69"/>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（35 分）</w:t>
            </w:r>
          </w:p>
        </w:tc>
        <w:tc>
          <w:tcPr>
            <w:tcW w:w="1368" w:type="dxa"/>
            <w:gridSpan w:val="2"/>
          </w:tcPr>
          <w:p>
            <w:pPr>
              <w:pStyle w:val="17"/>
              <w:spacing w:before="121"/>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产出数量</w:t>
            </w:r>
          </w:p>
        </w:tc>
        <w:tc>
          <w:tcPr>
            <w:tcW w:w="599" w:type="dxa"/>
            <w:vAlign w:val="top"/>
          </w:tcPr>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74" w:type="dxa"/>
            <w:vAlign w:val="center"/>
          </w:tcPr>
          <w:p>
            <w:pPr>
              <w:widowControl/>
              <w:autoSpaceDE w:val="0"/>
              <w:autoSpaceDN w:val="0"/>
              <w:spacing w:line="240" w:lineRule="exact"/>
              <w:jc w:val="center"/>
              <w:rPr>
                <w:rFonts w:ascii="黑体" w:eastAsia="黑体"/>
                <w:color w:val="000000" w:themeColor="text1"/>
                <w:sz w:val="21"/>
                <w:lang w:eastAsia="en-US"/>
                <w14:textFill>
                  <w14:solidFill>
                    <w14:schemeClr w14:val="tx1"/>
                  </w14:solidFill>
                </w14:textFill>
              </w:rPr>
            </w:pPr>
            <w:r>
              <w:rPr>
                <w:rFonts w:hint="eastAsia" w:ascii="黑体" w:hAnsi="黑体" w:eastAsia="黑体" w:cs="黑体"/>
                <w:color w:val="000000"/>
                <w:kern w:val="0"/>
                <w:sz w:val="21"/>
                <w:szCs w:val="21"/>
              </w:rPr>
              <w:t>产出数量是否达到绩效目标</w:t>
            </w:r>
          </w:p>
        </w:tc>
        <w:tc>
          <w:tcPr>
            <w:tcW w:w="710"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en-US" w:bidi="ar-SA"/>
                <w14:textFill>
                  <w14:solidFill>
                    <w14:schemeClr w14:val="tx1"/>
                  </w14:solidFill>
                </w14:textFill>
              </w:rPr>
            </w:pPr>
            <w:r>
              <w:rPr>
                <w:rFonts w:hint="eastAsia" w:ascii="黑体" w:hAnsi="黑体" w:eastAsia="黑体" w:cs="黑体"/>
                <w:sz w:val="21"/>
                <w:szCs w:val="21"/>
                <w:lang w:val="en-US" w:eastAsia="zh-CN"/>
              </w:rPr>
              <w:t>10</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产出数量</w:t>
            </w:r>
            <w:r>
              <w:rPr>
                <w:rFonts w:hint="eastAsia" w:ascii="黑体" w:hAnsi="黑体" w:eastAsia="黑体" w:cs="黑体"/>
                <w:color w:val="000000"/>
                <w:kern w:val="0"/>
                <w:sz w:val="21"/>
                <w:szCs w:val="21"/>
                <w:lang w:eastAsia="zh-CN"/>
              </w:rPr>
              <w:t>计算得分。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6"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tcPr>
          <w:p>
            <w:pPr>
              <w:pStyle w:val="17"/>
              <w:spacing w:before="121"/>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产出质量</w:t>
            </w:r>
          </w:p>
        </w:tc>
        <w:tc>
          <w:tcPr>
            <w:tcW w:w="599" w:type="dxa"/>
            <w:vAlign w:val="top"/>
          </w:tcPr>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74" w:type="dxa"/>
            <w:tcBorders>
              <w:top w:val="nil"/>
            </w:tcBorders>
            <w:vAlign w:val="center"/>
          </w:tcPr>
          <w:p>
            <w:pPr>
              <w:widowControl/>
              <w:autoSpaceDE w:val="0"/>
              <w:autoSpaceDN w:val="0"/>
              <w:spacing w:line="240" w:lineRule="exact"/>
              <w:jc w:val="center"/>
              <w:rPr>
                <w:rFonts w:eastAsiaTheme="minorEastAsia"/>
                <w:color w:val="000000" w:themeColor="text1"/>
                <w:sz w:val="2"/>
                <w:szCs w:val="2"/>
                <w:lang w:eastAsia="en-US"/>
                <w14:textFill>
                  <w14:solidFill>
                    <w14:schemeClr w14:val="tx1"/>
                  </w14:solidFill>
                </w14:textFill>
              </w:rPr>
            </w:pPr>
            <w:r>
              <w:rPr>
                <w:rFonts w:hint="eastAsia" w:ascii="黑体" w:hAnsi="黑体" w:eastAsia="黑体" w:cs="黑体"/>
                <w:color w:val="000000"/>
                <w:kern w:val="0"/>
                <w:sz w:val="21"/>
                <w:szCs w:val="21"/>
              </w:rPr>
              <w:t>产出质量是否达到绩效目标</w:t>
            </w:r>
          </w:p>
        </w:tc>
        <w:tc>
          <w:tcPr>
            <w:tcW w:w="710"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en-US" w:bidi="ar-SA"/>
                <w14:textFill>
                  <w14:solidFill>
                    <w14:schemeClr w14:val="tx1"/>
                  </w14:solidFill>
                </w14:textFill>
              </w:rPr>
            </w:pPr>
            <w:r>
              <w:rPr>
                <w:rFonts w:hint="eastAsia" w:ascii="黑体" w:hAnsi="黑体" w:eastAsia="黑体" w:cs="黑体"/>
                <w:sz w:val="21"/>
                <w:szCs w:val="21"/>
                <w:lang w:val="en-US" w:eastAsia="zh-CN"/>
              </w:rPr>
              <w:t>10</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w:t>
            </w:r>
            <w:r>
              <w:rPr>
                <w:rFonts w:hint="eastAsia" w:ascii="黑体" w:hAnsi="黑体" w:eastAsia="黑体" w:cs="黑体"/>
                <w:color w:val="000000"/>
                <w:kern w:val="0"/>
                <w:sz w:val="21"/>
                <w:szCs w:val="21"/>
                <w:lang w:eastAsia="zh-CN"/>
              </w:rPr>
              <w:t>质量计算得分。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6"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tcPr>
          <w:p>
            <w:pPr>
              <w:pStyle w:val="17"/>
              <w:spacing w:before="122"/>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产出时效</w:t>
            </w:r>
          </w:p>
        </w:tc>
        <w:tc>
          <w:tcPr>
            <w:tcW w:w="599" w:type="dxa"/>
            <w:vAlign w:val="top"/>
          </w:tcPr>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74" w:type="dxa"/>
            <w:tcBorders>
              <w:top w:val="nil"/>
            </w:tcBorders>
            <w:vAlign w:val="center"/>
          </w:tcPr>
          <w:p>
            <w:pPr>
              <w:widowControl/>
              <w:autoSpaceDE w:val="0"/>
              <w:autoSpaceDN w:val="0"/>
              <w:spacing w:line="240" w:lineRule="exact"/>
              <w:jc w:val="center"/>
              <w:rPr>
                <w:rFonts w:eastAsiaTheme="minorEastAsia"/>
                <w:color w:val="000000" w:themeColor="text1"/>
                <w:sz w:val="2"/>
                <w:szCs w:val="2"/>
                <w:lang w:eastAsia="en-US"/>
                <w14:textFill>
                  <w14:solidFill>
                    <w14:schemeClr w14:val="tx1"/>
                  </w14:solidFill>
                </w14:textFill>
              </w:rPr>
            </w:pPr>
            <w:r>
              <w:rPr>
                <w:rFonts w:hint="eastAsia" w:ascii="黑体" w:hAnsi="黑体" w:eastAsia="黑体" w:cs="黑体"/>
                <w:color w:val="000000"/>
                <w:kern w:val="0"/>
                <w:sz w:val="21"/>
                <w:szCs w:val="21"/>
              </w:rPr>
              <w:t>产出时效是否达到绩效目标</w:t>
            </w:r>
          </w:p>
        </w:tc>
        <w:tc>
          <w:tcPr>
            <w:tcW w:w="710"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en-US" w:bidi="ar-SA"/>
                <w14:textFill>
                  <w14:solidFill>
                    <w14:schemeClr w14:val="tx1"/>
                  </w14:solidFill>
                </w14:textFill>
              </w:rPr>
            </w:pPr>
            <w:r>
              <w:rPr>
                <w:rFonts w:hint="eastAsia" w:ascii="黑体" w:hAnsi="黑体" w:eastAsia="黑体" w:cs="黑体"/>
                <w:sz w:val="21"/>
                <w:szCs w:val="21"/>
                <w:lang w:val="en-US" w:eastAsia="zh-CN"/>
              </w:rPr>
              <w:t>5</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根据实际完成各项工作时间计分</w:t>
            </w:r>
            <w:r>
              <w:rPr>
                <w:rFonts w:hint="eastAsia" w:ascii="黑体" w:hAnsi="黑体" w:eastAsia="黑体" w:cs="黑体"/>
                <w:color w:val="000000"/>
                <w:kern w:val="0"/>
                <w:sz w:val="21"/>
                <w:szCs w:val="21"/>
                <w:lang w:eastAsia="zh-CN"/>
              </w:rPr>
              <w:t>。</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6"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tcPr>
          <w:p>
            <w:pPr>
              <w:pStyle w:val="17"/>
              <w:spacing w:before="121"/>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产出成本</w:t>
            </w:r>
          </w:p>
        </w:tc>
        <w:tc>
          <w:tcPr>
            <w:tcW w:w="599" w:type="dxa"/>
            <w:vAlign w:val="top"/>
          </w:tcPr>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74" w:type="dxa"/>
            <w:tcBorders>
              <w:top w:val="nil"/>
            </w:tcBorders>
            <w:vAlign w:val="center"/>
          </w:tcPr>
          <w:p>
            <w:pPr>
              <w:widowControl/>
              <w:autoSpaceDE w:val="0"/>
              <w:autoSpaceDN w:val="0"/>
              <w:spacing w:line="240" w:lineRule="exact"/>
              <w:jc w:val="center"/>
              <w:rPr>
                <w:rFonts w:eastAsiaTheme="minorEastAsia"/>
                <w:color w:val="000000" w:themeColor="text1"/>
                <w:sz w:val="2"/>
                <w:szCs w:val="2"/>
                <w:lang w:eastAsia="en-US"/>
                <w14:textFill>
                  <w14:solidFill>
                    <w14:schemeClr w14:val="tx1"/>
                  </w14:solidFill>
                </w14:textFill>
              </w:rPr>
            </w:pPr>
            <w:r>
              <w:rPr>
                <w:rFonts w:hint="eastAsia" w:ascii="黑体" w:hAnsi="黑体" w:eastAsia="黑体" w:cs="黑体"/>
                <w:color w:val="000000"/>
                <w:kern w:val="0"/>
                <w:sz w:val="21"/>
                <w:szCs w:val="21"/>
              </w:rPr>
              <w:t>产出成本是否按绩效目标控制</w:t>
            </w:r>
          </w:p>
        </w:tc>
        <w:tc>
          <w:tcPr>
            <w:tcW w:w="710"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en-US" w:bidi="ar-SA"/>
                <w14:textFill>
                  <w14:solidFill>
                    <w14:schemeClr w14:val="tx1"/>
                  </w14:solidFill>
                </w14:textFill>
              </w:rPr>
            </w:pPr>
            <w:r>
              <w:rPr>
                <w:rFonts w:hint="eastAsia" w:ascii="黑体" w:hAnsi="黑体" w:eastAsia="黑体" w:cs="黑体"/>
                <w:sz w:val="21"/>
                <w:szCs w:val="21"/>
                <w:lang w:val="en-US" w:eastAsia="zh-CN"/>
              </w:rPr>
              <w:t>10</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lang w:eastAsia="zh-CN"/>
              </w:rPr>
              <w:t>根据实际</w:t>
            </w:r>
            <w:r>
              <w:rPr>
                <w:rFonts w:hint="eastAsia" w:ascii="黑体" w:hAnsi="黑体" w:eastAsia="黑体" w:cs="黑体"/>
                <w:color w:val="000000"/>
                <w:kern w:val="0"/>
                <w:sz w:val="21"/>
                <w:szCs w:val="21"/>
              </w:rPr>
              <w:t>产出成本</w:t>
            </w:r>
            <w:r>
              <w:rPr>
                <w:rFonts w:hint="eastAsia" w:ascii="黑体" w:hAnsi="黑体" w:eastAsia="黑体" w:cs="黑体"/>
                <w:color w:val="000000"/>
                <w:kern w:val="0"/>
                <w:sz w:val="21"/>
                <w:szCs w:val="21"/>
                <w:lang w:eastAsia="zh-CN"/>
              </w:rPr>
              <w:t>是否控制在预算内计算得分。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1148" w:type="dxa"/>
            <w:vMerge w:val="restart"/>
          </w:tcPr>
          <w:p>
            <w:pPr>
              <w:pStyle w:val="17"/>
              <w:rPr>
                <w:color w:val="000000" w:themeColor="text1"/>
                <w:sz w:val="20"/>
                <w:lang w:eastAsia="en-US"/>
                <w14:textFill>
                  <w14:solidFill>
                    <w14:schemeClr w14:val="tx1"/>
                  </w14:solidFill>
                </w14:textFill>
              </w:rPr>
            </w:pPr>
          </w:p>
          <w:p>
            <w:pPr>
              <w:pStyle w:val="17"/>
              <w:rPr>
                <w:color w:val="000000" w:themeColor="text1"/>
                <w:sz w:val="20"/>
                <w:lang w:eastAsia="en-US"/>
                <w14:textFill>
                  <w14:solidFill>
                    <w14:schemeClr w14:val="tx1"/>
                  </w14:solidFill>
                </w14:textFill>
              </w:rPr>
            </w:pPr>
          </w:p>
          <w:p>
            <w:pPr>
              <w:pStyle w:val="17"/>
              <w:rPr>
                <w:color w:val="000000" w:themeColor="text1"/>
                <w:lang w:eastAsia="en-US"/>
                <w14:textFill>
                  <w14:solidFill>
                    <w14:schemeClr w14:val="tx1"/>
                  </w14:solidFill>
                </w14:textFill>
              </w:rPr>
            </w:pPr>
          </w:p>
          <w:p>
            <w:pPr>
              <w:pStyle w:val="17"/>
              <w:spacing w:line="255" w:lineRule="exact"/>
              <w:ind w:left="74" w:right="69"/>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效益</w:t>
            </w:r>
          </w:p>
          <w:p>
            <w:pPr>
              <w:pStyle w:val="17"/>
              <w:spacing w:line="255" w:lineRule="exact"/>
              <w:ind w:left="77" w:right="69"/>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（25 分）</w:t>
            </w:r>
          </w:p>
        </w:tc>
        <w:tc>
          <w:tcPr>
            <w:tcW w:w="1368" w:type="dxa"/>
            <w:gridSpan w:val="2"/>
          </w:tcPr>
          <w:p>
            <w:pPr>
              <w:pStyle w:val="17"/>
              <w:spacing w:before="120"/>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经济效益</w:t>
            </w:r>
          </w:p>
        </w:tc>
        <w:tc>
          <w:tcPr>
            <w:tcW w:w="599" w:type="dxa"/>
            <w:vAlign w:val="top"/>
          </w:tcPr>
          <w:p>
            <w:pPr>
              <w:pStyle w:val="17"/>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74" w:type="dxa"/>
            <w:tcBorders>
              <w:top w:val="nil"/>
            </w:tcBorders>
            <w:vAlign w:val="center"/>
          </w:tcPr>
          <w:p>
            <w:pPr>
              <w:widowControl/>
              <w:autoSpaceDE w:val="0"/>
              <w:autoSpaceDN w:val="0"/>
              <w:spacing w:line="240" w:lineRule="exact"/>
              <w:jc w:val="center"/>
              <w:rPr>
                <w:rFonts w:eastAsiaTheme="minorEastAsia"/>
                <w:color w:val="000000" w:themeColor="text1"/>
                <w:sz w:val="2"/>
                <w:szCs w:val="2"/>
                <w:lang w:eastAsia="en-US"/>
                <w14:textFill>
                  <w14:solidFill>
                    <w14:schemeClr w14:val="tx1"/>
                  </w14:solidFill>
                </w14:textFill>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经济</w:t>
            </w:r>
            <w:r>
              <w:rPr>
                <w:rFonts w:hint="eastAsia" w:ascii="黑体" w:hAnsi="黑体" w:eastAsia="黑体" w:cs="黑体"/>
                <w:color w:val="000000"/>
                <w:kern w:val="0"/>
                <w:sz w:val="21"/>
                <w:szCs w:val="21"/>
              </w:rPr>
              <w:t>效益</w:t>
            </w:r>
          </w:p>
        </w:tc>
        <w:tc>
          <w:tcPr>
            <w:tcW w:w="710"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en-US" w:bidi="ar-SA"/>
                <w14:textFill>
                  <w14:solidFill>
                    <w14:schemeClr w14:val="tx1"/>
                  </w14:solidFill>
                </w14:textFill>
              </w:rPr>
            </w:pPr>
            <w:r>
              <w:rPr>
                <w:rFonts w:hint="eastAsia" w:ascii="黑体" w:hAnsi="黑体" w:eastAsia="黑体" w:cs="黑体"/>
                <w:sz w:val="21"/>
                <w:szCs w:val="21"/>
                <w:lang w:val="en-US" w:eastAsia="zh-CN"/>
              </w:rPr>
              <w:t>5</w:t>
            </w:r>
          </w:p>
        </w:tc>
        <w:tc>
          <w:tcPr>
            <w:tcW w:w="4002" w:type="dxa"/>
            <w:vAlign w:val="top"/>
          </w:tcPr>
          <w:p>
            <w:pPr>
              <w:pStyle w:val="17"/>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color w:val="000000"/>
                <w:kern w:val="0"/>
                <w:sz w:val="21"/>
                <w:szCs w:val="21"/>
              </w:rPr>
              <w:t>①</w:t>
            </w:r>
            <w:r>
              <w:rPr>
                <w:rFonts w:hint="eastAsia" w:ascii="黑体" w:hAnsi="黑体" w:eastAsia="黑体" w:cs="黑体"/>
                <w:sz w:val="21"/>
                <w:szCs w:val="21"/>
                <w:lang w:val="en-US" w:eastAsia="zh-CN"/>
              </w:rPr>
              <w:t>是否产生了不正常的经济效益，或本不产生经济收入而违规收取费用。如有，就为0分。</w:t>
            </w:r>
            <w:r>
              <w:rPr>
                <w:rFonts w:hint="eastAsia" w:ascii="黑体" w:hAnsi="黑体" w:eastAsia="黑体" w:cs="黑体"/>
                <w:color w:val="000000"/>
                <w:kern w:val="0"/>
                <w:sz w:val="21"/>
                <w:szCs w:val="21"/>
              </w:rPr>
              <w:t>②</w:t>
            </w:r>
            <w:r>
              <w:rPr>
                <w:rFonts w:hint="eastAsia" w:ascii="黑体" w:hAnsi="黑体" w:eastAsia="黑体" w:cs="黑体"/>
                <w:sz w:val="21"/>
                <w:szCs w:val="21"/>
                <w:lang w:val="en-US" w:eastAsia="zh-CN"/>
              </w:rPr>
              <w:t>对当地的经济发展起到一定作用。</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6"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tcPr>
          <w:p>
            <w:pPr>
              <w:pStyle w:val="17"/>
              <w:spacing w:before="121"/>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社会效益</w:t>
            </w:r>
          </w:p>
        </w:tc>
        <w:tc>
          <w:tcPr>
            <w:tcW w:w="599" w:type="dxa"/>
            <w:vAlign w:val="top"/>
          </w:tcPr>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74" w:type="dxa"/>
            <w:tcBorders>
              <w:top w:val="nil"/>
            </w:tcBorders>
            <w:vAlign w:val="top"/>
          </w:tcPr>
          <w:p>
            <w:pPr>
              <w:pStyle w:val="17"/>
              <w:jc w:val="center"/>
              <w:rPr>
                <w:rFonts w:eastAsiaTheme="minorEastAsia"/>
                <w:color w:val="000000" w:themeColor="text1"/>
                <w:sz w:val="2"/>
                <w:szCs w:val="2"/>
                <w:lang w:eastAsia="en-US"/>
                <w14:textFill>
                  <w14:solidFill>
                    <w14:schemeClr w14:val="tx1"/>
                  </w14:solidFill>
                </w14:textFill>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社会效益</w:t>
            </w:r>
          </w:p>
        </w:tc>
        <w:tc>
          <w:tcPr>
            <w:tcW w:w="710" w:type="dxa"/>
            <w:vAlign w:val="top"/>
          </w:tcPr>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5</w:t>
            </w:r>
          </w:p>
        </w:tc>
        <w:tc>
          <w:tcPr>
            <w:tcW w:w="4002" w:type="dxa"/>
            <w:vAlign w:val="top"/>
          </w:tcPr>
          <w:p>
            <w:pPr>
              <w:pStyle w:val="17"/>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对当地发展的稳定起到一定作用。</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6"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tcPr>
          <w:p>
            <w:pPr>
              <w:pStyle w:val="17"/>
              <w:spacing w:before="120"/>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生态效益</w:t>
            </w:r>
          </w:p>
        </w:tc>
        <w:tc>
          <w:tcPr>
            <w:tcW w:w="599" w:type="dxa"/>
            <w:vAlign w:val="top"/>
          </w:tcPr>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74" w:type="dxa"/>
            <w:tcBorders>
              <w:top w:val="nil"/>
            </w:tcBorders>
            <w:vAlign w:val="top"/>
          </w:tcPr>
          <w:p>
            <w:pPr>
              <w:pStyle w:val="17"/>
              <w:jc w:val="center"/>
              <w:rPr>
                <w:rFonts w:eastAsiaTheme="minorEastAsia"/>
                <w:color w:val="000000" w:themeColor="text1"/>
                <w:sz w:val="2"/>
                <w:szCs w:val="2"/>
                <w:lang w:eastAsia="en-US"/>
                <w14:textFill>
                  <w14:solidFill>
                    <w14:schemeClr w14:val="tx1"/>
                  </w14:solidFill>
                </w14:textFill>
              </w:rPr>
            </w:pPr>
            <w:r>
              <w:rPr>
                <w:rFonts w:hint="eastAsia" w:ascii="黑体" w:hAnsi="黑体" w:eastAsia="黑体" w:cs="黑体"/>
                <w:color w:val="000000"/>
                <w:kern w:val="0"/>
                <w:sz w:val="21"/>
                <w:szCs w:val="21"/>
              </w:rPr>
              <w:t>项目实施是否</w:t>
            </w:r>
            <w:r>
              <w:rPr>
                <w:rFonts w:hint="eastAsia" w:ascii="黑体" w:hAnsi="黑体" w:eastAsia="黑体" w:cs="黑体"/>
                <w:color w:val="000000"/>
                <w:kern w:val="0"/>
                <w:sz w:val="21"/>
                <w:szCs w:val="21"/>
                <w:lang w:val="en-US" w:eastAsia="zh-CN"/>
              </w:rPr>
              <w:t>产生生态效益</w:t>
            </w:r>
          </w:p>
        </w:tc>
        <w:tc>
          <w:tcPr>
            <w:tcW w:w="710" w:type="dxa"/>
            <w:vAlign w:val="top"/>
          </w:tcPr>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5</w:t>
            </w:r>
          </w:p>
        </w:tc>
        <w:tc>
          <w:tcPr>
            <w:tcW w:w="4002" w:type="dxa"/>
            <w:vAlign w:val="top"/>
          </w:tcPr>
          <w:p>
            <w:pPr>
              <w:pStyle w:val="17"/>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在组织活动中，是否对生态起到了破坏作用。如有，就为0分。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6" w:hRule="atLeast"/>
        </w:trPr>
        <w:tc>
          <w:tcPr>
            <w:tcW w:w="1148" w:type="dxa"/>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1368" w:type="dxa"/>
            <w:gridSpan w:val="2"/>
          </w:tcPr>
          <w:p>
            <w:pPr>
              <w:pStyle w:val="17"/>
              <w:spacing w:before="122"/>
              <w:ind w:left="154"/>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可持续效益</w:t>
            </w:r>
          </w:p>
        </w:tc>
        <w:tc>
          <w:tcPr>
            <w:tcW w:w="599" w:type="dxa"/>
            <w:vAlign w:val="top"/>
          </w:tcPr>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74" w:type="dxa"/>
            <w:tcBorders>
              <w:top w:val="nil"/>
            </w:tcBorders>
            <w:vAlign w:val="top"/>
          </w:tcPr>
          <w:p>
            <w:pPr>
              <w:pStyle w:val="17"/>
              <w:jc w:val="center"/>
              <w:rPr>
                <w:rFonts w:eastAsiaTheme="minorEastAsia"/>
                <w:color w:val="000000" w:themeColor="text1"/>
                <w:sz w:val="2"/>
                <w:szCs w:val="2"/>
                <w:lang w:eastAsia="en-US"/>
                <w14:textFill>
                  <w14:solidFill>
                    <w14:schemeClr w14:val="tx1"/>
                  </w14:solidFill>
                </w14:textFill>
              </w:rPr>
            </w:pPr>
            <w:r>
              <w:rPr>
                <w:rFonts w:hint="eastAsia" w:ascii="黑体" w:hAnsi="黑体" w:eastAsia="黑体" w:cs="黑体"/>
                <w:color w:val="000000"/>
                <w:kern w:val="0"/>
                <w:sz w:val="21"/>
                <w:szCs w:val="21"/>
              </w:rPr>
              <w:t>项目实施是否带来可持续影响</w:t>
            </w:r>
          </w:p>
        </w:tc>
        <w:tc>
          <w:tcPr>
            <w:tcW w:w="710" w:type="dxa"/>
            <w:vAlign w:val="top"/>
          </w:tcPr>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10</w:t>
            </w:r>
          </w:p>
        </w:tc>
        <w:tc>
          <w:tcPr>
            <w:tcW w:w="4002" w:type="dxa"/>
            <w:vAlign w:val="top"/>
          </w:tcPr>
          <w:p>
            <w:pPr>
              <w:pStyle w:val="17"/>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对本项目或其他活动的开展，起到可持续效益作用。</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1148" w:type="dxa"/>
          </w:tcPr>
          <w:p>
            <w:pPr>
              <w:pStyle w:val="17"/>
              <w:spacing w:before="3"/>
              <w:rPr>
                <w:color w:val="000000" w:themeColor="text1"/>
                <w:sz w:val="15"/>
                <w:lang w:eastAsia="en-US"/>
                <w14:textFill>
                  <w14:solidFill>
                    <w14:schemeClr w14:val="tx1"/>
                  </w14:solidFill>
                </w14:textFill>
              </w:rPr>
            </w:pPr>
          </w:p>
          <w:p>
            <w:pPr>
              <w:pStyle w:val="17"/>
              <w:spacing w:line="255" w:lineRule="exact"/>
              <w:ind w:left="74" w:right="69"/>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满意度</w:t>
            </w:r>
          </w:p>
          <w:p>
            <w:pPr>
              <w:pStyle w:val="17"/>
              <w:spacing w:line="255" w:lineRule="exact"/>
              <w:ind w:left="77" w:right="69"/>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（10 分）</w:t>
            </w:r>
          </w:p>
        </w:tc>
        <w:tc>
          <w:tcPr>
            <w:tcW w:w="1368" w:type="dxa"/>
            <w:gridSpan w:val="2"/>
          </w:tcPr>
          <w:p>
            <w:pPr>
              <w:pStyle w:val="17"/>
              <w:spacing w:before="98" w:line="213" w:lineRule="auto"/>
              <w:ind w:left="154" w:right="145"/>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社会公众或服务对象满意度</w:t>
            </w:r>
          </w:p>
        </w:tc>
        <w:tc>
          <w:tcPr>
            <w:tcW w:w="599" w:type="dxa"/>
            <w:vAlign w:val="top"/>
          </w:tcPr>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74" w:type="dxa"/>
            <w:vAlign w:val="top"/>
          </w:tcPr>
          <w:p>
            <w:pPr>
              <w:pStyle w:val="17"/>
              <w:jc w:val="center"/>
              <w:rPr>
                <w:rFonts w:ascii="Times New Roman"/>
                <w:color w:val="000000" w:themeColor="text1"/>
                <w:sz w:val="20"/>
                <w:lang w:eastAsia="en-US"/>
                <w14:textFill>
                  <w14:solidFill>
                    <w14:schemeClr w14:val="tx1"/>
                  </w14:solidFill>
                </w14:textFill>
              </w:rPr>
            </w:pPr>
            <w:r>
              <w:rPr>
                <w:rFonts w:hint="eastAsia" w:ascii="黑体" w:hAnsi="黑体" w:eastAsia="黑体" w:cs="黑体"/>
                <w:color w:val="000000"/>
                <w:kern w:val="0"/>
                <w:sz w:val="21"/>
                <w:szCs w:val="21"/>
              </w:rPr>
              <w:t>项目预期服务对象对项目实施的满意程度</w:t>
            </w:r>
            <w:r>
              <w:rPr>
                <w:rFonts w:hint="eastAsia" w:ascii="黑体" w:hAnsi="黑体" w:eastAsia="黑体" w:cs="黑体"/>
                <w:color w:val="000000"/>
                <w:kern w:val="0"/>
                <w:sz w:val="21"/>
                <w:szCs w:val="21"/>
                <w:lang w:eastAsia="zh-CN"/>
              </w:rPr>
              <w:t>。</w:t>
            </w:r>
          </w:p>
        </w:tc>
        <w:tc>
          <w:tcPr>
            <w:tcW w:w="710" w:type="dxa"/>
            <w:vAlign w:val="top"/>
          </w:tcPr>
          <w:p>
            <w:pPr>
              <w:pStyle w:val="17"/>
              <w:jc w:val="center"/>
              <w:rPr>
                <w:rFonts w:hint="eastAsia" w:ascii="黑体" w:hAnsi="黑体" w:eastAsia="黑体" w:cs="黑体"/>
                <w:color w:val="000000" w:themeColor="text1"/>
                <w:sz w:val="21"/>
                <w:szCs w:val="21"/>
                <w:lang w:val="en-US" w:eastAsia="en-US" w:bidi="zh-CN"/>
                <w14:textFill>
                  <w14:solidFill>
                    <w14:schemeClr w14:val="tx1"/>
                  </w14:solidFill>
                </w14:textFill>
              </w:rPr>
            </w:pPr>
            <w:r>
              <w:rPr>
                <w:rFonts w:hint="eastAsia" w:ascii="黑体" w:hAnsi="黑体" w:eastAsia="黑体" w:cs="黑体"/>
                <w:sz w:val="21"/>
                <w:szCs w:val="21"/>
                <w:lang w:val="en-US" w:eastAsia="zh-CN"/>
              </w:rPr>
              <w:t>10</w:t>
            </w:r>
          </w:p>
        </w:tc>
        <w:tc>
          <w:tcPr>
            <w:tcW w:w="4002" w:type="dxa"/>
            <w:vAlign w:val="top"/>
          </w:tcPr>
          <w:p>
            <w:pPr>
              <w:pStyle w:val="17"/>
              <w:rPr>
                <w:rFonts w:hint="eastAsia" w:ascii="黑体" w:hAnsi="黑体" w:eastAsia="黑体" w:cs="黑体"/>
                <w:color w:val="000000" w:themeColor="text1"/>
                <w:sz w:val="21"/>
                <w:szCs w:val="21"/>
                <w:lang w:val="zh-CN" w:eastAsia="en-US" w:bidi="zh-CN"/>
                <w14:textFill>
                  <w14:solidFill>
                    <w14:schemeClr w14:val="tx1"/>
                  </w14:solidFill>
                </w14:textFill>
              </w:rPr>
            </w:pPr>
            <w:r>
              <w:rPr>
                <w:rFonts w:hint="eastAsia" w:ascii="黑体" w:hAnsi="黑体" w:eastAsia="黑体" w:cs="黑体"/>
                <w:color w:val="000000"/>
                <w:kern w:val="0"/>
                <w:sz w:val="21"/>
                <w:szCs w:val="21"/>
              </w:rPr>
              <w:t>社会公众或服务对象是指因该项目实施而受到影响的部门（单位）、群体或个人。社会公众或服务对象满意度</w:t>
            </w:r>
            <w:r>
              <w:rPr>
                <w:rFonts w:hint="eastAsia" w:ascii="黑体" w:hAnsi="黑体" w:eastAsia="黑体" w:cs="黑体"/>
                <w:color w:val="000000"/>
                <w:kern w:val="0"/>
                <w:sz w:val="21"/>
                <w:szCs w:val="21"/>
                <w:lang w:val="en-US" w:eastAsia="zh-CN"/>
              </w:rPr>
              <w:t>按照实际情况给分。</w:t>
            </w:r>
          </w:p>
        </w:tc>
        <w:tc>
          <w:tcPr>
            <w:tcW w:w="679" w:type="dxa"/>
            <w:vAlign w:val="top"/>
          </w:tcPr>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color w:val="000000" w:themeColor="text1"/>
                <w:sz w:val="20"/>
                <w:lang w:val="en-US" w:eastAsia="zh-CN"/>
                <w14:textFill>
                  <w14:solidFill>
                    <w14:schemeClr w14:val="tx1"/>
                  </w14:solidFill>
                </w14:textFill>
              </w:rPr>
            </w:pPr>
          </w:p>
          <w:p>
            <w:pPr>
              <w:pStyle w:val="17"/>
              <w:jc w:val="center"/>
              <w:rPr>
                <w:rFonts w:hint="eastAsia" w:ascii="Times New Roman" w:hAnsi="宋体" w:eastAsia="宋体" w:cs="宋体"/>
                <w:color w:val="000000" w:themeColor="text1"/>
                <w:sz w:val="20"/>
                <w:szCs w:val="22"/>
                <w:lang w:val="en-US" w:eastAsia="en-US"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9801" w:type="dxa"/>
            <w:gridSpan w:val="7"/>
          </w:tcPr>
          <w:p>
            <w:pPr>
              <w:pStyle w:val="17"/>
              <w:spacing w:before="121"/>
              <w:ind w:left="4641" w:right="4636"/>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总分</w:t>
            </w:r>
          </w:p>
        </w:tc>
        <w:tc>
          <w:tcPr>
            <w:tcW w:w="679" w:type="dxa"/>
          </w:tcPr>
          <w:p>
            <w:pPr>
              <w:pStyle w:val="17"/>
              <w:jc w:val="center"/>
              <w:rPr>
                <w:rFonts w:hint="default" w:ascii="Times New Roman"/>
                <w:color w:val="000000" w:themeColor="text1"/>
                <w:sz w:val="20"/>
                <w:lang w:val="en-US" w:eastAsia="en-US"/>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91.00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trPr>
        <w:tc>
          <w:tcPr>
            <w:tcW w:w="1538" w:type="dxa"/>
            <w:gridSpan w:val="2"/>
            <w:vMerge w:val="restart"/>
          </w:tcPr>
          <w:p>
            <w:pPr>
              <w:pStyle w:val="17"/>
              <w:rPr>
                <w:color w:val="000000" w:themeColor="text1"/>
                <w:sz w:val="23"/>
                <w:lang w:eastAsia="en-US"/>
                <w14:textFill>
                  <w14:solidFill>
                    <w14:schemeClr w14:val="tx1"/>
                  </w14:solidFill>
                </w14:textFill>
              </w:rPr>
            </w:pPr>
          </w:p>
          <w:p>
            <w:pPr>
              <w:pStyle w:val="17"/>
              <w:ind w:left="34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评价等级</w:t>
            </w:r>
          </w:p>
        </w:tc>
        <w:tc>
          <w:tcPr>
            <w:tcW w:w="8942" w:type="dxa"/>
            <w:gridSpan w:val="6"/>
          </w:tcPr>
          <w:p>
            <w:pPr>
              <w:pStyle w:val="17"/>
              <w:numPr>
                <w:ilvl w:val="0"/>
                <w:numId w:val="0"/>
              </w:numPr>
              <w:tabs>
                <w:tab w:val="left" w:pos="2527"/>
                <w:tab w:val="left" w:pos="3577"/>
                <w:tab w:val="left" w:pos="4813"/>
                <w:tab w:val="left" w:pos="6155"/>
              </w:tabs>
              <w:spacing w:before="72"/>
              <w:ind w:left="2338" w:leftChars="0"/>
              <w:rPr>
                <w:rFonts w:ascii="黑体" w:hAnsi="黑体" w:eastAsia="黑体"/>
                <w:color w:val="000000" w:themeColor="text1"/>
                <w:sz w:val="21"/>
                <w:lang w:eastAsia="en-US"/>
                <w14:textFill>
                  <w14:solidFill>
                    <w14:schemeClr w14:val="tx1"/>
                  </w14:solidFill>
                </w14:textFill>
              </w:rPr>
            </w:pPr>
            <w:r>
              <w:rPr>
                <w:rFonts w:hint="eastAsia" w:ascii="黑体" w:hAnsi="黑体" w:eastAsia="黑体"/>
                <w:color w:val="000000" w:themeColor="text1"/>
                <w:sz w:val="21"/>
                <w:lang w:eastAsia="en-US"/>
                <w14:textFill>
                  <w14:solidFill>
                    <w14:schemeClr w14:val="tx1"/>
                  </w14:solidFill>
                </w14:textFill>
              </w:rPr>
              <w:sym w:font="Wingdings 2" w:char="0052"/>
            </w:r>
            <w:r>
              <w:rPr>
                <w:rFonts w:hint="eastAsia" w:ascii="黑体" w:hAnsi="黑体" w:eastAsia="黑体"/>
                <w:color w:val="000000" w:themeColor="text1"/>
                <w:sz w:val="21"/>
                <w:lang w:eastAsia="en-US"/>
                <w14:textFill>
                  <w14:solidFill>
                    <w14:schemeClr w14:val="tx1"/>
                  </w14:solidFill>
                </w14:textFill>
              </w:rPr>
              <w:t>优</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良</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中</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atLeast"/>
        </w:trPr>
        <w:tc>
          <w:tcPr>
            <w:tcW w:w="1538" w:type="dxa"/>
            <w:gridSpan w:val="2"/>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8942" w:type="dxa"/>
            <w:gridSpan w:val="6"/>
          </w:tcPr>
          <w:p>
            <w:pPr>
              <w:pStyle w:val="17"/>
              <w:spacing w:before="80"/>
              <w:ind w:left="107"/>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90（含）-100 分为优、80（含）-90 分为良、60（含）-80 分为中、60 分以下为差</w:t>
            </w:r>
          </w:p>
        </w:tc>
      </w:tr>
    </w:tbl>
    <w:p>
      <w:pPr>
        <w:spacing w:before="282"/>
        <w:ind w:left="269"/>
        <w:rPr>
          <w:rFonts w:ascii="黑体" w:eastAsia="黑体"/>
          <w:sz w:val="20"/>
        </w:rPr>
      </w:pPr>
      <w:r>
        <w:rPr>
          <w:rFonts w:hint="eastAsia" w:ascii="黑体" w:eastAsia="黑体"/>
          <w:sz w:val="20"/>
        </w:rPr>
        <w:t>注：请参照《项目支出绩效评价指标体系框架》（财预〔2020〕10 号）设置相关指标。</w:t>
      </w:r>
      <w:bookmarkStart w:id="8" w:name="_GoBack"/>
      <w:bookmarkEnd w:id="8"/>
    </w:p>
    <w:p>
      <w:pPr>
        <w:pStyle w:val="3"/>
        <w:rPr>
          <w:rFonts w:ascii="黑体"/>
          <w:sz w:val="27"/>
        </w:rPr>
      </w:pPr>
    </w:p>
    <w:p>
      <w:pPr>
        <w:spacing w:line="220" w:lineRule="atLeast"/>
      </w:pPr>
    </w:p>
    <w:p>
      <w:pPr>
        <w:spacing w:line="220" w:lineRule="atLeast"/>
      </w:pPr>
    </w:p>
    <w:sectPr>
      <w:headerReference r:id="rId5" w:type="default"/>
      <w:footerReference r:id="rId6" w:type="default"/>
      <w:pgSz w:w="11910" w:h="16840"/>
      <w:pgMar w:top="1200" w:right="340" w:bottom="280" w:left="580"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CD73"/>
    <w:multiLevelType w:val="singleLevel"/>
    <w:tmpl w:val="5BC6CD7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017D3642"/>
    <w:rsid w:val="03F40A6C"/>
    <w:rsid w:val="052C37CB"/>
    <w:rsid w:val="067C3B50"/>
    <w:rsid w:val="0AB54EBF"/>
    <w:rsid w:val="0D6715E3"/>
    <w:rsid w:val="104411A8"/>
    <w:rsid w:val="108E28B2"/>
    <w:rsid w:val="14414D19"/>
    <w:rsid w:val="17030629"/>
    <w:rsid w:val="17903C7D"/>
    <w:rsid w:val="18AD4105"/>
    <w:rsid w:val="1E77767C"/>
    <w:rsid w:val="1ECD4621"/>
    <w:rsid w:val="223D401B"/>
    <w:rsid w:val="23006EE2"/>
    <w:rsid w:val="23752C20"/>
    <w:rsid w:val="240B47DB"/>
    <w:rsid w:val="244828B7"/>
    <w:rsid w:val="270279D9"/>
    <w:rsid w:val="2AA1615D"/>
    <w:rsid w:val="2BCF74A9"/>
    <w:rsid w:val="2C406F4A"/>
    <w:rsid w:val="2C8A4CF5"/>
    <w:rsid w:val="2CAC359B"/>
    <w:rsid w:val="2D577719"/>
    <w:rsid w:val="2F23659B"/>
    <w:rsid w:val="2F7C64A8"/>
    <w:rsid w:val="2FFE160B"/>
    <w:rsid w:val="33A72084"/>
    <w:rsid w:val="34EA249C"/>
    <w:rsid w:val="3A012704"/>
    <w:rsid w:val="3CB47F83"/>
    <w:rsid w:val="40340FAF"/>
    <w:rsid w:val="41D81B86"/>
    <w:rsid w:val="43652BAB"/>
    <w:rsid w:val="44637A1A"/>
    <w:rsid w:val="45A16EAF"/>
    <w:rsid w:val="46474006"/>
    <w:rsid w:val="4A90046B"/>
    <w:rsid w:val="4C29682E"/>
    <w:rsid w:val="50923E57"/>
    <w:rsid w:val="54760B34"/>
    <w:rsid w:val="57CA2FB1"/>
    <w:rsid w:val="58B529F2"/>
    <w:rsid w:val="599D65B9"/>
    <w:rsid w:val="5A191EF5"/>
    <w:rsid w:val="5AB1792C"/>
    <w:rsid w:val="5E7B6EF6"/>
    <w:rsid w:val="5EF3343F"/>
    <w:rsid w:val="60B37C44"/>
    <w:rsid w:val="62401BCF"/>
    <w:rsid w:val="62B03B49"/>
    <w:rsid w:val="63B3589A"/>
    <w:rsid w:val="640F7872"/>
    <w:rsid w:val="66686738"/>
    <w:rsid w:val="67BA5E45"/>
    <w:rsid w:val="680D0677"/>
    <w:rsid w:val="691E3A86"/>
    <w:rsid w:val="69715BF0"/>
    <w:rsid w:val="69C92A19"/>
    <w:rsid w:val="727B6CF1"/>
    <w:rsid w:val="73FF39E3"/>
    <w:rsid w:val="745F0445"/>
    <w:rsid w:val="75DC3F07"/>
    <w:rsid w:val="78552B18"/>
    <w:rsid w:val="79092A58"/>
    <w:rsid w:val="7B161640"/>
    <w:rsid w:val="7B4F12BD"/>
    <w:rsid w:val="7DCA601B"/>
    <w:rsid w:val="7F84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uiPriority w:val="99"/>
    <w:pPr>
      <w:spacing w:after="0"/>
      <w:ind w:firstLine="420" w:firstLineChars="100"/>
    </w:pPr>
    <w:rPr>
      <w:rFonts w:ascii="仿宋_GB2312" w:eastAsia="仿宋_GB2312"/>
      <w:sz w:val="24"/>
    </w:rPr>
  </w:style>
  <w:style w:type="paragraph" w:styleId="3">
    <w:name w:val="Body Text"/>
    <w:basedOn w:val="1"/>
    <w:link w:val="13"/>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4">
    <w:name w:val="Balloon Text"/>
    <w:basedOn w:val="1"/>
    <w:link w:val="18"/>
    <w:unhideWhenUsed/>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5">
    <w:name w:val="footer"/>
    <w:basedOn w:val="1"/>
    <w:link w:val="11"/>
    <w:unhideWhenUsed/>
    <w:uiPriority w:val="99"/>
    <w:pPr>
      <w:tabs>
        <w:tab w:val="center" w:pos="4153"/>
        <w:tab w:val="right" w:pos="8306"/>
      </w:tabs>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uiPriority w:val="99"/>
    <w:pPr>
      <w:spacing w:before="100" w:beforeAutospacing="1" w:after="100" w:afterAutospacing="1"/>
    </w:pPr>
    <w:rPr>
      <w:rFonts w:ascii="Times New Roman" w:hAnsi="Times New Roman"/>
      <w:sz w:val="24"/>
    </w:rPr>
  </w:style>
  <w:style w:type="character" w:customStyle="1" w:styleId="10">
    <w:name w:val="页眉 Char"/>
    <w:basedOn w:val="8"/>
    <w:link w:val="6"/>
    <w:semiHidden/>
    <w:uiPriority w:val="99"/>
    <w:rPr>
      <w:rFonts w:ascii="Tahoma" w:hAnsi="Tahoma"/>
      <w:sz w:val="18"/>
      <w:szCs w:val="18"/>
    </w:rPr>
  </w:style>
  <w:style w:type="character" w:customStyle="1" w:styleId="11">
    <w:name w:val="页脚 Char"/>
    <w:basedOn w:val="8"/>
    <w:link w:val="5"/>
    <w:semiHidden/>
    <w:uiPriority w:val="99"/>
    <w:rPr>
      <w:rFonts w:ascii="Tahoma" w:hAnsi="Tahoma"/>
      <w:sz w:val="18"/>
      <w:szCs w:val="18"/>
    </w:rPr>
  </w:style>
  <w:style w:type="table" w:customStyle="1" w:styleId="12">
    <w:name w:val="Table Normal"/>
    <w:unhideWhenUsed/>
    <w:qFormat/>
    <w:uiPriority w:val="2"/>
    <w:pPr>
      <w:widowControl w:val="0"/>
      <w:autoSpaceDE w:val="0"/>
      <w:autoSpaceDN w:val="0"/>
      <w:spacing w:after="0" w:line="240" w:lineRule="auto"/>
    </w:pPr>
    <w:rPr>
      <w:rFonts w:eastAsiaTheme="minorEastAsia"/>
      <w:lang w:eastAsia="en-US"/>
    </w:rPr>
    <w:tblPr>
      <w:tblLayout w:type="fixed"/>
      <w:tblCellMar>
        <w:top w:w="0" w:type="dxa"/>
        <w:left w:w="0" w:type="dxa"/>
        <w:bottom w:w="0" w:type="dxa"/>
        <w:right w:w="0" w:type="dxa"/>
      </w:tblCellMar>
    </w:tblPr>
  </w:style>
  <w:style w:type="character" w:customStyle="1" w:styleId="13">
    <w:name w:val="正文文本 Char"/>
    <w:basedOn w:val="8"/>
    <w:link w:val="3"/>
    <w:uiPriority w:val="1"/>
    <w:rPr>
      <w:rFonts w:ascii="宋体" w:hAnsi="宋体" w:eastAsia="宋体" w:cs="宋体"/>
      <w:sz w:val="32"/>
      <w:szCs w:val="32"/>
      <w:lang w:val="zh-CN" w:bidi="zh-CN"/>
    </w:rPr>
  </w:style>
  <w:style w:type="paragraph" w:customStyle="1" w:styleId="14">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5">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customStyle="1" w:styleId="16">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7">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8">
    <w:name w:val="批注框文本 Char"/>
    <w:basedOn w:val="8"/>
    <w:link w:val="4"/>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144</Words>
  <Characters>821</Characters>
  <Lines>6</Lines>
  <Paragraphs>1</Paragraphs>
  <ScaleCrop>false</ScaleCrop>
  <LinksUpToDate>false</LinksUpToDate>
  <CharactersWithSpaces>964</CharactersWithSpaces>
  <Application>WPS Office_10.8.0.6294_F1E327BC-269C-435d-A152-05C5408002CA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48610</dc:creator>
  <cp:lastModifiedBy>48610</cp:lastModifiedBy>
  <dcterms:modified xsi:type="dcterms:W3CDTF">2023-03-13T03:17:37Z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2052-10.8.0.6294</vt:lpwstr>
  </property>
</Properties>
</file>