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p>
    <w:p>
      <w:pPr>
        <w:pStyle w:val="2"/>
        <w:rPr>
          <w:rFonts w:ascii="黑体"/>
          <w:sz w:val="20"/>
        </w:rPr>
      </w:pPr>
    </w:p>
    <w:p>
      <w:pPr>
        <w:pStyle w:val="13"/>
        <w:spacing w:before="237"/>
        <w:ind w:right="238"/>
        <w:rPr>
          <w:rFonts w:hint="eastAsia" w:ascii="PMingLiU" w:eastAsia="PMingLiU"/>
        </w:rPr>
      </w:pPr>
      <w:r>
        <w:rPr>
          <w:rFonts w:hint="eastAsia" w:ascii="PMingLiU" w:eastAsia="PMingLiU"/>
        </w:rPr>
        <w:t>中共南昌市青云谱区委信访局</w:t>
      </w:r>
    </w:p>
    <w:p>
      <w:pPr>
        <w:pStyle w:val="13"/>
        <w:spacing w:before="237"/>
        <w:ind w:right="238"/>
        <w:rPr>
          <w:rFonts w:hint="eastAsia" w:ascii="PMingLiU" w:eastAsia="PMingLiU"/>
        </w:rPr>
      </w:pPr>
      <w:r>
        <w:rPr>
          <w:rFonts w:hint="eastAsia" w:ascii="PMingLiU" w:eastAsia="PMingLiU"/>
        </w:rPr>
        <w:t>项目支出绩效评价报告</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hint="eastAsia" w:ascii="黑体" w:hAnsi="黑体" w:eastAsia="黑体"/>
          <w:u w:val="none"/>
        </w:rPr>
        <w:t>：</w:t>
      </w:r>
      <w:r>
        <w:rPr>
          <w:rFonts w:ascii="Wingdings 2" w:hAnsi="Wingdings 2" w:eastAsia="Wingdings 2"/>
          <w:u w:val="none"/>
        </w:rPr>
        <w:t></w:t>
      </w:r>
      <w:r>
        <w:rPr>
          <w:rFonts w:hint="eastAsia" w:ascii="黑体" w:hAnsi="黑体" w:eastAsia="黑体"/>
          <w:u w:val="none"/>
        </w:rPr>
        <w:t>实施过程评价</w:t>
      </w:r>
      <w:r>
        <w:rPr>
          <w:rFonts w:hint="eastAsia" w:ascii="黑体" w:hAnsi="黑体" w:eastAsia="黑体"/>
          <w:u w:val="none"/>
        </w:rPr>
        <w:tab/>
      </w:r>
      <w:r>
        <w:rPr>
          <w:rFonts w:ascii="Wingdings 2" w:hAnsi="Wingdings 2" w:eastAsia="Wingdings 2"/>
          <w:u w:val="none"/>
        </w:rPr>
        <w:sym w:font="Wingdings 2" w:char="0052"/>
      </w:r>
      <w:r>
        <w:rPr>
          <w:rFonts w:hint="eastAsia" w:ascii="黑体" w:hAnsi="黑体" w:eastAsia="黑体"/>
          <w:u w:val="none"/>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firstLine="1272" w:firstLineChars="400"/>
        <w:jc w:val="both"/>
        <w:rPr>
          <w:rFonts w:hint="eastAsia" w:ascii="Times New Roman" w:eastAsia="宋体"/>
          <w:u w:val="single"/>
          <w:lang w:val="en-US" w:eastAsia="zh-C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Times New Roman" w:eastAsia="Times New Roman"/>
          <w:u w:val="single"/>
          <w:lang w:val="en-US" w:eastAsia="zh-CN"/>
        </w:rPr>
        <w:t xml:space="preserve">      </w:t>
      </w:r>
      <w:r>
        <w:rPr>
          <w:rFonts w:hint="eastAsia" w:ascii="Times New Roman"/>
          <w:u w:val="single"/>
          <w:lang w:val="en-US" w:eastAsia="zh-CN"/>
        </w:rPr>
        <w:t xml:space="preserve">  </w:t>
      </w:r>
      <w:r>
        <w:rPr>
          <w:rFonts w:hint="eastAsia" w:ascii="黑体" w:eastAsia="黑体"/>
          <w:spacing w:val="-1"/>
          <w:u w:val="single"/>
          <w:lang w:val="en-US" w:eastAsia="zh-CN"/>
        </w:rPr>
        <w:t xml:space="preserve">全国省市“两会”现场值守工作经费 </w:t>
      </w:r>
    </w:p>
    <w:p>
      <w:pPr>
        <w:pStyle w:val="2"/>
        <w:jc w:val="center"/>
        <w:rPr>
          <w:rFonts w:ascii="Times New Roman"/>
          <w:sz w:val="20"/>
          <w:u w:val="single"/>
        </w:rPr>
      </w:pPr>
    </w:p>
    <w:p>
      <w:pPr>
        <w:pStyle w:val="2"/>
        <w:rPr>
          <w:rFonts w:ascii="Times New Roman"/>
          <w:sz w:val="20"/>
          <w:u w:val="single"/>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 xml:space="preserve">       </w:t>
      </w:r>
      <w:r>
        <w:rPr>
          <w:rFonts w:hint="eastAsia" w:ascii="黑体" w:eastAsia="黑体"/>
          <w:spacing w:val="-1"/>
          <w:u w:val="single"/>
          <w:lang w:val="en-US" w:eastAsia="zh-CN"/>
        </w:rPr>
        <w:t xml:space="preserve">  中共南昌市青云谱区委信访局</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黑体" w:eastAsia="黑体"/>
          <w:u w:val="single"/>
        </w:rPr>
        <w:t xml:space="preserve"> </w:t>
      </w:r>
      <w:r>
        <w:rPr>
          <w:rFonts w:hint="eastAsia" w:ascii="黑体" w:eastAsia="黑体"/>
          <w:u w:val="single"/>
          <w:lang w:val="en-US" w:eastAsia="zh-CN"/>
        </w:rPr>
        <w:t xml:space="preserve">     </w:t>
      </w:r>
      <w:r>
        <w:rPr>
          <w:rFonts w:hint="eastAsia" w:ascii="黑体" w:eastAsia="黑体"/>
          <w:spacing w:val="-1"/>
          <w:u w:val="single"/>
          <w:lang w:val="en-US" w:eastAsia="zh-CN"/>
        </w:rPr>
        <w:t>中共南昌市青云谱区委信访局</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 xml:space="preserve">     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06</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9"/>
        </w:rPr>
      </w:pPr>
    </w:p>
    <w:p>
      <w:pPr>
        <w:pStyle w:val="2"/>
        <w:tabs>
          <w:tab w:val="left" w:pos="959"/>
          <w:tab w:val="left" w:pos="1920"/>
        </w:tabs>
        <w:spacing w:before="56"/>
        <w:ind w:right="238"/>
        <w:jc w:val="center"/>
        <w:rPr>
          <w:rFonts w:ascii="黑体" w:eastAsia="黑体"/>
        </w:rPr>
      </w:pPr>
      <w:r>
        <w:rPr>
          <w:rFonts w:hint="eastAsia" w:ascii="黑体" w:eastAsia="黑体"/>
          <w:lang w:val="en-US" w:eastAsia="zh-CN"/>
        </w:rPr>
        <w:t>2023 年 03</w:t>
      </w:r>
      <w:r>
        <w:rPr>
          <w:rFonts w:hint="eastAsia" w:ascii="黑体" w:eastAsia="黑体"/>
        </w:rPr>
        <w:t>月</w:t>
      </w:r>
      <w:r>
        <w:rPr>
          <w:rFonts w:hint="eastAsia" w:ascii="黑体" w:eastAsia="黑体"/>
          <w:lang w:val="en-US" w:eastAsia="zh-CN"/>
        </w:rPr>
        <w:t xml:space="preserve"> 13</w:t>
      </w:r>
      <w:r>
        <w:rPr>
          <w:rFonts w:hint="eastAsia" w:ascii="黑体" w:eastAsia="黑体"/>
        </w:rPr>
        <w:t>日</w:t>
      </w:r>
    </w:p>
    <w:p>
      <w:pPr>
        <w:pStyle w:val="2"/>
        <w:rPr>
          <w:rFonts w:ascii="黑体"/>
          <w:sz w:val="20"/>
        </w:rPr>
      </w:pPr>
    </w:p>
    <w:p>
      <w:pPr>
        <w:pStyle w:val="2"/>
        <w:rPr>
          <w:rFonts w:ascii="黑体"/>
          <w:sz w:val="20"/>
        </w:rPr>
      </w:pPr>
    </w:p>
    <w:p>
      <w:pPr>
        <w:pStyle w:val="2"/>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2"/>
        <w:spacing w:before="267"/>
        <w:ind w:left="1476"/>
        <w:rPr>
          <w:rFonts w:hint="eastAsia" w:asciiTheme="minorEastAsia" w:hAnsiTheme="minorEastAsia" w:eastAsiaTheme="minorEastAsia"/>
          <w:w w:val="95"/>
        </w:rPr>
      </w:pPr>
    </w:p>
    <w:p>
      <w:pPr>
        <w:pStyle w:val="2"/>
        <w:spacing w:before="267"/>
        <w:ind w:left="1476"/>
        <w:jc w:val="center"/>
        <w:rPr>
          <w:rFonts w:hint="eastAsia" w:ascii="宋体" w:hAnsi="宋体" w:eastAsia="宋体" w:cs="宋体"/>
          <w:w w:val="95"/>
          <w:sz w:val="48"/>
          <w:szCs w:val="48"/>
          <w:lang w:val="en-US" w:eastAsia="zh-CN"/>
        </w:rPr>
      </w:pPr>
      <w:r>
        <w:rPr>
          <w:rFonts w:hint="eastAsia" w:ascii="宋体" w:hAnsi="宋体" w:eastAsia="宋体" w:cs="宋体"/>
          <w:w w:val="95"/>
          <w:sz w:val="48"/>
          <w:szCs w:val="48"/>
          <w:lang w:val="en-US" w:eastAsia="zh-CN"/>
        </w:rPr>
        <w:t>中共南昌市青云谱区委信访局</w:t>
      </w:r>
    </w:p>
    <w:p>
      <w:pPr>
        <w:pStyle w:val="2"/>
        <w:spacing w:before="267"/>
        <w:ind w:left="1476"/>
        <w:jc w:val="center"/>
        <w:rPr>
          <w:rFonts w:hint="eastAsia" w:ascii="宋体" w:hAnsi="宋体" w:eastAsia="宋体" w:cs="宋体"/>
          <w:spacing w:val="-1"/>
          <w:sz w:val="48"/>
          <w:szCs w:val="48"/>
          <w:u w:val="none"/>
          <w:lang w:val="en-US" w:eastAsia="zh-CN"/>
        </w:rPr>
      </w:pPr>
      <w:r>
        <w:rPr>
          <w:rFonts w:hint="eastAsia" w:ascii="宋体" w:hAnsi="宋体" w:eastAsia="宋体" w:cs="宋体"/>
          <w:spacing w:val="-1"/>
          <w:sz w:val="48"/>
          <w:szCs w:val="48"/>
          <w:u w:val="none"/>
          <w:lang w:val="en-US" w:eastAsia="zh-CN"/>
        </w:rPr>
        <w:t>全国省市“两会”现场值守工作经费</w:t>
      </w:r>
    </w:p>
    <w:p>
      <w:pPr>
        <w:pStyle w:val="2"/>
        <w:spacing w:before="267"/>
        <w:ind w:left="1476"/>
        <w:jc w:val="center"/>
        <w:rPr>
          <w:rFonts w:hint="eastAsia" w:ascii="宋体" w:hAnsi="宋体" w:eastAsia="宋体" w:cs="宋体"/>
          <w:b/>
          <w:bCs/>
          <w:w w:val="95"/>
          <w:sz w:val="48"/>
          <w:szCs w:val="48"/>
          <w:u w:val="none"/>
          <w:lang w:val="en-US" w:eastAsia="zh-CN"/>
        </w:rPr>
      </w:pPr>
      <w:r>
        <w:rPr>
          <w:rFonts w:hint="eastAsia" w:ascii="宋体" w:hAnsi="宋体" w:eastAsia="宋体" w:cs="宋体"/>
          <w:spacing w:val="-1"/>
          <w:sz w:val="48"/>
          <w:szCs w:val="48"/>
          <w:u w:val="none"/>
          <w:lang w:val="en-US" w:eastAsia="zh-CN"/>
        </w:rPr>
        <w:t>项目绩效评价报告</w:t>
      </w:r>
    </w:p>
    <w:p>
      <w:pPr>
        <w:pStyle w:val="2"/>
        <w:keepNext w:val="0"/>
        <w:keepLines w:val="0"/>
        <w:pageBreakBefore w:val="0"/>
        <w:widowControl w:val="0"/>
        <w:kinsoku/>
        <w:wordWrap/>
        <w:overflowPunct/>
        <w:topLinePunct w:val="0"/>
        <w:autoSpaceDE w:val="0"/>
        <w:autoSpaceDN w:val="0"/>
        <w:bidi w:val="0"/>
        <w:adjustRightInd/>
        <w:snapToGrid/>
        <w:spacing w:before="267" w:line="580" w:lineRule="exact"/>
        <w:ind w:left="660" w:leftChars="0" w:firstLine="640" w:firstLineChars="200"/>
        <w:textAlignment w:val="auto"/>
        <w:rPr>
          <w:rFonts w:hint="eastAsia" w:ascii="宋体" w:hAnsi="宋体" w:cs="宋体" w:eastAsiaTheme="minorEastAsia"/>
          <w:kern w:val="0"/>
          <w:sz w:val="32"/>
          <w:szCs w:val="32"/>
          <w:lang w:val="en-US" w:eastAsia="zh-CN" w:bidi="ar-SA"/>
        </w:rPr>
      </w:pPr>
      <w:r>
        <w:rPr>
          <w:rFonts w:hint="eastAsia" w:ascii="宋体" w:hAnsi="宋体" w:eastAsia="宋体" w:cs="宋体"/>
          <w:kern w:val="0"/>
          <w:sz w:val="32"/>
          <w:szCs w:val="32"/>
          <w:lang w:val="en-US" w:eastAsia="zh-CN" w:bidi="ar-SA"/>
        </w:rPr>
        <w:t>今年以来，青云谱区委信访局以做好党的二十大信访稳定工作为主线，大力践行新时代“枫桥经验”，进一步压实信访工作责任，深入推进《信访工作条例》学习宣传贯彻，严格落实领导包案接访制度，持续深化重复信访治理和信访积案化解专项工作，大力开展化解信访突出问题百日攻坚行动，切实将矛盾纠纷化解在基层，人员吸附在当，有力地保障了全国“两会”、冬奥会、冬残奥会、建军95周年及党的二十大期间的社会和谐稳定。党的二十大期间青云谱区无群众赴京上访，无群众到省市大规模集体上访，以青云谱稳定支持了南昌稳定、江西稳定、北京稳定。</w:t>
      </w:r>
      <w:r>
        <w:rPr>
          <w:rFonts w:hint="eastAsia" w:asciiTheme="minorEastAsia" w:hAnsiTheme="minorEastAsia" w:eastAsiaTheme="minorEastAsia" w:cstheme="minorEastAsia"/>
          <w:w w:val="95"/>
          <w:sz w:val="32"/>
          <w:szCs w:val="32"/>
        </w:rPr>
        <w:t>现将绩效评价情况及评价结果报告如下</w:t>
      </w:r>
      <w:r>
        <w:rPr>
          <w:rFonts w:hint="eastAsia" w:asciiTheme="minorEastAsia" w:hAnsiTheme="minorEastAsia" w:eastAsiaTheme="minorEastAsia" w:cstheme="minorEastAsia"/>
          <w:w w:val="95"/>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67" w:line="580" w:lineRule="exact"/>
        <w:ind w:firstLine="611" w:firstLineChars="200"/>
        <w:textAlignment w:val="auto"/>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4"/>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pStyle w:val="14"/>
        <w:spacing w:before="84" w:line="244" w:lineRule="auto"/>
        <w:ind w:left="836" w:right="502" w:firstLine="640"/>
        <w:rPr>
          <w:rFonts w:asciiTheme="minorEastAsia" w:hAnsiTheme="minorEastAsia" w:eastAsiaTheme="minorEastAsia"/>
          <w:b w:val="0"/>
        </w:rPr>
      </w:pPr>
      <w:r>
        <w:rPr>
          <w:rFonts w:hint="eastAsia" w:asciiTheme="minorEastAsia" w:hAnsiTheme="minorEastAsia" w:eastAsiaTheme="minorEastAsia"/>
          <w:b w:val="0"/>
          <w:lang w:val="en-US" w:eastAsia="zh-CN"/>
        </w:rPr>
        <w:t>1.</w:t>
      </w:r>
      <w:r>
        <w:rPr>
          <w:rFonts w:asciiTheme="minorEastAsia" w:hAnsiTheme="minorEastAsia" w:eastAsiaTheme="minorEastAsia"/>
          <w:b w:val="0"/>
        </w:rPr>
        <w:t>项目背景</w:t>
      </w:r>
    </w:p>
    <w:p>
      <w:pPr>
        <w:keepNext w:val="0"/>
        <w:keepLines w:val="0"/>
        <w:pageBreakBefore w:val="0"/>
        <w:kinsoku/>
        <w:wordWrap/>
        <w:overflowPunct/>
        <w:topLinePunct w:val="0"/>
        <w:bidi w:val="0"/>
        <w:spacing w:line="580" w:lineRule="exact"/>
        <w:ind w:left="957" w:leftChars="435" w:firstLine="640" w:firstLineChars="20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rPr>
        <w:t>为做好全国省市“两会”、党代会等特殊时期现场值守及信访维稳工作，有效地维护特殊时期的社会和谐稳定，</w:t>
      </w:r>
      <w:r>
        <w:rPr>
          <w:rFonts w:hint="eastAsia" w:ascii="宋体" w:hAnsi="宋体" w:eastAsia="宋体" w:cs="宋体"/>
          <w:kern w:val="0"/>
          <w:sz w:val="32"/>
          <w:szCs w:val="32"/>
          <w:lang w:val="en-US" w:eastAsia="zh-CN"/>
        </w:rPr>
        <w:t>维护社会治安治理、化解矛盾纠纷，维护社会稳定，故建立全国省市“两会”现场值守工作经费专项</w:t>
      </w:r>
      <w:bookmarkStart w:id="8" w:name="_GoBack"/>
      <w:bookmarkEnd w:id="8"/>
      <w:r>
        <w:rPr>
          <w:rFonts w:hint="eastAsia" w:ascii="宋体" w:hAnsi="宋体" w:eastAsia="宋体" w:cs="宋体"/>
          <w:kern w:val="0"/>
          <w:sz w:val="32"/>
          <w:szCs w:val="32"/>
          <w:lang w:val="en-US" w:eastAsia="zh-CN"/>
        </w:rPr>
        <w:t>。</w:t>
      </w:r>
    </w:p>
    <w:p>
      <w:pPr>
        <w:pStyle w:val="14"/>
        <w:keepNext w:val="0"/>
        <w:keepLines w:val="0"/>
        <w:pageBreakBefore w:val="0"/>
        <w:numPr>
          <w:ilvl w:val="0"/>
          <w:numId w:val="0"/>
        </w:numPr>
        <w:kinsoku/>
        <w:wordWrap/>
        <w:overflowPunct/>
        <w:topLinePunct w:val="0"/>
        <w:bidi w:val="0"/>
        <w:spacing w:before="84" w:line="580" w:lineRule="exact"/>
        <w:ind w:right="502" w:rightChars="0" w:firstLine="1280" w:firstLineChars="400"/>
        <w:textAlignment w:val="auto"/>
        <w:rPr>
          <w:rFonts w:asciiTheme="minorEastAsia" w:hAnsiTheme="minorEastAsia" w:eastAsiaTheme="minorEastAsia"/>
          <w:b w:val="0"/>
        </w:rPr>
      </w:pPr>
      <w:r>
        <w:rPr>
          <w:rFonts w:hint="eastAsia" w:asciiTheme="minorEastAsia" w:hAnsiTheme="minorEastAsia" w:eastAsiaTheme="minorEastAsia"/>
          <w:b w:val="0"/>
          <w:lang w:val="en-US" w:eastAsia="zh-CN"/>
        </w:rPr>
        <w:t>2.</w:t>
      </w:r>
      <w:r>
        <w:rPr>
          <w:rFonts w:asciiTheme="minorEastAsia" w:hAnsiTheme="minorEastAsia" w:eastAsiaTheme="minorEastAsia"/>
          <w:b w:val="0"/>
        </w:rPr>
        <w:t>主要内容及实施情况</w:t>
      </w:r>
    </w:p>
    <w:p>
      <w:pPr>
        <w:pStyle w:val="14"/>
        <w:keepNext w:val="0"/>
        <w:keepLines w:val="0"/>
        <w:pageBreakBefore w:val="0"/>
        <w:numPr>
          <w:ilvl w:val="0"/>
          <w:numId w:val="0"/>
        </w:numPr>
        <w:kinsoku/>
        <w:wordWrap/>
        <w:overflowPunct/>
        <w:topLinePunct w:val="0"/>
        <w:bidi w:val="0"/>
        <w:spacing w:before="84" w:line="580" w:lineRule="exact"/>
        <w:ind w:left="960" w:right="0" w:rightChars="0" w:hanging="960" w:hangingChars="300"/>
        <w:textAlignment w:val="auto"/>
        <w:rPr>
          <w:rFonts w:hint="eastAsia" w:ascii="宋体" w:hAnsi="宋体" w:eastAsia="宋体" w:cs="宋体"/>
          <w:b w:val="0"/>
          <w:bCs w:val="0"/>
          <w:kern w:val="0"/>
          <w:sz w:val="32"/>
          <w:szCs w:val="32"/>
          <w:lang w:val="en-US" w:eastAsia="zh-CN" w:bidi="ar-SA"/>
        </w:rPr>
      </w:pPr>
      <w:r>
        <w:rPr>
          <w:rFonts w:hint="eastAsia" w:asciiTheme="minorEastAsia" w:hAnsiTheme="minorEastAsia" w:eastAsiaTheme="minorEastAsia"/>
          <w:b w:val="0"/>
          <w:lang w:val="en-US" w:eastAsia="zh-CN"/>
        </w:rPr>
        <w:t xml:space="preserve">         </w:t>
      </w:r>
      <w:r>
        <w:rPr>
          <w:rFonts w:hint="eastAsia" w:ascii="宋体" w:hAnsi="宋体" w:eastAsia="宋体" w:cs="宋体"/>
          <w:b w:val="0"/>
          <w:bCs w:val="0"/>
          <w:kern w:val="0"/>
          <w:sz w:val="32"/>
          <w:szCs w:val="32"/>
          <w:lang w:val="en-US" w:eastAsia="zh-CN" w:bidi="ar-SA"/>
        </w:rPr>
        <w:t>该项目内容主要用于我区全国省市“两会”、党代会等特殊时期现场值守及信访维稳工作需要，确保特殊时期信访维稳工作安全、有序、有效开展。主要包括全国省市“两会”、党代会等特殊时期发生的信访维稳相关的食宿费、差旅费、出差补贴等支出。项目执行标准严格按照《关于拨付全国“两会”期间驻京劝返工作专项经费的请示》和青政办抄字〔2013〕68号抄告文件执行。</w:t>
      </w:r>
    </w:p>
    <w:p>
      <w:pPr>
        <w:pStyle w:val="14"/>
        <w:numPr>
          <w:ilvl w:val="0"/>
          <w:numId w:val="0"/>
        </w:numPr>
        <w:spacing w:before="84" w:line="244" w:lineRule="auto"/>
        <w:ind w:right="502" w:rightChars="0" w:firstLine="1280" w:firstLineChars="400"/>
        <w:rPr>
          <w:rFonts w:asciiTheme="minorEastAsia" w:hAnsiTheme="minorEastAsia" w:eastAsiaTheme="minorEastAsia"/>
          <w:b w:val="0"/>
        </w:rPr>
      </w:pPr>
      <w:r>
        <w:rPr>
          <w:rFonts w:hint="eastAsia" w:asciiTheme="minorEastAsia" w:hAnsiTheme="minorEastAsia" w:eastAsiaTheme="minorEastAsia"/>
          <w:b w:val="0"/>
          <w:lang w:val="en-US" w:eastAsia="zh-CN"/>
        </w:rPr>
        <w:t>3.</w:t>
      </w:r>
      <w:r>
        <w:rPr>
          <w:rFonts w:asciiTheme="minorEastAsia" w:hAnsiTheme="minorEastAsia" w:eastAsiaTheme="minorEastAsia"/>
          <w:b w:val="0"/>
        </w:rPr>
        <w:t>资金投入和使用情况</w:t>
      </w:r>
    </w:p>
    <w:p>
      <w:pPr>
        <w:pStyle w:val="14"/>
        <w:keepNext w:val="0"/>
        <w:keepLines w:val="0"/>
        <w:pageBreakBefore w:val="0"/>
        <w:widowControl w:val="0"/>
        <w:kinsoku/>
        <w:wordWrap/>
        <w:overflowPunct/>
        <w:topLinePunct w:val="0"/>
        <w:autoSpaceDE w:val="0"/>
        <w:autoSpaceDN w:val="0"/>
        <w:bidi w:val="0"/>
        <w:adjustRightInd/>
        <w:snapToGrid/>
        <w:spacing w:after="0" w:line="580" w:lineRule="exact"/>
        <w:ind w:left="880" w:leftChars="400" w:right="220" w:rightChars="1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年预算安排30万元，实际到位资金30万元。本年度实际支出30万元，预算资金执行率100%。</w:t>
      </w:r>
    </w:p>
    <w:p>
      <w:pPr>
        <w:keepNext w:val="0"/>
        <w:keepLines w:val="0"/>
        <w:pageBreakBefore w:val="0"/>
        <w:numPr>
          <w:ilvl w:val="0"/>
          <w:numId w:val="1"/>
        </w:numPr>
        <w:kinsoku/>
        <w:wordWrap/>
        <w:overflowPunct/>
        <w:topLinePunct w:val="0"/>
        <w:bidi w:val="0"/>
        <w:spacing w:line="580" w:lineRule="exact"/>
        <w:ind w:firstLine="1280" w:firstLineChars="400"/>
        <w:textAlignment w:val="auto"/>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pStyle w:val="6"/>
        <w:keepNext w:val="0"/>
        <w:keepLines w:val="0"/>
        <w:pageBreakBefore w:val="0"/>
        <w:kinsoku/>
        <w:wordWrap/>
        <w:overflowPunct/>
        <w:topLinePunct w:val="0"/>
        <w:bidi w:val="0"/>
        <w:snapToGrid w:val="0"/>
        <w:spacing w:before="0" w:beforeAutospacing="0" w:after="0" w:afterAutospacing="0" w:line="580" w:lineRule="exact"/>
        <w:ind w:left="957" w:leftChars="435" w:firstLine="608" w:firstLineChars="190"/>
        <w:jc w:val="both"/>
        <w:textAlignment w:val="auto"/>
        <w:rPr>
          <w:rFonts w:hint="eastAsia" w:asciiTheme="minorEastAsia" w:hAnsiTheme="minorEastAsia" w:eastAsiaTheme="minorEastAsia"/>
          <w:sz w:val="32"/>
          <w:lang w:eastAsia="zh-CN"/>
        </w:rPr>
      </w:pPr>
      <w:r>
        <w:rPr>
          <w:rFonts w:hint="eastAsia" w:asciiTheme="minorEastAsia" w:hAnsiTheme="minorEastAsia" w:eastAsiaTheme="minorEastAsia"/>
          <w:sz w:val="32"/>
          <w:lang w:val="en-US" w:eastAsia="zh-CN"/>
        </w:rPr>
        <w:t>1.</w:t>
      </w:r>
      <w:r>
        <w:rPr>
          <w:rFonts w:hint="eastAsia" w:asciiTheme="minorEastAsia" w:hAnsiTheme="minorEastAsia" w:eastAsiaTheme="minorEastAsia"/>
          <w:sz w:val="32"/>
        </w:rPr>
        <w:t>总体目标</w:t>
      </w:r>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通过做好全国省市“两会”、党代会等特殊时期现场值守及信访维稳工作，确保全国“两会”、党代会等特殊时期实现“零非访”、“零滞留”、“零倒流”的目标。</w:t>
      </w:r>
    </w:p>
    <w:p>
      <w:pPr>
        <w:numPr>
          <w:ilvl w:val="0"/>
          <w:numId w:val="0"/>
        </w:numPr>
        <w:spacing w:line="588" w:lineRule="exact"/>
        <w:ind w:left="957" w:leftChars="435" w:right="-220" w:rightChars="-100" w:firstLine="640" w:firstLineChars="200"/>
        <w:rPr>
          <w:rFonts w:hint="eastAsia" w:asciiTheme="minorEastAsia" w:hAnsiTheme="minorEastAsia" w:eastAsiaTheme="minorEastAsia"/>
          <w:sz w:val="32"/>
          <w:lang w:eastAsia="zh-CN"/>
        </w:rPr>
      </w:pPr>
      <w:r>
        <w:rPr>
          <w:rFonts w:hint="eastAsia" w:asciiTheme="minorEastAsia" w:hAnsiTheme="minorEastAsia" w:eastAsiaTheme="minorEastAsia"/>
          <w:sz w:val="32"/>
          <w:lang w:val="en-US" w:eastAsia="zh-CN"/>
        </w:rPr>
        <w:t>2.</w:t>
      </w:r>
      <w:r>
        <w:rPr>
          <w:rFonts w:hint="eastAsia" w:asciiTheme="minorEastAsia" w:hAnsiTheme="minorEastAsia" w:eastAsiaTheme="minorEastAsia"/>
          <w:sz w:val="32"/>
        </w:rPr>
        <w:t>阶段性目标</w:t>
      </w:r>
      <w:r>
        <w:rPr>
          <w:rFonts w:hint="eastAsia" w:asciiTheme="minorEastAsia" w:hAnsiTheme="minorEastAsia" w:eastAsiaTheme="minorEastAsia"/>
          <w:sz w:val="32"/>
          <w:lang w:eastAsia="zh-CN"/>
        </w:rPr>
        <w:t>：</w:t>
      </w:r>
      <w:r>
        <w:rPr>
          <w:rFonts w:hint="eastAsia" w:asciiTheme="minorEastAsia" w:hAnsiTheme="minorEastAsia" w:eastAsiaTheme="minorEastAsia"/>
          <w:sz w:val="32"/>
        </w:rPr>
        <w:t>202</w:t>
      </w:r>
      <w:r>
        <w:rPr>
          <w:rFonts w:hint="eastAsia" w:asciiTheme="minorEastAsia" w:hAnsiTheme="minorEastAsia" w:eastAsiaTheme="minorEastAsia"/>
          <w:sz w:val="32"/>
          <w:lang w:val="en-US" w:eastAsia="zh-CN"/>
        </w:rPr>
        <w:t>2</w:t>
      </w:r>
      <w:r>
        <w:rPr>
          <w:rFonts w:hint="eastAsia" w:asciiTheme="minorEastAsia" w:hAnsiTheme="minorEastAsia" w:eastAsiaTheme="minorEastAsia"/>
          <w:sz w:val="32"/>
        </w:rPr>
        <w:t>年全国 “两会”、十九届五中全会等特殊期间，先后派出精兵强将赴京加入驻京劝返工作组，对我区在京滞留人员进行劝返，我区均实现了“零非访”、“零滞留”、“零倒流”的好成绩，有效地维护特殊时期的社会和谐稳定</w:t>
      </w:r>
      <w:r>
        <w:rPr>
          <w:rFonts w:hint="eastAsia" w:asciiTheme="minorEastAsia" w:hAnsiTheme="minorEastAsia" w:eastAsiaTheme="minorEastAsia"/>
          <w:sz w:val="32"/>
          <w:lang w:eastAsia="zh-CN"/>
        </w:rPr>
        <w:t>。</w:t>
      </w:r>
    </w:p>
    <w:p>
      <w:pPr>
        <w:pStyle w:val="2"/>
        <w:spacing w:before="117"/>
        <w:ind w:firstLine="640" w:firstLineChars="200"/>
        <w:rPr>
          <w:rFonts w:asciiTheme="minorEastAsia" w:hAnsiTheme="minorEastAsia" w:eastAsiaTheme="minorEastAsia"/>
        </w:rPr>
      </w:pPr>
      <w:r>
        <w:rPr>
          <w:rFonts w:hint="eastAsia" w:asciiTheme="minorEastAsia" w:hAnsiTheme="minorEastAsia" w:eastAsiaTheme="minorEastAsia"/>
        </w:rPr>
        <w:t>二</w:t>
      </w:r>
      <w:r>
        <w:rPr>
          <w:rFonts w:hint="eastAsia" w:asciiTheme="minorEastAsia" w:hAnsiTheme="minorEastAsia" w:eastAsiaTheme="minorEastAsia"/>
          <w:b/>
          <w:bCs/>
        </w:rPr>
        <w:t>、绩效评价工作开展情况</w:t>
      </w:r>
    </w:p>
    <w:p>
      <w:pPr>
        <w:pStyle w:val="14"/>
        <w:keepNext w:val="0"/>
        <w:keepLines w:val="0"/>
        <w:pageBreakBefore w:val="0"/>
        <w:kinsoku/>
        <w:wordWrap/>
        <w:overflowPunct/>
        <w:topLinePunct w:val="0"/>
        <w:bidi w:val="0"/>
        <w:spacing w:before="85" w:line="580" w:lineRule="exact"/>
        <w:textAlignment w:val="auto"/>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4"/>
        <w:keepNext w:val="0"/>
        <w:keepLines w:val="0"/>
        <w:pageBreakBefore w:val="0"/>
        <w:kinsoku/>
        <w:wordWrap/>
        <w:overflowPunct/>
        <w:topLinePunct w:val="0"/>
        <w:bidi w:val="0"/>
        <w:spacing w:before="85" w:line="580" w:lineRule="exact"/>
        <w:ind w:left="896" w:leftChars="0" w:firstLine="579" w:firstLineChars="181"/>
        <w:textAlignment w:val="auto"/>
        <w:rPr>
          <w:rFonts w:hint="eastAsia" w:asciiTheme="minorEastAsia" w:hAnsiTheme="minorEastAsia" w:eastAsiaTheme="minorEastAsia" w:cstheme="minorBidi"/>
          <w:b w:val="0"/>
          <w:bCs w:val="0"/>
          <w:sz w:val="32"/>
          <w:szCs w:val="22"/>
          <w:lang w:val="en-US" w:eastAsia="zh-CN" w:bidi="ar-SA"/>
        </w:rPr>
      </w:pPr>
      <w:r>
        <w:rPr>
          <w:rFonts w:hint="eastAsia" w:asciiTheme="minorEastAsia" w:hAnsiTheme="minorEastAsia" w:eastAsiaTheme="minorEastAsia" w:cstheme="minorBidi"/>
          <w:b w:val="0"/>
          <w:bCs w:val="0"/>
          <w:sz w:val="32"/>
          <w:szCs w:val="22"/>
          <w:lang w:val="en-US" w:eastAsia="zh-CN" w:bidi="ar-SA"/>
        </w:rPr>
        <w:t>通过绩效评价，了解2022年项目支出资金使用情况及取得的阶段性成果，总结项目资金管理的经验，及时发现项目资金管理中存在的问题，为加强财政项目支出的规范化管理，提高全国省市“两会”现场值守工作经费的使用效益，健全和完善项目支出和资金使用，完善预算编制、加强绩效目标管理和绩效考核工作提供重要的参考依据，以及提出相关的建议和应采取的措施等</w:t>
      </w:r>
    </w:p>
    <w:p>
      <w:pPr>
        <w:keepNext w:val="0"/>
        <w:keepLines w:val="0"/>
        <w:pageBreakBefore w:val="0"/>
        <w:numPr>
          <w:ilvl w:val="0"/>
          <w:numId w:val="0"/>
        </w:numPr>
        <w:tabs>
          <w:tab w:val="left" w:pos="9460"/>
        </w:tabs>
        <w:kinsoku/>
        <w:wordWrap/>
        <w:overflowPunct/>
        <w:topLinePunct w:val="0"/>
        <w:bidi w:val="0"/>
        <w:spacing w:before="11" w:line="580" w:lineRule="exact"/>
        <w:ind w:leftChars="400" w:right="0" w:rightChars="0" w:firstLine="640" w:firstLineChars="200"/>
        <w:textAlignment w:val="auto"/>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cstheme="minorBidi"/>
          <w:b w:val="0"/>
          <w:bCs w:val="0"/>
          <w:sz w:val="32"/>
          <w:szCs w:val="22"/>
          <w:lang w:val="en-US" w:eastAsia="zh-CN" w:bidi="ar-SA"/>
        </w:rPr>
        <w:t>（二）绩效评价原则、</w:t>
      </w:r>
      <w:r>
        <w:rPr>
          <w:rFonts w:hint="eastAsia" w:asciiTheme="minorEastAsia" w:hAnsiTheme="minorEastAsia" w:eastAsiaTheme="minorEastAsia"/>
          <w:sz w:val="32"/>
        </w:rPr>
        <w:t>评价指标体系（附表说明）、评价方</w:t>
      </w:r>
      <w:r>
        <w:rPr>
          <w:rFonts w:hint="eastAsia" w:asciiTheme="minorEastAsia" w:hAnsiTheme="minorEastAsia" w:eastAsiaTheme="minorEastAsia"/>
          <w:sz w:val="32"/>
          <w:lang w:val="en-US" w:eastAsia="zh-CN"/>
        </w:rPr>
        <w:t xml:space="preserve">  </w:t>
      </w:r>
      <w:r>
        <w:rPr>
          <w:rFonts w:hint="eastAsia" w:asciiTheme="minorEastAsia" w:hAnsiTheme="minorEastAsia" w:eastAsiaTheme="minorEastAsia"/>
          <w:sz w:val="32"/>
        </w:rPr>
        <w:t>法、评价标准等。</w:t>
      </w:r>
    </w:p>
    <w:p>
      <w:pPr>
        <w:keepNext w:val="0"/>
        <w:keepLines w:val="0"/>
        <w:pageBreakBefore w:val="0"/>
        <w:numPr>
          <w:ilvl w:val="0"/>
          <w:numId w:val="0"/>
        </w:numPr>
        <w:kinsoku/>
        <w:wordWrap/>
        <w:overflowPunct/>
        <w:topLinePunct w:val="0"/>
        <w:bidi w:val="0"/>
        <w:spacing w:after="0" w:line="580" w:lineRule="exact"/>
        <w:ind w:left="880" w:leftChars="4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sz w:val="32"/>
          <w:lang w:val="en-US" w:eastAsia="zh-CN"/>
        </w:rPr>
        <w:t xml:space="preserve"> 绩效评价原则：</w:t>
      </w:r>
      <w:r>
        <w:rPr>
          <w:rFonts w:hint="eastAsia" w:asciiTheme="minorEastAsia" w:hAnsiTheme="minorEastAsia" w:eastAsiaTheme="minorEastAsia" w:cstheme="minorEastAsia"/>
          <w:sz w:val="32"/>
          <w:szCs w:val="32"/>
        </w:rPr>
        <w:t>科学规范原则，公正公开原则，分级分类原则，绩效相关原则。</w:t>
      </w:r>
    </w:p>
    <w:p>
      <w:pPr>
        <w:keepNext w:val="0"/>
        <w:keepLines w:val="0"/>
        <w:pageBreakBefore w:val="0"/>
        <w:numPr>
          <w:ilvl w:val="0"/>
          <w:numId w:val="0"/>
        </w:numPr>
        <w:tabs>
          <w:tab w:val="left" w:pos="9680"/>
        </w:tabs>
        <w:kinsoku/>
        <w:wordWrap/>
        <w:overflowPunct/>
        <w:topLinePunct w:val="0"/>
        <w:bidi w:val="0"/>
        <w:spacing w:after="0" w:line="580" w:lineRule="exact"/>
        <w:ind w:left="880" w:leftChars="40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评价指标体系：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638" w:leftChars="29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评价方法：本项目绩效评价主要采用数据对比，同时辅以抽样调查、座谈研讨、专家评估等方式。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3.历史标准。指参照历史数据制定的评价标准，为体现绩效改进的原则，在可实现的条件下应当确定相对较高的评价标准。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4.财政部门和预算部门确认或认可的其他标准。</w:t>
      </w:r>
    </w:p>
    <w:p>
      <w:pPr>
        <w:spacing w:line="588" w:lineRule="exact"/>
        <w:ind w:firstLine="1280" w:firstLineChars="400"/>
        <w:rPr>
          <w:rFonts w:hint="eastAsia" w:asciiTheme="minorEastAsia" w:hAnsiTheme="minorEastAsia" w:eastAsiaTheme="minorEastAsia"/>
          <w:sz w:val="32"/>
        </w:rPr>
      </w:pPr>
      <w:r>
        <w:rPr>
          <w:rFonts w:hint="eastAsia" w:asciiTheme="minorEastAsia" w:hAnsiTheme="minorEastAsia" w:eastAsiaTheme="minorEastAsia"/>
          <w:sz w:val="32"/>
        </w:rPr>
        <w:t>（三）绩效评价工作过程。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220" w:rightChars="100" w:firstLine="640" w:firstLineChars="200"/>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前期明确了项目资金的使用范围、流程，严格按照《关于拨付全国“两会”期间驻京劝返工作专项经费的请示》和青政办抄字〔2013〕68号抄告文件执行项目标准，严禁随意和违规操作；组织成立了我局财政项目支出绩效评价领导小组，加强对项目资金的监督检查，及时纠错；现场检查核实了项目资金财务档案，对项目资金支出严格管理，加强专项资金使用过程的控制和追踪问效，坚持专款专用，确保了用款真实、合法、有效</w:t>
      </w:r>
      <w:r>
        <w:rPr>
          <w:rFonts w:hint="eastAsia" w:asciiTheme="minorEastAsia" w:hAnsiTheme="minorEastAsia" w:eastAsiaTheme="minorEastAsia" w:cstheme="minorEastAsia"/>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12" w:line="580" w:lineRule="exact"/>
        <w:ind w:right="0" w:rightChars="0" w:firstLine="671" w:firstLineChars="200"/>
        <w:textAlignment w:val="auto"/>
        <w:rPr>
          <w:rFonts w:hint="eastAsia" w:asciiTheme="minorEastAsia" w:hAnsiTheme="minorEastAsia" w:eastAsiaTheme="minorEastAsia"/>
          <w:b/>
          <w:bCs/>
          <w:sz w:val="32"/>
        </w:rPr>
      </w:pPr>
      <w:r>
        <w:rPr>
          <w:rFonts w:hint="eastAsia" w:asciiTheme="minorEastAsia" w:hAnsiTheme="minorEastAsia" w:eastAsiaTheme="minorEastAsia"/>
          <w:b/>
          <w:bCs/>
          <w:spacing w:val="7"/>
          <w:sz w:val="32"/>
          <w:lang w:val="en-US" w:eastAsia="zh-CN"/>
        </w:rPr>
        <w:t>三、</w:t>
      </w:r>
      <w:r>
        <w:rPr>
          <w:rFonts w:hint="eastAsia" w:asciiTheme="minorEastAsia" w:hAnsiTheme="minorEastAsia" w:eastAsiaTheme="minorEastAsia"/>
          <w:b/>
          <w:bCs/>
          <w:spacing w:val="7"/>
          <w:sz w:val="32"/>
        </w:rPr>
        <w:t>综合评价情况及评价结论</w:t>
      </w:r>
      <w:r>
        <w:rPr>
          <w:rFonts w:hint="eastAsia" w:asciiTheme="minorEastAsia" w:hAnsiTheme="minorEastAsia" w:eastAsiaTheme="minorEastAsia"/>
          <w:b/>
          <w:bCs/>
          <w:sz w:val="32"/>
        </w:rPr>
        <w:t xml:space="preserve">（附相关评分表） </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80" w:lineRule="exact"/>
        <w:ind w:left="957" w:leftChars="435" w:firstLine="640" w:firstLineChars="200"/>
        <w:textAlignment w:val="auto"/>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1、评价情况：经综合评定，2022年度全国省市“两会”现场值守工作经费项目支出绩效评估得分91.88分，评价等级为优。（详见附件3：项目支出绩效自评表）</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80" w:lineRule="exact"/>
        <w:ind w:left="957" w:leftChars="435" w:firstLine="640" w:firstLineChars="200"/>
        <w:textAlignment w:val="auto"/>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2、主要结论：2022年度全国省市“两会”等特殊时期现场值守及信访维稳工作开展顺畅，实现了预定的绩效目标，项目依据充分，项目目标明确，预定目标设定合理，符合维护社会大局稳定的目标要求。项目资金严格按照财务管理规定执行，使用科目合理，程序合法，确保了项目的顺利完成。</w:t>
      </w:r>
    </w:p>
    <w:p>
      <w:pPr>
        <w:keepNext w:val="0"/>
        <w:keepLines w:val="0"/>
        <w:pageBreakBefore w:val="0"/>
        <w:widowControl/>
        <w:kinsoku/>
        <w:wordWrap/>
        <w:overflowPunct/>
        <w:topLinePunct w:val="0"/>
        <w:autoSpaceDE/>
        <w:autoSpaceDN/>
        <w:bidi w:val="0"/>
        <w:adjustRightInd w:val="0"/>
        <w:snapToGrid w:val="0"/>
        <w:spacing w:before="12" w:line="580" w:lineRule="exact"/>
        <w:ind w:right="0" w:rightChars="0" w:firstLine="643" w:firstLineChars="200"/>
        <w:textAlignment w:val="auto"/>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4"/>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pStyle w:val="14"/>
        <w:spacing w:before="2"/>
        <w:rPr>
          <w:rFonts w:hint="eastAsia" w:asciiTheme="minorEastAsia" w:hAnsiTheme="minorEastAsia" w:eastAsiaTheme="minorEastAsia"/>
          <w:b w:val="0"/>
          <w:lang w:val="en-US" w:eastAsia="zh-CN"/>
        </w:rPr>
      </w:pPr>
      <w:r>
        <w:rPr>
          <w:rFonts w:hint="eastAsia" w:asciiTheme="minorEastAsia" w:hAnsiTheme="minorEastAsia" w:eastAsiaTheme="minorEastAsia"/>
          <w:b w:val="0"/>
          <w:lang w:val="en-US" w:eastAsia="zh-CN"/>
        </w:rPr>
        <w:t>1.立项规范</w:t>
      </w:r>
    </w:p>
    <w:p>
      <w:pPr>
        <w:keepNext w:val="0"/>
        <w:keepLines w:val="0"/>
        <w:pageBreakBefore w:val="0"/>
        <w:kinsoku/>
        <w:wordWrap/>
        <w:overflowPunct/>
        <w:topLinePunct w:val="0"/>
        <w:bidi w:val="0"/>
        <w:spacing w:after="0" w:line="580" w:lineRule="exact"/>
        <w:ind w:left="878" w:leftChars="399"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项目依据《预算绩效目标申报表》、《关于拨付全国“两会”期间驻京劝返工作专项经费的请示》，立项依据较充分。</w:t>
      </w:r>
    </w:p>
    <w:p>
      <w:pPr>
        <w:keepNext w:val="0"/>
        <w:keepLines w:val="0"/>
        <w:pageBreakBefore w:val="0"/>
        <w:numPr>
          <w:ilvl w:val="0"/>
          <w:numId w:val="0"/>
        </w:numPr>
        <w:kinsoku/>
        <w:wordWrap/>
        <w:overflowPunct/>
        <w:topLinePunct w:val="0"/>
        <w:bidi w:val="0"/>
        <w:spacing w:after="0" w:line="580" w:lineRule="exact"/>
        <w:ind w:right="660" w:rightChars="300" w:firstLine="1600" w:firstLineChars="5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绩效目标</w:t>
      </w:r>
    </w:p>
    <w:p>
      <w:pPr>
        <w:keepNext w:val="0"/>
        <w:keepLines w:val="0"/>
        <w:pageBreakBefore w:val="0"/>
        <w:numPr>
          <w:ilvl w:val="0"/>
          <w:numId w:val="0"/>
        </w:numPr>
        <w:kinsoku/>
        <w:wordWrap/>
        <w:overflowPunct/>
        <w:topLinePunct w:val="0"/>
        <w:bidi w:val="0"/>
        <w:spacing w:after="0" w:line="580" w:lineRule="exact"/>
        <w:ind w:left="880" w:leftChars="400" w:right="0" w:rightChars="0" w:firstLine="438" w:firstLineChars="137"/>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为切实做好我区全国省市“两会”、党代会等特殊时期信访维稳工作, 规范工作秩序，严肃工作纪律，强化工作责任，结合全国省市“两会”、党代会等特殊时期现场值守及维稳工作实际</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pStyle w:val="14"/>
        <w:numPr>
          <w:ilvl w:val="0"/>
          <w:numId w:val="0"/>
        </w:numPr>
        <w:spacing w:before="2"/>
        <w:ind w:firstLine="1600" w:firstLineChars="500"/>
        <w:rPr>
          <w:rFonts w:hint="eastAsia" w:asciiTheme="minorEastAsia" w:hAnsiTheme="minorEastAsia" w:eastAsiaTheme="minorEastAsia"/>
          <w:b w:val="0"/>
          <w:lang w:val="en-US" w:eastAsia="zh-CN"/>
        </w:rPr>
      </w:pPr>
      <w:r>
        <w:rPr>
          <w:rFonts w:hint="eastAsia" w:asciiTheme="minorEastAsia" w:hAnsiTheme="minorEastAsia" w:eastAsiaTheme="minorEastAsia"/>
          <w:b w:val="0"/>
          <w:lang w:val="en-US" w:eastAsia="zh-CN"/>
        </w:rPr>
        <w:t>3.资金投入</w:t>
      </w:r>
    </w:p>
    <w:p>
      <w:pPr>
        <w:pStyle w:val="14"/>
        <w:keepNext w:val="0"/>
        <w:keepLines w:val="0"/>
        <w:pageBreakBefore w:val="0"/>
        <w:numPr>
          <w:ilvl w:val="0"/>
          <w:numId w:val="0"/>
        </w:numPr>
        <w:kinsoku/>
        <w:wordWrap/>
        <w:overflowPunct/>
        <w:topLinePunct w:val="0"/>
        <w:bidi w:val="0"/>
        <w:spacing w:before="2" w:line="580" w:lineRule="exact"/>
        <w:ind w:left="960" w:hanging="960" w:hangingChars="300"/>
        <w:textAlignment w:val="auto"/>
        <w:rPr>
          <w:rFonts w:hint="default" w:asciiTheme="minorEastAsia" w:hAnsiTheme="minorEastAsia" w:eastAsiaTheme="minorEastAsia"/>
          <w:b w:val="0"/>
          <w:lang w:val="en-US" w:eastAsia="zh-CN"/>
        </w:rPr>
      </w:pPr>
      <w:r>
        <w:rPr>
          <w:rFonts w:hint="eastAsia" w:asciiTheme="minorEastAsia" w:hAnsiTheme="minorEastAsia" w:eastAsiaTheme="minorEastAsia"/>
          <w:b w:val="0"/>
          <w:lang w:val="en-US" w:eastAsia="zh-CN"/>
        </w:rPr>
        <w:t xml:space="preserve">          </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202</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年全国省市“两会”现场值守工作经费项目预算安排30万元，执行数30万元。</w:t>
      </w:r>
    </w:p>
    <w:p>
      <w:pPr>
        <w:keepNext w:val="0"/>
        <w:keepLines w:val="0"/>
        <w:pageBreakBefore w:val="0"/>
        <w:numPr>
          <w:ilvl w:val="0"/>
          <w:numId w:val="0"/>
        </w:numPr>
        <w:kinsoku/>
        <w:wordWrap/>
        <w:overflowPunct/>
        <w:topLinePunct w:val="0"/>
        <w:bidi w:val="0"/>
        <w:spacing w:before="11" w:line="580" w:lineRule="exact"/>
        <w:ind w:leftChars="400" w:firstLine="320" w:firstLineChars="100"/>
        <w:textAlignment w:val="auto"/>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二）</w:t>
      </w:r>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1.业务管理指标</w:t>
      </w:r>
    </w:p>
    <w:p>
      <w:pPr>
        <w:keepNext w:val="0"/>
        <w:keepLines w:val="0"/>
        <w:pageBreakBefore w:val="0"/>
        <w:numPr>
          <w:ilvl w:val="0"/>
          <w:numId w:val="0"/>
        </w:numPr>
        <w:kinsoku/>
        <w:wordWrap/>
        <w:overflowPunct/>
        <w:topLinePunct w:val="0"/>
        <w:bidi w:val="0"/>
        <w:spacing w:after="0" w:line="580" w:lineRule="exact"/>
        <w:ind w:left="880" w:leftChars="400" w:right="220" w:rightChars="1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880" w:leftChars="400" w:right="0" w:rightChars="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①财务管理制度健全性:考查是否按规定财务、资产管理制度、内控制度及其执行情况，根据相关通知，对专项资金的管理规范化。按照内部控制要求制定了收支、预算、政府采购、合同、资产等各项管理制度。</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sz w:val="32"/>
          <w:lang w:val="en-US" w:eastAsia="zh-CN"/>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②财务监控有效性:考查是否采取了相应的财务检査和年度绩效检查等必要的监控措施或手段。按照要求将有关财务资料进行上报，并针对反馈涉及到的问题进行了整改。</w:t>
      </w:r>
    </w:p>
    <w:p>
      <w:pPr>
        <w:numPr>
          <w:ilvl w:val="0"/>
          <w:numId w:val="0"/>
        </w:numPr>
        <w:spacing w:before="12"/>
        <w:ind w:leftChars="400" w:firstLine="640" w:firstLineChars="20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二）</w:t>
      </w:r>
      <w:r>
        <w:rPr>
          <w:rFonts w:hint="eastAsia" w:asciiTheme="minorEastAsia" w:hAnsiTheme="minorEastAsia" w:eastAsiaTheme="minorEastAsia"/>
          <w:sz w:val="32"/>
        </w:rPr>
        <w:t>项目产出情况。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1.产出数量指标：特殊时期派出现场值守人员开展信访维稳工作次数为3人次，特殊时期赴京非访、滞留、倒流人次为0人次。</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2.产出质量指标：特殊时期实现“三个确保”（确保不发生大规模进京上访、确保不发生个人极端事件、确保不发生因信访问题处置不当引发舆论负面炒作）的目标数为3个，质量 按程序做好特殊时期到省、市、北京上访人员的接离、劝返、稳控工作达95%。</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3.产出时效指标：及时有效做好特殊时期到省、市、北京上访人员的接离、劝返、稳控工作达90%，按特殊时期现场值守及信访维稳工作进度执行支出计划达90%。</w:t>
      </w:r>
    </w:p>
    <w:p>
      <w:pPr>
        <w:numPr>
          <w:ilvl w:val="0"/>
          <w:numId w:val="0"/>
        </w:numPr>
        <w:spacing w:before="12"/>
        <w:ind w:left="1520" w:leftChars="0"/>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4.产出成本指标：资金支出率达100%。</w:t>
      </w:r>
    </w:p>
    <w:p>
      <w:pPr>
        <w:numPr>
          <w:ilvl w:val="0"/>
          <w:numId w:val="0"/>
        </w:numPr>
        <w:spacing w:before="12"/>
        <w:ind w:left="1520" w:leftChars="0"/>
        <w:rPr>
          <w:rFonts w:hint="eastAsia" w:asciiTheme="minorEastAsia" w:hAnsiTheme="minorEastAsia" w:eastAsiaTheme="minorEastAsia"/>
          <w:sz w:val="32"/>
          <w:lang w:val="en-US" w:eastAsia="zh-CN"/>
        </w:rPr>
      </w:pPr>
      <w:bookmarkStart w:id="7" w:name="（四）项目效益情况。"/>
      <w:bookmarkEnd w:id="7"/>
      <w:r>
        <w:rPr>
          <w:rFonts w:hint="eastAsia" w:asciiTheme="minorEastAsia" w:hAnsiTheme="minorEastAsia" w:eastAsiaTheme="minorEastAsia"/>
          <w:sz w:val="32"/>
          <w:lang w:val="en-US" w:eastAsia="zh-CN"/>
        </w:rPr>
        <w:t>（三）项目效益情况。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1.经济效益：成本控制率达100%。</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2.社会效益：有效化解特殊疑难信访问题，切实维护群众合法权益和社会和谐稳定做好特殊时期现场值守及信访维稳工作，有效维护群众合法权益和社会和谐稳定达90%。</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3.生态效益：做好特殊时期现场值守及信访维稳工作的同时注重涉及环保方面政策的落实达90%。</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4.可持续影响：善相关管理制度，保障特殊时期现场值守及信访维稳工作安全有序开展达90%。</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5.满意度：上级部门满意度达95%，社会公众满意度达95%。</w:t>
      </w:r>
    </w:p>
    <w:p>
      <w:pPr>
        <w:pStyle w:val="2"/>
        <w:spacing w:before="118" w:line="350" w:lineRule="auto"/>
        <w:ind w:right="0" w:rightChars="0" w:firstLine="643" w:firstLineChars="200"/>
        <w:rPr>
          <w:rFonts w:hint="eastAsia" w:asciiTheme="minorEastAsia" w:hAnsiTheme="minorEastAsia" w:eastAsiaTheme="minorEastAsia"/>
          <w:b/>
          <w:bCs/>
        </w:rPr>
      </w:pPr>
      <w:r>
        <w:rPr>
          <w:rFonts w:hint="eastAsia" w:asciiTheme="minorEastAsia" w:hAnsiTheme="minorEastAsia" w:eastAsiaTheme="minorEastAsia"/>
          <w:b/>
          <w:bCs/>
        </w:rPr>
        <w:t>五、主要经验及做法、存在的问题原因分析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zh-CN"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zh-CN"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val="zh-CN" w:eastAsia="zh-CN"/>
          <w14:textFill>
            <w14:solidFill>
              <w14:schemeClr w14:val="tx1"/>
            </w14:solidFill>
          </w14:textFill>
        </w:rPr>
        <w:t>主要经验及做法</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注重项目预算管理。加强对专项资金项目立项、可行性研究，以保证项目的可行性和科学性。在编报项目预算时要求制定详细的项目推进计划，明确分工，责任到人，以保证专项资金均能够保质保量执行到位。</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2、加强资金动态管理。在专项资金项目执行过程中，注重加强专项资金的动态管理，定期公布专项资金执行进度，促进专项资金按预算执行。</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3、坚持项目过程管理。对项目的申报、实施、验收以及资金分配方案，进行流程管理。</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（二）存在的问题及原因分析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项目支出绩效管理缺乏专职专业管理人员。目前，我局预算绩效管理工作人员主要以财务人员为主，绩效管理专业知识相对不足。</w:t>
      </w:r>
    </w:p>
    <w:p>
      <w:pPr>
        <w:spacing w:before="11"/>
        <w:ind w:firstLine="643" w:firstLineChars="200"/>
        <w:rPr>
          <w:rFonts w:hint="eastAsia" w:asciiTheme="minorEastAsia" w:hAnsiTheme="minorEastAsia" w:eastAsiaTheme="minorEastAsia"/>
          <w:b/>
          <w:bCs/>
          <w:sz w:val="32"/>
          <w:lang w:val="en-US" w:eastAsia="zh-CN"/>
        </w:rPr>
      </w:pPr>
      <w:r>
        <w:rPr>
          <w:rFonts w:hint="eastAsia" w:asciiTheme="minorEastAsia" w:hAnsiTheme="minorEastAsia" w:eastAsiaTheme="minorEastAsia"/>
          <w:b/>
          <w:bCs/>
          <w:sz w:val="32"/>
          <w:lang w:val="en-US" w:eastAsia="zh-CN"/>
        </w:rPr>
        <w:t>六、有关建议</w:t>
      </w:r>
    </w:p>
    <w:p>
      <w:pPr>
        <w:keepNext w:val="0"/>
        <w:keepLines w:val="0"/>
        <w:pageBreakBefore w:val="0"/>
        <w:widowControl/>
        <w:numPr>
          <w:ilvl w:val="0"/>
          <w:numId w:val="0"/>
        </w:numPr>
        <w:kinsoku/>
        <w:wordWrap/>
        <w:overflowPunct/>
        <w:topLinePunct w:val="0"/>
        <w:autoSpaceDE/>
        <w:autoSpaceDN/>
        <w:bidi w:val="0"/>
        <w:adjustRightInd w:val="0"/>
        <w:snapToGrid w:val="0"/>
        <w:spacing w:before="11" w:line="580" w:lineRule="exact"/>
        <w:ind w:left="957" w:leftChars="435" w:firstLine="640" w:firstLineChars="200"/>
        <w:textAlignment w:val="auto"/>
        <w:rPr>
          <w:rFonts w:hint="default"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建议区财政局加强相关业务培训，加强交流学习，以提高对财政项目支出绩效评价工作重要性的认识，促进财政绩效评价工作更加科学客观合理。</w:t>
      </w:r>
    </w:p>
    <w:p>
      <w:pPr>
        <w:numPr>
          <w:ilvl w:val="0"/>
          <w:numId w:val="2"/>
        </w:numPr>
        <w:spacing w:before="11"/>
        <w:ind w:firstLine="643" w:firstLineChars="200"/>
        <w:rPr>
          <w:rFonts w:hint="eastAsia" w:asciiTheme="minorEastAsia" w:hAnsiTheme="minorEastAsia" w:eastAsiaTheme="minorEastAsia"/>
          <w:sz w:val="32"/>
          <w:lang w:val="en-US" w:eastAsia="zh-CN"/>
        </w:rPr>
      </w:pPr>
      <w:r>
        <w:rPr>
          <w:rFonts w:hint="eastAsia" w:asciiTheme="minorEastAsia" w:hAnsiTheme="minorEastAsia" w:eastAsiaTheme="minorEastAsia"/>
          <w:b/>
          <w:bCs/>
          <w:sz w:val="32"/>
          <w:lang w:val="en-US" w:eastAsia="zh-CN"/>
        </w:rPr>
        <w:t xml:space="preserve">其他需要说明的问题 </w:t>
      </w:r>
      <w:r>
        <w:rPr>
          <w:rFonts w:hint="eastAsia" w:asciiTheme="minorEastAsia" w:hAnsiTheme="minorEastAsia" w:eastAsiaTheme="minorEastAsia"/>
          <w:sz w:val="32"/>
          <w:lang w:val="en-US" w:eastAsia="zh-CN"/>
        </w:rPr>
        <w:t xml:space="preserve"> </w:t>
      </w:r>
    </w:p>
    <w:p>
      <w:pPr>
        <w:numPr>
          <w:ilvl w:val="0"/>
          <w:numId w:val="0"/>
        </w:numPr>
        <w:spacing w:before="11"/>
        <w:ind w:firstLine="1280" w:firstLineChars="400"/>
        <w:rPr>
          <w:rFonts w:hint="default" w:asciiTheme="minorEastAsia" w:hAnsiTheme="minorEastAsia" w:eastAsiaTheme="minorEastAsia"/>
          <w:sz w:val="32"/>
          <w:lang w:val="en-US" w:eastAsia="zh-CN"/>
        </w:rPr>
      </w:pPr>
      <w:r>
        <w:rPr>
          <w:rFonts w:hint="eastAsia" w:asciiTheme="minorEastAsia" w:hAnsiTheme="minorEastAsia" w:eastAsiaTheme="minorEastAsia"/>
          <w:sz w:val="32"/>
          <w:lang w:val="en-US" w:eastAsia="zh-CN"/>
        </w:rPr>
        <w:t>无</w:t>
      </w:r>
    </w:p>
    <w:p>
      <w:pPr>
        <w:spacing w:before="11"/>
        <w:rPr>
          <w:rFonts w:hint="default" w:asciiTheme="minorEastAsia" w:hAnsiTheme="minorEastAsia" w:eastAsiaTheme="minorEastAsia"/>
          <w:sz w:val="32"/>
          <w:lang w:val="en-US" w:eastAsia="zh-CN"/>
        </w:rPr>
        <w:sectPr>
          <w:footerReference r:id="rId6" w:type="default"/>
          <w:pgSz w:w="11910" w:h="16840"/>
          <w:pgMar w:top="1480" w:right="1430" w:bottom="1220" w:left="580" w:header="0" w:footer="1034" w:gutter="0"/>
          <w:pgNumType w:start="19"/>
          <w:cols w:space="720" w:num="1"/>
        </w:sectPr>
      </w:pPr>
    </w:p>
    <w:p>
      <w:pPr>
        <w:pStyle w:val="13"/>
        <w:spacing w:before="39"/>
        <w:ind w:firstLine="2200" w:firstLineChars="500"/>
        <w:jc w:val="both"/>
      </w:pPr>
    </w:p>
    <w:p>
      <w:pPr>
        <w:pStyle w:val="13"/>
        <w:spacing w:before="39"/>
        <w:ind w:firstLine="3520" w:firstLineChars="800"/>
        <w:jc w:val="both"/>
      </w:pPr>
      <w:r>
        <w:t>项目支出绩效评分表</w:t>
      </w:r>
    </w:p>
    <w:p>
      <w:pPr>
        <w:pStyle w:val="2"/>
        <w:spacing w:before="8"/>
        <w:rPr>
          <w:sz w:val="16"/>
        </w:rPr>
      </w:pPr>
    </w:p>
    <w:tbl>
      <w:tblPr>
        <w:tblStyle w:val="11"/>
        <w:tblW w:w="0" w:type="auto"/>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sz w:val="21"/>
                <w:lang w:eastAsia="en-US"/>
              </w:rPr>
            </w:pPr>
            <w:r>
              <w:rPr>
                <w:rFonts w:hint="eastAsia" w:ascii="黑体" w:eastAsia="黑体"/>
                <w:spacing w:val="-1"/>
                <w:w w:val="95"/>
                <w:sz w:val="21"/>
                <w:lang w:eastAsia="en-US"/>
              </w:rPr>
              <w:t>一级</w:t>
            </w:r>
          </w:p>
          <w:p>
            <w:pPr>
              <w:pStyle w:val="16"/>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6"/>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6"/>
              <w:spacing w:before="20"/>
              <w:ind w:left="192"/>
              <w:rPr>
                <w:rFonts w:ascii="黑体" w:eastAsia="黑体"/>
                <w:sz w:val="21"/>
                <w:lang w:eastAsia="en-US"/>
              </w:rPr>
            </w:pPr>
            <w:r>
              <w:rPr>
                <w:rFonts w:hint="eastAsia" w:ascii="黑体" w:eastAsia="黑体"/>
                <w:w w:val="99"/>
                <w:sz w:val="21"/>
                <w:lang w:eastAsia="en-US"/>
              </w:rPr>
              <w:t>分</w:t>
            </w:r>
          </w:p>
          <w:p>
            <w:pPr>
              <w:pStyle w:val="16"/>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6"/>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6"/>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6"/>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6"/>
              <w:spacing w:before="20"/>
              <w:ind w:left="125"/>
              <w:rPr>
                <w:rFonts w:ascii="黑体" w:eastAsia="黑体"/>
                <w:sz w:val="21"/>
                <w:lang w:eastAsia="en-US"/>
              </w:rPr>
            </w:pPr>
            <w:r>
              <w:rPr>
                <w:rFonts w:hint="eastAsia" w:ascii="黑体" w:eastAsia="黑体"/>
                <w:spacing w:val="-1"/>
                <w:w w:val="95"/>
                <w:sz w:val="21"/>
                <w:lang w:eastAsia="en-US"/>
              </w:rPr>
              <w:t>评价</w:t>
            </w:r>
          </w:p>
          <w:p>
            <w:pPr>
              <w:pStyle w:val="16"/>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6"/>
              <w:rPr>
                <w:sz w:val="20"/>
                <w:lang w:eastAsia="en-US"/>
              </w:rPr>
            </w:pPr>
          </w:p>
          <w:p>
            <w:pPr>
              <w:pStyle w:val="16"/>
              <w:rPr>
                <w:sz w:val="20"/>
                <w:lang w:eastAsia="en-US"/>
              </w:rPr>
            </w:pPr>
          </w:p>
          <w:p>
            <w:pPr>
              <w:pStyle w:val="16"/>
              <w:rPr>
                <w:sz w:val="20"/>
                <w:lang w:eastAsia="en-US"/>
              </w:rPr>
            </w:pPr>
          </w:p>
          <w:p>
            <w:pPr>
              <w:pStyle w:val="16"/>
              <w:spacing w:before="172"/>
              <w:ind w:left="74" w:right="69"/>
              <w:jc w:val="center"/>
              <w:rPr>
                <w:rFonts w:ascii="黑体" w:eastAsia="黑体"/>
                <w:sz w:val="21"/>
                <w:lang w:eastAsia="en-US"/>
              </w:rPr>
            </w:pPr>
            <w:r>
              <w:rPr>
                <w:rFonts w:hint="eastAsia" w:ascii="黑体" w:eastAsia="黑体"/>
                <w:sz w:val="21"/>
                <w:lang w:eastAsia="en-US"/>
              </w:rPr>
              <w:t>决策</w:t>
            </w:r>
          </w:p>
          <w:p>
            <w:pPr>
              <w:pStyle w:val="16"/>
              <w:spacing w:before="6"/>
              <w:rPr>
                <w:sz w:val="16"/>
                <w:lang w:eastAsia="en-US"/>
              </w:rPr>
            </w:pPr>
          </w:p>
          <w:p>
            <w:pPr>
              <w:pStyle w:val="16"/>
              <w:ind w:left="77" w:right="69"/>
              <w:jc w:val="center"/>
              <w:rPr>
                <w:rFonts w:ascii="黑体" w:eastAsia="黑体"/>
                <w:sz w:val="21"/>
                <w:lang w:eastAsia="en-US"/>
              </w:rPr>
            </w:pPr>
            <w:r>
              <w:rPr>
                <w:rFonts w:hint="eastAsia" w:ascii="黑体" w:eastAsia="黑体"/>
                <w:sz w:val="21"/>
                <w:lang w:eastAsia="en-US"/>
              </w:rPr>
              <w:t>（15 分）</w:t>
            </w:r>
          </w:p>
        </w:tc>
        <w:tc>
          <w:tcPr>
            <w:tcW w:w="1361" w:type="dxa"/>
            <w:gridSpan w:val="2"/>
            <w:vMerge w:val="restart"/>
          </w:tcPr>
          <w:p>
            <w:pPr>
              <w:pStyle w:val="16"/>
              <w:spacing w:before="11"/>
              <w:rPr>
                <w:lang w:eastAsia="en-US"/>
              </w:rPr>
            </w:pPr>
          </w:p>
          <w:p>
            <w:pPr>
              <w:pStyle w:val="16"/>
              <w:ind w:left="259"/>
              <w:rPr>
                <w:rFonts w:ascii="黑体" w:eastAsia="黑体"/>
                <w:sz w:val="21"/>
                <w:lang w:eastAsia="en-US"/>
              </w:rPr>
            </w:pPr>
            <w:r>
              <w:rPr>
                <w:rFonts w:hint="eastAsia" w:ascii="黑体" w:eastAsia="黑体"/>
                <w:sz w:val="21"/>
                <w:lang w:eastAsia="en-US"/>
              </w:rPr>
              <w:t>项目立项</w:t>
            </w:r>
          </w:p>
        </w:tc>
        <w:tc>
          <w:tcPr>
            <w:tcW w:w="596" w:type="dxa"/>
            <w:vMerge w:val="restart"/>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6"/>
              <w:rPr>
                <w:rFonts w:ascii="Times New Roman"/>
                <w:sz w:val="20"/>
                <w:lang w:eastAsia="en-US"/>
              </w:rPr>
            </w:pPr>
          </w:p>
        </w:tc>
        <w:tc>
          <w:tcPr>
            <w:tcW w:w="1963" w:type="dxa"/>
          </w:tcPr>
          <w:p>
            <w:pPr>
              <w:pStyle w:val="16"/>
              <w:spacing w:before="87"/>
              <w:ind w:left="224" w:right="219"/>
              <w:jc w:val="center"/>
              <w:rPr>
                <w:rFonts w:ascii="黑体" w:eastAsia="黑体"/>
                <w:sz w:val="21"/>
                <w:lang w:eastAsia="en-US"/>
              </w:rPr>
            </w:pPr>
            <w:r>
              <w:rPr>
                <w:rFonts w:hint="eastAsia" w:ascii="黑体" w:eastAsia="黑体"/>
                <w:sz w:val="21"/>
                <w:lang w:eastAsia="en-US"/>
              </w:rPr>
              <w:t>立项依据充分性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64"/>
              <w:ind w:left="224" w:right="219"/>
              <w:jc w:val="center"/>
              <w:rPr>
                <w:rFonts w:ascii="黑体" w:eastAsia="黑体"/>
                <w:sz w:val="21"/>
                <w:lang w:eastAsia="en-US"/>
              </w:rPr>
            </w:pPr>
            <w:r>
              <w:rPr>
                <w:rFonts w:hint="eastAsia" w:ascii="黑体" w:eastAsia="黑体"/>
                <w:sz w:val="21"/>
                <w:lang w:eastAsia="en-US"/>
              </w:rPr>
              <w:t>立项程序规范性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6"/>
              <w:rPr>
                <w:sz w:val="24"/>
                <w:lang w:eastAsia="en-US"/>
              </w:rPr>
            </w:pPr>
          </w:p>
          <w:p>
            <w:pPr>
              <w:pStyle w:val="16"/>
              <w:ind w:left="259"/>
              <w:rPr>
                <w:rFonts w:ascii="黑体" w:eastAsia="黑体"/>
                <w:sz w:val="21"/>
                <w:lang w:eastAsia="en-US"/>
              </w:rPr>
            </w:pPr>
            <w:r>
              <w:rPr>
                <w:rFonts w:hint="eastAsia" w:ascii="黑体" w:eastAsia="黑体"/>
                <w:sz w:val="21"/>
                <w:lang w:eastAsia="en-US"/>
              </w:rPr>
              <w:t>绩效目标</w:t>
            </w:r>
          </w:p>
        </w:tc>
        <w:tc>
          <w:tcPr>
            <w:tcW w:w="596" w:type="dxa"/>
            <w:vMerge w:val="restart"/>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6"/>
              <w:rPr>
                <w:rFonts w:ascii="Times New Roman"/>
                <w:sz w:val="20"/>
                <w:lang w:eastAsia="en-US"/>
              </w:rPr>
            </w:pPr>
          </w:p>
        </w:tc>
        <w:tc>
          <w:tcPr>
            <w:tcW w:w="1963" w:type="dxa"/>
          </w:tcPr>
          <w:p>
            <w:pPr>
              <w:pStyle w:val="16"/>
              <w:spacing w:before="63"/>
              <w:ind w:left="224" w:right="219"/>
              <w:jc w:val="center"/>
              <w:rPr>
                <w:rFonts w:ascii="黑体" w:eastAsia="黑体"/>
                <w:sz w:val="21"/>
                <w:lang w:eastAsia="en-US"/>
              </w:rPr>
            </w:pPr>
            <w:r>
              <w:rPr>
                <w:rFonts w:hint="eastAsia" w:ascii="黑体" w:eastAsia="黑体"/>
                <w:sz w:val="21"/>
                <w:lang w:eastAsia="en-US"/>
              </w:rPr>
              <w:t>绩效目标合理性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103"/>
              <w:ind w:left="224" w:right="219"/>
              <w:jc w:val="center"/>
              <w:rPr>
                <w:rFonts w:ascii="黑体" w:eastAsia="黑体"/>
                <w:sz w:val="21"/>
                <w:lang w:eastAsia="en-US"/>
              </w:rPr>
            </w:pPr>
            <w:r>
              <w:rPr>
                <w:rFonts w:hint="eastAsia" w:ascii="黑体" w:eastAsia="黑体"/>
                <w:sz w:val="21"/>
                <w:lang w:eastAsia="en-US"/>
              </w:rPr>
              <w:t>绩效指标明确性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6"/>
              <w:spacing w:before="10"/>
              <w:rPr>
                <w:lang w:eastAsia="en-US"/>
              </w:rPr>
            </w:pPr>
          </w:p>
          <w:p>
            <w:pPr>
              <w:pStyle w:val="16"/>
              <w:ind w:left="259"/>
              <w:rPr>
                <w:rFonts w:ascii="黑体" w:eastAsia="黑体"/>
                <w:sz w:val="21"/>
                <w:lang w:eastAsia="en-US"/>
              </w:rPr>
            </w:pPr>
            <w:r>
              <w:rPr>
                <w:rFonts w:hint="eastAsia" w:ascii="黑体" w:eastAsia="黑体"/>
                <w:sz w:val="21"/>
                <w:lang w:eastAsia="en-US"/>
              </w:rPr>
              <w:t>资金投入</w:t>
            </w:r>
          </w:p>
        </w:tc>
        <w:tc>
          <w:tcPr>
            <w:tcW w:w="596" w:type="dxa"/>
            <w:vMerge w:val="restart"/>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6"/>
              <w:rPr>
                <w:rFonts w:ascii="Times New Roman"/>
                <w:sz w:val="20"/>
                <w:lang w:eastAsia="en-US"/>
              </w:rPr>
            </w:pPr>
          </w:p>
        </w:tc>
        <w:tc>
          <w:tcPr>
            <w:tcW w:w="1963" w:type="dxa"/>
          </w:tcPr>
          <w:p>
            <w:pPr>
              <w:pStyle w:val="16"/>
              <w:spacing w:before="86"/>
              <w:ind w:left="224" w:right="219"/>
              <w:jc w:val="center"/>
              <w:rPr>
                <w:rFonts w:ascii="黑体" w:eastAsia="黑体"/>
                <w:sz w:val="21"/>
                <w:lang w:eastAsia="en-US"/>
              </w:rPr>
            </w:pPr>
            <w:r>
              <w:rPr>
                <w:rFonts w:hint="eastAsia" w:ascii="黑体" w:eastAsia="黑体"/>
                <w:sz w:val="21"/>
                <w:lang w:eastAsia="en-US"/>
              </w:rPr>
              <w:t>预算编制科学性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63"/>
              <w:ind w:left="224" w:right="219"/>
              <w:jc w:val="center"/>
              <w:rPr>
                <w:rFonts w:ascii="黑体" w:eastAsia="黑体"/>
                <w:sz w:val="21"/>
                <w:lang w:eastAsia="en-US"/>
              </w:rPr>
            </w:pPr>
            <w:r>
              <w:rPr>
                <w:rFonts w:hint="eastAsia" w:ascii="黑体" w:eastAsia="黑体"/>
                <w:sz w:val="21"/>
                <w:lang w:eastAsia="en-US"/>
              </w:rPr>
              <w:t>资金分配合理性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141" w:type="dxa"/>
            <w:vMerge w:val="restart"/>
          </w:tcPr>
          <w:p>
            <w:pPr>
              <w:pStyle w:val="16"/>
              <w:rPr>
                <w:sz w:val="20"/>
                <w:lang w:eastAsia="en-US"/>
              </w:rPr>
            </w:pPr>
          </w:p>
          <w:p>
            <w:pPr>
              <w:pStyle w:val="16"/>
              <w:rPr>
                <w:sz w:val="20"/>
                <w:lang w:eastAsia="en-US"/>
              </w:rPr>
            </w:pPr>
          </w:p>
          <w:p>
            <w:pPr>
              <w:pStyle w:val="16"/>
              <w:spacing w:before="130" w:line="255" w:lineRule="exact"/>
              <w:ind w:left="74" w:right="69"/>
              <w:jc w:val="center"/>
              <w:rPr>
                <w:rFonts w:ascii="黑体" w:eastAsia="黑体"/>
                <w:sz w:val="21"/>
                <w:lang w:eastAsia="en-US"/>
              </w:rPr>
            </w:pPr>
            <w:r>
              <w:rPr>
                <w:rFonts w:hint="eastAsia" w:ascii="黑体" w:eastAsia="黑体"/>
                <w:sz w:val="21"/>
                <w:lang w:eastAsia="en-US"/>
              </w:rPr>
              <w:t>过程</w:t>
            </w:r>
          </w:p>
          <w:p>
            <w:pPr>
              <w:pStyle w:val="16"/>
              <w:spacing w:line="255" w:lineRule="exact"/>
              <w:ind w:left="77" w:right="69"/>
              <w:jc w:val="center"/>
              <w:rPr>
                <w:rFonts w:ascii="黑体" w:eastAsia="黑体"/>
                <w:sz w:val="21"/>
                <w:lang w:eastAsia="en-US"/>
              </w:rPr>
            </w:pPr>
            <w:r>
              <w:rPr>
                <w:rFonts w:hint="eastAsia" w:ascii="黑体" w:eastAsia="黑体"/>
                <w:sz w:val="21"/>
                <w:lang w:eastAsia="en-US"/>
              </w:rPr>
              <w:t>（15 分）</w:t>
            </w:r>
          </w:p>
        </w:tc>
        <w:tc>
          <w:tcPr>
            <w:tcW w:w="1361" w:type="dxa"/>
            <w:gridSpan w:val="2"/>
            <w:vMerge w:val="restart"/>
          </w:tcPr>
          <w:p>
            <w:pPr>
              <w:pStyle w:val="16"/>
              <w:rPr>
                <w:sz w:val="20"/>
                <w:lang w:eastAsia="en-US"/>
              </w:rPr>
            </w:pPr>
          </w:p>
          <w:p>
            <w:pPr>
              <w:pStyle w:val="16"/>
              <w:spacing w:before="175"/>
              <w:ind w:left="259"/>
              <w:rPr>
                <w:rFonts w:ascii="黑体" w:eastAsia="黑体"/>
                <w:sz w:val="21"/>
                <w:lang w:eastAsia="en-US"/>
              </w:rPr>
            </w:pPr>
            <w:r>
              <w:rPr>
                <w:rFonts w:hint="eastAsia" w:ascii="黑体" w:eastAsia="黑体"/>
                <w:sz w:val="21"/>
                <w:lang w:eastAsia="en-US"/>
              </w:rPr>
              <w:t>资金管理</w:t>
            </w:r>
          </w:p>
        </w:tc>
        <w:tc>
          <w:tcPr>
            <w:tcW w:w="596" w:type="dxa"/>
            <w:vMerge w:val="restart"/>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10</w:t>
            </w:r>
          </w:p>
          <w:p>
            <w:pPr>
              <w:pStyle w:val="16"/>
              <w:rPr>
                <w:rFonts w:ascii="Times New Roman"/>
                <w:sz w:val="20"/>
                <w:lang w:eastAsia="en-US"/>
              </w:rPr>
            </w:pPr>
          </w:p>
        </w:tc>
        <w:tc>
          <w:tcPr>
            <w:tcW w:w="1963" w:type="dxa"/>
          </w:tcPr>
          <w:p>
            <w:pPr>
              <w:pStyle w:val="16"/>
              <w:spacing w:before="38"/>
              <w:ind w:left="224" w:right="217"/>
              <w:jc w:val="center"/>
              <w:rPr>
                <w:rFonts w:ascii="黑体" w:eastAsia="黑体"/>
                <w:sz w:val="21"/>
                <w:lang w:eastAsia="en-US"/>
              </w:rPr>
            </w:pPr>
            <w:r>
              <w:rPr>
                <w:rFonts w:hint="eastAsia" w:ascii="黑体" w:eastAsia="黑体"/>
                <w:sz w:val="21"/>
                <w:lang w:eastAsia="en-US"/>
              </w:rPr>
              <w:t>资金到位率</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widowControl/>
              <w:autoSpaceDE w:val="0"/>
              <w:autoSpaceDN w:val="0"/>
              <w:spacing w:line="240" w:lineRule="exact"/>
              <w:rPr>
                <w:rFonts w:hint="eastAsia" w:ascii="黑体" w:hAnsi="黑体" w:eastAsia="黑体" w:cs="黑体"/>
                <w:sz w:val="21"/>
                <w:szCs w:val="21"/>
                <w:lang w:val="en-US" w:eastAsia="en-US" w:bidi="ar-SA"/>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37"/>
              <w:ind w:left="224" w:right="217"/>
              <w:jc w:val="center"/>
              <w:rPr>
                <w:rFonts w:ascii="黑体" w:eastAsia="黑体"/>
                <w:sz w:val="21"/>
                <w:lang w:eastAsia="en-US"/>
              </w:rPr>
            </w:pPr>
            <w:r>
              <w:rPr>
                <w:rFonts w:hint="eastAsia" w:ascii="黑体" w:eastAsia="黑体"/>
                <w:sz w:val="21"/>
                <w:lang w:eastAsia="en-US"/>
              </w:rPr>
              <w:t>预算执行率</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（实际下拨资金/应下拨资金）X100%。每降低10%扣1分，低于60%不得分。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71"/>
              <w:ind w:left="224" w:right="219"/>
              <w:jc w:val="center"/>
              <w:rPr>
                <w:rFonts w:ascii="黑体" w:eastAsia="黑体"/>
                <w:sz w:val="21"/>
                <w:lang w:eastAsia="en-US"/>
              </w:rPr>
            </w:pPr>
            <w:r>
              <w:rPr>
                <w:rFonts w:hint="eastAsia" w:ascii="黑体" w:eastAsia="黑体"/>
                <w:sz w:val="21"/>
                <w:lang w:eastAsia="en-US"/>
              </w:rPr>
              <w:t>资金使用合规性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restart"/>
          </w:tcPr>
          <w:p>
            <w:pPr>
              <w:pStyle w:val="16"/>
              <w:spacing w:before="12"/>
              <w:rPr>
                <w:sz w:val="23"/>
                <w:lang w:eastAsia="en-US"/>
              </w:rPr>
            </w:pPr>
          </w:p>
          <w:p>
            <w:pPr>
              <w:pStyle w:val="16"/>
              <w:ind w:left="259"/>
              <w:rPr>
                <w:rFonts w:ascii="黑体" w:eastAsia="黑体"/>
                <w:sz w:val="21"/>
                <w:lang w:eastAsia="en-US"/>
              </w:rPr>
            </w:pPr>
            <w:r>
              <w:rPr>
                <w:rFonts w:hint="eastAsia" w:ascii="黑体" w:eastAsia="黑体"/>
                <w:sz w:val="21"/>
                <w:lang w:eastAsia="en-US"/>
              </w:rPr>
              <w:t>组织实施</w:t>
            </w:r>
          </w:p>
        </w:tc>
        <w:tc>
          <w:tcPr>
            <w:tcW w:w="596" w:type="dxa"/>
            <w:vMerge w:val="restart"/>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rPr>
              <w:t>5</w:t>
            </w:r>
          </w:p>
          <w:p>
            <w:pPr>
              <w:pStyle w:val="16"/>
              <w:rPr>
                <w:rFonts w:ascii="Times New Roman"/>
                <w:sz w:val="20"/>
                <w:lang w:eastAsia="en-US"/>
              </w:rPr>
            </w:pPr>
          </w:p>
        </w:tc>
        <w:tc>
          <w:tcPr>
            <w:tcW w:w="1963" w:type="dxa"/>
          </w:tcPr>
          <w:p>
            <w:pPr>
              <w:pStyle w:val="16"/>
              <w:spacing w:before="93"/>
              <w:ind w:left="224" w:right="219"/>
              <w:jc w:val="center"/>
              <w:rPr>
                <w:rFonts w:ascii="黑体" w:eastAsia="黑体"/>
                <w:sz w:val="21"/>
                <w:lang w:eastAsia="en-US"/>
              </w:rPr>
            </w:pPr>
            <w:r>
              <w:rPr>
                <w:rFonts w:hint="eastAsia" w:ascii="黑体" w:eastAsia="黑体"/>
                <w:sz w:val="21"/>
                <w:lang w:eastAsia="en-US"/>
              </w:rPr>
              <w:t>管理制度健全性</w:t>
            </w:r>
          </w:p>
        </w:tc>
        <w:tc>
          <w:tcPr>
            <w:tcW w:w="70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2</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制定专项资金管理办法的规定。</w:t>
            </w:r>
          </w:p>
        </w:tc>
        <w:tc>
          <w:tcPr>
            <w:tcW w:w="675" w:type="dxa"/>
            <w:vAlign w:val="top"/>
          </w:tcPr>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596" w:type="dxa"/>
            <w:vMerge w:val="continue"/>
            <w:tcBorders>
              <w:top w:val="nil"/>
            </w:tcBorders>
          </w:tcPr>
          <w:p>
            <w:pPr>
              <w:widowControl w:val="0"/>
              <w:autoSpaceDE w:val="0"/>
              <w:autoSpaceDN w:val="0"/>
              <w:spacing w:after="0"/>
              <w:rPr>
                <w:rFonts w:eastAsiaTheme="minorEastAsia"/>
                <w:sz w:val="2"/>
                <w:szCs w:val="2"/>
                <w:lang w:eastAsia="en-US"/>
              </w:rPr>
            </w:pPr>
          </w:p>
        </w:tc>
        <w:tc>
          <w:tcPr>
            <w:tcW w:w="1963" w:type="dxa"/>
          </w:tcPr>
          <w:p>
            <w:pPr>
              <w:pStyle w:val="16"/>
              <w:spacing w:before="70"/>
              <w:ind w:left="224" w:right="219"/>
              <w:jc w:val="center"/>
              <w:rPr>
                <w:rFonts w:ascii="黑体" w:eastAsia="黑体"/>
                <w:sz w:val="21"/>
                <w:lang w:eastAsia="en-US"/>
              </w:rPr>
            </w:pPr>
            <w:r>
              <w:rPr>
                <w:rFonts w:hint="eastAsia" w:ascii="黑体" w:eastAsia="黑体"/>
                <w:sz w:val="21"/>
                <w:lang w:eastAsia="en-US"/>
              </w:rPr>
              <w:t>制度执行有效性</w:t>
            </w:r>
          </w:p>
        </w:tc>
        <w:tc>
          <w:tcPr>
            <w:tcW w:w="70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3</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rPr>
                <w:sz w:val="20"/>
                <w:lang w:eastAsia="en-US"/>
              </w:rPr>
            </w:pPr>
          </w:p>
          <w:p>
            <w:pPr>
              <w:pStyle w:val="16"/>
              <w:rPr>
                <w:sz w:val="20"/>
                <w:lang w:eastAsia="en-US"/>
              </w:rPr>
            </w:pPr>
          </w:p>
          <w:p>
            <w:pPr>
              <w:pStyle w:val="16"/>
              <w:spacing w:before="1"/>
              <w:rPr>
                <w:lang w:eastAsia="en-US"/>
              </w:rPr>
            </w:pPr>
          </w:p>
          <w:p>
            <w:pPr>
              <w:pStyle w:val="16"/>
              <w:spacing w:before="1" w:line="255" w:lineRule="exact"/>
              <w:ind w:left="74" w:right="69"/>
              <w:jc w:val="center"/>
              <w:rPr>
                <w:rFonts w:ascii="黑体" w:eastAsia="黑体"/>
                <w:sz w:val="21"/>
                <w:lang w:eastAsia="en-US"/>
              </w:rPr>
            </w:pPr>
            <w:r>
              <w:rPr>
                <w:rFonts w:hint="eastAsia" w:ascii="黑体" w:eastAsia="黑体"/>
                <w:sz w:val="21"/>
                <w:lang w:eastAsia="en-US"/>
              </w:rPr>
              <w:t>产出</w:t>
            </w:r>
          </w:p>
          <w:p>
            <w:pPr>
              <w:pStyle w:val="16"/>
              <w:spacing w:line="255" w:lineRule="exact"/>
              <w:ind w:left="77" w:right="69"/>
              <w:jc w:val="center"/>
              <w:rPr>
                <w:rFonts w:ascii="黑体" w:eastAsia="黑体"/>
                <w:sz w:val="21"/>
                <w:lang w:eastAsia="en-US"/>
              </w:rPr>
            </w:pPr>
            <w:r>
              <w:rPr>
                <w:rFonts w:hint="eastAsia" w:ascii="黑体" w:eastAsia="黑体"/>
                <w:sz w:val="21"/>
                <w:lang w:eastAsia="en-US"/>
              </w:rPr>
              <w:t>（35 分）</w:t>
            </w:r>
          </w:p>
        </w:tc>
        <w:tc>
          <w:tcPr>
            <w:tcW w:w="1361" w:type="dxa"/>
            <w:gridSpan w:val="2"/>
          </w:tcPr>
          <w:p>
            <w:pPr>
              <w:pStyle w:val="16"/>
              <w:spacing w:before="121"/>
              <w:ind w:left="259"/>
              <w:rPr>
                <w:rFonts w:ascii="黑体" w:eastAsia="黑体"/>
                <w:sz w:val="21"/>
                <w:lang w:eastAsia="en-US"/>
              </w:rPr>
            </w:pPr>
            <w:r>
              <w:rPr>
                <w:rFonts w:hint="eastAsia" w:ascii="黑体" w:eastAsia="黑体"/>
                <w:sz w:val="21"/>
                <w:lang w:eastAsia="en-US"/>
              </w:rPr>
              <w:t>产出数量</w:t>
            </w:r>
          </w:p>
        </w:tc>
        <w:tc>
          <w:tcPr>
            <w:tcW w:w="59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restart"/>
          </w:tcPr>
          <w:p>
            <w:pPr>
              <w:pStyle w:val="16"/>
              <w:rPr>
                <w:sz w:val="20"/>
                <w:lang w:eastAsia="en-US"/>
              </w:rPr>
            </w:pPr>
          </w:p>
          <w:p>
            <w:pPr>
              <w:pStyle w:val="16"/>
              <w:rPr>
                <w:sz w:val="20"/>
                <w:lang w:eastAsia="en-US"/>
              </w:rPr>
            </w:pPr>
          </w:p>
          <w:p>
            <w:pPr>
              <w:pStyle w:val="16"/>
              <w:rPr>
                <w:sz w:val="20"/>
                <w:lang w:eastAsia="en-US"/>
              </w:rPr>
            </w:pPr>
          </w:p>
          <w:p>
            <w:pPr>
              <w:pStyle w:val="16"/>
              <w:rPr>
                <w:sz w:val="20"/>
                <w:lang w:eastAsia="en-US"/>
              </w:rPr>
            </w:pPr>
          </w:p>
          <w:p>
            <w:pPr>
              <w:pStyle w:val="16"/>
              <w:rPr>
                <w:sz w:val="20"/>
                <w:lang w:eastAsia="en-US"/>
              </w:rPr>
            </w:pPr>
          </w:p>
          <w:p>
            <w:pPr>
              <w:pStyle w:val="16"/>
              <w:rPr>
                <w:sz w:val="20"/>
                <w:lang w:eastAsia="en-US"/>
              </w:rPr>
            </w:pPr>
          </w:p>
          <w:p>
            <w:pPr>
              <w:pStyle w:val="16"/>
              <w:spacing w:before="4"/>
              <w:rPr>
                <w:sz w:val="26"/>
                <w:lang w:eastAsia="en-US"/>
              </w:rPr>
            </w:pPr>
          </w:p>
          <w:p>
            <w:pPr>
              <w:pStyle w:val="16"/>
              <w:spacing w:line="213" w:lineRule="auto"/>
              <w:ind w:left="664" w:right="131" w:hanging="524"/>
              <w:rPr>
                <w:rFonts w:ascii="黑体" w:eastAsia="黑体"/>
                <w:sz w:val="21"/>
                <w:lang w:eastAsia="en-US"/>
              </w:rPr>
            </w:pPr>
            <w:r>
              <w:rPr>
                <w:rFonts w:hint="eastAsia" w:ascii="黑体" w:eastAsia="黑体"/>
                <w:sz w:val="21"/>
                <w:lang w:eastAsia="en-US"/>
              </w:rPr>
              <w:t>可根据项目实际情况设置</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1"/>
              <w:ind w:left="259"/>
              <w:rPr>
                <w:rFonts w:ascii="黑体" w:eastAsia="黑体"/>
                <w:sz w:val="21"/>
                <w:lang w:eastAsia="en-US"/>
              </w:rPr>
            </w:pPr>
            <w:r>
              <w:rPr>
                <w:rFonts w:hint="eastAsia" w:ascii="黑体" w:eastAsia="黑体"/>
                <w:sz w:val="21"/>
                <w:lang w:eastAsia="en-US"/>
              </w:rPr>
              <w:t>产出质量</w:t>
            </w:r>
          </w:p>
        </w:tc>
        <w:tc>
          <w:tcPr>
            <w:tcW w:w="59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2"/>
              <w:ind w:left="259"/>
              <w:rPr>
                <w:rFonts w:ascii="黑体" w:eastAsia="黑体"/>
                <w:sz w:val="21"/>
                <w:lang w:eastAsia="en-US"/>
              </w:rPr>
            </w:pPr>
            <w:r>
              <w:rPr>
                <w:rFonts w:hint="eastAsia" w:ascii="黑体" w:eastAsia="黑体"/>
                <w:sz w:val="21"/>
                <w:lang w:eastAsia="en-US"/>
              </w:rPr>
              <w:t>产出时效</w:t>
            </w:r>
          </w:p>
        </w:tc>
        <w:tc>
          <w:tcPr>
            <w:tcW w:w="59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5</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vAlign w:val="top"/>
          </w:tcPr>
          <w:p>
            <w:pPr>
              <w:pStyle w:val="16"/>
              <w:jc w:val="center"/>
              <w:rPr>
                <w:rFonts w:hint="eastAsia" w:ascii="Times New Roman"/>
                <w:sz w:val="20"/>
                <w:lang w:val="en-US" w:eastAsia="zh-CN"/>
              </w:rPr>
            </w:pPr>
          </w:p>
          <w:p>
            <w:pPr>
              <w:pStyle w:val="16"/>
              <w:jc w:val="center"/>
              <w:rPr>
                <w:rFonts w:hint="default" w:ascii="Times New Roman" w:hAnsi="宋体" w:eastAsia="宋体" w:cs="宋体"/>
                <w:sz w:val="20"/>
                <w:szCs w:val="22"/>
                <w:lang w:val="en-US" w:eastAsia="en-US" w:bidi="zh-CN"/>
              </w:rPr>
            </w:pPr>
            <w:r>
              <w:rPr>
                <w:rFonts w:hint="eastAsia" w:ascii="Times New Roman"/>
                <w:sz w:val="20"/>
                <w:lang w:val="en-US" w:eastAsia="zh-CN"/>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1"/>
              <w:ind w:left="259"/>
              <w:rPr>
                <w:rFonts w:ascii="黑体" w:eastAsia="黑体"/>
                <w:sz w:val="21"/>
                <w:lang w:eastAsia="en-US"/>
              </w:rPr>
            </w:pPr>
            <w:r>
              <w:rPr>
                <w:rFonts w:hint="eastAsia" w:ascii="黑体" w:eastAsia="黑体"/>
                <w:sz w:val="21"/>
                <w:lang w:eastAsia="en-US"/>
              </w:rPr>
              <w:t>产出成本</w:t>
            </w:r>
          </w:p>
        </w:tc>
        <w:tc>
          <w:tcPr>
            <w:tcW w:w="59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10</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rPr>
                <w:sz w:val="20"/>
                <w:lang w:eastAsia="en-US"/>
              </w:rPr>
            </w:pPr>
          </w:p>
          <w:p>
            <w:pPr>
              <w:pStyle w:val="16"/>
              <w:rPr>
                <w:sz w:val="20"/>
                <w:lang w:eastAsia="en-US"/>
              </w:rPr>
            </w:pPr>
          </w:p>
          <w:p>
            <w:pPr>
              <w:pStyle w:val="16"/>
              <w:rPr>
                <w:lang w:eastAsia="en-US"/>
              </w:rPr>
            </w:pPr>
          </w:p>
          <w:p>
            <w:pPr>
              <w:pStyle w:val="16"/>
              <w:spacing w:line="255" w:lineRule="exact"/>
              <w:ind w:left="74" w:right="69"/>
              <w:jc w:val="center"/>
              <w:rPr>
                <w:rFonts w:ascii="黑体" w:eastAsia="黑体"/>
                <w:sz w:val="21"/>
                <w:lang w:eastAsia="en-US"/>
              </w:rPr>
            </w:pPr>
            <w:r>
              <w:rPr>
                <w:rFonts w:hint="eastAsia" w:ascii="黑体" w:eastAsia="黑体"/>
                <w:sz w:val="21"/>
                <w:lang w:eastAsia="en-US"/>
              </w:rPr>
              <w:t>效益</w:t>
            </w:r>
          </w:p>
          <w:p>
            <w:pPr>
              <w:pStyle w:val="16"/>
              <w:spacing w:line="255" w:lineRule="exact"/>
              <w:ind w:left="77" w:right="69"/>
              <w:jc w:val="center"/>
              <w:rPr>
                <w:rFonts w:ascii="黑体" w:eastAsia="黑体"/>
                <w:sz w:val="21"/>
                <w:lang w:eastAsia="en-US"/>
              </w:rPr>
            </w:pPr>
            <w:r>
              <w:rPr>
                <w:rFonts w:hint="eastAsia" w:ascii="黑体" w:eastAsia="黑体"/>
                <w:sz w:val="21"/>
                <w:lang w:eastAsia="en-US"/>
              </w:rPr>
              <w:t>（25 分）</w:t>
            </w:r>
          </w:p>
        </w:tc>
        <w:tc>
          <w:tcPr>
            <w:tcW w:w="1361" w:type="dxa"/>
            <w:gridSpan w:val="2"/>
          </w:tcPr>
          <w:p>
            <w:pPr>
              <w:pStyle w:val="16"/>
              <w:spacing w:before="120"/>
              <w:ind w:left="259"/>
              <w:rPr>
                <w:rFonts w:ascii="黑体" w:eastAsia="黑体"/>
                <w:sz w:val="21"/>
                <w:lang w:eastAsia="en-US"/>
              </w:rPr>
            </w:pPr>
            <w:r>
              <w:rPr>
                <w:rFonts w:hint="eastAsia" w:ascii="黑体" w:eastAsia="黑体"/>
                <w:sz w:val="21"/>
                <w:lang w:eastAsia="en-US"/>
              </w:rPr>
              <w:t>经济效益</w:t>
            </w:r>
          </w:p>
        </w:tc>
        <w:tc>
          <w:tcPr>
            <w:tcW w:w="596" w:type="dxa"/>
            <w:vAlign w:val="top"/>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en-US" w:bidi="ar-SA"/>
              </w:rPr>
            </w:pPr>
            <w:r>
              <w:rPr>
                <w:rFonts w:hint="eastAsia" w:ascii="黑体" w:hAnsi="黑体" w:eastAsia="黑体" w:cs="黑体"/>
                <w:sz w:val="21"/>
                <w:szCs w:val="21"/>
                <w:lang w:val="en-US" w:eastAsia="zh-CN"/>
              </w:rPr>
              <w:t>5</w:t>
            </w:r>
          </w:p>
        </w:tc>
        <w:tc>
          <w:tcPr>
            <w:tcW w:w="3980" w:type="dxa"/>
            <w:vAlign w:val="top"/>
          </w:tcPr>
          <w:p>
            <w:pPr>
              <w:pStyle w:val="16"/>
              <w:rPr>
                <w:rFonts w:hint="eastAsia" w:ascii="黑体" w:hAnsi="黑体" w:eastAsia="黑体" w:cs="黑体"/>
                <w:sz w:val="21"/>
                <w:szCs w:val="21"/>
                <w:lang w:val="en-US" w:eastAsia="en-US" w:bidi="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1"/>
              <w:ind w:left="259"/>
              <w:rPr>
                <w:rFonts w:ascii="黑体" w:eastAsia="黑体"/>
                <w:sz w:val="21"/>
                <w:lang w:eastAsia="en-US"/>
              </w:rPr>
            </w:pPr>
            <w:r>
              <w:rPr>
                <w:rFonts w:hint="eastAsia" w:ascii="黑体" w:eastAsia="黑体"/>
                <w:sz w:val="21"/>
                <w:lang w:eastAsia="en-US"/>
              </w:rPr>
              <w:t>社会效益</w:t>
            </w:r>
          </w:p>
        </w:tc>
        <w:tc>
          <w:tcPr>
            <w:tcW w:w="59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pStyle w:val="16"/>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对当地发展的稳定起到一定作用。</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0"/>
              <w:ind w:left="259"/>
              <w:rPr>
                <w:rFonts w:ascii="黑体" w:eastAsia="黑体"/>
                <w:sz w:val="21"/>
                <w:lang w:eastAsia="en-US"/>
              </w:rPr>
            </w:pPr>
            <w:r>
              <w:rPr>
                <w:rFonts w:hint="eastAsia" w:ascii="黑体" w:eastAsia="黑体"/>
                <w:sz w:val="21"/>
                <w:lang w:eastAsia="en-US"/>
              </w:rPr>
              <w:t>生态效益</w:t>
            </w:r>
          </w:p>
        </w:tc>
        <w:tc>
          <w:tcPr>
            <w:tcW w:w="59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5</w:t>
            </w:r>
          </w:p>
        </w:tc>
        <w:tc>
          <w:tcPr>
            <w:tcW w:w="3980" w:type="dxa"/>
            <w:vAlign w:val="top"/>
          </w:tcPr>
          <w:p>
            <w:pPr>
              <w:pStyle w:val="16"/>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在组织活动中，是否对生态起到了破坏作用。如有，就为0分。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rPr>
                <w:rFonts w:eastAsiaTheme="minorEastAsia"/>
                <w:sz w:val="2"/>
                <w:szCs w:val="2"/>
                <w:lang w:eastAsia="en-US"/>
              </w:rPr>
            </w:pPr>
          </w:p>
        </w:tc>
        <w:tc>
          <w:tcPr>
            <w:tcW w:w="1361" w:type="dxa"/>
            <w:gridSpan w:val="2"/>
          </w:tcPr>
          <w:p>
            <w:pPr>
              <w:pStyle w:val="16"/>
              <w:spacing w:before="122"/>
              <w:ind w:left="154"/>
              <w:rPr>
                <w:rFonts w:ascii="黑体" w:eastAsia="黑体"/>
                <w:sz w:val="21"/>
                <w:lang w:eastAsia="en-US"/>
              </w:rPr>
            </w:pPr>
            <w:r>
              <w:rPr>
                <w:rFonts w:hint="eastAsia" w:ascii="黑体" w:eastAsia="黑体"/>
                <w:sz w:val="21"/>
                <w:lang w:eastAsia="en-US"/>
              </w:rPr>
              <w:t>可持续效益</w:t>
            </w:r>
          </w:p>
        </w:tc>
        <w:tc>
          <w:tcPr>
            <w:tcW w:w="59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vMerge w:val="continue"/>
            <w:tcBorders>
              <w:top w:val="nil"/>
            </w:tcBorders>
          </w:tcPr>
          <w:p>
            <w:pPr>
              <w:widowControl w:val="0"/>
              <w:autoSpaceDE w:val="0"/>
              <w:autoSpaceDN w:val="0"/>
              <w:spacing w:after="0"/>
              <w:rPr>
                <w:rFonts w:eastAsiaTheme="minorEastAsia"/>
                <w:sz w:val="2"/>
                <w:szCs w:val="2"/>
                <w:lang w:eastAsia="en-US"/>
              </w:rPr>
            </w:pPr>
          </w:p>
        </w:tc>
        <w:tc>
          <w:tcPr>
            <w:tcW w:w="70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3980" w:type="dxa"/>
            <w:vAlign w:val="top"/>
          </w:tcPr>
          <w:p>
            <w:pPr>
              <w:pStyle w:val="16"/>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对本项目或其他活动的开展，起到可持续效益作用。</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6"/>
              <w:spacing w:before="3"/>
              <w:rPr>
                <w:sz w:val="15"/>
                <w:lang w:eastAsia="en-US"/>
              </w:rPr>
            </w:pPr>
          </w:p>
          <w:p>
            <w:pPr>
              <w:pStyle w:val="16"/>
              <w:spacing w:line="255" w:lineRule="exact"/>
              <w:ind w:left="74" w:right="69"/>
              <w:jc w:val="center"/>
              <w:rPr>
                <w:rFonts w:ascii="黑体" w:eastAsia="黑体"/>
                <w:sz w:val="21"/>
                <w:lang w:eastAsia="en-US"/>
              </w:rPr>
            </w:pPr>
            <w:r>
              <w:rPr>
                <w:rFonts w:hint="eastAsia" w:ascii="黑体" w:eastAsia="黑体"/>
                <w:sz w:val="21"/>
                <w:lang w:eastAsia="en-US"/>
              </w:rPr>
              <w:t>满意度</w:t>
            </w:r>
          </w:p>
          <w:p>
            <w:pPr>
              <w:pStyle w:val="16"/>
              <w:spacing w:line="255" w:lineRule="exact"/>
              <w:ind w:left="77" w:right="69"/>
              <w:jc w:val="center"/>
              <w:rPr>
                <w:rFonts w:ascii="黑体" w:eastAsia="黑体"/>
                <w:sz w:val="21"/>
                <w:lang w:eastAsia="en-US"/>
              </w:rPr>
            </w:pPr>
            <w:r>
              <w:rPr>
                <w:rFonts w:hint="eastAsia" w:ascii="黑体" w:eastAsia="黑体"/>
                <w:sz w:val="21"/>
                <w:lang w:eastAsia="en-US"/>
              </w:rPr>
              <w:t>（10 分）</w:t>
            </w:r>
          </w:p>
        </w:tc>
        <w:tc>
          <w:tcPr>
            <w:tcW w:w="1361" w:type="dxa"/>
            <w:gridSpan w:val="2"/>
          </w:tcPr>
          <w:p>
            <w:pPr>
              <w:pStyle w:val="16"/>
              <w:spacing w:before="98" w:line="213" w:lineRule="auto"/>
              <w:ind w:left="154" w:right="145"/>
              <w:jc w:val="center"/>
              <w:rPr>
                <w:rFonts w:ascii="黑体" w:eastAsia="黑体"/>
                <w:sz w:val="21"/>
                <w:lang w:eastAsia="en-US"/>
              </w:rPr>
            </w:pPr>
            <w:r>
              <w:rPr>
                <w:rFonts w:hint="eastAsia" w:ascii="黑体" w:eastAsia="黑体"/>
                <w:sz w:val="21"/>
                <w:lang w:eastAsia="en-US"/>
              </w:rPr>
              <w:t>社会公众或服务对象满意度</w:t>
            </w:r>
          </w:p>
        </w:tc>
        <w:tc>
          <w:tcPr>
            <w:tcW w:w="59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1963" w:type="dxa"/>
          </w:tcPr>
          <w:p>
            <w:pPr>
              <w:pStyle w:val="16"/>
              <w:rPr>
                <w:rFonts w:ascii="Times New Roman"/>
                <w:sz w:val="20"/>
                <w:lang w:eastAsia="en-US"/>
              </w:rPr>
            </w:pPr>
          </w:p>
        </w:tc>
        <w:tc>
          <w:tcPr>
            <w:tcW w:w="706" w:type="dxa"/>
            <w:vAlign w:val="top"/>
          </w:tcPr>
          <w:p>
            <w:pPr>
              <w:pStyle w:val="16"/>
              <w:jc w:val="center"/>
              <w:rPr>
                <w:rFonts w:hint="eastAsia" w:ascii="黑体" w:hAnsi="黑体" w:eastAsia="黑体" w:cs="黑体"/>
                <w:sz w:val="21"/>
                <w:szCs w:val="21"/>
                <w:lang w:val="en-US" w:eastAsia="en-US" w:bidi="zh-CN"/>
              </w:rPr>
            </w:pPr>
            <w:r>
              <w:rPr>
                <w:rFonts w:hint="eastAsia" w:ascii="黑体" w:hAnsi="黑体" w:eastAsia="黑体" w:cs="黑体"/>
                <w:sz w:val="21"/>
                <w:szCs w:val="21"/>
                <w:lang w:val="en-US" w:eastAsia="zh-CN"/>
              </w:rPr>
              <w:t>10</w:t>
            </w:r>
          </w:p>
        </w:tc>
        <w:tc>
          <w:tcPr>
            <w:tcW w:w="3980" w:type="dxa"/>
            <w:vAlign w:val="top"/>
          </w:tcPr>
          <w:p>
            <w:pPr>
              <w:pStyle w:val="16"/>
              <w:rPr>
                <w:rFonts w:hint="eastAsia" w:ascii="黑体" w:hAnsi="黑体" w:eastAsia="黑体" w:cs="黑体"/>
                <w:sz w:val="21"/>
                <w:szCs w:val="21"/>
                <w:lang w:val="zh-CN" w:eastAsia="en-US" w:bidi="zh-CN"/>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vAlign w:val="top"/>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hAnsi="宋体" w:eastAsia="宋体" w:cs="宋体"/>
                <w:sz w:val="20"/>
                <w:szCs w:val="22"/>
                <w:lang w:val="en-US" w:eastAsia="en-US" w:bidi="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6"/>
              <w:rPr>
                <w:rFonts w:hint="default" w:ascii="Times New Roman" w:eastAsia="宋体"/>
                <w:sz w:val="20"/>
                <w:lang w:val="en-US" w:eastAsia="zh-CN"/>
              </w:rPr>
            </w:pPr>
            <w:r>
              <w:rPr>
                <w:rFonts w:hint="eastAsia" w:ascii="Times New Roman"/>
                <w:sz w:val="20"/>
                <w:lang w:val="en-US" w:eastAsia="zh-CN"/>
              </w:rPr>
              <w:t>91.88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6"/>
              <w:rPr>
                <w:sz w:val="23"/>
                <w:lang w:eastAsia="en-US"/>
              </w:rPr>
            </w:pPr>
          </w:p>
          <w:p>
            <w:pPr>
              <w:pStyle w:val="16"/>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6"/>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2"/>
        <w:rPr>
          <w:rFonts w:ascii="黑体"/>
          <w:sz w:val="27"/>
        </w:rPr>
      </w:pPr>
    </w:p>
    <w:p>
      <w:pPr>
        <w:spacing w:line="220" w:lineRule="atLeast"/>
      </w:pPr>
    </w:p>
    <w:sectPr>
      <w:footerReference r:id="rId7"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492FD"/>
    <w:multiLevelType w:val="singleLevel"/>
    <w:tmpl w:val="A69492FD"/>
    <w:lvl w:ilvl="0" w:tentative="0">
      <w:start w:val="7"/>
      <w:numFmt w:val="chineseCounting"/>
      <w:suff w:val="nothing"/>
      <w:lvlText w:val="%1、"/>
      <w:lvlJc w:val="left"/>
      <w:rPr>
        <w:rFonts w:hint="eastAsia"/>
      </w:rPr>
    </w:lvl>
  </w:abstractNum>
  <w:abstractNum w:abstractNumId="1">
    <w:nsid w:val="BA79E2CA"/>
    <w:multiLevelType w:val="singleLevel"/>
    <w:tmpl w:val="BA79E2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ZWY1NmQ1ZWY5YTkyMDI5MzAwYWZlODUyZmYwNjg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21E10DC"/>
    <w:rsid w:val="0D897940"/>
    <w:rsid w:val="135C0663"/>
    <w:rsid w:val="1FD77734"/>
    <w:rsid w:val="3333302D"/>
    <w:rsid w:val="36DC01B6"/>
    <w:rsid w:val="3AC74A53"/>
    <w:rsid w:val="3B0408C1"/>
    <w:rsid w:val="3EE40E9E"/>
    <w:rsid w:val="50020D60"/>
    <w:rsid w:val="7662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7"/>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uiPriority w:val="99"/>
    <w:rPr>
      <w:rFonts w:ascii="Tahoma" w:hAnsi="Tahoma"/>
      <w:sz w:val="18"/>
      <w:szCs w:val="18"/>
    </w:rPr>
  </w:style>
  <w:style w:type="character" w:customStyle="1" w:styleId="10">
    <w:name w:val="页脚 Char"/>
    <w:basedOn w:val="8"/>
    <w:link w:val="4"/>
    <w:semiHidden/>
    <w:qFormat/>
    <w:uiPriority w:val="99"/>
    <w:rPr>
      <w:rFonts w:ascii="Tahoma" w:hAnsi="Tahoma"/>
      <w:sz w:val="18"/>
      <w:szCs w:val="18"/>
    </w:rPr>
  </w:style>
  <w:style w:type="table" w:customStyle="1" w:styleId="11">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2"/>
    <w:qFormat/>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4729</Words>
  <Characters>4883</Characters>
  <Lines>6</Lines>
  <Paragraphs>1</Paragraphs>
  <TotalTime>1</TotalTime>
  <ScaleCrop>false</ScaleCrop>
  <LinksUpToDate>false</LinksUpToDate>
  <CharactersWithSpaces>4967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2023-03-16T06:08:55Z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AAF951FC1EDC4779812A9C6200C38AFE</vt:lpwstr>
  </property>
</Properties>
</file>