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leftChars="0"/>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2022年度</w:t>
      </w:r>
      <w:r>
        <w:rPr>
          <w:rFonts w:hint="eastAsia" w:ascii="方正小标宋简体" w:hAnsi="方正小标宋简体" w:eastAsia="方正小标宋简体" w:cs="方正小标宋简体"/>
          <w:b/>
          <w:bCs/>
          <w:sz w:val="44"/>
          <w:szCs w:val="44"/>
          <w:lang w:val="en-US" w:eastAsia="zh-CN"/>
        </w:rPr>
        <w:t>青云谱区社联</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部门整体支出绩效自评报告</w:t>
      </w:r>
    </w:p>
    <w:p>
      <w:pPr>
        <w:pStyle w:val="3"/>
        <w:keepNext w:val="0"/>
        <w:keepLines w:val="0"/>
        <w:pageBreakBefore w:val="0"/>
        <w:kinsoku/>
        <w:wordWrap/>
        <w:overflowPunct/>
        <w:topLinePunct w:val="0"/>
        <w:bidi w:val="0"/>
        <w:spacing w:line="560" w:lineRule="exact"/>
        <w:textAlignment w:val="auto"/>
      </w:pPr>
    </w:p>
    <w:p>
      <w:pPr>
        <w:pStyle w:val="3"/>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黑体" w:hAnsi="黑体" w:eastAsia="黑体" w:cs="黑体"/>
          <w:b w:val="0"/>
          <w:bCs/>
          <w:kern w:val="2"/>
          <w:sz w:val="32"/>
          <w:szCs w:val="40"/>
          <w:lang w:val="en-US" w:eastAsia="zh-CN" w:bidi="ar-SA"/>
        </w:rPr>
      </w:pPr>
      <w:r>
        <w:rPr>
          <w:rFonts w:hint="eastAsia" w:ascii="黑体" w:hAnsi="黑体" w:eastAsia="黑体" w:cs="黑体"/>
          <w:b w:val="0"/>
          <w:bCs/>
          <w:kern w:val="2"/>
          <w:sz w:val="32"/>
          <w:szCs w:val="40"/>
          <w:lang w:val="en-US" w:eastAsia="zh-CN" w:bidi="ar-SA"/>
        </w:rPr>
        <w:t>一、部门概况</w:t>
      </w:r>
    </w:p>
    <w:p>
      <w:pPr>
        <w:pStyle w:val="19"/>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（一）部门主要职责职能，组织架构、人员及资产等基本情况。</w:t>
      </w:r>
    </w:p>
    <w:p>
      <w:pPr>
        <w:pStyle w:val="19"/>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1.主要职责</w:t>
      </w:r>
    </w:p>
    <w:p>
      <w:pPr>
        <w:pStyle w:val="20"/>
        <w:keepNext w:val="0"/>
        <w:keepLines w:val="0"/>
        <w:pageBreakBefore w:val="0"/>
        <w:widowControl/>
        <w:kinsoku/>
        <w:wordWrap/>
        <w:overflowPunct/>
        <w:topLinePunct w:val="0"/>
        <w:autoSpaceDE/>
        <w:autoSpaceDN/>
        <w:bidi w:val="0"/>
        <w:adjustRightInd/>
        <w:snapToGrid/>
        <w:spacing w:after="0" w:line="560" w:lineRule="exact"/>
        <w:ind w:firstLine="641"/>
        <w:textAlignment w:val="auto"/>
        <w:rPr>
          <w:rFonts w:hint="eastAsia" w:ascii="仿宋_GB2312" w:eastAsia="仿宋_GB2312" w:cs="Times New Roman"/>
          <w:sz w:val="32"/>
          <w:szCs w:val="30"/>
        </w:rPr>
      </w:pPr>
      <w:r>
        <w:rPr>
          <w:rFonts w:hint="eastAsia" w:ascii="仿宋_GB2312" w:eastAsia="仿宋_GB2312" w:cs="Times New Roman"/>
          <w:sz w:val="32"/>
          <w:szCs w:val="30"/>
        </w:rPr>
        <w:t>青云谱区社会科学学会联合会是负责研究全区的社会科学基础和应用，主要职责是：组织科研人员进行社会科学基础和应用研究；负责组织全区的社会科学学术研讨和交流，开展社科优秀成果的选优评奖活动；协调和指导区属</w:t>
      </w:r>
      <w:bookmarkStart w:id="0" w:name="_GoBack"/>
      <w:bookmarkEnd w:id="0"/>
      <w:r>
        <w:rPr>
          <w:rFonts w:hint="eastAsia" w:ascii="仿宋_GB2312" w:eastAsia="仿宋_GB2312" w:cs="Times New Roman"/>
          <w:sz w:val="32"/>
          <w:szCs w:val="30"/>
        </w:rPr>
        <w:t>社会科学学术团体工作；负责全区承担的省、市级的社科课题和优秀社科成果的申报、管理。</w:t>
      </w:r>
    </w:p>
    <w:p>
      <w:pPr>
        <w:pStyle w:val="20"/>
        <w:keepNext w:val="0"/>
        <w:keepLines w:val="0"/>
        <w:pageBreakBefore w:val="0"/>
        <w:widowControl/>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color w:val="FF0000"/>
          <w:sz w:val="32"/>
          <w:szCs w:val="30"/>
        </w:rPr>
      </w:pPr>
      <w:r>
        <w:rPr>
          <w:rFonts w:hint="eastAsia" w:ascii="仿宋_GB2312" w:eastAsia="仿宋_GB2312" w:cs="Times New Roman"/>
          <w:sz w:val="32"/>
          <w:szCs w:val="30"/>
        </w:rPr>
        <w:t>青云谱区文学艺术界联合会是党和政府联系广大文艺工作者的桥梁和纽带。主要职责是：贯彻党的文艺“二为”方向和“双百”方针，开展各类社会性的文艺活动。加强与所属各文艺家协会的联系，确保党和政府同文艺界协商渠道的畅通；负责向有关方面反映会员的情况和要求；承担协会需要统筹安排的事宜；负责对所属协会的管理。开展国内外文学艺术交流活动，联络和争取社会各界对文艺事业的关心和支持，出作品、出人才，为文艺创作营造良好的环境和氛围。指导、协同各文艺家协会采取多种形式，深入生活，积极开展创作和学术交流活动，不断提高作品的思想内涵和艺术品位。开展各方面、多形式的服务工作，为文艺工作者提供良好的工作条件和创作环境；探索、参与兴办文化产业，促进文艺事业的发展。</w:t>
      </w:r>
    </w:p>
    <w:p>
      <w:pPr>
        <w:keepNext w:val="0"/>
        <w:keepLines w:val="0"/>
        <w:pageBreakBefore w:val="0"/>
        <w:widowControl w:val="0"/>
        <w:kinsoku/>
        <w:wordWrap/>
        <w:overflowPunct/>
        <w:topLinePunct w:val="0"/>
        <w:autoSpaceDE/>
        <w:autoSpaceDN/>
        <w:bidi w:val="0"/>
        <w:adjustRightInd/>
        <w:snapToGrid/>
        <w:spacing w:after="0" w:line="560" w:lineRule="exact"/>
        <w:ind w:left="0" w:firstLine="643" w:firstLineChars="200"/>
        <w:textAlignment w:val="auto"/>
        <w:rPr>
          <w:rFonts w:hint="eastAsia" w:ascii="仿宋_GB2312" w:hAnsi="仿宋_GB2312" w:eastAsia="仿宋_GB2312" w:cs="仿宋_GB2312"/>
          <w:b/>
          <w:bCs/>
          <w:kern w:val="0"/>
          <w:sz w:val="32"/>
          <w:szCs w:val="32"/>
          <w:lang w:val="en-US" w:eastAsia="en-US" w:bidi="ar-SA"/>
        </w:rPr>
      </w:pPr>
      <w:r>
        <w:rPr>
          <w:rFonts w:hint="eastAsia" w:ascii="仿宋_GB2312" w:hAnsi="仿宋_GB2312" w:eastAsia="仿宋_GB2312" w:cs="仿宋_GB2312"/>
          <w:b/>
          <w:bCs/>
          <w:kern w:val="0"/>
          <w:sz w:val="32"/>
          <w:szCs w:val="32"/>
          <w:lang w:val="en-US" w:eastAsia="zh-CN"/>
        </w:rPr>
        <w:t>2.机构人员情况</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_GB2312" w:hAnsi="Tahoma" w:eastAsia="仿宋_GB2312" w:cs="Times New Roman"/>
          <w:sz w:val="32"/>
          <w:szCs w:val="30"/>
          <w:lang w:val="en-US" w:eastAsia="zh-CN" w:bidi="ar-SA"/>
        </w:rPr>
      </w:pPr>
      <w:r>
        <w:rPr>
          <w:rFonts w:hint="eastAsia" w:ascii="仿宋_GB2312" w:hAnsi="Tahoma" w:eastAsia="仿宋_GB2312" w:cs="Times New Roman"/>
          <w:sz w:val="32"/>
          <w:szCs w:val="30"/>
          <w:lang w:val="en-US" w:eastAsia="zh-CN" w:bidi="ar-SA"/>
        </w:rPr>
        <w:t>根据上述工作职责，区社联内设2个职能科(室)：一是办公室，负责内外综合协调工作；负责文秘、人事、劳资、财务、档 案、机要保密、安全保卫、财产及后勤服务工作；负责综合性会 议的组织工作；负责起草修改机关各项规章制度；协助机关党务工作。二是学会工作部，负责对区属各协会的联络、协调、指导工作；组织全区性的学术活动及成果的评奖、评优工作；管理有关基金。</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_GB2312" w:hAnsi="Tahoma" w:eastAsia="仿宋_GB2312" w:cs="Times New Roman"/>
          <w:sz w:val="32"/>
          <w:szCs w:val="30"/>
          <w:lang w:val="en-US" w:eastAsia="zh-CN" w:bidi="ar-SA"/>
        </w:rPr>
      </w:pPr>
      <w:r>
        <w:rPr>
          <w:rFonts w:hint="eastAsia" w:ascii="仿宋_GB2312" w:hAnsi="Tahoma" w:eastAsia="仿宋_GB2312" w:cs="Times New Roman"/>
          <w:sz w:val="32"/>
          <w:szCs w:val="30"/>
          <w:lang w:val="en-US" w:eastAsia="zh-CN" w:bidi="ar-SA"/>
        </w:rPr>
        <w:t>区社联机关事业编制3名。其中：主席1名，副主席2名</w:t>
      </w:r>
      <w:r>
        <w:rPr>
          <w:rFonts w:hint="eastAsia" w:ascii="仿宋_GB2312" w:eastAsia="仿宋_GB2312" w:cs="Times New Roman"/>
          <w:sz w:val="32"/>
          <w:szCs w:val="30"/>
          <w:lang w:val="en-US" w:eastAsia="zh-CN" w:bidi="ar-SA"/>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default" w:ascii="仿宋_GB2312" w:hAnsi="Tahoma" w:eastAsia="仿宋_GB2312" w:cs="Times New Roman"/>
          <w:sz w:val="32"/>
          <w:szCs w:val="30"/>
          <w:lang w:val="en-US" w:eastAsia="zh-CN" w:bidi="ar-SA"/>
        </w:rPr>
      </w:pPr>
      <w:r>
        <w:rPr>
          <w:rFonts w:hint="eastAsia" w:ascii="仿宋_GB2312" w:hAnsi="Tahoma" w:eastAsia="仿宋_GB2312" w:cs="Times New Roman"/>
          <w:sz w:val="32"/>
          <w:szCs w:val="30"/>
          <w:lang w:val="en-US" w:eastAsia="zh-CN" w:bidi="ar-SA"/>
        </w:rPr>
        <w:t>根据2022年决算，年末在职实有人数3人。</w:t>
      </w:r>
    </w:p>
    <w:p>
      <w:pPr>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（二）当年部门履职总体目标、工作任务。</w:t>
      </w:r>
    </w:p>
    <w:p>
      <w:pPr>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坚持以人民为中心的工作导向，认真履行职能，不断增强凝聚力、影响力、号召力，团结引领全区社科工作者和文艺工作者，紧紧围绕区委、区政府的中心工作，充分发挥社（文）联桥梁纽带、组织协调、宣传普及等职能，积极开展社科文艺活动，以精品奉献人民、用明德引领风尚，守正创新，加压奋进。为进一步推动我区哲学社会科学、文学艺术大发展大繁荣作出积极贡献。</w:t>
      </w:r>
    </w:p>
    <w:p>
      <w:pPr>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（三）当年部门年度整体支出绩效目标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主要达成目标是保障南昌市青云谱区社会科学联合会工作有序开展，提升全区工作保障水平，促进团结进步，和谐稳定，工作情况总体可控。</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（四）部门预算绩效管理开展情况</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1.核实数据。对2022年度部门整体支出数据的准确性、真实性进行核实，将2022年度和2021年度部门整体支出情况进行比较分析。</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2.查阅资料。查阅2022年度预算安排、预算追加、资金管理、经费支出、资产管理等相关文件资料和财务凭证。</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3.实地查看。现场查看实物资产等。</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4.发放调查问卷。对部门履行职责情况的公众满意度进行调查。</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5.归纳汇总。对提供的材料及自评报告，结合现场评价情况进行综合分析、归纳汇总。</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6.评价组对各项评价指标进行分析讨论。</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7.形成绩效评价报告。</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（五）当年部门预算及执行情况。</w:t>
      </w:r>
    </w:p>
    <w:p>
      <w:pPr>
        <w:keepNext w:val="0"/>
        <w:keepLines w:val="0"/>
        <w:pageBreakBefore w:val="0"/>
        <w:widowControl/>
        <w:kinsoku/>
        <w:wordWrap/>
        <w:overflowPunct/>
        <w:topLinePunct w:val="0"/>
        <w:autoSpaceDE/>
        <w:autoSpaceDN/>
        <w:bidi w:val="0"/>
        <w:adjustRightInd w:val="0"/>
        <w:snapToGrid w:val="0"/>
        <w:spacing w:after="0" w:line="560" w:lineRule="exact"/>
        <w:ind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2022年年初预算数57.03万元，支出数为61.3084万元，完成年初预算数的107.50%。</w:t>
      </w:r>
    </w:p>
    <w:p>
      <w:pPr>
        <w:pStyle w:val="3"/>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黑体" w:hAnsi="黑体" w:eastAsia="黑体" w:cs="黑体"/>
          <w:b w:val="0"/>
          <w:bCs/>
          <w:kern w:val="2"/>
          <w:sz w:val="32"/>
          <w:szCs w:val="40"/>
          <w:lang w:val="en-US" w:eastAsia="zh-CN" w:bidi="ar-SA"/>
        </w:rPr>
      </w:pPr>
      <w:r>
        <w:rPr>
          <w:rFonts w:hint="eastAsia" w:ascii="黑体" w:hAnsi="黑体" w:eastAsia="黑体" w:cs="黑体"/>
          <w:b w:val="0"/>
          <w:bCs/>
          <w:kern w:val="2"/>
          <w:sz w:val="32"/>
          <w:szCs w:val="40"/>
          <w:lang w:val="en-US" w:eastAsia="zh-CN" w:bidi="ar-SA"/>
        </w:rPr>
        <w:t>二、部门整体支出绩效实现情况</w:t>
      </w:r>
    </w:p>
    <w:p>
      <w:pPr>
        <w:pStyle w:val="19"/>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（一）履职完成情况</w:t>
      </w:r>
    </w:p>
    <w:p>
      <w:pPr>
        <w:pStyle w:val="19"/>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1.数量指标</w:t>
      </w:r>
    </w:p>
    <w:p>
      <w:pPr>
        <w:pStyle w:val="19"/>
        <w:keepNext w:val="0"/>
        <w:keepLines w:val="0"/>
        <w:pageBreakBefore w:val="0"/>
        <w:kinsoku/>
        <w:wordWrap/>
        <w:overflowPunct/>
        <w:topLinePunct w:val="0"/>
        <w:bidi w:val="0"/>
        <w:spacing w:after="0" w:line="560" w:lineRule="exact"/>
        <w:ind w:left="0" w:leftChars="0" w:right="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开展社科普活动次数20次，开展公益直播课次数5次。</w:t>
      </w:r>
    </w:p>
    <w:p>
      <w:pPr>
        <w:pStyle w:val="19"/>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2.质量指标</w:t>
      </w:r>
    </w:p>
    <w:p>
      <w:pPr>
        <w:pStyle w:val="19"/>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社会科学知识宣传普及率达到90%，联合各组织团体开展各项文艺活动，为抗疫输送正能量达到90%。</w:t>
      </w:r>
    </w:p>
    <w:p>
      <w:pPr>
        <w:pStyle w:val="19"/>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3.时效指标</w:t>
      </w:r>
    </w:p>
    <w:p>
      <w:pPr>
        <w:pStyle w:val="19"/>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各项工作完成及时率达到95%。</w:t>
      </w:r>
    </w:p>
    <w:p>
      <w:pPr>
        <w:keepNext w:val="0"/>
        <w:keepLines w:val="0"/>
        <w:pageBreakBefore w:val="0"/>
        <w:numPr>
          <w:ilvl w:val="0"/>
          <w:numId w:val="0"/>
        </w:numPr>
        <w:tabs>
          <w:tab w:val="left" w:pos="0"/>
        </w:tabs>
        <w:kinsoku/>
        <w:wordWrap/>
        <w:overflowPunct/>
        <w:topLinePunct w:val="0"/>
        <w:bidi w:val="0"/>
        <w:spacing w:after="0" w:line="560" w:lineRule="exact"/>
        <w:ind w:right="0" w:rightChars="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（二）履职效果情况</w:t>
      </w:r>
    </w:p>
    <w:p>
      <w:pPr>
        <w:pStyle w:val="7"/>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1.社会效益指标</w:t>
      </w:r>
    </w:p>
    <w:p>
      <w:pPr>
        <w:pStyle w:val="7"/>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提升人民群众的文化素养和艺术追求，满足人民群众对精神文化的需求达到85%。</w:t>
      </w:r>
    </w:p>
    <w:p>
      <w:pPr>
        <w:keepNext w:val="0"/>
        <w:keepLines w:val="0"/>
        <w:pageBreakBefore w:val="0"/>
        <w:kinsoku/>
        <w:wordWrap/>
        <w:overflowPunct/>
        <w:topLinePunct w:val="0"/>
        <w:bidi w:val="0"/>
        <w:spacing w:after="0" w:line="560" w:lineRule="exact"/>
        <w:ind w:righ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2.经济效益指标</w:t>
      </w:r>
    </w:p>
    <w:p>
      <w:pPr>
        <w:keepNext w:val="0"/>
        <w:keepLines w:val="0"/>
        <w:pageBreakBefore w:val="0"/>
        <w:kinsoku/>
        <w:wordWrap/>
        <w:overflowPunct/>
        <w:topLinePunct w:val="0"/>
        <w:bidi w:val="0"/>
        <w:spacing w:after="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资金使用节约率达到90%。</w:t>
      </w:r>
    </w:p>
    <w:p>
      <w:pPr>
        <w:pStyle w:val="7"/>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3.生态效益指标</w:t>
      </w:r>
    </w:p>
    <w:p>
      <w:pPr>
        <w:pStyle w:val="7"/>
        <w:keepNext w:val="0"/>
        <w:keepLines w:val="0"/>
        <w:pageBreakBefore w:val="0"/>
        <w:kinsoku/>
        <w:wordWrap/>
        <w:overflowPunct/>
        <w:topLinePunct w:val="0"/>
        <w:bidi w:val="0"/>
        <w:spacing w:after="0" w:line="560" w:lineRule="exact"/>
        <w:ind w:left="0" w:leftChars="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通过社会科学普及周活动，绿色、健康、 文明的生活方式得到了广大群众的认可达到85%</w:t>
      </w:r>
    </w:p>
    <w:p>
      <w:pPr>
        <w:pStyle w:val="7"/>
        <w:keepNext w:val="0"/>
        <w:keepLines w:val="0"/>
        <w:pageBreakBefore w:val="0"/>
        <w:numPr>
          <w:ilvl w:val="0"/>
          <w:numId w:val="0"/>
        </w:numPr>
        <w:tabs>
          <w:tab w:val="left" w:pos="0"/>
        </w:tabs>
        <w:kinsoku/>
        <w:wordWrap/>
        <w:overflowPunct/>
        <w:topLinePunct w:val="0"/>
        <w:bidi w:val="0"/>
        <w:spacing w:after="0" w:line="560" w:lineRule="exact"/>
        <w:ind w:right="0" w:rightChars="0" w:firstLine="643" w:firstLineChars="200"/>
        <w:textAlignment w:val="auto"/>
        <w:rPr>
          <w:rFonts w:hint="eastAsia" w:ascii="楷体_GB2312" w:hAnsi="楷体_GB2312" w:eastAsia="楷体_GB2312" w:cs="楷体_GB2312"/>
          <w:b/>
          <w:bCs w:val="0"/>
          <w:kern w:val="2"/>
          <w:sz w:val="32"/>
          <w:szCs w:val="40"/>
          <w:lang w:val="en-US" w:eastAsia="zh-CN" w:bidi="ar-SA"/>
        </w:rPr>
      </w:pPr>
      <w:r>
        <w:rPr>
          <w:rFonts w:hint="eastAsia" w:ascii="楷体_GB2312" w:hAnsi="楷体_GB2312" w:eastAsia="楷体_GB2312" w:cs="楷体_GB2312"/>
          <w:b/>
          <w:bCs w:val="0"/>
          <w:kern w:val="2"/>
          <w:sz w:val="32"/>
          <w:szCs w:val="40"/>
          <w:lang w:val="en-US" w:eastAsia="zh-CN" w:bidi="ar-SA"/>
        </w:rPr>
        <w:t>（三）社会满意度及可持续性影响</w:t>
      </w:r>
    </w:p>
    <w:p>
      <w:pPr>
        <w:keepNext w:val="0"/>
        <w:keepLines w:val="0"/>
        <w:pageBreakBefore w:val="0"/>
        <w:kinsoku/>
        <w:wordWrap/>
        <w:overflowPunct/>
        <w:topLinePunct w:val="0"/>
        <w:bidi w:val="0"/>
        <w:spacing w:after="0" w:line="560" w:lineRule="exact"/>
        <w:ind w:left="0" w:leftChars="0" w:righ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1.满意度指标</w:t>
      </w:r>
    </w:p>
    <w:p>
      <w:pPr>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社会群众、服务对象和干部职工工作满意度达到90%。</w:t>
      </w:r>
    </w:p>
    <w:p>
      <w:pPr>
        <w:pStyle w:val="3"/>
        <w:keepNext w:val="0"/>
        <w:keepLines w:val="0"/>
        <w:pageBreakBefore w:val="0"/>
        <w:numPr>
          <w:ilvl w:val="0"/>
          <w:numId w:val="0"/>
        </w:numPr>
        <w:tabs>
          <w:tab w:val="left" w:pos="0"/>
        </w:tabs>
        <w:kinsoku/>
        <w:wordWrap/>
        <w:overflowPunct/>
        <w:topLinePunct w:val="0"/>
        <w:bidi w:val="0"/>
        <w:spacing w:after="0" w:line="560" w:lineRule="exact"/>
        <w:ind w:leftChars="0" w:right="0" w:rightChars="0" w:firstLine="640" w:firstLineChars="200"/>
        <w:textAlignment w:val="auto"/>
        <w:rPr>
          <w:rFonts w:hint="eastAsia" w:ascii="黑体" w:hAnsi="黑体" w:eastAsia="黑体" w:cs="黑体"/>
          <w:b w:val="0"/>
          <w:bCs/>
          <w:kern w:val="2"/>
          <w:sz w:val="32"/>
          <w:szCs w:val="40"/>
          <w:lang w:val="en-US" w:eastAsia="zh-CN" w:bidi="ar-SA"/>
        </w:rPr>
      </w:pPr>
      <w:r>
        <w:rPr>
          <w:rFonts w:hint="eastAsia" w:ascii="黑体" w:hAnsi="黑体" w:eastAsia="黑体" w:cs="黑体"/>
          <w:b w:val="0"/>
          <w:bCs/>
          <w:kern w:val="2"/>
          <w:sz w:val="32"/>
          <w:szCs w:val="40"/>
          <w:lang w:val="en-US" w:eastAsia="zh-CN" w:bidi="ar-SA"/>
        </w:rPr>
        <w:t>三、部门整体支出绩效中存在问题及改进措施</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3" w:firstLineChars="200"/>
        <w:jc w:val="both"/>
        <w:textAlignment w:val="auto"/>
        <w:rPr>
          <w:rFonts w:hint="eastAsia" w:ascii="楷体_GB2312" w:hAnsi="楷体_GB2312" w:eastAsia="楷体_GB2312" w:cs="楷体_GB2312"/>
          <w:b/>
          <w:bCs w:val="0"/>
          <w:sz w:val="32"/>
          <w:szCs w:val="40"/>
          <w:lang w:val="en-US" w:eastAsia="zh-CN"/>
        </w:rPr>
      </w:pPr>
      <w:r>
        <w:rPr>
          <w:rFonts w:hint="eastAsia" w:ascii="楷体_GB2312" w:hAnsi="楷体_GB2312" w:eastAsia="楷体_GB2312" w:cs="楷体_GB2312"/>
          <w:b/>
          <w:bCs w:val="0"/>
          <w:sz w:val="32"/>
          <w:szCs w:val="40"/>
          <w:lang w:val="en-US" w:eastAsia="zh-CN"/>
        </w:rPr>
        <w:t>（一）存在的问题</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年初编制的预算不够精确，预算控制率和预算执行率均较低，影响单位评分及评价等次。</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3" w:firstLineChars="200"/>
        <w:textAlignment w:val="auto"/>
        <w:rPr>
          <w:rFonts w:hint="eastAsia" w:ascii="楷体_GB2312" w:hAnsi="楷体_GB2312" w:eastAsia="楷体_GB2312" w:cs="楷体_GB2312"/>
          <w:b/>
          <w:bCs w:val="0"/>
          <w:sz w:val="32"/>
          <w:szCs w:val="40"/>
          <w:lang w:val="en-US" w:eastAsia="zh-CN"/>
        </w:rPr>
      </w:pPr>
      <w:r>
        <w:rPr>
          <w:rFonts w:hint="eastAsia" w:ascii="楷体_GB2312" w:hAnsi="楷体_GB2312" w:eastAsia="楷体_GB2312" w:cs="楷体_GB2312"/>
          <w:b/>
          <w:bCs w:val="0"/>
          <w:sz w:val="32"/>
          <w:szCs w:val="40"/>
          <w:lang w:val="en-US" w:eastAsia="zh-CN"/>
        </w:rPr>
        <w:t>（二）改进的方向和具体措施</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年度预算编制后，根据实际情况，定期做好预算执行分析，掌握预算执行进度，及时找出预算实际执行情况与预算目标之间存在的差距，纠正偏差，为科学、准确地编制部门预算积累经验。</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楷体_GB2312" w:hAnsi="楷体_GB2312" w:eastAsia="楷体_GB2312" w:cs="楷体_GB2312"/>
          <w:b/>
          <w:bCs w:val="0"/>
          <w:sz w:val="32"/>
          <w:szCs w:val="40"/>
          <w:lang w:val="en-US" w:eastAsia="zh-CN"/>
        </w:rPr>
      </w:pPr>
    </w:p>
    <w:p>
      <w:pPr>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bidi w:val="0"/>
        <w:spacing w:after="0" w:line="560" w:lineRule="exact"/>
        <w:ind w:left="0" w:leftChars="0" w:right="0" w:firstLine="640" w:firstLineChars="200"/>
        <w:textAlignment w:val="auto"/>
        <w:rPr>
          <w:rFonts w:hint="eastAsia" w:ascii="仿宋_GB2312" w:hAnsi="仿宋_GB2312" w:eastAsia="仿宋_GB2312" w:cs="仿宋_GB2312"/>
          <w:kern w:val="2"/>
          <w:sz w:val="32"/>
          <w:szCs w:val="32"/>
          <w:lang w:val="en-US" w:eastAsia="zh-CN" w:bidi="ar-SA"/>
        </w:rPr>
      </w:pPr>
    </w:p>
    <w:sectPr>
      <w:pgSz w:w="11906" w:h="16838"/>
      <w:pgMar w:top="1984" w:right="1417" w:bottom="1984" w:left="141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NTRhMzFhODBlZTBjNjdjOThmZTBhY2MxY2Y5MzUifQ=="/>
  </w:docVars>
  <w:rsids>
    <w:rsidRoot w:val="00D31D50"/>
    <w:rsid w:val="001117EC"/>
    <w:rsid w:val="00323B43"/>
    <w:rsid w:val="003D37D8"/>
    <w:rsid w:val="00426133"/>
    <w:rsid w:val="004358AB"/>
    <w:rsid w:val="00871F01"/>
    <w:rsid w:val="008B7726"/>
    <w:rsid w:val="00B81D1C"/>
    <w:rsid w:val="00C81B9C"/>
    <w:rsid w:val="00D31D50"/>
    <w:rsid w:val="00DB1FD4"/>
    <w:rsid w:val="00E377A4"/>
    <w:rsid w:val="11457119"/>
    <w:rsid w:val="23662ED6"/>
    <w:rsid w:val="3E3D7BEC"/>
    <w:rsid w:val="4B857EE0"/>
    <w:rsid w:val="6D7B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5">
    <w:name w:val="heading 1"/>
    <w:basedOn w:val="1"/>
    <w:next w:val="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6">
    <w:name w:val="heading 3"/>
    <w:next w:val="1"/>
    <w:link w:val="15"/>
    <w:qFormat/>
    <w:uiPriority w:val="0"/>
    <w:pPr>
      <w:widowControl w:val="0"/>
      <w:spacing w:before="100" w:beforeAutospacing="1" w:after="100" w:afterAutospacing="1" w:line="240" w:lineRule="auto"/>
      <w:outlineLvl w:val="2"/>
    </w:pPr>
    <w:rPr>
      <w:rFonts w:ascii="宋体" w:hAnsi="Times New Roman" w:eastAsia="宋体" w:cs="宋体"/>
      <w:b/>
      <w:bCs/>
      <w:sz w:val="27"/>
      <w:szCs w:val="27"/>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link w:val="17"/>
    <w:uiPriority w:val="0"/>
    <w:pPr>
      <w:widowControl w:val="0"/>
      <w:spacing w:after="0" w:line="240" w:lineRule="auto"/>
      <w:ind w:firstLine="100" w:firstLineChars="100"/>
      <w:jc w:val="both"/>
    </w:pPr>
    <w:rPr>
      <w:rFonts w:ascii="Calibri" w:hAnsi="Calibri" w:eastAsia="宋体" w:cs="Arial"/>
      <w:b/>
      <w:bCs/>
      <w:kern w:val="2"/>
      <w:sz w:val="44"/>
      <w:szCs w:val="44"/>
      <w:lang w:val="en-US" w:eastAsia="zh-CN" w:bidi="ar-SA"/>
    </w:rPr>
  </w:style>
  <w:style w:type="paragraph" w:styleId="3">
    <w:name w:val="Body Text"/>
    <w:basedOn w:val="1"/>
    <w:next w:val="4"/>
    <w:link w:val="16"/>
    <w:qFormat/>
    <w:uiPriority w:val="0"/>
    <w:pPr>
      <w:widowControl w:val="0"/>
      <w:autoSpaceDE w:val="0"/>
      <w:autoSpaceDN w:val="0"/>
      <w:adjustRightInd/>
      <w:snapToGrid/>
      <w:spacing w:after="0"/>
    </w:pPr>
    <w:rPr>
      <w:rFonts w:ascii="宋体" w:eastAsia="宋体" w:cs="宋体"/>
      <w:sz w:val="32"/>
      <w:szCs w:val="32"/>
      <w:lang w:val="zh-CN" w:bidi="zh-CN"/>
    </w:rPr>
  </w:style>
  <w:style w:type="paragraph" w:customStyle="1" w:styleId="4">
    <w:name w:val="Quote_1ed1c5db-6c23-433f-9ea8-ee8f30e87345"/>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toc 7"/>
    <w:basedOn w:val="1"/>
    <w:next w:val="1"/>
    <w:qFormat/>
    <w:uiPriority w:val="0"/>
    <w:pPr>
      <w:ind w:left="1200" w:leftChars="1200"/>
    </w:pPr>
    <w:rPr>
      <w:rFonts w:cs="Times New Roman"/>
    </w:rPr>
  </w:style>
  <w:style w:type="paragraph" w:styleId="8">
    <w:name w:val="footer"/>
    <w:basedOn w:val="1"/>
    <w:link w:val="14"/>
    <w:semiHidden/>
    <w:unhideWhenUsed/>
    <w:qFormat/>
    <w:uiPriority w:val="99"/>
    <w:pPr>
      <w:tabs>
        <w:tab w:val="center" w:pos="4153"/>
        <w:tab w:val="right" w:pos="8306"/>
      </w:tabs>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Quote"/>
    <w:basedOn w:val="1"/>
    <w:next w:val="1"/>
    <w:qFormat/>
    <w:uiPriority w:val="0"/>
    <w:pPr>
      <w:wordWrap w:val="0"/>
      <w:spacing w:before="200" w:after="160"/>
      <w:ind w:left="864" w:right="864"/>
      <w:jc w:val="center"/>
    </w:pPr>
    <w:rPr>
      <w:i/>
    </w:rPr>
  </w:style>
  <w:style w:type="character" w:customStyle="1" w:styleId="13">
    <w:name w:val="页眉 Char"/>
    <w:basedOn w:val="11"/>
    <w:link w:val="9"/>
    <w:semiHidden/>
    <w:qFormat/>
    <w:uiPriority w:val="99"/>
    <w:rPr>
      <w:rFonts w:ascii="Tahoma" w:hAnsi="Tahoma"/>
      <w:sz w:val="18"/>
      <w:szCs w:val="18"/>
    </w:rPr>
  </w:style>
  <w:style w:type="character" w:customStyle="1" w:styleId="14">
    <w:name w:val="页脚 Char"/>
    <w:basedOn w:val="11"/>
    <w:link w:val="8"/>
    <w:semiHidden/>
    <w:qFormat/>
    <w:uiPriority w:val="99"/>
    <w:rPr>
      <w:rFonts w:ascii="Tahoma" w:hAnsi="Tahoma"/>
      <w:sz w:val="18"/>
      <w:szCs w:val="18"/>
    </w:rPr>
  </w:style>
  <w:style w:type="character" w:customStyle="1" w:styleId="15">
    <w:name w:val="标题 3 Char"/>
    <w:basedOn w:val="11"/>
    <w:link w:val="6"/>
    <w:qFormat/>
    <w:uiPriority w:val="0"/>
    <w:rPr>
      <w:rFonts w:ascii="宋体" w:hAnsi="Times New Roman" w:eastAsia="宋体" w:cs="宋体"/>
      <w:b/>
      <w:bCs/>
      <w:sz w:val="27"/>
      <w:szCs w:val="27"/>
    </w:rPr>
  </w:style>
  <w:style w:type="character" w:customStyle="1" w:styleId="16">
    <w:name w:val="正文文本 Char"/>
    <w:basedOn w:val="11"/>
    <w:link w:val="3"/>
    <w:qFormat/>
    <w:uiPriority w:val="0"/>
    <w:rPr>
      <w:rFonts w:ascii="宋体" w:hAnsi="Tahoma" w:eastAsia="宋体" w:cs="宋体"/>
      <w:sz w:val="32"/>
      <w:szCs w:val="32"/>
      <w:lang w:val="zh-CN" w:bidi="zh-CN"/>
    </w:rPr>
  </w:style>
  <w:style w:type="character" w:customStyle="1" w:styleId="17">
    <w:name w:val="正文首行缩进 Char"/>
    <w:basedOn w:val="16"/>
    <w:link w:val="2"/>
    <w:qFormat/>
    <w:uiPriority w:val="0"/>
    <w:rPr>
      <w:rFonts w:ascii="Calibri" w:hAnsi="Calibri" w:cs="Arial"/>
      <w:b/>
      <w:bCs/>
      <w:kern w:val="2"/>
      <w:sz w:val="44"/>
      <w:szCs w:val="44"/>
    </w:rPr>
  </w:style>
  <w:style w:type="paragraph" w:customStyle="1" w:styleId="18">
    <w:name w:val="Heading 1"/>
    <w:basedOn w:val="1"/>
    <w:qFormat/>
    <w:uiPriority w:val="0"/>
    <w:pPr>
      <w:widowControl w:val="0"/>
      <w:autoSpaceDE w:val="0"/>
      <w:autoSpaceDN w:val="0"/>
      <w:adjustRightInd/>
      <w:snapToGrid/>
      <w:spacing w:after="0"/>
      <w:ind w:right="1484"/>
      <w:jc w:val="center"/>
      <w:outlineLvl w:val="1"/>
    </w:pPr>
    <w:rPr>
      <w:rFonts w:ascii="宋体" w:eastAsia="宋体" w:cs="宋体"/>
      <w:sz w:val="44"/>
      <w:szCs w:val="44"/>
      <w:lang w:val="zh-CN" w:bidi="zh-CN"/>
    </w:rPr>
  </w:style>
  <w:style w:type="paragraph" w:customStyle="1" w:styleId="19">
    <w:name w:val="Heading 2"/>
    <w:basedOn w:val="1"/>
    <w:qFormat/>
    <w:uiPriority w:val="0"/>
    <w:pPr>
      <w:widowControl w:val="0"/>
      <w:autoSpaceDE w:val="0"/>
      <w:autoSpaceDN w:val="0"/>
      <w:adjustRightInd/>
      <w:snapToGrid/>
      <w:spacing w:after="0"/>
      <w:ind w:left="1476"/>
      <w:outlineLvl w:val="2"/>
    </w:pPr>
    <w:rPr>
      <w:rFonts w:ascii="Microsoft JhengHei" w:eastAsia="Microsoft JhengHei" w:cs="Microsoft JhengHei"/>
      <w:b/>
      <w:bCs/>
      <w:sz w:val="32"/>
      <w:szCs w:val="32"/>
      <w:lang w:val="zh-CN" w:bidi="zh-CN"/>
    </w:rPr>
  </w:style>
  <w:style w:type="paragraph" w:customStyle="1" w:styleId="20">
    <w:name w:val="正文缩进 + 首行缩进:  2 字符"/>
    <w:basedOn w:val="1"/>
    <w:qFormat/>
    <w:uiPriority w:val="0"/>
    <w:pPr>
      <w:ind w:firstLine="640"/>
    </w:pPr>
    <w:rPr>
      <w:rFonts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1716</Words>
  <Characters>1784</Characters>
  <Lines>22</Lines>
  <Paragraphs>6</Paragraphs>
  <TotalTime>3</TotalTime>
  <ScaleCrop>false</ScaleCrop>
  <LinksUpToDate>false</LinksUpToDate>
  <CharactersWithSpaces>1788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13767981036手机用户</cp:lastModifiedBy>
  <dcterms:modified xsi:type="dcterms:W3CDTF">2023-05-30T07:50:30Z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5E970E72CE2D4C15803B0A596EEFB72C_13</vt:lpwstr>
  </property>
</Properties>
</file>