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ind w:firstLine="320" w:firstLineChars="100"/>
        <w:rPr>
          <w:rFonts w:ascii="黑体" w:eastAsia="黑体"/>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12"/>
        <w:spacing w:before="237"/>
        <w:ind w:right="238"/>
        <w:rPr>
          <w:rFonts w:hint="eastAsia" w:ascii="PMingLiU" w:eastAsia="PMingLiU"/>
        </w:rPr>
      </w:pPr>
      <w:r>
        <w:rPr>
          <w:rFonts w:hint="eastAsia" w:ascii="PMingLiU" w:eastAsia="PMingLiU"/>
        </w:rPr>
        <w:t>中共南昌市青云谱区委信访局</w:t>
      </w:r>
    </w:p>
    <w:p>
      <w:pPr>
        <w:pStyle w:val="12"/>
        <w:spacing w:before="237"/>
        <w:ind w:right="238"/>
        <w:rPr>
          <w:rFonts w:hint="eastAsia" w:ascii="PMingLiU" w:eastAsia="PMingLiU"/>
        </w:rPr>
      </w:pPr>
      <w:r>
        <w:rPr>
          <w:rFonts w:hint="eastAsia" w:ascii="PMingLiU" w:eastAsia="PMingLiU"/>
        </w:rPr>
        <w:t>项目支出绩效评价报告</w:t>
      </w:r>
    </w:p>
    <w:p>
      <w:pPr>
        <w:pStyle w:val="2"/>
        <w:spacing w:before="5"/>
        <w:rPr>
          <w:rFonts w:ascii="PMingLiU"/>
          <w:sz w:val="67"/>
        </w:rPr>
      </w:pPr>
    </w:p>
    <w:p>
      <w:pPr>
        <w:pStyle w:val="2"/>
        <w:tabs>
          <w:tab w:val="left" w:pos="5404"/>
        </w:tabs>
        <w:ind w:right="665"/>
        <w:jc w:val="center"/>
        <w:rPr>
          <w:rFonts w:ascii="黑体" w:hAnsi="黑体" w:eastAsia="黑体"/>
        </w:rPr>
      </w:pPr>
      <w:r>
        <mc:AlternateContent>
          <mc:Choice Requires="wps">
            <w:drawing>
              <wp:anchor distT="0" distB="0" distL="114300" distR="114300" simplePos="0" relativeHeight="251659264"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76.75pt;margin-top:18.45pt;height:0pt;width:324.45pt;mso-position-horizontal-relative:page;z-index:-251657216;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GmuQ1gAAAAoBAAAPAAAAAAAAAAEAIAAAACIAAABkcnMvZG93bnJldi54bWxQSwECFAAUAAAACACH&#10;TuJA68qo8e0BAADpAwAADgAAAAAAAAABACAAAAAlAQAAZHJzL2Uyb0RvYy54bWxQSwUGAAAAAAYA&#10;BgBZAQAAhAUAAAAA&#10;">
                <v:fill on="f" focussize="0,0"/>
                <v:stroke weight="0.78pt" color="#000000" joinstyle="round"/>
                <v:imagedata o:title=""/>
                <o:lock v:ext="edit" aspectratio="f"/>
              </v:line>
            </w:pict>
          </mc:Fallback>
        </mc:AlternateContent>
      </w:r>
      <w:r>
        <w:rPr>
          <w:rFonts w:hint="eastAsia" w:ascii="黑体" w:hAnsi="黑体" w:eastAsia="黑体"/>
        </w:rPr>
        <w:t>评价类型</w:t>
      </w:r>
      <w:r>
        <w:rPr>
          <w:rFonts w:hint="eastAsia" w:ascii="黑体" w:hAnsi="黑体" w:eastAsia="黑体"/>
          <w:u w:val="none"/>
        </w:rPr>
        <w:t>：</w:t>
      </w:r>
      <w:r>
        <w:rPr>
          <w:rFonts w:ascii="Wingdings 2" w:hAnsi="Wingdings 2" w:eastAsia="Wingdings 2"/>
          <w:u w:val="none"/>
        </w:rPr>
        <w:t></w:t>
      </w:r>
      <w:r>
        <w:rPr>
          <w:rFonts w:hint="eastAsia" w:ascii="黑体" w:hAnsi="黑体" w:eastAsia="黑体"/>
          <w:u w:val="none"/>
        </w:rPr>
        <w:t>实施过程评价</w:t>
      </w:r>
      <w:r>
        <w:rPr>
          <w:rFonts w:hint="eastAsia" w:ascii="黑体" w:hAnsi="黑体" w:eastAsia="黑体"/>
          <w:u w:val="none"/>
        </w:rPr>
        <w:tab/>
      </w:r>
      <w:r>
        <w:rPr>
          <w:rFonts w:ascii="Wingdings 2" w:hAnsi="Wingdings 2" w:eastAsia="Wingdings 2"/>
          <w:u w:val="none"/>
        </w:rPr>
        <w:sym w:font="Wingdings 2" w:char="0052"/>
      </w:r>
      <w:r>
        <w:rPr>
          <w:rFonts w:hint="eastAsia" w:ascii="黑体" w:hAnsi="黑体" w:eastAsia="黑体"/>
          <w:u w:val="none"/>
        </w:rPr>
        <w:t>完成结果评价</w:t>
      </w:r>
    </w:p>
    <w:p>
      <w:pPr>
        <w:pStyle w:val="2"/>
        <w:rPr>
          <w:rFonts w:ascii="黑体"/>
          <w:sz w:val="20"/>
        </w:rPr>
      </w:pPr>
    </w:p>
    <w:p>
      <w:pPr>
        <w:pStyle w:val="2"/>
        <w:rPr>
          <w:rFonts w:ascii="黑体"/>
          <w:sz w:val="20"/>
        </w:rPr>
      </w:pPr>
    </w:p>
    <w:p>
      <w:pPr>
        <w:pStyle w:val="2"/>
        <w:spacing w:before="7"/>
        <w:rPr>
          <w:rFonts w:ascii="黑体"/>
          <w:sz w:val="16"/>
        </w:rPr>
      </w:pPr>
    </w:p>
    <w:p>
      <w:pPr>
        <w:pStyle w:val="2"/>
        <w:tabs>
          <w:tab w:val="left" w:pos="8157"/>
        </w:tabs>
        <w:spacing w:before="66"/>
        <w:ind w:right="117" w:firstLine="1280" w:firstLineChars="400"/>
        <w:jc w:val="both"/>
        <w:rPr>
          <w:rFonts w:hint="eastAsia" w:ascii="Times New Roman" w:eastAsia="宋体"/>
          <w:sz w:val="32"/>
          <w:u w:val="single"/>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4656455</wp:posOffset>
                </wp:positionH>
                <wp:positionV relativeFrom="paragraph">
                  <wp:posOffset>258445</wp:posOffset>
                </wp:positionV>
                <wp:extent cx="1160145" cy="8255"/>
                <wp:effectExtent l="0" t="0" r="0" b="0"/>
                <wp:wrapNone/>
                <wp:docPr id="4" name="直线 9"/>
                <wp:cNvGraphicFramePr/>
                <a:graphic xmlns:a="http://schemas.openxmlformats.org/drawingml/2006/main">
                  <a:graphicData uri="http://schemas.microsoft.com/office/word/2010/wordprocessingShape">
                    <wps:wsp>
                      <wps:cNvCnPr/>
                      <wps:spPr>
                        <a:xfrm flipV="1">
                          <a:off x="5145405" y="4443730"/>
                          <a:ext cx="1160145" cy="82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flip:y;margin-left:366.65pt;margin-top:20.35pt;height:0.65pt;width:91.35pt;z-index:251662336;mso-width-relative:page;mso-height-relative:page;" filled="f" stroked="t" coordsize="21600,21600" o:gfxdata="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MIhC/XAAAACQEAAA8AAAAAAAAAAQAgAAAAIgAAAGRycy9kb3ducmV2&#10;LnhtbFBLAQIUABQAAAAIAIdO4kAsF0fm/QEAAPQDAAAOAAAAAAAAAAEAIAAAACYBAABkcnMvZTJv&#10;RG9jLnhtbFBLBQYAAAAABgAGAFkBAACVBQAAAAA=&#10;">
                <v:fill on="f" focussize="0,0"/>
                <v:stroke color="#000000" joinstyle="round"/>
                <v:imagedata o:title=""/>
                <o:lock v:ext="edit" aspectratio="f"/>
              </v:line>
            </w:pict>
          </mc:Fallback>
        </mc:AlternateContent>
      </w:r>
      <w:r>
        <w:rPr>
          <w:rFonts w:hint="eastAsia" w:ascii="黑体" w:eastAsia="黑体"/>
          <w:spacing w:val="-1"/>
        </w:rPr>
        <w:t>项目名称</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 xml:space="preserve"> </w:t>
      </w:r>
      <w:r>
        <w:rPr>
          <w:rFonts w:hint="eastAsia" w:ascii="Times New Roman" w:eastAsia="Times New Roman"/>
          <w:u w:val="single"/>
          <w:lang w:val="en-US" w:eastAsia="zh-CN"/>
        </w:rPr>
        <w:t xml:space="preserve">                        </w:t>
      </w:r>
      <w:r>
        <w:rPr>
          <w:rFonts w:hint="eastAsia" w:ascii="黑体" w:eastAsia="黑体"/>
          <w:spacing w:val="-1"/>
          <w:u w:val="single"/>
          <w:lang w:val="en-US" w:eastAsia="zh-CN"/>
        </w:rPr>
        <w:t xml:space="preserve">信访维稳专项资金     </w:t>
      </w:r>
      <w:r>
        <w:rPr>
          <w:rFonts w:hint="eastAsia" w:ascii="Times New Roman" w:eastAsia="Times New Roman"/>
          <w:u w:val="single"/>
          <w:lang w:val="en-US" w:eastAsia="zh-CN"/>
        </w:rPr>
        <w:t xml:space="preserve"> </w:t>
      </w:r>
    </w:p>
    <w:p>
      <w:pPr>
        <w:pStyle w:val="2"/>
        <w:jc w:val="center"/>
        <w:rPr>
          <w:rFonts w:ascii="Times New Roman"/>
          <w:sz w:val="20"/>
          <w:u w:val="single"/>
        </w:rPr>
      </w:pPr>
    </w:p>
    <w:p>
      <w:pPr>
        <w:pStyle w:val="2"/>
        <w:rPr>
          <w:rFonts w:ascii="Times New Roman"/>
          <w:sz w:val="20"/>
          <w:u w:val="single"/>
        </w:rPr>
      </w:pPr>
    </w:p>
    <w:p>
      <w:pPr>
        <w:pStyle w:val="2"/>
        <w:rPr>
          <w:rFonts w:ascii="Times New Roman"/>
          <w:sz w:val="23"/>
        </w:rPr>
      </w:pPr>
    </w:p>
    <w:p>
      <w:pPr>
        <w:pStyle w:val="2"/>
        <w:tabs>
          <w:tab w:val="left" w:pos="8157"/>
        </w:tabs>
        <w:spacing w:before="65"/>
        <w:ind w:right="117"/>
        <w:jc w:val="center"/>
        <w:rPr>
          <w:rFonts w:ascii="Times New Roman" w:eastAsia="Times New Roman"/>
        </w:rPr>
      </w:pPr>
      <w:r>
        <w:rPr>
          <w:rFonts w:hint="eastAsia" w:ascii="黑体" w:eastAsia="黑体"/>
          <w:spacing w:val="-1"/>
        </w:rPr>
        <w:t>项目单位</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 xml:space="preserve">       </w:t>
      </w:r>
      <w:r>
        <w:rPr>
          <w:rFonts w:hint="eastAsia" w:ascii="黑体" w:eastAsia="黑体"/>
          <w:spacing w:val="-1"/>
          <w:u w:val="single"/>
          <w:lang w:val="en-US" w:eastAsia="zh-CN"/>
        </w:rPr>
        <w:t xml:space="preserve">  中共南昌市青云谱区委信访局</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3"/>
        </w:rPr>
      </w:pPr>
    </w:p>
    <w:p>
      <w:pPr>
        <w:pStyle w:val="2"/>
        <w:tabs>
          <w:tab w:val="left" w:pos="6876"/>
        </w:tabs>
        <w:spacing w:before="66"/>
        <w:ind w:right="118"/>
        <w:jc w:val="center"/>
        <w:rPr>
          <w:rFonts w:ascii="黑体" w:eastAsia="黑体"/>
        </w:rPr>
      </w:pPr>
      <w:r>
        <w:rPr>
          <w:rFonts w:hint="eastAsia" w:ascii="黑体" w:eastAsia="黑体"/>
        </w:rPr>
        <w:t>主管部门：</w:t>
      </w:r>
      <w:r>
        <w:rPr>
          <w:rFonts w:hint="eastAsia" w:ascii="黑体" w:eastAsia="黑体"/>
          <w:u w:val="single"/>
        </w:rPr>
        <w:t xml:space="preserve"> </w:t>
      </w:r>
      <w:r>
        <w:rPr>
          <w:rFonts w:hint="eastAsia" w:ascii="黑体" w:eastAsia="黑体"/>
          <w:u w:val="single"/>
          <w:lang w:val="en-US" w:eastAsia="zh-CN"/>
        </w:rPr>
        <w:t xml:space="preserve">     </w:t>
      </w:r>
      <w:r>
        <w:rPr>
          <w:rFonts w:hint="eastAsia" w:ascii="黑体" w:eastAsia="黑体"/>
          <w:spacing w:val="-1"/>
          <w:u w:val="single"/>
          <w:lang w:val="en-US" w:eastAsia="zh-CN"/>
        </w:rPr>
        <w:t>中共南昌市青云谱区委信访局</w:t>
      </w:r>
      <w:r>
        <w:rPr>
          <w:rFonts w:hint="eastAsia" w:ascii="黑体" w:eastAsia="黑体"/>
          <w:u w:val="single"/>
        </w:rPr>
        <w:tab/>
      </w:r>
      <w:r>
        <w:rPr>
          <w:rFonts w:hint="eastAsia" w:ascii="黑体" w:eastAsia="黑体"/>
          <w:u w:val="single"/>
        </w:rPr>
        <w:t>（盖章）</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3914"/>
          <w:tab w:val="left" w:pos="4714"/>
          <w:tab w:val="left" w:pos="5514"/>
          <w:tab w:val="left" w:pos="6793"/>
          <w:tab w:val="left" w:pos="7593"/>
          <w:tab w:val="left" w:pos="8393"/>
        </w:tabs>
        <w:spacing w:before="56"/>
        <w:ind w:left="1354"/>
        <w:rPr>
          <w:rFonts w:ascii="黑体" w:eastAsia="黑体"/>
        </w:rPr>
      </w:pPr>
      <w:r>
        <mc:AlternateContent>
          <mc:Choice Requires="wps">
            <w:drawing>
              <wp:anchor distT="0" distB="0" distL="114300" distR="114300" simplePos="0" relativeHeight="251660288"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176.75pt;margin-top:21.3pt;height:0pt;width:327.9pt;mso-position-horizontal-relative:page;z-index:-251656192;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UWwqNcAAAAKAQAADwAAAAAAAAABACAAAAAiAAAAZHJzL2Rvd25yZXYueG1sUEsBAhQAFAAAAAgA&#10;h07iQHtouZLtAQAA6QMAAA4AAAAAAAAAAQAgAAAAJgEAAGRycy9lMm9Eb2MueG1sUEsFBgAAAAAG&#10;AAYAWQEAAIUFAAAAAA==&#10;">
                <v:fill on="f" focussize="0,0"/>
                <v:stroke weight="0.78pt" color="#000000" joinstyle="round"/>
                <v:imagedata o:title=""/>
                <o:lock v:ext="edit" aspectratio="f"/>
              </v:line>
            </w:pict>
          </mc:Fallback>
        </mc:AlternateContent>
      </w:r>
      <w:r>
        <w:rPr>
          <w:rFonts w:hint="eastAsia" w:ascii="黑体" w:eastAsia="黑体"/>
        </w:rPr>
        <w:t>评价时间：</w:t>
      </w:r>
      <w:r>
        <w:rPr>
          <w:rFonts w:hint="eastAsia" w:ascii="黑体" w:eastAsia="黑体"/>
          <w:lang w:val="en-US" w:eastAsia="zh-CN"/>
        </w:rPr>
        <w:t xml:space="preserve">     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06</w:t>
      </w:r>
      <w:r>
        <w:rPr>
          <w:rFonts w:hint="eastAsia" w:ascii="黑体" w:eastAsia="黑体"/>
        </w:rPr>
        <w:t>日至</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日</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4125"/>
          <w:tab w:val="left" w:pos="6009"/>
        </w:tabs>
        <w:spacing w:before="55"/>
        <w:ind w:right="380"/>
        <w:jc w:val="center"/>
        <w:rPr>
          <w:rFonts w:ascii="黑体" w:hAnsi="黑体" w:eastAsia="黑体"/>
        </w:rPr>
      </w:pPr>
      <w:r>
        <mc:AlternateContent>
          <mc:Choice Requires="wps">
            <w:drawing>
              <wp:anchor distT="0" distB="0" distL="114300" distR="114300" simplePos="0" relativeHeight="251661312"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176.75pt;margin-top:21.2pt;height:0pt;width:330.65pt;mso-position-horizontal-relative:page;z-index:-251655168;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qEke1gAAAAoBAAAPAAAAAAAAAAEAIAAAACIAAABkcnMvZG93bnJldi54bWxQSwECFAAUAAAACACH&#10;TuJAvPCetu0BAADpAwAADgAAAAAAAAABACAAAAAlAQAAZHJzL2Uyb0RvYy54bWxQSwUGAAAAAAYA&#10;BgBZAQAAhAUAAAAA&#10;">
                <v:fill on="f" focussize="0,0"/>
                <v:stroke weight="0.78pt" color="#000000" joinstyle="round"/>
                <v:imagedata o:title=""/>
                <o:lock v:ext="edit" aspectratio="f"/>
              </v:line>
            </w:pict>
          </mc:Fallback>
        </mc:AlternateContent>
      </w:r>
      <w:r>
        <w:rPr>
          <w:rFonts w:hint="eastAsia" w:ascii="黑体" w:hAnsi="黑体" w:eastAsia="黑体"/>
        </w:rPr>
        <w:t>评价机构：</w:t>
      </w:r>
      <w:r>
        <w:rPr>
          <w:rFonts w:ascii="Wingdings 2" w:hAnsi="Wingdings 2" w:eastAsia="Wingdings 2"/>
        </w:rPr>
        <w:t></w:t>
      </w:r>
      <w:r>
        <w:rPr>
          <w:rFonts w:hint="eastAsia" w:ascii="黑体" w:hAnsi="黑体" w:eastAsia="黑体"/>
        </w:rPr>
        <w:t>第三方机构</w:t>
      </w:r>
      <w:r>
        <w:rPr>
          <w:rFonts w:hint="eastAsia" w:ascii="黑体" w:hAnsi="黑体" w:eastAsia="黑体"/>
        </w:rPr>
        <w:tab/>
      </w:r>
      <w:r>
        <w:rPr>
          <w:rFonts w:ascii="Wingdings 2" w:hAnsi="Wingdings 2" w:eastAsia="Wingdings 2"/>
        </w:rPr>
        <w:t></w:t>
      </w:r>
      <w:r>
        <w:rPr>
          <w:rFonts w:hint="eastAsia" w:ascii="黑体" w:hAnsi="黑体" w:eastAsia="黑体"/>
        </w:rPr>
        <w:t>专家组</w:t>
      </w:r>
      <w:r>
        <w:rPr>
          <w:rFonts w:hint="eastAsia" w:ascii="黑体" w:hAnsi="黑体" w:eastAsia="黑体"/>
        </w:rPr>
        <w:tab/>
      </w:r>
      <w:r>
        <w:rPr>
          <w:rFonts w:ascii="Wingdings 2" w:hAnsi="Wingdings 2" w:eastAsia="Wingdings 2"/>
        </w:rPr>
        <w:sym w:font="Wingdings 2" w:char="0052"/>
      </w:r>
      <w:r>
        <w:rPr>
          <w:rFonts w:hint="eastAsia" w:ascii="黑体" w:hAnsi="黑体" w:eastAsia="黑体"/>
        </w:rPr>
        <w:t>部门评价组</w: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0"/>
        <w:rPr>
          <w:rFonts w:ascii="黑体"/>
          <w:sz w:val="29"/>
        </w:rPr>
      </w:pPr>
    </w:p>
    <w:p>
      <w:pPr>
        <w:pStyle w:val="2"/>
        <w:tabs>
          <w:tab w:val="left" w:pos="959"/>
          <w:tab w:val="left" w:pos="1920"/>
        </w:tabs>
        <w:spacing w:before="56"/>
        <w:ind w:right="238"/>
        <w:jc w:val="center"/>
        <w:rPr>
          <w:rFonts w:ascii="黑体" w:eastAsia="黑体"/>
        </w:rPr>
      </w:pPr>
      <w:r>
        <w:rPr>
          <w:rFonts w:hint="eastAsia" w:ascii="黑体" w:eastAsia="黑体"/>
          <w:lang w:val="en-US" w:eastAsia="zh-CN"/>
        </w:rPr>
        <w:t>2023 年 03</w:t>
      </w:r>
      <w:r>
        <w:rPr>
          <w:rFonts w:hint="eastAsia" w:ascii="黑体" w:eastAsia="黑体"/>
        </w:rPr>
        <w:t>月</w:t>
      </w:r>
      <w:r>
        <w:rPr>
          <w:rFonts w:hint="eastAsia" w:ascii="黑体" w:eastAsia="黑体"/>
          <w:lang w:val="en-US" w:eastAsia="zh-CN"/>
        </w:rPr>
        <w:t xml:space="preserve"> 13</w:t>
      </w:r>
      <w:r>
        <w:rPr>
          <w:rFonts w:hint="eastAsia" w:ascii="黑体" w:eastAsia="黑体"/>
        </w:rPr>
        <w:t>日</w:t>
      </w:r>
    </w:p>
    <w:p>
      <w:pPr>
        <w:pStyle w:val="2"/>
        <w:rPr>
          <w:rFonts w:ascii="黑体"/>
          <w:sz w:val="20"/>
        </w:rPr>
      </w:pPr>
    </w:p>
    <w:p>
      <w:pPr>
        <w:pStyle w:val="2"/>
        <w:rPr>
          <w:rFonts w:ascii="黑体"/>
          <w:sz w:val="20"/>
        </w:rPr>
      </w:pPr>
    </w:p>
    <w:p>
      <w:pPr>
        <w:pStyle w:val="2"/>
        <w:rPr>
          <w:rFonts w:ascii="黑体"/>
          <w:sz w:val="20"/>
        </w:rPr>
      </w:pPr>
    </w:p>
    <w:p>
      <w:pPr>
        <w:rPr>
          <w:rFonts w:ascii="Times New Roman" w:hAnsi="Times New Roman"/>
          <w:sz w:val="24"/>
        </w:rPr>
        <w:sectPr>
          <w:footerReference r:id="rId5" w:type="even"/>
          <w:pgSz w:w="11910" w:h="16840"/>
          <w:pgMar w:top="1200" w:right="338" w:bottom="280" w:left="580" w:header="0" w:footer="0" w:gutter="0"/>
          <w:cols w:space="720" w:num="1"/>
        </w:sectPr>
      </w:pPr>
    </w:p>
    <w:p>
      <w:pPr>
        <w:pStyle w:val="2"/>
        <w:spacing w:before="267"/>
        <w:ind w:left="1476"/>
        <w:jc w:val="center"/>
        <w:rPr>
          <w:rFonts w:hint="eastAsia" w:ascii="宋体" w:hAnsi="宋体" w:eastAsia="宋体" w:cs="宋体"/>
          <w:w w:val="95"/>
          <w:sz w:val="48"/>
          <w:szCs w:val="48"/>
          <w:lang w:val="en-US" w:eastAsia="zh-CN"/>
        </w:rPr>
      </w:pPr>
    </w:p>
    <w:p>
      <w:pPr>
        <w:pStyle w:val="2"/>
        <w:spacing w:before="267"/>
        <w:ind w:firstLine="2099" w:firstLineChars="500"/>
        <w:jc w:val="both"/>
        <w:rPr>
          <w:rFonts w:hint="eastAsia" w:ascii="宋体" w:hAnsi="宋体" w:eastAsia="宋体" w:cs="宋体"/>
          <w:b/>
          <w:bCs/>
          <w:w w:val="95"/>
          <w:sz w:val="44"/>
          <w:szCs w:val="44"/>
          <w:lang w:val="en-US" w:eastAsia="zh-CN"/>
        </w:rPr>
      </w:pPr>
      <w:r>
        <w:rPr>
          <w:rFonts w:hint="eastAsia" w:ascii="宋体" w:hAnsi="宋体" w:eastAsia="宋体" w:cs="宋体"/>
          <w:b/>
          <w:bCs/>
          <w:w w:val="95"/>
          <w:sz w:val="44"/>
          <w:szCs w:val="44"/>
          <w:lang w:val="en-US" w:eastAsia="zh-CN"/>
        </w:rPr>
        <w:t>中共南昌市青云谱区委信访局</w:t>
      </w:r>
    </w:p>
    <w:p>
      <w:pPr>
        <w:pStyle w:val="2"/>
        <w:spacing w:before="267"/>
        <w:ind w:left="1476"/>
        <w:jc w:val="both"/>
        <w:rPr>
          <w:rFonts w:hint="eastAsia" w:ascii="宋体" w:hAnsi="宋体" w:eastAsia="宋体" w:cs="宋体"/>
          <w:b/>
          <w:bCs/>
          <w:w w:val="95"/>
          <w:sz w:val="44"/>
          <w:szCs w:val="44"/>
          <w:u w:val="none"/>
          <w:lang w:val="en-US" w:eastAsia="zh-CN"/>
        </w:rPr>
      </w:pPr>
      <w:r>
        <w:rPr>
          <w:rFonts w:hint="eastAsia" w:eastAsia="宋体" w:cs="Tahoma"/>
          <w:b/>
          <w:bCs/>
          <w:color w:val="000000"/>
          <w:sz w:val="44"/>
          <w:szCs w:val="44"/>
        </w:rPr>
        <w:t>信访维稳专项资金</w:t>
      </w:r>
      <w:r>
        <w:rPr>
          <w:rFonts w:hint="eastAsia" w:ascii="宋体" w:hAnsi="宋体" w:eastAsia="宋体" w:cs="宋体"/>
          <w:b/>
          <w:bCs/>
          <w:spacing w:val="-1"/>
          <w:sz w:val="44"/>
          <w:szCs w:val="44"/>
          <w:u w:val="none"/>
          <w:lang w:val="en-US" w:eastAsia="zh-CN"/>
        </w:rPr>
        <w:t>项目绩效评价报告</w:t>
      </w:r>
    </w:p>
    <w:p>
      <w:pPr>
        <w:pStyle w:val="2"/>
        <w:keepNext w:val="0"/>
        <w:keepLines w:val="0"/>
        <w:pageBreakBefore w:val="0"/>
        <w:widowControl w:val="0"/>
        <w:kinsoku/>
        <w:wordWrap/>
        <w:overflowPunct/>
        <w:topLinePunct w:val="0"/>
        <w:autoSpaceDE w:val="0"/>
        <w:autoSpaceDN w:val="0"/>
        <w:bidi w:val="0"/>
        <w:adjustRightInd/>
        <w:snapToGrid/>
        <w:spacing w:before="267" w:line="580" w:lineRule="exact"/>
        <w:ind w:left="660" w:leftChars="0" w:right="869" w:rightChars="395" w:firstLine="640" w:firstLineChars="200"/>
        <w:textAlignment w:val="auto"/>
        <w:rPr>
          <w:rFonts w:hint="eastAsia" w:ascii="宋体" w:hAnsi="宋体" w:cs="宋体" w:eastAsiaTheme="minorEastAsia"/>
          <w:kern w:val="0"/>
          <w:sz w:val="32"/>
          <w:szCs w:val="32"/>
          <w:lang w:val="en-US" w:eastAsia="zh-CN" w:bidi="ar-SA"/>
        </w:rPr>
      </w:pPr>
      <w:r>
        <w:rPr>
          <w:rFonts w:hint="eastAsia" w:ascii="宋体" w:hAnsi="宋体" w:eastAsia="宋体" w:cs="宋体"/>
          <w:kern w:val="0"/>
          <w:sz w:val="32"/>
          <w:szCs w:val="32"/>
          <w:lang w:val="en-US" w:eastAsia="zh-CN" w:bidi="ar-SA"/>
        </w:rPr>
        <w:t>今年以来，青云谱区委信访局以做好党的二十大信访稳定工作为主线，大力践行新时代“枫桥经验”，进一步压实信访工作责任，深入推进《信访工作条例》学习宣传贯彻，严格落实领导包案接访制度，持续深化重复信访治理和信访积案化解专项工作，大力开展化解信访突出问题百日攻坚行动，切实将矛盾纠纷化解在基层，人员吸附在当，有力地保障了全国“两会”、冬奥会、冬残奥会、建军95周年及党的二十大期间的社会和谐稳定。党的二十大期间青云谱区无群众赴京上访，无群众到省市大规模集体上访，以青云谱稳定支持了南昌稳定、江西稳定、北京稳定。</w:t>
      </w:r>
      <w:r>
        <w:rPr>
          <w:rFonts w:hint="eastAsia" w:asciiTheme="minorEastAsia" w:hAnsiTheme="minorEastAsia" w:eastAsiaTheme="minorEastAsia" w:cstheme="minorEastAsia"/>
          <w:w w:val="95"/>
          <w:sz w:val="32"/>
          <w:szCs w:val="32"/>
        </w:rPr>
        <w:t>现将绩效评价情况及评价结果报告如下</w:t>
      </w:r>
      <w:r>
        <w:rPr>
          <w:rFonts w:hint="eastAsia" w:asciiTheme="minorEastAsia" w:hAnsiTheme="minorEastAsia" w:eastAsiaTheme="minorEastAsia" w:cstheme="minorEastAsia"/>
          <w:w w:val="95"/>
          <w:sz w:val="32"/>
          <w:szCs w:val="32"/>
          <w:lang w:eastAsia="zh-CN"/>
        </w:rPr>
        <w:t>：</w:t>
      </w:r>
    </w:p>
    <w:p>
      <w:pPr>
        <w:pStyle w:val="2"/>
        <w:spacing w:before="267"/>
        <w:ind w:firstLine="608" w:firstLineChars="200"/>
        <w:rPr>
          <w:rFonts w:asciiTheme="minorEastAsia" w:hAnsiTheme="minorEastAsia" w:eastAsiaTheme="minorEastAsia"/>
        </w:rPr>
      </w:pPr>
      <w:r>
        <w:rPr>
          <w:rFonts w:hint="eastAsia" w:asciiTheme="minorEastAsia" w:hAnsiTheme="minorEastAsia" w:eastAsiaTheme="minorEastAsia"/>
          <w:w w:val="95"/>
        </w:rPr>
        <w:t>一</w:t>
      </w:r>
      <w:r>
        <w:rPr>
          <w:rFonts w:hint="eastAsia" w:asciiTheme="minorEastAsia" w:hAnsiTheme="minorEastAsia" w:eastAsiaTheme="minorEastAsia"/>
          <w:b/>
          <w:bCs/>
          <w:w w:val="95"/>
        </w:rPr>
        <w:t>、基本情况</w:t>
      </w:r>
    </w:p>
    <w:p>
      <w:pPr>
        <w:pStyle w:val="13"/>
        <w:spacing w:before="84" w:line="244" w:lineRule="auto"/>
        <w:ind w:left="836" w:right="502" w:firstLine="640"/>
        <w:rPr>
          <w:rFonts w:asciiTheme="minorEastAsia" w:hAnsiTheme="minorEastAsia" w:eastAsiaTheme="minorEastAsia"/>
          <w:b w:val="0"/>
        </w:rPr>
      </w:pPr>
      <w:bookmarkStart w:id="0" w:name="（一）项目概况。包括项目背景、主要内容及实施情况、资金投入和使用情况等。"/>
      <w:bookmarkEnd w:id="0"/>
      <w:r>
        <w:rPr>
          <w:rFonts w:asciiTheme="minorEastAsia" w:hAnsiTheme="minorEastAsia" w:eastAsiaTheme="minorEastAsia"/>
          <w:b w:val="0"/>
        </w:rPr>
        <w:t>（一）项目概况。</w:t>
      </w:r>
    </w:p>
    <w:p>
      <w:pPr>
        <w:pStyle w:val="13"/>
        <w:spacing w:before="84" w:line="244" w:lineRule="auto"/>
        <w:ind w:left="836" w:right="1090" w:rightChars="0" w:firstLine="640"/>
        <w:rPr>
          <w:rFonts w:asciiTheme="minorEastAsia" w:hAnsiTheme="minorEastAsia" w:eastAsiaTheme="minorEastAsia"/>
          <w:b w:val="0"/>
        </w:rPr>
      </w:pPr>
      <w:r>
        <w:rPr>
          <w:rFonts w:hint="eastAsia" w:asciiTheme="minorEastAsia" w:hAnsiTheme="minorEastAsia" w:eastAsiaTheme="minorEastAsia"/>
          <w:b w:val="0"/>
          <w:lang w:val="en-US" w:eastAsia="zh-CN"/>
        </w:rPr>
        <w:t>1.项目</w:t>
      </w:r>
      <w:r>
        <w:rPr>
          <w:rFonts w:asciiTheme="minorEastAsia" w:hAnsiTheme="minorEastAsia" w:eastAsiaTheme="minorEastAsia"/>
          <w:b w:val="0"/>
        </w:rPr>
        <w:t>背景</w:t>
      </w:r>
      <w:r>
        <w:rPr>
          <w:rFonts w:hint="eastAsia" w:asciiTheme="minorEastAsia" w:hAnsiTheme="minorEastAsia" w:eastAsiaTheme="minorEastAsia"/>
          <w:b w:val="0"/>
          <w:lang w:eastAsia="zh-CN"/>
        </w:rPr>
        <w:t>。</w:t>
      </w:r>
      <w:r>
        <w:rPr>
          <w:rFonts w:asciiTheme="minorEastAsia" w:hAnsiTheme="minorEastAsia" w:eastAsiaTheme="minorEastAsia"/>
          <w:b w:val="0"/>
        </w:rPr>
        <w:t>包括项目背景、主要内容及实施情况、资金投</w:t>
      </w:r>
      <w:r>
        <w:rPr>
          <w:rFonts w:hint="eastAsia" w:asciiTheme="minorEastAsia" w:hAnsiTheme="minorEastAsia" w:eastAsiaTheme="minorEastAsia"/>
          <w:b w:val="0"/>
          <w:lang w:eastAsia="zh-CN"/>
        </w:rPr>
        <w:t>入</w:t>
      </w:r>
      <w:r>
        <w:rPr>
          <w:rFonts w:asciiTheme="minorEastAsia" w:hAnsiTheme="minorEastAsia" w:eastAsiaTheme="minorEastAsia"/>
          <w:b w:val="0"/>
        </w:rPr>
        <w:t>和使用情况等。</w:t>
      </w:r>
    </w:p>
    <w:p>
      <w:pPr>
        <w:pStyle w:val="13"/>
        <w:keepNext w:val="0"/>
        <w:keepLines w:val="0"/>
        <w:pageBreakBefore w:val="0"/>
        <w:kinsoku/>
        <w:wordWrap/>
        <w:overflowPunct/>
        <w:topLinePunct w:val="0"/>
        <w:bidi w:val="0"/>
        <w:spacing w:before="84" w:line="580" w:lineRule="exact"/>
        <w:ind w:left="957" w:leftChars="435" w:right="1090" w:rightChars="0" w:firstLine="640" w:firstLineChars="200"/>
        <w:textAlignment w:val="auto"/>
        <w:rPr>
          <w:rFonts w:hint="eastAsia" w:asciiTheme="minorEastAsia" w:hAnsiTheme="minorEastAsia" w:eastAsiaTheme="minorEastAsia"/>
          <w:b w:val="0"/>
          <w:lang w:val="en-US" w:eastAsia="zh-CN"/>
        </w:rPr>
      </w:pPr>
      <w:r>
        <w:rPr>
          <w:rFonts w:hint="eastAsia" w:asciiTheme="minorEastAsia" w:hAnsiTheme="minorEastAsia" w:eastAsiaTheme="minorEastAsia"/>
          <w:b w:val="0"/>
          <w:lang w:val="en-US" w:eastAsia="zh-CN"/>
        </w:rPr>
        <w:t>切实维护辖区人民群众合法权益，化解信访突出矛盾，促进  和谐稳定，经研究决定特建立信访维稳专项资金。为切实规范专项资金管理，保障资金安全、高效运行，发挥资金使用效益，根据市、区财政专项资金管理的有关规定，结合区信访局实际，特建立改专项资金进行有效监管。对重点人员实施稳控、劝返等方面工作产生的经费支出；对缠访、闹访等违法上访行为实施稳控工作产生的经费支出。</w:t>
      </w:r>
    </w:p>
    <w:p>
      <w:pPr>
        <w:pStyle w:val="13"/>
        <w:keepNext w:val="0"/>
        <w:keepLines w:val="0"/>
        <w:pageBreakBefore w:val="0"/>
        <w:tabs>
          <w:tab w:val="left" w:pos="10340"/>
        </w:tabs>
        <w:kinsoku/>
        <w:wordWrap/>
        <w:overflowPunct/>
        <w:topLinePunct w:val="0"/>
        <w:bidi w:val="0"/>
        <w:spacing w:after="0" w:line="580" w:lineRule="exact"/>
        <w:ind w:left="880" w:leftChars="400" w:right="1089" w:rightChars="495"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年预算安排300万元，实际到位资金300万元。本年度实际支出</w:t>
      </w:r>
      <w:r>
        <w:rPr>
          <w:rFonts w:hint="eastAsia" w:asciiTheme="minorEastAsia" w:hAnsiTheme="minorEastAsia" w:eastAsiaTheme="minorEastAsia" w:cstheme="minorEastAsia"/>
          <w:b w:val="0"/>
          <w:sz w:val="32"/>
          <w:szCs w:val="32"/>
          <w:lang w:val="en-US" w:eastAsia="zh-CN"/>
        </w:rPr>
        <w:t>135.81</w:t>
      </w:r>
      <w:r>
        <w:rPr>
          <w:rFonts w:hint="eastAsia" w:asciiTheme="minorEastAsia" w:hAnsiTheme="minorEastAsia" w:eastAsiaTheme="minorEastAsia" w:cstheme="minorEastAsia"/>
          <w:b w:val="0"/>
          <w:sz w:val="32"/>
          <w:szCs w:val="32"/>
        </w:rPr>
        <w:t>万元，预算资金执行率</w:t>
      </w:r>
      <w:r>
        <w:rPr>
          <w:rFonts w:hint="eastAsia" w:asciiTheme="minorEastAsia" w:hAnsiTheme="minorEastAsia" w:eastAsiaTheme="minorEastAsia" w:cstheme="minorEastAsia"/>
          <w:b w:val="0"/>
          <w:sz w:val="32"/>
          <w:szCs w:val="32"/>
          <w:lang w:val="en-US" w:eastAsia="zh-CN"/>
        </w:rPr>
        <w:t>45.27</w:t>
      </w:r>
      <w:bookmarkStart w:id="7" w:name="_GoBack"/>
      <w:bookmarkEnd w:id="7"/>
      <w:r>
        <w:rPr>
          <w:rFonts w:hint="eastAsia" w:asciiTheme="minorEastAsia" w:hAnsiTheme="minorEastAsia" w:eastAsiaTheme="minorEastAsia" w:cstheme="minorEastAsia"/>
          <w:b w:val="0"/>
          <w:sz w:val="32"/>
          <w:szCs w:val="32"/>
        </w:rPr>
        <w:t>%。</w:t>
      </w:r>
    </w:p>
    <w:p>
      <w:pPr>
        <w:keepNext w:val="0"/>
        <w:keepLines w:val="0"/>
        <w:pageBreakBefore w:val="0"/>
        <w:numPr>
          <w:ilvl w:val="0"/>
          <w:numId w:val="1"/>
        </w:numPr>
        <w:kinsoku/>
        <w:wordWrap/>
        <w:overflowPunct/>
        <w:topLinePunct w:val="0"/>
        <w:bidi w:val="0"/>
        <w:spacing w:line="580" w:lineRule="exact"/>
        <w:ind w:firstLine="1280" w:firstLineChars="400"/>
        <w:textAlignment w:val="auto"/>
        <w:rPr>
          <w:rFonts w:hint="eastAsia" w:asciiTheme="minorEastAsia" w:hAnsiTheme="minorEastAsia" w:eastAsiaTheme="minorEastAsia"/>
          <w:sz w:val="32"/>
        </w:rPr>
      </w:pPr>
      <w:bookmarkStart w:id="1" w:name="（二）项目绩效目标。包括总体目标和阶段性目标。"/>
      <w:bookmarkEnd w:id="1"/>
      <w:r>
        <w:rPr>
          <w:rFonts w:hint="eastAsia" w:asciiTheme="minorEastAsia" w:hAnsiTheme="minorEastAsia" w:eastAsiaTheme="minorEastAsia"/>
          <w:sz w:val="32"/>
        </w:rPr>
        <w:t>项目绩效目标。</w:t>
      </w:r>
    </w:p>
    <w:p>
      <w:pPr>
        <w:keepNext w:val="0"/>
        <w:keepLines w:val="0"/>
        <w:pageBreakBefore w:val="0"/>
        <w:numPr>
          <w:ilvl w:val="0"/>
          <w:numId w:val="0"/>
        </w:numPr>
        <w:tabs>
          <w:tab w:val="left" w:pos="9900"/>
        </w:tabs>
        <w:kinsoku/>
        <w:wordWrap/>
        <w:overflowPunct/>
        <w:topLinePunct w:val="0"/>
        <w:bidi w:val="0"/>
        <w:spacing w:line="580" w:lineRule="exact"/>
        <w:ind w:left="880" w:leftChars="400" w:right="1089" w:rightChars="495" w:firstLine="640" w:firstLineChars="200"/>
        <w:textAlignment w:val="auto"/>
        <w:rPr>
          <w:rFonts w:hint="default" w:asciiTheme="minorEastAsia" w:hAnsiTheme="minorEastAsia" w:eastAsiaTheme="minorEastAsia"/>
          <w:sz w:val="32"/>
          <w:lang w:val="en-US" w:eastAsia="zh-CN"/>
        </w:rPr>
      </w:pPr>
      <w:r>
        <w:rPr>
          <w:rFonts w:hint="eastAsia" w:asciiTheme="minorEastAsia" w:hAnsiTheme="minorEastAsia" w:eastAsiaTheme="minorEastAsia"/>
          <w:sz w:val="32"/>
        </w:rPr>
        <w:t>总体目标</w:t>
      </w:r>
      <w:r>
        <w:rPr>
          <w:rFonts w:hint="eastAsia" w:asciiTheme="minorEastAsia" w:hAnsiTheme="minorEastAsia" w:eastAsiaTheme="minorEastAsia"/>
          <w:sz w:val="32"/>
          <w:lang w:eastAsia="zh-CN"/>
        </w:rPr>
        <w:t>：</w:t>
      </w:r>
      <w:r>
        <w:rPr>
          <w:rFonts w:hint="eastAsia" w:asciiTheme="minorEastAsia" w:hAnsiTheme="minorEastAsia" w:eastAsiaTheme="minorEastAsia"/>
          <w:sz w:val="32"/>
          <w:lang w:val="en-US" w:eastAsia="zh-CN"/>
        </w:rPr>
        <w:t>牢固树立“稳定是第一责任”的思想，按照各负其责，责任上肩，及时化解，妥善处置办法。主动，快速，认真地做好信访维稳工作。</w:t>
      </w:r>
    </w:p>
    <w:p>
      <w:pPr>
        <w:keepNext w:val="0"/>
        <w:keepLines w:val="0"/>
        <w:pageBreakBefore w:val="0"/>
        <w:numPr>
          <w:ilvl w:val="0"/>
          <w:numId w:val="0"/>
        </w:numPr>
        <w:tabs>
          <w:tab w:val="left" w:pos="10340"/>
        </w:tabs>
        <w:kinsoku/>
        <w:wordWrap/>
        <w:overflowPunct/>
        <w:topLinePunct w:val="0"/>
        <w:bidi w:val="0"/>
        <w:spacing w:line="580" w:lineRule="exact"/>
        <w:ind w:left="880" w:leftChars="400" w:right="869" w:rightChars="395" w:firstLine="640" w:firstLineChars="200"/>
        <w:textAlignment w:val="auto"/>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阶段性目标：切实维护辖区人民群众合法权益，化解信访突出矛盾，促进社会和谐稳定，经研究决定特建立信访维稳专项资金。</w:t>
      </w:r>
    </w:p>
    <w:p>
      <w:pPr>
        <w:pStyle w:val="2"/>
        <w:keepNext w:val="0"/>
        <w:keepLines w:val="0"/>
        <w:pageBreakBefore w:val="0"/>
        <w:kinsoku/>
        <w:wordWrap/>
        <w:overflowPunct/>
        <w:topLinePunct w:val="0"/>
        <w:bidi w:val="0"/>
        <w:spacing w:before="117" w:line="580" w:lineRule="exact"/>
        <w:ind w:firstLine="643" w:firstLineChars="200"/>
        <w:textAlignment w:val="auto"/>
        <w:rPr>
          <w:rFonts w:asciiTheme="minorEastAsia" w:hAnsiTheme="minorEastAsia" w:eastAsiaTheme="minorEastAsia"/>
          <w:b/>
          <w:bCs/>
        </w:rPr>
      </w:pPr>
      <w:r>
        <w:rPr>
          <w:rFonts w:hint="eastAsia" w:asciiTheme="minorEastAsia" w:hAnsiTheme="minorEastAsia" w:eastAsiaTheme="minorEastAsia"/>
          <w:b/>
          <w:bCs/>
        </w:rPr>
        <w:t>二、绩效评价工作开展情况</w:t>
      </w:r>
    </w:p>
    <w:p>
      <w:pPr>
        <w:pStyle w:val="13"/>
        <w:keepNext w:val="0"/>
        <w:keepLines w:val="0"/>
        <w:pageBreakBefore w:val="0"/>
        <w:kinsoku/>
        <w:wordWrap/>
        <w:overflowPunct/>
        <w:topLinePunct w:val="0"/>
        <w:bidi w:val="0"/>
        <w:spacing w:before="85" w:line="580" w:lineRule="exact"/>
        <w:textAlignment w:val="auto"/>
        <w:rPr>
          <w:rFonts w:asciiTheme="minorEastAsia" w:hAnsiTheme="minorEastAsia" w:eastAsiaTheme="minorEastAsia"/>
          <w:b w:val="0"/>
        </w:rPr>
      </w:pPr>
      <w:bookmarkStart w:id="2" w:name="（一）绩效评价目的、对象和范围。"/>
      <w:bookmarkEnd w:id="2"/>
      <w:r>
        <w:rPr>
          <w:rFonts w:asciiTheme="minorEastAsia" w:hAnsiTheme="minorEastAsia" w:eastAsiaTheme="minorEastAsia"/>
          <w:b w:val="0"/>
        </w:rPr>
        <w:t>（一）绩效评价目的、对象和范围。</w:t>
      </w:r>
    </w:p>
    <w:p>
      <w:pPr>
        <w:pStyle w:val="13"/>
        <w:keepNext w:val="0"/>
        <w:keepLines w:val="0"/>
        <w:pageBreakBefore w:val="0"/>
        <w:tabs>
          <w:tab w:val="left" w:pos="10560"/>
          <w:tab w:val="left" w:pos="10780"/>
        </w:tabs>
        <w:kinsoku/>
        <w:wordWrap/>
        <w:overflowPunct/>
        <w:topLinePunct w:val="0"/>
        <w:bidi w:val="0"/>
        <w:spacing w:before="85" w:line="580" w:lineRule="exact"/>
        <w:ind w:left="660" w:leftChars="0" w:right="1089" w:rightChars="495" w:firstLine="640" w:firstLineChars="200"/>
        <w:textAlignment w:val="auto"/>
        <w:rPr>
          <w:rFonts w:hint="eastAsia" w:asciiTheme="minorEastAsia" w:hAnsiTheme="minorEastAsia" w:eastAsiaTheme="minorEastAsia" w:cstheme="minorBidi"/>
          <w:b w:val="0"/>
          <w:bCs w:val="0"/>
          <w:sz w:val="32"/>
          <w:szCs w:val="22"/>
          <w:lang w:val="en-US" w:eastAsia="zh-CN" w:bidi="ar-SA"/>
        </w:rPr>
      </w:pPr>
      <w:r>
        <w:rPr>
          <w:rFonts w:hint="eastAsia" w:asciiTheme="minorEastAsia" w:hAnsiTheme="minorEastAsia" w:eastAsiaTheme="minorEastAsia" w:cstheme="minorBidi"/>
          <w:b w:val="0"/>
          <w:bCs w:val="0"/>
          <w:sz w:val="32"/>
          <w:szCs w:val="22"/>
          <w:lang w:val="en-US" w:eastAsia="zh-CN" w:bidi="ar-SA"/>
        </w:rPr>
        <w:t>党的二十大期间青云谱区无群众赴京上访，无群众到省市大规模集体上访，以青云谱稳定支持了南昌稳定、江西稳定、北京稳定。</w:t>
      </w:r>
    </w:p>
    <w:p>
      <w:pPr>
        <w:keepNext w:val="0"/>
        <w:keepLines w:val="0"/>
        <w:pageBreakBefore w:val="0"/>
        <w:numPr>
          <w:ilvl w:val="0"/>
          <w:numId w:val="0"/>
        </w:numPr>
        <w:tabs>
          <w:tab w:val="left" w:pos="9900"/>
        </w:tabs>
        <w:kinsoku/>
        <w:wordWrap/>
        <w:overflowPunct/>
        <w:topLinePunct w:val="0"/>
        <w:bidi w:val="0"/>
        <w:spacing w:before="11" w:line="580" w:lineRule="exact"/>
        <w:ind w:left="660" w:leftChars="300" w:right="1090" w:rightChars="0" w:firstLine="960" w:firstLineChars="300"/>
        <w:textAlignment w:val="auto"/>
        <w:rPr>
          <w:rFonts w:hint="eastAsia" w:asciiTheme="minorEastAsia" w:hAnsiTheme="minorEastAsia" w:eastAsiaTheme="minorEastAsia"/>
          <w:sz w:val="32"/>
        </w:rPr>
      </w:pPr>
      <w:bookmarkStart w:id="3" w:name="（二）绩效评价原则、评价指标体系（附表说明）、评价方法、评价标准等。"/>
      <w:bookmarkEnd w:id="3"/>
      <w:r>
        <w:rPr>
          <w:rFonts w:hint="eastAsia" w:asciiTheme="minorEastAsia" w:hAnsiTheme="minorEastAsia" w:eastAsiaTheme="minorEastAsia"/>
          <w:sz w:val="32"/>
          <w:lang w:eastAsia="zh-CN"/>
        </w:rPr>
        <w:t>（</w:t>
      </w:r>
      <w:r>
        <w:rPr>
          <w:rFonts w:hint="eastAsia" w:asciiTheme="minorEastAsia" w:hAnsiTheme="minorEastAsia" w:eastAsiaTheme="minorEastAsia"/>
          <w:sz w:val="32"/>
          <w:lang w:val="en-US" w:eastAsia="zh-CN"/>
        </w:rPr>
        <w:t>二）</w:t>
      </w:r>
      <w:r>
        <w:rPr>
          <w:rFonts w:hint="eastAsia" w:asciiTheme="minorEastAsia" w:hAnsiTheme="minorEastAsia" w:eastAsiaTheme="minorEastAsia"/>
          <w:sz w:val="32"/>
        </w:rPr>
        <w:t>绩效评价原则、评价指标体系（附表说明）、评价方法、评价标准等。</w:t>
      </w:r>
    </w:p>
    <w:p>
      <w:pPr>
        <w:keepNext w:val="0"/>
        <w:keepLines w:val="0"/>
        <w:pageBreakBefore w:val="0"/>
        <w:numPr>
          <w:ilvl w:val="0"/>
          <w:numId w:val="0"/>
        </w:numPr>
        <w:kinsoku/>
        <w:wordWrap/>
        <w:overflowPunct/>
        <w:topLinePunct w:val="0"/>
        <w:bidi w:val="0"/>
        <w:spacing w:after="0" w:line="580" w:lineRule="exact"/>
        <w:ind w:left="880" w:leftChars="400" w:right="1089" w:rightChars="495"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绩效评价原则:科学规范原则，公正公开原则，分级分类原则，绩效相关原则。</w:t>
      </w:r>
    </w:p>
    <w:p>
      <w:pPr>
        <w:keepNext w:val="0"/>
        <w:keepLines w:val="0"/>
        <w:pageBreakBefore w:val="0"/>
        <w:numPr>
          <w:ilvl w:val="0"/>
          <w:numId w:val="0"/>
        </w:numPr>
        <w:tabs>
          <w:tab w:val="left" w:pos="9900"/>
          <w:tab w:val="left" w:pos="10120"/>
        </w:tabs>
        <w:kinsoku/>
        <w:wordWrap/>
        <w:overflowPunct/>
        <w:topLinePunct w:val="0"/>
        <w:bidi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评价指标体系：根据财政部《预算绩效评价共性指标体系框架》等文件精神及本项目的具体特点，设置了合理可行的评价体系，包括投入指标（项目立项、资金落实）、过程指标（业务管理、财务管理）、产出数量与质量指标、社会效益与可持续影响指标等。</w:t>
      </w:r>
    </w:p>
    <w:p>
      <w:pPr>
        <w:keepNext w:val="0"/>
        <w:keepLines w:val="0"/>
        <w:pageBreakBefore w:val="0"/>
        <w:numPr>
          <w:ilvl w:val="0"/>
          <w:numId w:val="0"/>
        </w:numPr>
        <w:kinsoku/>
        <w:wordWrap/>
        <w:overflowPunct/>
        <w:topLinePunct w:val="0"/>
        <w:bidi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评价方法：本项目绩效评价主要采用数据对比，同时辅以抽样调查、座谈研讨、专家评估等方式。</w:t>
      </w:r>
    </w:p>
    <w:p>
      <w:pPr>
        <w:keepNext w:val="0"/>
        <w:keepLines w:val="0"/>
        <w:pageBreakBefore w:val="0"/>
        <w:numPr>
          <w:ilvl w:val="0"/>
          <w:numId w:val="0"/>
        </w:numPr>
        <w:kinsoku/>
        <w:wordWrap/>
        <w:overflowPunct/>
        <w:topLinePunct w:val="0"/>
        <w:bidi w:val="0"/>
        <w:spacing w:after="0" w:line="580" w:lineRule="exact"/>
        <w:ind w:left="880" w:leftChars="400" w:right="869" w:rightChars="395" w:firstLine="0" w:firstLineChars="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评价标准：绩效评价标准通常包括计划标准、行业标准、历史标准等，用于对绩效指标完成情况进行比较。</w:t>
      </w:r>
    </w:p>
    <w:p>
      <w:pPr>
        <w:keepNext w:val="0"/>
        <w:keepLines w:val="0"/>
        <w:pageBreakBefore w:val="0"/>
        <w:numPr>
          <w:ilvl w:val="0"/>
          <w:numId w:val="0"/>
        </w:numPr>
        <w:kinsoku/>
        <w:wordWrap/>
        <w:overflowPunct/>
        <w:topLinePunct w:val="0"/>
        <w:bidi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1.计划标准。指以预先制定的目标、计划、预算、定额等作为评价标准。</w:t>
      </w:r>
    </w:p>
    <w:p>
      <w:pPr>
        <w:keepNext w:val="0"/>
        <w:keepLines w:val="0"/>
        <w:pageBreakBefore w:val="0"/>
        <w:numPr>
          <w:ilvl w:val="0"/>
          <w:numId w:val="0"/>
        </w:numPr>
        <w:kinsoku/>
        <w:wordWrap/>
        <w:overflowPunct/>
        <w:topLinePunct w:val="0"/>
        <w:bidi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2.行业标准。指参照国家公布的行业指标数据制定的评价标准。</w:t>
      </w:r>
    </w:p>
    <w:p>
      <w:pPr>
        <w:keepNext w:val="0"/>
        <w:keepLines w:val="0"/>
        <w:pageBreakBefore w:val="0"/>
        <w:numPr>
          <w:ilvl w:val="0"/>
          <w:numId w:val="0"/>
        </w:numPr>
        <w:kinsoku/>
        <w:wordWrap/>
        <w:overflowPunct/>
        <w:topLinePunct w:val="0"/>
        <w:bidi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3.历史标准。指参照历史数据制定的评价标准，为体现绩效改进的原则，在可实现的条件下应当确定相对较高的评价标准。</w:t>
      </w:r>
    </w:p>
    <w:p>
      <w:pPr>
        <w:keepNext w:val="0"/>
        <w:keepLines w:val="0"/>
        <w:pageBreakBefore w:val="0"/>
        <w:numPr>
          <w:ilvl w:val="0"/>
          <w:numId w:val="0"/>
        </w:numPr>
        <w:kinsoku/>
        <w:wordWrap/>
        <w:overflowPunct/>
        <w:topLinePunct w:val="0"/>
        <w:bidi w:val="0"/>
        <w:spacing w:before="11" w:line="580" w:lineRule="exact"/>
        <w:ind w:leftChars="700" w:right="502" w:rightChars="0"/>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rPr>
        <w:t>4.财政部门和预算部门确认或认可的其他标准。</w:t>
      </w:r>
    </w:p>
    <w:p>
      <w:pPr>
        <w:keepNext w:val="0"/>
        <w:keepLines w:val="0"/>
        <w:pageBreakBefore w:val="0"/>
        <w:kinsoku/>
        <w:wordWrap/>
        <w:overflowPunct/>
        <w:topLinePunct w:val="0"/>
        <w:bidi w:val="0"/>
        <w:spacing w:line="580" w:lineRule="exact"/>
        <w:ind w:firstLine="1280" w:firstLineChars="400"/>
        <w:textAlignment w:val="auto"/>
        <w:rPr>
          <w:rFonts w:hint="eastAsia" w:asciiTheme="minorEastAsia" w:hAnsiTheme="minorEastAsia" w:eastAsiaTheme="minorEastAsia"/>
          <w:sz w:val="32"/>
        </w:rPr>
      </w:pPr>
      <w:r>
        <w:rPr>
          <w:rFonts w:hint="eastAsia" w:asciiTheme="minorEastAsia" w:hAnsiTheme="minorEastAsia" w:eastAsiaTheme="minorEastAsia"/>
          <w:sz w:val="32"/>
        </w:rPr>
        <w:t>（三）绩效评价工作过程。</w:t>
      </w:r>
    </w:p>
    <w:p>
      <w:pPr>
        <w:keepNext w:val="0"/>
        <w:keepLines w:val="0"/>
        <w:pageBreakBefore w:val="0"/>
        <w:kinsoku/>
        <w:wordWrap/>
        <w:overflowPunct/>
        <w:topLinePunct w:val="0"/>
        <w:bidi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年我区</w:t>
      </w:r>
      <w:r>
        <w:rPr>
          <w:rFonts w:hint="eastAsia" w:asciiTheme="minorEastAsia" w:hAnsiTheme="minorEastAsia" w:eastAsiaTheme="minorEastAsia" w:cstheme="minorEastAsia"/>
          <w:sz w:val="32"/>
          <w:szCs w:val="32"/>
          <w:lang w:val="en-US" w:eastAsia="zh-CN"/>
        </w:rPr>
        <w:t>信访维稳</w:t>
      </w:r>
      <w:r>
        <w:rPr>
          <w:rFonts w:hint="eastAsia" w:asciiTheme="minorEastAsia" w:hAnsiTheme="minorEastAsia" w:eastAsiaTheme="minorEastAsia" w:cstheme="minorEastAsia"/>
          <w:sz w:val="32"/>
          <w:szCs w:val="32"/>
        </w:rPr>
        <w:t>专项资金绩效评价工作是推进预算绩效管理的重要组成部分，</w:t>
      </w:r>
      <w:r>
        <w:rPr>
          <w:rFonts w:hint="eastAsia" w:asciiTheme="minorEastAsia" w:hAnsiTheme="minorEastAsia" w:eastAsiaTheme="minorEastAsia" w:cstheme="minorEastAsia"/>
          <w:sz w:val="32"/>
          <w:szCs w:val="32"/>
          <w:lang w:val="en-US" w:eastAsia="zh-CN"/>
        </w:rPr>
        <w:t>区信访局</w:t>
      </w:r>
      <w:r>
        <w:rPr>
          <w:rFonts w:hint="eastAsia" w:asciiTheme="minorEastAsia" w:hAnsiTheme="minorEastAsia" w:eastAsiaTheme="minorEastAsia" w:cstheme="minorEastAsia"/>
          <w:sz w:val="32"/>
          <w:szCs w:val="32"/>
        </w:rPr>
        <w:t>对此高度重视，制定了相关工作实施方案。制定了</w:t>
      </w:r>
      <w:r>
        <w:rPr>
          <w:rFonts w:hint="eastAsia" w:asciiTheme="minorEastAsia" w:hAnsiTheme="minorEastAsia" w:eastAsiaTheme="minorEastAsia" w:cstheme="minorEastAsia"/>
          <w:sz w:val="32"/>
          <w:szCs w:val="32"/>
          <w:lang w:val="en-US" w:eastAsia="zh-CN"/>
        </w:rPr>
        <w:t>中共南昌市青云谱区委信访局</w:t>
      </w:r>
      <w:r>
        <w:rPr>
          <w:rFonts w:hint="eastAsia" w:asciiTheme="minorEastAsia" w:hAnsiTheme="minorEastAsia" w:eastAsiaTheme="minorEastAsia" w:cstheme="minorEastAsia"/>
          <w:sz w:val="32"/>
          <w:szCs w:val="32"/>
        </w:rPr>
        <w:t>项目绩效评价资金管理办法，</w:t>
      </w:r>
      <w:r>
        <w:rPr>
          <w:rFonts w:hint="eastAsia" w:asciiTheme="minorEastAsia" w:hAnsiTheme="minorEastAsia" w:eastAsiaTheme="minorEastAsia" w:cstheme="minorEastAsia"/>
          <w:sz w:val="32"/>
          <w:szCs w:val="32"/>
          <w:lang w:val="en-US" w:eastAsia="zh-CN"/>
        </w:rPr>
        <w:t>在规定时间内</w:t>
      </w:r>
      <w:r>
        <w:rPr>
          <w:rFonts w:hint="eastAsia" w:asciiTheme="minorEastAsia" w:hAnsiTheme="minorEastAsia" w:eastAsiaTheme="minorEastAsia" w:cstheme="minorEastAsia"/>
          <w:sz w:val="32"/>
          <w:szCs w:val="32"/>
        </w:rPr>
        <w:t>完成数据填报、收集和汇总工作。根据前期开展的基础工作，我会通过询问查证、问卷调查等方式，对项目绩效进行了自评价。</w:t>
      </w:r>
    </w:p>
    <w:p>
      <w:pPr>
        <w:keepNext w:val="0"/>
        <w:keepLines w:val="0"/>
        <w:pageBreakBefore w:val="0"/>
        <w:numPr>
          <w:ilvl w:val="0"/>
          <w:numId w:val="0"/>
        </w:numPr>
        <w:kinsoku/>
        <w:wordWrap/>
        <w:overflowPunct/>
        <w:topLinePunct w:val="0"/>
        <w:bidi w:val="0"/>
        <w:spacing w:before="12" w:line="580" w:lineRule="exact"/>
        <w:ind w:right="2660" w:rightChars="0" w:firstLine="671" w:firstLineChars="200"/>
        <w:textAlignment w:val="auto"/>
        <w:rPr>
          <w:rFonts w:hint="eastAsia" w:asciiTheme="minorEastAsia" w:hAnsiTheme="minorEastAsia" w:eastAsiaTheme="minorEastAsia"/>
          <w:sz w:val="32"/>
        </w:rPr>
      </w:pPr>
      <w:r>
        <w:rPr>
          <w:rFonts w:hint="eastAsia" w:asciiTheme="minorEastAsia" w:hAnsiTheme="minorEastAsia" w:eastAsiaTheme="minorEastAsia"/>
          <w:b/>
          <w:bCs/>
          <w:spacing w:val="7"/>
          <w:sz w:val="32"/>
          <w:lang w:val="en-US" w:eastAsia="zh-CN"/>
        </w:rPr>
        <w:t>三、</w:t>
      </w:r>
      <w:r>
        <w:rPr>
          <w:rFonts w:hint="eastAsia" w:asciiTheme="minorEastAsia" w:hAnsiTheme="minorEastAsia" w:eastAsiaTheme="minorEastAsia"/>
          <w:b/>
          <w:bCs/>
          <w:spacing w:val="7"/>
          <w:sz w:val="32"/>
        </w:rPr>
        <w:t>综合评价情况及评价结论</w:t>
      </w:r>
      <w:r>
        <w:rPr>
          <w:rFonts w:hint="eastAsia" w:asciiTheme="minorEastAsia" w:hAnsiTheme="minorEastAsia" w:eastAsiaTheme="minorEastAsia"/>
          <w:b/>
          <w:bCs/>
          <w:sz w:val="32"/>
        </w:rPr>
        <w:t>（附相关评分表）</w:t>
      </w:r>
      <w:r>
        <w:rPr>
          <w:rFonts w:hint="eastAsia" w:asciiTheme="minorEastAsia" w:hAnsiTheme="minorEastAsia" w:eastAsiaTheme="minorEastAsia"/>
          <w:sz w:val="32"/>
        </w:rPr>
        <w:t xml:space="preserve"> </w:t>
      </w:r>
    </w:p>
    <w:p>
      <w:pPr>
        <w:keepNext w:val="0"/>
        <w:keepLines w:val="0"/>
        <w:pageBreakBefore w:val="0"/>
        <w:numPr>
          <w:ilvl w:val="0"/>
          <w:numId w:val="0"/>
        </w:numPr>
        <w:kinsoku/>
        <w:wordWrap/>
        <w:overflowPunct/>
        <w:topLinePunct w:val="0"/>
        <w:bidi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绩效评价情况：经过严格细致的自评工作，该项目的自评分为86.82分。绩效评级为“良”。</w:t>
      </w:r>
    </w:p>
    <w:p>
      <w:pPr>
        <w:keepNext w:val="0"/>
        <w:keepLines w:val="0"/>
        <w:pageBreakBefore w:val="0"/>
        <w:numPr>
          <w:ilvl w:val="0"/>
          <w:numId w:val="0"/>
        </w:numPr>
        <w:kinsoku/>
        <w:wordWrap/>
        <w:overflowPunct/>
        <w:topLinePunct w:val="0"/>
        <w:bidi w:val="0"/>
        <w:spacing w:after="0" w:line="580" w:lineRule="exact"/>
        <w:ind w:left="880" w:leftChars="400" w:right="1089" w:rightChars="495"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信访维稳专项资金项目加强了领导，经过了精心安排、精心组织实施，圆满完成了项目设定的年度目标任务。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keepNext w:val="0"/>
        <w:keepLines w:val="0"/>
        <w:pageBreakBefore w:val="0"/>
        <w:numPr>
          <w:ilvl w:val="0"/>
          <w:numId w:val="0"/>
        </w:numPr>
        <w:kinsoku/>
        <w:wordWrap/>
        <w:overflowPunct/>
        <w:topLinePunct w:val="0"/>
        <w:bidi w:val="0"/>
        <w:spacing w:before="12" w:line="580" w:lineRule="exact"/>
        <w:ind w:right="2660" w:rightChars="0" w:firstLine="643" w:firstLineChars="200"/>
        <w:textAlignment w:val="auto"/>
        <w:rPr>
          <w:rFonts w:asciiTheme="minorEastAsia" w:hAnsiTheme="minorEastAsia" w:eastAsiaTheme="minorEastAsia"/>
          <w:b/>
          <w:bCs/>
          <w:sz w:val="32"/>
        </w:rPr>
      </w:pPr>
      <w:r>
        <w:rPr>
          <w:rFonts w:hint="eastAsia" w:asciiTheme="minorEastAsia" w:hAnsiTheme="minorEastAsia" w:eastAsiaTheme="minorEastAsia"/>
          <w:b/>
          <w:bCs/>
          <w:sz w:val="32"/>
        </w:rPr>
        <w:t>四、绩效评价指标分析</w:t>
      </w:r>
    </w:p>
    <w:p>
      <w:pPr>
        <w:pStyle w:val="13"/>
        <w:keepNext w:val="0"/>
        <w:keepLines w:val="0"/>
        <w:pageBreakBefore w:val="0"/>
        <w:kinsoku/>
        <w:wordWrap/>
        <w:overflowPunct/>
        <w:topLinePunct w:val="0"/>
        <w:bidi w:val="0"/>
        <w:spacing w:before="2" w:line="580" w:lineRule="exact"/>
        <w:textAlignment w:val="auto"/>
        <w:rPr>
          <w:rFonts w:asciiTheme="minorEastAsia" w:hAnsiTheme="minorEastAsia" w:eastAsiaTheme="minorEastAsia"/>
          <w:b w:val="0"/>
        </w:rPr>
      </w:pPr>
      <w:bookmarkStart w:id="4" w:name="（一）项目决策情况。"/>
      <w:bookmarkEnd w:id="4"/>
      <w:r>
        <w:rPr>
          <w:rFonts w:asciiTheme="minorEastAsia" w:hAnsiTheme="minorEastAsia" w:eastAsiaTheme="minorEastAsia"/>
          <w:b w:val="0"/>
        </w:rPr>
        <w:t>（一）项目决策情况。</w:t>
      </w:r>
    </w:p>
    <w:p>
      <w:pPr>
        <w:pStyle w:val="13"/>
        <w:keepNext w:val="0"/>
        <w:keepLines w:val="0"/>
        <w:pageBreakBefore w:val="0"/>
        <w:kinsoku/>
        <w:wordWrap/>
        <w:overflowPunct/>
        <w:topLinePunct w:val="0"/>
        <w:bidi w:val="0"/>
        <w:spacing w:before="2" w:line="580" w:lineRule="exact"/>
        <w:textAlignment w:val="auto"/>
        <w:rPr>
          <w:rFonts w:hint="eastAsia" w:asciiTheme="minorEastAsia" w:hAnsiTheme="minorEastAsia" w:eastAsiaTheme="minorEastAsia"/>
          <w:b w:val="0"/>
          <w:lang w:val="en-US" w:eastAsia="zh-CN"/>
        </w:rPr>
      </w:pPr>
      <w:r>
        <w:rPr>
          <w:rFonts w:hint="eastAsia" w:asciiTheme="minorEastAsia" w:hAnsiTheme="minorEastAsia" w:eastAsiaTheme="minorEastAsia"/>
          <w:b w:val="0"/>
          <w:lang w:val="en-US" w:eastAsia="zh-CN"/>
        </w:rPr>
        <w:t>1.立项依据</w:t>
      </w:r>
    </w:p>
    <w:p>
      <w:pPr>
        <w:pStyle w:val="13"/>
        <w:keepNext w:val="0"/>
        <w:keepLines w:val="0"/>
        <w:pageBreakBefore w:val="0"/>
        <w:kinsoku/>
        <w:wordWrap/>
        <w:overflowPunct/>
        <w:topLinePunct w:val="0"/>
        <w:bidi w:val="0"/>
        <w:spacing w:before="2" w:line="580" w:lineRule="exac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项目依据《预算绩效目标申报表》立项依据较充分。</w:t>
      </w:r>
    </w:p>
    <w:p>
      <w:pPr>
        <w:pStyle w:val="13"/>
        <w:keepNext w:val="0"/>
        <w:keepLines w:val="0"/>
        <w:pageBreakBefore w:val="0"/>
        <w:numPr>
          <w:ilvl w:val="0"/>
          <w:numId w:val="0"/>
        </w:numPr>
        <w:kinsoku/>
        <w:wordWrap/>
        <w:overflowPunct/>
        <w:topLinePunct w:val="0"/>
        <w:bidi w:val="0"/>
        <w:spacing w:before="2" w:line="580" w:lineRule="exact"/>
        <w:ind w:firstLine="1600" w:firstLineChars="500"/>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2.绩效目标</w:t>
      </w:r>
    </w:p>
    <w:p>
      <w:pPr>
        <w:pStyle w:val="13"/>
        <w:keepNext w:val="0"/>
        <w:keepLines w:val="0"/>
        <w:pageBreakBefore w:val="0"/>
        <w:numPr>
          <w:ilvl w:val="0"/>
          <w:numId w:val="0"/>
        </w:numPr>
        <w:tabs>
          <w:tab w:val="left" w:pos="440"/>
          <w:tab w:val="left" w:pos="660"/>
        </w:tabs>
        <w:kinsoku/>
        <w:wordWrap/>
        <w:overflowPunct/>
        <w:topLinePunct w:val="0"/>
        <w:bidi w:val="0"/>
        <w:spacing w:before="2" w:line="580" w:lineRule="exact"/>
        <w:ind w:left="860" w:leftChars="100" w:right="869" w:rightChars="395" w:hanging="640" w:hangingChars="200"/>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持续深化治理重复信访和化解信访积案专项工作，创新问题化解和稳定方法，特别是对信访老户问题穷尽办法，着力化解一批“骨头案”“钉子案”。</w:t>
      </w:r>
    </w:p>
    <w:p>
      <w:pPr>
        <w:pStyle w:val="13"/>
        <w:keepNext w:val="0"/>
        <w:keepLines w:val="0"/>
        <w:pageBreakBefore w:val="0"/>
        <w:numPr>
          <w:ilvl w:val="0"/>
          <w:numId w:val="0"/>
        </w:numPr>
        <w:tabs>
          <w:tab w:val="left" w:pos="440"/>
          <w:tab w:val="left" w:pos="660"/>
        </w:tabs>
        <w:kinsoku/>
        <w:wordWrap/>
        <w:overflowPunct/>
        <w:topLinePunct w:val="0"/>
        <w:bidi w:val="0"/>
        <w:spacing w:before="2" w:line="580" w:lineRule="exact"/>
        <w:ind w:left="1476" w:leftChars="0" w:right="649" w:rightChars="295"/>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3.资金投入</w:t>
      </w:r>
    </w:p>
    <w:p>
      <w:pPr>
        <w:keepNext w:val="0"/>
        <w:keepLines w:val="0"/>
        <w:pageBreakBefore w:val="0"/>
        <w:kinsoku/>
        <w:wordWrap/>
        <w:overflowPunct/>
        <w:topLinePunct w:val="0"/>
        <w:bidi w:val="0"/>
        <w:adjustRightInd w:val="0"/>
        <w:snapToGrid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202</w:t>
      </w:r>
      <w:r>
        <w:rPr>
          <w:rFonts w:hint="eastAsia" w:asciiTheme="minorEastAsia" w:hAnsiTheme="minorEastAsia" w:eastAsiaTheme="minorEastAsia" w:cstheme="minorEastAsia"/>
          <w:b w:val="0"/>
          <w:bCs/>
          <w:color w:val="000000" w:themeColor="text1"/>
          <w:sz w:val="32"/>
          <w:szCs w:val="32"/>
          <w:u w:val="none" w:color="000000"/>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年</w:t>
      </w:r>
      <w:r>
        <w:rPr>
          <w:rFonts w:hint="eastAsia" w:asciiTheme="minorEastAsia" w:hAnsiTheme="minorEastAsia" w:eastAsiaTheme="minorEastAsia" w:cstheme="minorEastAsia"/>
          <w:b w:val="0"/>
          <w:bCs/>
          <w:color w:val="000000" w:themeColor="text1"/>
          <w:sz w:val="32"/>
          <w:szCs w:val="32"/>
          <w:u w:val="none" w:color="000000"/>
          <w:lang w:val="en-US" w:eastAsia="zh-CN"/>
          <w14:textFill>
            <w14:solidFill>
              <w14:schemeClr w14:val="tx1"/>
            </w14:solidFill>
          </w14:textFill>
        </w:rPr>
        <w:t>信访维稳专项资金</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预算安排300万元，执行数</w:t>
      </w:r>
      <w:r>
        <w:rPr>
          <w:rFonts w:hint="eastAsia" w:asciiTheme="minorEastAsia" w:hAnsiTheme="minorEastAsia" w:eastAsiaTheme="minorEastAsia" w:cstheme="minorEastAsia"/>
          <w:b w:val="0"/>
          <w:bCs/>
          <w:color w:val="000000" w:themeColor="text1"/>
          <w:sz w:val="32"/>
          <w:szCs w:val="32"/>
          <w:u w:val="none" w:color="000000"/>
          <w:lang w:val="en-US" w:eastAsia="zh-CN"/>
          <w14:textFill>
            <w14:solidFill>
              <w14:schemeClr w14:val="tx1"/>
            </w14:solidFill>
          </w14:textFill>
        </w:rPr>
        <w:t>135.81</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万元。</w:t>
      </w:r>
    </w:p>
    <w:p>
      <w:pPr>
        <w:keepNext w:val="0"/>
        <w:keepLines w:val="0"/>
        <w:pageBreakBefore w:val="0"/>
        <w:numPr>
          <w:ilvl w:val="0"/>
          <w:numId w:val="1"/>
        </w:numPr>
        <w:kinsoku/>
        <w:wordWrap/>
        <w:overflowPunct/>
        <w:topLinePunct w:val="0"/>
        <w:bidi w:val="0"/>
        <w:spacing w:before="11" w:line="580" w:lineRule="exact"/>
        <w:ind w:left="0" w:leftChars="0" w:firstLine="1280" w:firstLineChars="400"/>
        <w:textAlignment w:val="auto"/>
        <w:rPr>
          <w:rFonts w:hint="eastAsia" w:asciiTheme="minorEastAsia" w:hAnsiTheme="minorEastAsia" w:eastAsiaTheme="minorEastAsia"/>
          <w:sz w:val="32"/>
        </w:rPr>
      </w:pPr>
      <w:bookmarkStart w:id="5" w:name="（二）项目过程情况。"/>
      <w:bookmarkEnd w:id="5"/>
      <w:r>
        <w:rPr>
          <w:rFonts w:hint="eastAsia" w:asciiTheme="minorEastAsia" w:hAnsiTheme="minorEastAsia" w:eastAsiaTheme="minorEastAsia"/>
          <w:sz w:val="32"/>
        </w:rPr>
        <w:t>项目过程情况。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sz w:val="32"/>
          <w:lang w:val="en-US" w:eastAsia="zh-CN"/>
        </w:rPr>
        <w:t>1.业务管理指标</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①管理制度健全性：考查是否建立了保证项目顺利实施的工作方案和办法等相关制度。召开了党组会议对下拨的项目资金管理分配、监管进行了专题研究。</w:t>
      </w:r>
    </w:p>
    <w:p>
      <w:pPr>
        <w:keepNext w:val="0"/>
        <w:keepLines w:val="0"/>
        <w:pageBreakBefore w:val="0"/>
        <w:numPr>
          <w:ilvl w:val="0"/>
          <w:numId w:val="0"/>
        </w:numPr>
        <w:kinsoku/>
        <w:wordWrap/>
        <w:overflowPunct/>
        <w:topLinePunct w:val="0"/>
        <w:bidi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②项目质量可控性: 考查项目是否实施监督检查，建立督导方案，并组织实施。开展了2022年度部门财政项目支出绩效运行监控工作，并向财政部门集中报送绩效监控结果。</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2.财务管理指标</w:t>
      </w:r>
    </w:p>
    <w:p>
      <w:pPr>
        <w:keepNext w:val="0"/>
        <w:keepLines w:val="0"/>
        <w:pageBreakBefore w:val="0"/>
        <w:numPr>
          <w:ilvl w:val="0"/>
          <w:numId w:val="0"/>
        </w:numPr>
        <w:kinsoku/>
        <w:wordWrap/>
        <w:overflowPunct/>
        <w:topLinePunct w:val="0"/>
        <w:bidi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 ①财务管理制度健全性:考查是否按规定财务、资产管理制度、内控制度及其执行情况，根据相关通知，对专项资金的管理规范化。按照内部控制要求制定了收支、预算、政府采购、合同、资产等各项管理制度。</w:t>
      </w:r>
    </w:p>
    <w:p>
      <w:pPr>
        <w:keepNext w:val="0"/>
        <w:keepLines w:val="0"/>
        <w:pageBreakBefore w:val="0"/>
        <w:numPr>
          <w:ilvl w:val="0"/>
          <w:numId w:val="0"/>
        </w:numPr>
        <w:kinsoku/>
        <w:wordWrap/>
        <w:overflowPunct/>
        <w:topLinePunct w:val="0"/>
        <w:bidi w:val="0"/>
        <w:spacing w:after="0" w:line="580" w:lineRule="exact"/>
        <w:ind w:left="880" w:leftChars="400" w:right="869" w:rightChars="395"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②财务监控有效性:考查是否采取了相应的财务检査和年度绩效检查等必要的监控措施或手段。按照要求将有关财务资料进行上报，并针对反馈涉及到的问题进行了整改。 </w:t>
      </w:r>
    </w:p>
    <w:p>
      <w:pPr>
        <w:keepNext w:val="0"/>
        <w:keepLines w:val="0"/>
        <w:pageBreakBefore w:val="0"/>
        <w:numPr>
          <w:ilvl w:val="0"/>
          <w:numId w:val="0"/>
        </w:numPr>
        <w:kinsoku/>
        <w:wordWrap/>
        <w:overflowPunct/>
        <w:topLinePunct w:val="0"/>
        <w:bidi w:val="0"/>
        <w:spacing w:before="12" w:line="580" w:lineRule="exact"/>
        <w:ind w:firstLine="1280" w:firstLineChars="400"/>
        <w:textAlignment w:val="auto"/>
        <w:rPr>
          <w:rFonts w:hint="eastAsia" w:asciiTheme="minorEastAsia" w:hAnsiTheme="minorEastAsia" w:eastAsiaTheme="minorEastAsia"/>
          <w:sz w:val="32"/>
        </w:rPr>
      </w:pPr>
      <w:bookmarkStart w:id="6" w:name="（三）项目产出情况。"/>
      <w:bookmarkEnd w:id="6"/>
      <w:r>
        <w:rPr>
          <w:rFonts w:hint="eastAsia" w:asciiTheme="minorEastAsia" w:hAnsiTheme="minorEastAsia" w:eastAsiaTheme="minorEastAsia"/>
          <w:sz w:val="32"/>
        </w:rPr>
        <w:t>（三</w:t>
      </w:r>
      <w:r>
        <w:rPr>
          <w:rFonts w:hint="eastAsia" w:asciiTheme="minorEastAsia" w:hAnsiTheme="minorEastAsia" w:eastAsiaTheme="minorEastAsia"/>
          <w:sz w:val="32"/>
          <w:lang w:val="en-US" w:eastAsia="zh-CN"/>
        </w:rPr>
        <w:t>）</w:t>
      </w:r>
      <w:r>
        <w:rPr>
          <w:rFonts w:hint="eastAsia" w:asciiTheme="minorEastAsia" w:hAnsiTheme="minorEastAsia" w:eastAsiaTheme="minorEastAsia"/>
          <w:sz w:val="32"/>
        </w:rPr>
        <w:t>项目产出情况。</w:t>
      </w:r>
    </w:p>
    <w:p>
      <w:pPr>
        <w:keepNext w:val="0"/>
        <w:keepLines w:val="0"/>
        <w:pageBreakBefore w:val="0"/>
        <w:numPr>
          <w:ilvl w:val="0"/>
          <w:numId w:val="0"/>
        </w:numPr>
        <w:tabs>
          <w:tab w:val="left" w:pos="10120"/>
        </w:tabs>
        <w:kinsoku/>
        <w:wordWrap/>
        <w:overflowPunct/>
        <w:topLinePunct w:val="0"/>
        <w:bidi w:val="0"/>
        <w:spacing w:before="12" w:line="580" w:lineRule="exact"/>
        <w:ind w:leftChars="405" w:right="869" w:rightChars="395" w:firstLine="640" w:firstLineChars="200"/>
        <w:textAlignment w:val="auto"/>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1.产出数量指标：信访维稳救助人次为8人次，化解特殊疑难信访问题个数8个。</w:t>
      </w:r>
    </w:p>
    <w:p>
      <w:pPr>
        <w:keepNext w:val="0"/>
        <w:keepLines w:val="0"/>
        <w:pageBreakBefore w:val="0"/>
        <w:numPr>
          <w:ilvl w:val="0"/>
          <w:numId w:val="0"/>
        </w:numPr>
        <w:kinsoku/>
        <w:wordWrap/>
        <w:overflowPunct/>
        <w:topLinePunct w:val="0"/>
        <w:bidi w:val="0"/>
        <w:spacing w:before="12" w:line="580" w:lineRule="exact"/>
        <w:ind w:left="880" w:leftChars="0" w:right="869" w:rightChars="395" w:firstLine="640" w:firstLineChars="200"/>
        <w:textAlignment w:val="auto"/>
        <w:rPr>
          <w:rFonts w:hint="default"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2.产出质量指标：信访对象救助金发放标准符合率达95%，重复信访比例下降率达8%，重大群体性事件发生率为0%。</w:t>
      </w:r>
    </w:p>
    <w:p>
      <w:pPr>
        <w:keepNext w:val="0"/>
        <w:keepLines w:val="0"/>
        <w:pageBreakBefore w:val="0"/>
        <w:numPr>
          <w:ilvl w:val="0"/>
          <w:numId w:val="0"/>
        </w:numPr>
        <w:kinsoku/>
        <w:wordWrap/>
        <w:overflowPunct/>
        <w:topLinePunct w:val="0"/>
        <w:bidi w:val="0"/>
        <w:spacing w:before="12" w:line="580" w:lineRule="exact"/>
        <w:ind w:left="1520" w:leftChars="0"/>
        <w:textAlignment w:val="auto"/>
        <w:rPr>
          <w:rFonts w:hint="default"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3.产出时效指标：信访维稳专项资金到位及时率达95%。</w:t>
      </w:r>
    </w:p>
    <w:p>
      <w:pPr>
        <w:keepNext w:val="0"/>
        <w:keepLines w:val="0"/>
        <w:pageBreakBefore w:val="0"/>
        <w:numPr>
          <w:ilvl w:val="0"/>
          <w:numId w:val="0"/>
        </w:numPr>
        <w:kinsoku/>
        <w:wordWrap/>
        <w:overflowPunct/>
        <w:topLinePunct w:val="0"/>
        <w:bidi w:val="0"/>
        <w:spacing w:before="12" w:line="580" w:lineRule="exact"/>
        <w:ind w:left="1520" w:leftChars="0"/>
        <w:textAlignment w:val="auto"/>
        <w:rPr>
          <w:rFonts w:hint="default"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4.产出成本指标：资金支出率达100%。</w:t>
      </w:r>
    </w:p>
    <w:p>
      <w:pPr>
        <w:spacing w:before="11"/>
        <w:ind w:left="1476"/>
        <w:rPr>
          <w:rFonts w:hint="eastAsia" w:asciiTheme="minorEastAsia" w:hAnsiTheme="minorEastAsia" w:eastAsiaTheme="minorEastAsia"/>
          <w:sz w:val="32"/>
        </w:rPr>
      </w:pPr>
      <w:r>
        <w:rPr>
          <w:rFonts w:hint="eastAsia" w:asciiTheme="minorEastAsia" w:hAnsiTheme="minorEastAsia" w:eastAsiaTheme="minorEastAsia"/>
          <w:sz w:val="32"/>
        </w:rPr>
        <w:t>（</w:t>
      </w:r>
      <w:r>
        <w:rPr>
          <w:rFonts w:hint="eastAsia" w:asciiTheme="minorEastAsia" w:hAnsiTheme="minorEastAsia" w:eastAsiaTheme="minorEastAsia"/>
          <w:sz w:val="32"/>
          <w:lang w:val="en-US" w:eastAsia="zh-CN"/>
        </w:rPr>
        <w:t>四</w:t>
      </w:r>
      <w:r>
        <w:rPr>
          <w:rFonts w:hint="eastAsia" w:asciiTheme="minorEastAsia" w:hAnsiTheme="minorEastAsia" w:eastAsiaTheme="minorEastAsia"/>
          <w:sz w:val="32"/>
        </w:rPr>
        <w:t>）项目效益情况。</w:t>
      </w:r>
    </w:p>
    <w:p>
      <w:pPr>
        <w:spacing w:before="11"/>
        <w:ind w:left="1476"/>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1.经济效益：成本控制率达100%。</w:t>
      </w:r>
    </w:p>
    <w:p>
      <w:pPr>
        <w:tabs>
          <w:tab w:val="left" w:pos="9900"/>
        </w:tabs>
        <w:spacing w:before="11"/>
        <w:ind w:left="880" w:leftChars="0" w:right="649" w:rightChars="295" w:firstLine="640" w:firstLineChars="200"/>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2.社会效益：有效化解特殊疑难信访问题，切实维护群众合法权益和社会和谐稳定达95%。</w:t>
      </w:r>
    </w:p>
    <w:p>
      <w:pPr>
        <w:keepNext w:val="0"/>
        <w:keepLines w:val="0"/>
        <w:pageBreakBefore w:val="0"/>
        <w:tabs>
          <w:tab w:val="left" w:pos="1320"/>
          <w:tab w:val="left" w:pos="10340"/>
        </w:tabs>
        <w:kinsoku/>
        <w:wordWrap/>
        <w:overflowPunct/>
        <w:topLinePunct w:val="0"/>
        <w:bidi w:val="0"/>
        <w:spacing w:before="11" w:line="580" w:lineRule="exact"/>
        <w:ind w:left="896" w:leftChars="0" w:right="649" w:rightChars="295" w:firstLine="579" w:firstLineChars="181"/>
        <w:textAlignment w:val="auto"/>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3.生态效益：化解特殊疑难信访问题的同时注重涉及环保方面政策的落实达95%。</w:t>
      </w:r>
    </w:p>
    <w:p>
      <w:pPr>
        <w:keepNext w:val="0"/>
        <w:keepLines w:val="0"/>
        <w:pageBreakBefore w:val="0"/>
        <w:kinsoku/>
        <w:wordWrap/>
        <w:overflowPunct/>
        <w:topLinePunct w:val="0"/>
        <w:bidi w:val="0"/>
        <w:spacing w:before="11" w:line="580" w:lineRule="exact"/>
        <w:ind w:left="994" w:leftChars="452" w:right="649" w:rightChars="295" w:firstLine="480" w:firstLineChars="150"/>
        <w:textAlignment w:val="auto"/>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4.可持续影响：完善相关管理制度，及时处理矛盾纠纷，有效化解特殊疑难信访问题达95%。</w:t>
      </w:r>
    </w:p>
    <w:p>
      <w:pPr>
        <w:keepNext w:val="0"/>
        <w:keepLines w:val="0"/>
        <w:pageBreakBefore w:val="0"/>
        <w:kinsoku/>
        <w:wordWrap/>
        <w:overflowPunct/>
        <w:topLinePunct w:val="0"/>
        <w:bidi w:val="0"/>
        <w:spacing w:before="11" w:line="580" w:lineRule="exact"/>
        <w:ind w:left="1476"/>
        <w:textAlignment w:val="auto"/>
        <w:rPr>
          <w:rFonts w:hint="default"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5.满意度：上级部门满意度达90%，社会公众满意度达90%。</w:t>
      </w:r>
    </w:p>
    <w:p>
      <w:pPr>
        <w:pStyle w:val="2"/>
        <w:keepNext w:val="0"/>
        <w:keepLines w:val="0"/>
        <w:pageBreakBefore w:val="0"/>
        <w:kinsoku/>
        <w:wordWrap/>
        <w:overflowPunct/>
        <w:topLinePunct w:val="0"/>
        <w:bidi w:val="0"/>
        <w:spacing w:before="118" w:line="580" w:lineRule="exact"/>
        <w:ind w:right="3109" w:firstLine="643" w:firstLineChars="200"/>
        <w:textAlignment w:val="auto"/>
        <w:rPr>
          <w:rFonts w:hint="eastAsia" w:asciiTheme="minorEastAsia" w:hAnsiTheme="minorEastAsia" w:eastAsiaTheme="minorEastAsia"/>
          <w:b/>
          <w:bCs/>
        </w:rPr>
      </w:pPr>
      <w:r>
        <w:rPr>
          <w:rFonts w:hint="eastAsia" w:asciiTheme="minorEastAsia" w:hAnsiTheme="minorEastAsia" w:eastAsiaTheme="minorEastAsia"/>
          <w:b/>
          <w:bCs/>
        </w:rPr>
        <w:t>五、主要经验及做法、存在的问题及原因分析</w:t>
      </w:r>
    </w:p>
    <w:p>
      <w:pPr>
        <w:keepNext w:val="0"/>
        <w:keepLines w:val="0"/>
        <w:pageBreakBefore w:val="0"/>
        <w:kinsoku/>
        <w:wordWrap/>
        <w:overflowPunct/>
        <w:topLinePunct w:val="0"/>
        <w:bidi w:val="0"/>
        <w:spacing w:line="580" w:lineRule="exact"/>
        <w:ind w:firstLine="1600" w:firstLineChars="500"/>
        <w:textAlignment w:val="auto"/>
        <w:rPr>
          <w:rFonts w:ascii="楷体_GB2312" w:hAnsi="仿宋_GB2312" w:eastAsia="楷体_GB2312" w:cs="仿宋_GB2312"/>
          <w:b/>
          <w:sz w:val="32"/>
          <w:szCs w:val="32"/>
        </w:rPr>
      </w:pPr>
      <w:r>
        <w:rPr>
          <w:rFonts w:hint="eastAsia" w:cs="宋体" w:asciiTheme="minorEastAsia" w:hAnsiTheme="minorEastAsia" w:eastAsiaTheme="minorEastAsia"/>
          <w:sz w:val="32"/>
          <w:szCs w:val="32"/>
          <w:lang w:val="en-US" w:eastAsia="zh-CN" w:bidi="zh-CN"/>
        </w:rPr>
        <w:t>（1）</w:t>
      </w:r>
      <w:r>
        <w:rPr>
          <w:rFonts w:hint="eastAsia" w:cs="宋体" w:asciiTheme="minorEastAsia" w:hAnsiTheme="minorEastAsia" w:eastAsiaTheme="minorEastAsia"/>
          <w:sz w:val="32"/>
          <w:szCs w:val="32"/>
          <w:lang w:val="zh-CN" w:eastAsia="zh-CN" w:bidi="zh-CN"/>
        </w:rPr>
        <w:t>主要经验及做法</w:t>
      </w:r>
    </w:p>
    <w:p>
      <w:pPr>
        <w:keepNext w:val="0"/>
        <w:keepLines w:val="0"/>
        <w:pageBreakBefore w:val="0"/>
        <w:widowControl/>
        <w:kinsoku/>
        <w:wordWrap/>
        <w:overflowPunct/>
        <w:topLinePunct w:val="0"/>
        <w:autoSpaceDE/>
        <w:autoSpaceDN/>
        <w:bidi w:val="0"/>
        <w:adjustRightInd w:val="0"/>
        <w:snapToGrid w:val="0"/>
        <w:spacing w:before="11" w:line="580" w:lineRule="exact"/>
        <w:ind w:left="880" w:leftChars="0" w:right="1089" w:rightChars="495" w:firstLine="640" w:firstLineChars="200"/>
        <w:textAlignment w:val="auto"/>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1、注重项目预算管理。加强对专项资金项目立项、可行性研究，以保证项目的可行性和科学性。在编报项目预算时要求制定详细的项目推进计划，明确分工，责任到人，以保证专项资金均能够保质保量执行到位。</w:t>
      </w:r>
    </w:p>
    <w:p>
      <w:pPr>
        <w:keepNext w:val="0"/>
        <w:keepLines w:val="0"/>
        <w:pageBreakBefore w:val="0"/>
        <w:widowControl/>
        <w:kinsoku/>
        <w:wordWrap/>
        <w:overflowPunct/>
        <w:topLinePunct w:val="0"/>
        <w:autoSpaceDE/>
        <w:autoSpaceDN/>
        <w:bidi w:val="0"/>
        <w:adjustRightInd w:val="0"/>
        <w:snapToGrid w:val="0"/>
        <w:spacing w:before="11" w:line="580" w:lineRule="exact"/>
        <w:ind w:left="896" w:leftChars="0" w:right="1089" w:rightChars="495" w:firstLine="579" w:firstLineChars="181"/>
        <w:textAlignment w:val="auto"/>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2、加强资金动态管理。在专项资金项目执行过程中，注重加强专项资金的动态管理，定期公布专项资金执行进度，促进专项资金按预算执行。</w:t>
      </w:r>
    </w:p>
    <w:p>
      <w:pPr>
        <w:keepNext w:val="0"/>
        <w:keepLines w:val="0"/>
        <w:pageBreakBefore w:val="0"/>
        <w:widowControl/>
        <w:kinsoku/>
        <w:wordWrap/>
        <w:overflowPunct/>
        <w:topLinePunct w:val="0"/>
        <w:autoSpaceDE/>
        <w:autoSpaceDN/>
        <w:bidi w:val="0"/>
        <w:adjustRightInd w:val="0"/>
        <w:snapToGrid w:val="0"/>
        <w:spacing w:before="11" w:line="580" w:lineRule="exact"/>
        <w:ind w:left="1100" w:leftChars="0" w:right="1089" w:rightChars="495" w:firstLine="640" w:firstLineChars="200"/>
        <w:textAlignment w:val="auto"/>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3、坚持项目过程管理。对项目的申报、实施、验收以及资金分配方案，进行流程管理。</w:t>
      </w:r>
    </w:p>
    <w:p>
      <w:pPr>
        <w:keepNext w:val="0"/>
        <w:keepLines w:val="0"/>
        <w:pageBreakBefore w:val="0"/>
        <w:kinsoku/>
        <w:wordWrap/>
        <w:overflowPunct/>
        <w:topLinePunct w:val="0"/>
        <w:bidi w:val="0"/>
        <w:spacing w:before="11" w:line="580" w:lineRule="exact"/>
        <w:ind w:left="1476"/>
        <w:textAlignment w:val="auto"/>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（2）存在的问题</w:t>
      </w:r>
    </w:p>
    <w:p>
      <w:pPr>
        <w:keepNext w:val="0"/>
        <w:keepLines w:val="0"/>
        <w:pageBreakBefore w:val="0"/>
        <w:kinsoku/>
        <w:wordWrap/>
        <w:overflowPunct/>
        <w:topLinePunct w:val="0"/>
        <w:bidi w:val="0"/>
        <w:spacing w:before="11" w:line="580" w:lineRule="exact"/>
        <w:ind w:left="1100" w:leftChars="0" w:right="1089" w:rightChars="495" w:firstLine="640" w:firstLineChars="200"/>
        <w:textAlignment w:val="auto"/>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项目支出绩效管理缺乏专职专业管理人员。目前，我局预算绩效管理工作人员主要以财务人员为主，绩效管理专业知识相对不足。</w:t>
      </w:r>
    </w:p>
    <w:p>
      <w:pPr>
        <w:keepNext w:val="0"/>
        <w:keepLines w:val="0"/>
        <w:pageBreakBefore w:val="0"/>
        <w:kinsoku/>
        <w:wordWrap/>
        <w:overflowPunct/>
        <w:topLinePunct w:val="0"/>
        <w:bidi w:val="0"/>
        <w:spacing w:before="11" w:line="580" w:lineRule="exact"/>
        <w:ind w:firstLine="643" w:firstLineChars="200"/>
        <w:textAlignment w:val="auto"/>
        <w:rPr>
          <w:rFonts w:hint="eastAsia" w:asciiTheme="minorEastAsia" w:hAnsiTheme="minorEastAsia" w:eastAsiaTheme="minorEastAsia"/>
          <w:b/>
          <w:bCs/>
          <w:sz w:val="32"/>
          <w:lang w:val="en-US" w:eastAsia="zh-CN"/>
        </w:rPr>
      </w:pPr>
      <w:r>
        <w:rPr>
          <w:rFonts w:hint="eastAsia" w:asciiTheme="minorEastAsia" w:hAnsiTheme="minorEastAsia" w:eastAsiaTheme="minorEastAsia"/>
          <w:b/>
          <w:bCs/>
          <w:sz w:val="32"/>
          <w:lang w:val="en-US" w:eastAsia="zh-CN"/>
        </w:rPr>
        <w:t>六、有关建议</w:t>
      </w:r>
    </w:p>
    <w:p>
      <w:pPr>
        <w:keepNext w:val="0"/>
        <w:keepLines w:val="0"/>
        <w:pageBreakBefore w:val="0"/>
        <w:kinsoku/>
        <w:wordWrap/>
        <w:overflowPunct/>
        <w:topLinePunct w:val="0"/>
        <w:bidi w:val="0"/>
        <w:spacing w:before="11" w:line="580" w:lineRule="exact"/>
        <w:ind w:left="880" w:leftChars="0" w:right="1089" w:rightChars="495" w:firstLine="640" w:firstLineChars="200"/>
        <w:textAlignment w:val="auto"/>
        <w:rPr>
          <w:rFonts w:hint="eastAsia"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建议区财政局加强相关业务培训，加强交流学习，以提高对财目支出绩效评价工作重要性的认识，促进财政绩效评价工作更加科学客观合理。</w:t>
      </w:r>
    </w:p>
    <w:p>
      <w:pPr>
        <w:pStyle w:val="2"/>
        <w:keepNext w:val="0"/>
        <w:keepLines w:val="0"/>
        <w:pageBreakBefore w:val="0"/>
        <w:numPr>
          <w:ilvl w:val="0"/>
          <w:numId w:val="0"/>
        </w:numPr>
        <w:kinsoku/>
        <w:wordWrap/>
        <w:overflowPunct/>
        <w:topLinePunct w:val="0"/>
        <w:bidi w:val="0"/>
        <w:spacing w:before="2" w:line="580" w:lineRule="atLeast"/>
        <w:ind w:firstLine="643" w:firstLineChars="200"/>
        <w:textAlignment w:val="auto"/>
        <w:rPr>
          <w:rFonts w:hint="eastAsia" w:asciiTheme="minorEastAsia" w:hAnsiTheme="minorEastAsia" w:eastAsiaTheme="minorEastAsia"/>
          <w:b/>
          <w:bCs/>
        </w:rPr>
      </w:pPr>
      <w:r>
        <w:rPr>
          <w:rFonts w:hint="eastAsia" w:asciiTheme="minorEastAsia" w:hAnsiTheme="minorEastAsia" w:eastAsiaTheme="minorEastAsia"/>
          <w:b/>
          <w:bCs/>
          <w:lang w:val="en-US" w:eastAsia="zh-CN"/>
        </w:rPr>
        <w:t>七、</w:t>
      </w:r>
      <w:r>
        <w:rPr>
          <w:rFonts w:hint="eastAsia" w:asciiTheme="minorEastAsia" w:hAnsiTheme="minorEastAsia" w:eastAsiaTheme="minorEastAsia"/>
          <w:b/>
          <w:bCs/>
        </w:rPr>
        <w:t>其他需要说明的问题</w:t>
      </w:r>
    </w:p>
    <w:p>
      <w:pPr>
        <w:pStyle w:val="2"/>
        <w:keepNext w:val="0"/>
        <w:keepLines w:val="0"/>
        <w:pageBreakBefore w:val="0"/>
        <w:numPr>
          <w:ilvl w:val="0"/>
          <w:numId w:val="0"/>
        </w:numPr>
        <w:kinsoku/>
        <w:wordWrap/>
        <w:overflowPunct/>
        <w:topLinePunct w:val="0"/>
        <w:bidi w:val="0"/>
        <w:spacing w:before="2" w:line="580" w:lineRule="atLeast"/>
        <w:ind w:firstLine="1600" w:firstLineChars="500"/>
        <w:textAlignment w:val="auto"/>
        <w:rPr>
          <w:rFonts w:hint="default" w:ascii="黑体" w:eastAsia="黑体"/>
          <w:lang w:val="en-US" w:eastAsia="zh-CN"/>
        </w:rPr>
        <w:sectPr>
          <w:footerReference r:id="rId6" w:type="default"/>
          <w:pgSz w:w="11910" w:h="16840"/>
          <w:pgMar w:top="1480" w:right="340" w:bottom="1220" w:left="580" w:header="0" w:footer="1034" w:gutter="0"/>
          <w:pgNumType w:start="19"/>
          <w:cols w:space="720" w:num="1"/>
        </w:sectPr>
      </w:pPr>
      <w:r>
        <w:rPr>
          <w:rFonts w:hint="eastAsia" w:cs="宋体" w:asciiTheme="minorEastAsia" w:hAnsiTheme="minorEastAsia" w:eastAsiaTheme="minorEastAsia"/>
          <w:sz w:val="32"/>
          <w:szCs w:val="32"/>
          <w:lang w:val="en-US" w:eastAsia="zh-CN" w:bidi="zh-CN"/>
        </w:rPr>
        <w:t>无</w:t>
      </w:r>
    </w:p>
    <w:p>
      <w:pPr>
        <w:pStyle w:val="12"/>
        <w:spacing w:before="39"/>
        <w:ind w:left="1244"/>
      </w:pPr>
      <w:r>
        <w:t>项目支出绩效评分表</w:t>
      </w:r>
    </w:p>
    <w:p>
      <w:pPr>
        <w:pStyle w:val="2"/>
        <w:spacing w:before="8"/>
        <w:rPr>
          <w:sz w:val="16"/>
        </w:rPr>
      </w:pPr>
    </w:p>
    <w:tbl>
      <w:tblPr>
        <w:tblStyle w:val="10"/>
        <w:tblW w:w="0" w:type="auto"/>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41" w:type="dxa"/>
          </w:tcPr>
          <w:p>
            <w:pPr>
              <w:pStyle w:val="15"/>
              <w:spacing w:before="20"/>
              <w:ind w:left="359"/>
              <w:rPr>
                <w:rFonts w:ascii="黑体" w:eastAsia="黑体"/>
                <w:sz w:val="21"/>
                <w:lang w:eastAsia="en-US"/>
              </w:rPr>
            </w:pPr>
            <w:r>
              <w:rPr>
                <w:rFonts w:hint="eastAsia" w:ascii="黑体" w:eastAsia="黑体"/>
                <w:spacing w:val="-1"/>
                <w:w w:val="95"/>
                <w:sz w:val="21"/>
                <w:lang w:eastAsia="en-US"/>
              </w:rPr>
              <w:t>一级</w:t>
            </w:r>
          </w:p>
          <w:p>
            <w:pPr>
              <w:pStyle w:val="15"/>
              <w:spacing w:before="43"/>
              <w:ind w:left="359"/>
              <w:rPr>
                <w:rFonts w:ascii="黑体" w:eastAsia="黑体"/>
                <w:sz w:val="21"/>
                <w:lang w:eastAsia="en-US"/>
              </w:rPr>
            </w:pPr>
            <w:r>
              <w:rPr>
                <w:rFonts w:hint="eastAsia" w:ascii="黑体" w:eastAsia="黑体"/>
                <w:spacing w:val="-1"/>
                <w:w w:val="95"/>
                <w:sz w:val="21"/>
                <w:lang w:eastAsia="en-US"/>
              </w:rPr>
              <w:t>指标</w:t>
            </w:r>
          </w:p>
        </w:tc>
        <w:tc>
          <w:tcPr>
            <w:tcW w:w="1361" w:type="dxa"/>
            <w:gridSpan w:val="2"/>
          </w:tcPr>
          <w:p>
            <w:pPr>
              <w:pStyle w:val="15"/>
              <w:spacing w:before="176"/>
              <w:ind w:left="259"/>
              <w:rPr>
                <w:rFonts w:ascii="黑体" w:eastAsia="黑体"/>
                <w:sz w:val="21"/>
                <w:lang w:eastAsia="en-US"/>
              </w:rPr>
            </w:pPr>
            <w:r>
              <w:rPr>
                <w:rFonts w:hint="eastAsia" w:ascii="黑体" w:eastAsia="黑体"/>
                <w:sz w:val="21"/>
                <w:lang w:eastAsia="en-US"/>
              </w:rPr>
              <w:t>二级指标</w:t>
            </w:r>
          </w:p>
        </w:tc>
        <w:tc>
          <w:tcPr>
            <w:tcW w:w="596" w:type="dxa"/>
          </w:tcPr>
          <w:p>
            <w:pPr>
              <w:pStyle w:val="15"/>
              <w:spacing w:before="20"/>
              <w:ind w:left="192"/>
              <w:rPr>
                <w:rFonts w:ascii="黑体" w:eastAsia="黑体"/>
                <w:sz w:val="21"/>
                <w:lang w:eastAsia="en-US"/>
              </w:rPr>
            </w:pPr>
            <w:r>
              <w:rPr>
                <w:rFonts w:hint="eastAsia" w:ascii="黑体" w:eastAsia="黑体"/>
                <w:w w:val="99"/>
                <w:sz w:val="21"/>
                <w:lang w:eastAsia="en-US"/>
              </w:rPr>
              <w:t>分</w:t>
            </w:r>
          </w:p>
          <w:p>
            <w:pPr>
              <w:pStyle w:val="15"/>
              <w:spacing w:before="43"/>
              <w:ind w:left="192"/>
              <w:rPr>
                <w:rFonts w:ascii="黑体" w:eastAsia="黑体"/>
                <w:sz w:val="21"/>
                <w:lang w:eastAsia="en-US"/>
              </w:rPr>
            </w:pPr>
            <w:r>
              <w:rPr>
                <w:rFonts w:hint="eastAsia" w:ascii="黑体" w:eastAsia="黑体"/>
                <w:w w:val="99"/>
                <w:sz w:val="21"/>
                <w:lang w:eastAsia="en-US"/>
              </w:rPr>
              <w:t>值</w:t>
            </w:r>
          </w:p>
        </w:tc>
        <w:tc>
          <w:tcPr>
            <w:tcW w:w="1963" w:type="dxa"/>
          </w:tcPr>
          <w:p>
            <w:pPr>
              <w:pStyle w:val="15"/>
              <w:spacing w:before="176"/>
              <w:ind w:left="224" w:right="217"/>
              <w:jc w:val="center"/>
              <w:rPr>
                <w:rFonts w:ascii="黑体" w:eastAsia="黑体"/>
                <w:sz w:val="21"/>
                <w:lang w:eastAsia="en-US"/>
              </w:rPr>
            </w:pPr>
            <w:r>
              <w:rPr>
                <w:rFonts w:hint="eastAsia" w:ascii="黑体" w:eastAsia="黑体"/>
                <w:sz w:val="21"/>
                <w:lang w:eastAsia="en-US"/>
              </w:rPr>
              <w:t>三级指标</w:t>
            </w:r>
          </w:p>
        </w:tc>
        <w:tc>
          <w:tcPr>
            <w:tcW w:w="706" w:type="dxa"/>
          </w:tcPr>
          <w:p>
            <w:pPr>
              <w:pStyle w:val="15"/>
              <w:spacing w:before="176"/>
              <w:ind w:left="141"/>
              <w:rPr>
                <w:rFonts w:ascii="黑体" w:eastAsia="黑体"/>
                <w:sz w:val="21"/>
                <w:lang w:eastAsia="en-US"/>
              </w:rPr>
            </w:pPr>
            <w:r>
              <w:rPr>
                <w:rFonts w:hint="eastAsia" w:ascii="黑体" w:eastAsia="黑体"/>
                <w:sz w:val="21"/>
                <w:lang w:eastAsia="en-US"/>
              </w:rPr>
              <w:t>分值</w:t>
            </w:r>
          </w:p>
        </w:tc>
        <w:tc>
          <w:tcPr>
            <w:tcW w:w="3980" w:type="dxa"/>
          </w:tcPr>
          <w:p>
            <w:pPr>
              <w:pStyle w:val="15"/>
              <w:spacing w:before="176"/>
              <w:ind w:left="1548" w:right="1542"/>
              <w:jc w:val="center"/>
              <w:rPr>
                <w:rFonts w:ascii="黑体" w:eastAsia="黑体"/>
                <w:sz w:val="21"/>
                <w:lang w:eastAsia="en-US"/>
              </w:rPr>
            </w:pPr>
            <w:r>
              <w:rPr>
                <w:rFonts w:hint="eastAsia" w:ascii="黑体" w:eastAsia="黑体"/>
                <w:sz w:val="21"/>
                <w:lang w:eastAsia="en-US"/>
              </w:rPr>
              <w:t>评分标准</w:t>
            </w:r>
          </w:p>
        </w:tc>
        <w:tc>
          <w:tcPr>
            <w:tcW w:w="675" w:type="dxa"/>
          </w:tcPr>
          <w:p>
            <w:pPr>
              <w:pStyle w:val="15"/>
              <w:spacing w:before="20"/>
              <w:ind w:left="125"/>
              <w:rPr>
                <w:rFonts w:ascii="黑体" w:eastAsia="黑体"/>
                <w:sz w:val="21"/>
                <w:lang w:eastAsia="en-US"/>
              </w:rPr>
            </w:pPr>
            <w:r>
              <w:rPr>
                <w:rFonts w:hint="eastAsia" w:ascii="黑体" w:eastAsia="黑体"/>
                <w:spacing w:val="-1"/>
                <w:w w:val="95"/>
                <w:sz w:val="21"/>
                <w:lang w:eastAsia="en-US"/>
              </w:rPr>
              <w:t>评价</w:t>
            </w:r>
          </w:p>
          <w:p>
            <w:pPr>
              <w:pStyle w:val="15"/>
              <w:spacing w:before="43"/>
              <w:ind w:left="125"/>
              <w:rPr>
                <w:rFonts w:ascii="黑体" w:eastAsia="黑体"/>
                <w:sz w:val="21"/>
                <w:lang w:eastAsia="en-US"/>
              </w:rPr>
            </w:pPr>
            <w:r>
              <w:rPr>
                <w:rFonts w:hint="eastAsia" w:ascii="黑体" w:eastAsia="黑体"/>
                <w:spacing w:val="-1"/>
                <w:w w:val="95"/>
                <w:sz w:val="21"/>
                <w:lang w:eastAsia="en-U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41" w:type="dxa"/>
            <w:vMerge w:val="restart"/>
          </w:tcPr>
          <w:p>
            <w:pPr>
              <w:pStyle w:val="15"/>
              <w:rPr>
                <w:sz w:val="20"/>
                <w:lang w:eastAsia="en-US"/>
              </w:rPr>
            </w:pPr>
          </w:p>
          <w:p>
            <w:pPr>
              <w:pStyle w:val="15"/>
              <w:rPr>
                <w:sz w:val="20"/>
                <w:lang w:eastAsia="en-US"/>
              </w:rPr>
            </w:pPr>
          </w:p>
          <w:p>
            <w:pPr>
              <w:pStyle w:val="15"/>
              <w:rPr>
                <w:sz w:val="20"/>
                <w:lang w:eastAsia="en-US"/>
              </w:rPr>
            </w:pPr>
          </w:p>
          <w:p>
            <w:pPr>
              <w:pStyle w:val="15"/>
              <w:spacing w:before="172"/>
              <w:ind w:left="74" w:right="69"/>
              <w:jc w:val="center"/>
              <w:rPr>
                <w:rFonts w:ascii="黑体" w:eastAsia="黑体"/>
                <w:sz w:val="21"/>
                <w:lang w:eastAsia="en-US"/>
              </w:rPr>
            </w:pPr>
            <w:r>
              <w:rPr>
                <w:rFonts w:hint="eastAsia" w:ascii="黑体" w:eastAsia="黑体"/>
                <w:sz w:val="21"/>
                <w:lang w:eastAsia="en-US"/>
              </w:rPr>
              <w:t>决策</w:t>
            </w:r>
          </w:p>
          <w:p>
            <w:pPr>
              <w:pStyle w:val="15"/>
              <w:spacing w:before="6"/>
              <w:rPr>
                <w:sz w:val="16"/>
                <w:lang w:eastAsia="en-US"/>
              </w:rPr>
            </w:pPr>
          </w:p>
          <w:p>
            <w:pPr>
              <w:pStyle w:val="15"/>
              <w:ind w:left="77" w:right="69"/>
              <w:jc w:val="center"/>
              <w:rPr>
                <w:rFonts w:ascii="黑体" w:eastAsia="黑体"/>
                <w:sz w:val="21"/>
                <w:lang w:eastAsia="en-US"/>
              </w:rPr>
            </w:pPr>
            <w:r>
              <w:rPr>
                <w:rFonts w:hint="eastAsia" w:ascii="黑体" w:eastAsia="黑体"/>
                <w:sz w:val="21"/>
                <w:lang w:eastAsia="en-US"/>
              </w:rPr>
              <w:t>（15 分）</w:t>
            </w:r>
          </w:p>
        </w:tc>
        <w:tc>
          <w:tcPr>
            <w:tcW w:w="1361" w:type="dxa"/>
            <w:gridSpan w:val="2"/>
            <w:vMerge w:val="restart"/>
          </w:tcPr>
          <w:p>
            <w:pPr>
              <w:pStyle w:val="15"/>
              <w:spacing w:before="11"/>
              <w:rPr>
                <w:lang w:eastAsia="en-US"/>
              </w:rPr>
            </w:pPr>
          </w:p>
          <w:p>
            <w:pPr>
              <w:pStyle w:val="15"/>
              <w:ind w:left="259"/>
              <w:rPr>
                <w:rFonts w:ascii="黑体" w:eastAsia="黑体"/>
                <w:sz w:val="21"/>
                <w:lang w:eastAsia="en-US"/>
              </w:rPr>
            </w:pPr>
            <w:r>
              <w:rPr>
                <w:rFonts w:hint="eastAsia" w:ascii="黑体" w:eastAsia="黑体"/>
                <w:sz w:val="21"/>
                <w:lang w:eastAsia="en-US"/>
              </w:rPr>
              <w:t>项目立项</w:t>
            </w:r>
          </w:p>
        </w:tc>
        <w:tc>
          <w:tcPr>
            <w:tcW w:w="596" w:type="dxa"/>
            <w:vMerge w:val="restart"/>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rPr>
              <w:t>5</w:t>
            </w:r>
          </w:p>
          <w:p>
            <w:pPr>
              <w:pStyle w:val="15"/>
              <w:rPr>
                <w:rFonts w:ascii="Times New Roman"/>
                <w:sz w:val="20"/>
                <w:lang w:eastAsia="en-US"/>
              </w:rPr>
            </w:pPr>
          </w:p>
        </w:tc>
        <w:tc>
          <w:tcPr>
            <w:tcW w:w="1963" w:type="dxa"/>
          </w:tcPr>
          <w:p>
            <w:pPr>
              <w:pStyle w:val="15"/>
              <w:spacing w:before="87"/>
              <w:ind w:left="224" w:right="219"/>
              <w:jc w:val="center"/>
              <w:rPr>
                <w:rFonts w:ascii="黑体" w:eastAsia="黑体"/>
                <w:sz w:val="21"/>
                <w:lang w:eastAsia="en-US"/>
              </w:rPr>
            </w:pPr>
            <w:r>
              <w:rPr>
                <w:rFonts w:hint="eastAsia" w:ascii="黑体" w:eastAsia="黑体"/>
                <w:sz w:val="21"/>
                <w:lang w:eastAsia="en-US"/>
              </w:rPr>
              <w:t>立项依据充分性</w:t>
            </w:r>
          </w:p>
        </w:tc>
        <w:tc>
          <w:tcPr>
            <w:tcW w:w="70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2</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①项目活动专项经费申报有依据，有政府抄告单（或财政答复意见）；②申请经费报告有领导批示；③项目活动开展有领导班子集体研究。</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5"/>
              <w:spacing w:before="64"/>
              <w:ind w:left="224" w:right="219"/>
              <w:jc w:val="center"/>
              <w:rPr>
                <w:rFonts w:ascii="黑体" w:eastAsia="黑体"/>
                <w:sz w:val="21"/>
                <w:lang w:eastAsia="en-US"/>
              </w:rPr>
            </w:pPr>
            <w:r>
              <w:rPr>
                <w:rFonts w:hint="eastAsia" w:ascii="黑体" w:eastAsia="黑体"/>
                <w:sz w:val="21"/>
                <w:lang w:eastAsia="en-US"/>
              </w:rPr>
              <w:t>立项程序规范性</w:t>
            </w:r>
          </w:p>
        </w:tc>
        <w:tc>
          <w:tcPr>
            <w:tcW w:w="70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3</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restart"/>
          </w:tcPr>
          <w:p>
            <w:pPr>
              <w:pStyle w:val="15"/>
              <w:rPr>
                <w:sz w:val="24"/>
                <w:lang w:eastAsia="en-US"/>
              </w:rPr>
            </w:pPr>
          </w:p>
          <w:p>
            <w:pPr>
              <w:pStyle w:val="15"/>
              <w:ind w:left="259"/>
              <w:rPr>
                <w:rFonts w:ascii="黑体" w:eastAsia="黑体"/>
                <w:sz w:val="21"/>
                <w:lang w:eastAsia="en-US"/>
              </w:rPr>
            </w:pPr>
            <w:r>
              <w:rPr>
                <w:rFonts w:hint="eastAsia" w:ascii="黑体" w:eastAsia="黑体"/>
                <w:sz w:val="21"/>
                <w:lang w:eastAsia="en-US"/>
              </w:rPr>
              <w:t>绩效目标</w:t>
            </w:r>
          </w:p>
        </w:tc>
        <w:tc>
          <w:tcPr>
            <w:tcW w:w="596" w:type="dxa"/>
            <w:vMerge w:val="restart"/>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rPr>
              <w:t>5</w:t>
            </w:r>
          </w:p>
          <w:p>
            <w:pPr>
              <w:pStyle w:val="15"/>
              <w:rPr>
                <w:rFonts w:ascii="Times New Roman"/>
                <w:sz w:val="20"/>
                <w:lang w:eastAsia="en-US"/>
              </w:rPr>
            </w:pPr>
          </w:p>
        </w:tc>
        <w:tc>
          <w:tcPr>
            <w:tcW w:w="1963" w:type="dxa"/>
          </w:tcPr>
          <w:p>
            <w:pPr>
              <w:pStyle w:val="15"/>
              <w:spacing w:before="63"/>
              <w:ind w:left="224" w:right="219"/>
              <w:jc w:val="center"/>
              <w:rPr>
                <w:rFonts w:ascii="黑体" w:eastAsia="黑体"/>
                <w:sz w:val="21"/>
                <w:lang w:eastAsia="en-US"/>
              </w:rPr>
            </w:pPr>
            <w:r>
              <w:rPr>
                <w:rFonts w:hint="eastAsia" w:ascii="黑体" w:eastAsia="黑体"/>
                <w:sz w:val="21"/>
                <w:lang w:eastAsia="en-US"/>
              </w:rPr>
              <w:t>绩效目标合理性</w:t>
            </w:r>
          </w:p>
        </w:tc>
        <w:tc>
          <w:tcPr>
            <w:tcW w:w="70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2</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①是否与项目年度任务数或计划数相对应；②是否与预算确定的项目投资额或资金量相匹配。一项不符合扣一分，严重的此项完全不得分。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5"/>
              <w:spacing w:before="103"/>
              <w:ind w:left="224" w:right="219"/>
              <w:jc w:val="center"/>
              <w:rPr>
                <w:rFonts w:ascii="黑体" w:eastAsia="黑体"/>
                <w:sz w:val="21"/>
                <w:lang w:eastAsia="en-US"/>
              </w:rPr>
            </w:pPr>
            <w:r>
              <w:rPr>
                <w:rFonts w:hint="eastAsia" w:ascii="黑体" w:eastAsia="黑体"/>
                <w:sz w:val="21"/>
                <w:lang w:eastAsia="en-US"/>
              </w:rPr>
              <w:t>绩效指标明确性</w:t>
            </w:r>
          </w:p>
        </w:tc>
        <w:tc>
          <w:tcPr>
            <w:tcW w:w="70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3</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①是否将项目绩效目标细化分解为具体的绩效指标；②是否通过清晰、可衡量的指标值予以体现一项不符合扣一分，严重的此项完全不得分。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restart"/>
          </w:tcPr>
          <w:p>
            <w:pPr>
              <w:pStyle w:val="15"/>
              <w:spacing w:before="10"/>
              <w:rPr>
                <w:lang w:eastAsia="en-US"/>
              </w:rPr>
            </w:pPr>
          </w:p>
          <w:p>
            <w:pPr>
              <w:pStyle w:val="15"/>
              <w:ind w:left="259"/>
              <w:rPr>
                <w:rFonts w:ascii="黑体" w:eastAsia="黑体"/>
                <w:sz w:val="21"/>
                <w:lang w:eastAsia="en-US"/>
              </w:rPr>
            </w:pPr>
            <w:r>
              <w:rPr>
                <w:rFonts w:hint="eastAsia" w:ascii="黑体" w:eastAsia="黑体"/>
                <w:sz w:val="21"/>
                <w:lang w:eastAsia="en-US"/>
              </w:rPr>
              <w:t>资金投入</w:t>
            </w:r>
          </w:p>
        </w:tc>
        <w:tc>
          <w:tcPr>
            <w:tcW w:w="596" w:type="dxa"/>
            <w:vMerge w:val="restart"/>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rPr>
              <w:t>5</w:t>
            </w:r>
          </w:p>
          <w:p>
            <w:pPr>
              <w:pStyle w:val="15"/>
              <w:rPr>
                <w:rFonts w:ascii="Times New Roman"/>
                <w:sz w:val="20"/>
                <w:lang w:eastAsia="en-US"/>
              </w:rPr>
            </w:pPr>
          </w:p>
        </w:tc>
        <w:tc>
          <w:tcPr>
            <w:tcW w:w="1963" w:type="dxa"/>
          </w:tcPr>
          <w:p>
            <w:pPr>
              <w:pStyle w:val="15"/>
              <w:spacing w:before="86"/>
              <w:ind w:left="224" w:right="219"/>
              <w:jc w:val="center"/>
              <w:rPr>
                <w:rFonts w:ascii="黑体" w:eastAsia="黑体"/>
                <w:sz w:val="21"/>
                <w:lang w:eastAsia="en-US"/>
              </w:rPr>
            </w:pPr>
            <w:r>
              <w:rPr>
                <w:rFonts w:hint="eastAsia" w:ascii="黑体" w:eastAsia="黑体"/>
                <w:sz w:val="21"/>
                <w:lang w:eastAsia="en-US"/>
              </w:rPr>
              <w:t>预算编制科学性</w:t>
            </w:r>
          </w:p>
        </w:tc>
        <w:tc>
          <w:tcPr>
            <w:tcW w:w="70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2</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①预算编制符合“量力为出，收支平衡”原则，②科学测算各项收入、支出明确列示相关测算方法和依据。</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5"/>
              <w:spacing w:before="63"/>
              <w:ind w:left="224" w:right="219"/>
              <w:jc w:val="center"/>
              <w:rPr>
                <w:rFonts w:ascii="黑体" w:eastAsia="黑体"/>
                <w:sz w:val="21"/>
                <w:lang w:eastAsia="en-US"/>
              </w:rPr>
            </w:pPr>
            <w:r>
              <w:rPr>
                <w:rFonts w:hint="eastAsia" w:ascii="黑体" w:eastAsia="黑体"/>
                <w:sz w:val="21"/>
                <w:lang w:eastAsia="en-US"/>
              </w:rPr>
              <w:t>资金分配合理性</w:t>
            </w:r>
          </w:p>
        </w:tc>
        <w:tc>
          <w:tcPr>
            <w:tcW w:w="70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3</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141" w:type="dxa"/>
            <w:vMerge w:val="restart"/>
          </w:tcPr>
          <w:p>
            <w:pPr>
              <w:pStyle w:val="15"/>
              <w:rPr>
                <w:sz w:val="20"/>
                <w:lang w:eastAsia="en-US"/>
              </w:rPr>
            </w:pPr>
          </w:p>
          <w:p>
            <w:pPr>
              <w:pStyle w:val="15"/>
              <w:rPr>
                <w:sz w:val="20"/>
                <w:lang w:eastAsia="en-US"/>
              </w:rPr>
            </w:pPr>
          </w:p>
          <w:p>
            <w:pPr>
              <w:pStyle w:val="15"/>
              <w:spacing w:before="130" w:line="255" w:lineRule="exact"/>
              <w:ind w:left="74" w:right="69"/>
              <w:jc w:val="center"/>
              <w:rPr>
                <w:rFonts w:ascii="黑体" w:eastAsia="黑体"/>
                <w:sz w:val="21"/>
                <w:lang w:eastAsia="en-US"/>
              </w:rPr>
            </w:pPr>
            <w:r>
              <w:rPr>
                <w:rFonts w:hint="eastAsia" w:ascii="黑体" w:eastAsia="黑体"/>
                <w:sz w:val="21"/>
                <w:lang w:eastAsia="en-US"/>
              </w:rPr>
              <w:t>过程</w:t>
            </w:r>
          </w:p>
          <w:p>
            <w:pPr>
              <w:pStyle w:val="15"/>
              <w:spacing w:line="255" w:lineRule="exact"/>
              <w:ind w:left="77" w:right="69"/>
              <w:jc w:val="center"/>
              <w:rPr>
                <w:rFonts w:ascii="黑体" w:eastAsia="黑体"/>
                <w:sz w:val="21"/>
                <w:lang w:eastAsia="en-US"/>
              </w:rPr>
            </w:pPr>
            <w:r>
              <w:rPr>
                <w:rFonts w:hint="eastAsia" w:ascii="黑体" w:eastAsia="黑体"/>
                <w:sz w:val="21"/>
                <w:lang w:eastAsia="en-US"/>
              </w:rPr>
              <w:t>（15 分）</w:t>
            </w:r>
          </w:p>
        </w:tc>
        <w:tc>
          <w:tcPr>
            <w:tcW w:w="1361" w:type="dxa"/>
            <w:gridSpan w:val="2"/>
            <w:vMerge w:val="restart"/>
          </w:tcPr>
          <w:p>
            <w:pPr>
              <w:pStyle w:val="15"/>
              <w:rPr>
                <w:sz w:val="20"/>
                <w:lang w:eastAsia="en-US"/>
              </w:rPr>
            </w:pPr>
          </w:p>
          <w:p>
            <w:pPr>
              <w:pStyle w:val="15"/>
              <w:spacing w:before="175"/>
              <w:ind w:left="259"/>
              <w:rPr>
                <w:rFonts w:ascii="黑体" w:eastAsia="黑体"/>
                <w:sz w:val="21"/>
                <w:lang w:eastAsia="en-US"/>
              </w:rPr>
            </w:pPr>
            <w:r>
              <w:rPr>
                <w:rFonts w:hint="eastAsia" w:ascii="黑体" w:eastAsia="黑体"/>
                <w:sz w:val="21"/>
                <w:lang w:eastAsia="en-US"/>
              </w:rPr>
              <w:t>资金管理</w:t>
            </w:r>
          </w:p>
        </w:tc>
        <w:tc>
          <w:tcPr>
            <w:tcW w:w="596" w:type="dxa"/>
            <w:vMerge w:val="restart"/>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rPr>
              <w:t>10</w:t>
            </w:r>
          </w:p>
          <w:p>
            <w:pPr>
              <w:pStyle w:val="15"/>
              <w:rPr>
                <w:rFonts w:ascii="Times New Roman"/>
                <w:sz w:val="20"/>
                <w:lang w:eastAsia="en-US"/>
              </w:rPr>
            </w:pPr>
          </w:p>
        </w:tc>
        <w:tc>
          <w:tcPr>
            <w:tcW w:w="1963" w:type="dxa"/>
          </w:tcPr>
          <w:p>
            <w:pPr>
              <w:pStyle w:val="15"/>
              <w:spacing w:before="38"/>
              <w:ind w:left="224" w:right="217"/>
              <w:jc w:val="center"/>
              <w:rPr>
                <w:rFonts w:ascii="黑体" w:eastAsia="黑体"/>
                <w:sz w:val="21"/>
                <w:lang w:eastAsia="en-US"/>
              </w:rPr>
            </w:pPr>
            <w:r>
              <w:rPr>
                <w:rFonts w:hint="eastAsia" w:ascii="黑体" w:eastAsia="黑体"/>
                <w:sz w:val="21"/>
                <w:lang w:eastAsia="en-US"/>
              </w:rPr>
              <w:t>资金到位率</w:t>
            </w:r>
          </w:p>
        </w:tc>
        <w:tc>
          <w:tcPr>
            <w:tcW w:w="70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3980" w:type="dxa"/>
            <w:vAlign w:val="top"/>
          </w:tcPr>
          <w:p>
            <w:pPr>
              <w:widowControl/>
              <w:autoSpaceDE w:val="0"/>
              <w:autoSpaceDN w:val="0"/>
              <w:spacing w:line="240" w:lineRule="exact"/>
              <w:rPr>
                <w:rFonts w:hint="eastAsia" w:ascii="黑体" w:hAnsi="黑体" w:eastAsia="黑体" w:cs="黑体"/>
                <w:sz w:val="21"/>
                <w:szCs w:val="21"/>
                <w:lang w:val="en-US" w:eastAsia="en-US" w:bidi="ar-SA"/>
              </w:rPr>
            </w:pPr>
            <w:r>
              <w:rPr>
                <w:rFonts w:hint="eastAsia" w:ascii="黑体" w:hAnsi="黑体" w:eastAsia="黑体" w:cs="黑体"/>
                <w:color w:val="000000"/>
                <w:kern w:val="0"/>
                <w:sz w:val="21"/>
                <w:szCs w:val="21"/>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kern w:val="0"/>
                <w:sz w:val="21"/>
                <w:szCs w:val="21"/>
                <w:lang w:val="en-US" w:eastAsia="zh-CN"/>
              </w:rPr>
              <w:t>拨付及时。</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5"/>
              <w:spacing w:before="37"/>
              <w:ind w:left="224" w:right="217"/>
              <w:jc w:val="center"/>
              <w:rPr>
                <w:rFonts w:ascii="黑体" w:eastAsia="黑体"/>
                <w:sz w:val="21"/>
                <w:lang w:eastAsia="en-US"/>
              </w:rPr>
            </w:pPr>
            <w:r>
              <w:rPr>
                <w:rFonts w:hint="eastAsia" w:ascii="黑体" w:eastAsia="黑体"/>
                <w:sz w:val="21"/>
                <w:lang w:eastAsia="en-US"/>
              </w:rPr>
              <w:t>预算执行率</w:t>
            </w:r>
          </w:p>
        </w:tc>
        <w:tc>
          <w:tcPr>
            <w:tcW w:w="70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3</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（实际下拨资金/应下拨资金）X100%。每降低10%扣1分，低于60%不得分。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5"/>
              <w:spacing w:before="71"/>
              <w:ind w:left="224" w:right="219"/>
              <w:jc w:val="center"/>
              <w:rPr>
                <w:rFonts w:ascii="黑体" w:eastAsia="黑体"/>
                <w:sz w:val="21"/>
                <w:lang w:eastAsia="en-US"/>
              </w:rPr>
            </w:pPr>
            <w:r>
              <w:rPr>
                <w:rFonts w:hint="eastAsia" w:ascii="黑体" w:eastAsia="黑体"/>
                <w:sz w:val="21"/>
                <w:lang w:eastAsia="en-US"/>
              </w:rPr>
              <w:t>资金使用合规性</w:t>
            </w:r>
          </w:p>
        </w:tc>
        <w:tc>
          <w:tcPr>
            <w:tcW w:w="70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2</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①是否符合项目预算批复或合同规定的用途；②是否存在截留、挤占、挪用等情况。一项不符合扣一分，严重的此项完全不得分。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restart"/>
          </w:tcPr>
          <w:p>
            <w:pPr>
              <w:pStyle w:val="15"/>
              <w:spacing w:before="12"/>
              <w:rPr>
                <w:sz w:val="23"/>
                <w:lang w:eastAsia="en-US"/>
              </w:rPr>
            </w:pPr>
          </w:p>
          <w:p>
            <w:pPr>
              <w:pStyle w:val="15"/>
              <w:ind w:left="259"/>
              <w:rPr>
                <w:rFonts w:ascii="黑体" w:eastAsia="黑体"/>
                <w:sz w:val="21"/>
                <w:lang w:eastAsia="en-US"/>
              </w:rPr>
            </w:pPr>
            <w:r>
              <w:rPr>
                <w:rFonts w:hint="eastAsia" w:ascii="黑体" w:eastAsia="黑体"/>
                <w:sz w:val="21"/>
                <w:lang w:eastAsia="en-US"/>
              </w:rPr>
              <w:t>组织实施</w:t>
            </w:r>
          </w:p>
        </w:tc>
        <w:tc>
          <w:tcPr>
            <w:tcW w:w="596" w:type="dxa"/>
            <w:vMerge w:val="restart"/>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rPr>
              <w:t>5</w:t>
            </w:r>
          </w:p>
          <w:p>
            <w:pPr>
              <w:pStyle w:val="15"/>
              <w:rPr>
                <w:rFonts w:ascii="Times New Roman"/>
                <w:sz w:val="20"/>
                <w:lang w:eastAsia="en-US"/>
              </w:rPr>
            </w:pPr>
          </w:p>
        </w:tc>
        <w:tc>
          <w:tcPr>
            <w:tcW w:w="1963" w:type="dxa"/>
          </w:tcPr>
          <w:p>
            <w:pPr>
              <w:pStyle w:val="15"/>
              <w:spacing w:before="93"/>
              <w:ind w:left="224" w:right="219"/>
              <w:jc w:val="center"/>
              <w:rPr>
                <w:rFonts w:ascii="黑体" w:eastAsia="黑体"/>
                <w:sz w:val="21"/>
                <w:lang w:eastAsia="en-US"/>
              </w:rPr>
            </w:pPr>
            <w:r>
              <w:rPr>
                <w:rFonts w:hint="eastAsia" w:ascii="黑体" w:eastAsia="黑体"/>
                <w:sz w:val="21"/>
                <w:lang w:eastAsia="en-US"/>
              </w:rPr>
              <w:t>管理制度健全性</w:t>
            </w:r>
          </w:p>
        </w:tc>
        <w:tc>
          <w:tcPr>
            <w:tcW w:w="706" w:type="dxa"/>
            <w:vAlign w:val="top"/>
          </w:tcPr>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2</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制定专项资金管理办法的规定。</w:t>
            </w:r>
          </w:p>
        </w:tc>
        <w:tc>
          <w:tcPr>
            <w:tcW w:w="675" w:type="dxa"/>
            <w:vAlign w:val="top"/>
          </w:tcPr>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5"/>
              <w:spacing w:before="70"/>
              <w:ind w:left="224" w:right="219"/>
              <w:jc w:val="center"/>
              <w:rPr>
                <w:rFonts w:ascii="黑体" w:eastAsia="黑体"/>
                <w:sz w:val="21"/>
                <w:lang w:eastAsia="en-US"/>
              </w:rPr>
            </w:pPr>
            <w:r>
              <w:rPr>
                <w:rFonts w:hint="eastAsia" w:ascii="黑体" w:eastAsia="黑体"/>
                <w:sz w:val="21"/>
                <w:lang w:eastAsia="en-US"/>
              </w:rPr>
              <w:t>制度执行有效性</w:t>
            </w:r>
          </w:p>
        </w:tc>
        <w:tc>
          <w:tcPr>
            <w:tcW w:w="70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3</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5"/>
              <w:rPr>
                <w:sz w:val="20"/>
                <w:lang w:eastAsia="en-US"/>
              </w:rPr>
            </w:pPr>
          </w:p>
          <w:p>
            <w:pPr>
              <w:pStyle w:val="15"/>
              <w:rPr>
                <w:sz w:val="20"/>
                <w:lang w:eastAsia="en-US"/>
              </w:rPr>
            </w:pPr>
          </w:p>
          <w:p>
            <w:pPr>
              <w:pStyle w:val="15"/>
              <w:spacing w:before="1"/>
              <w:rPr>
                <w:lang w:eastAsia="en-US"/>
              </w:rPr>
            </w:pPr>
          </w:p>
          <w:p>
            <w:pPr>
              <w:pStyle w:val="15"/>
              <w:spacing w:before="1" w:line="255" w:lineRule="exact"/>
              <w:ind w:left="74" w:right="69"/>
              <w:jc w:val="center"/>
              <w:rPr>
                <w:rFonts w:ascii="黑体" w:eastAsia="黑体"/>
                <w:sz w:val="21"/>
                <w:lang w:eastAsia="en-US"/>
              </w:rPr>
            </w:pPr>
            <w:r>
              <w:rPr>
                <w:rFonts w:hint="eastAsia" w:ascii="黑体" w:eastAsia="黑体"/>
                <w:sz w:val="21"/>
                <w:lang w:eastAsia="en-US"/>
              </w:rPr>
              <w:t>产出</w:t>
            </w:r>
          </w:p>
          <w:p>
            <w:pPr>
              <w:pStyle w:val="15"/>
              <w:spacing w:line="255" w:lineRule="exact"/>
              <w:ind w:left="77" w:right="69"/>
              <w:jc w:val="center"/>
              <w:rPr>
                <w:rFonts w:ascii="黑体" w:eastAsia="黑体"/>
                <w:sz w:val="21"/>
                <w:lang w:eastAsia="en-US"/>
              </w:rPr>
            </w:pPr>
            <w:r>
              <w:rPr>
                <w:rFonts w:hint="eastAsia" w:ascii="黑体" w:eastAsia="黑体"/>
                <w:sz w:val="21"/>
                <w:lang w:eastAsia="en-US"/>
              </w:rPr>
              <w:t>（35 分）</w:t>
            </w:r>
          </w:p>
        </w:tc>
        <w:tc>
          <w:tcPr>
            <w:tcW w:w="1361" w:type="dxa"/>
            <w:gridSpan w:val="2"/>
          </w:tcPr>
          <w:p>
            <w:pPr>
              <w:pStyle w:val="15"/>
              <w:spacing w:before="121"/>
              <w:ind w:left="259"/>
              <w:rPr>
                <w:rFonts w:ascii="黑体" w:eastAsia="黑体"/>
                <w:sz w:val="21"/>
                <w:lang w:eastAsia="en-US"/>
              </w:rPr>
            </w:pPr>
            <w:r>
              <w:rPr>
                <w:rFonts w:hint="eastAsia" w:ascii="黑体" w:eastAsia="黑体"/>
                <w:sz w:val="21"/>
                <w:lang w:eastAsia="en-US"/>
              </w:rPr>
              <w:t>产出数量</w:t>
            </w:r>
          </w:p>
        </w:tc>
        <w:tc>
          <w:tcPr>
            <w:tcW w:w="59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1963" w:type="dxa"/>
            <w:vMerge w:val="restart"/>
          </w:tcPr>
          <w:p>
            <w:pPr>
              <w:pStyle w:val="15"/>
              <w:rPr>
                <w:sz w:val="20"/>
                <w:lang w:eastAsia="en-US"/>
              </w:rPr>
            </w:pPr>
          </w:p>
          <w:p>
            <w:pPr>
              <w:pStyle w:val="15"/>
              <w:rPr>
                <w:sz w:val="20"/>
                <w:lang w:eastAsia="en-US"/>
              </w:rPr>
            </w:pPr>
          </w:p>
          <w:p>
            <w:pPr>
              <w:pStyle w:val="15"/>
              <w:rPr>
                <w:sz w:val="20"/>
                <w:lang w:eastAsia="en-US"/>
              </w:rPr>
            </w:pPr>
          </w:p>
          <w:p>
            <w:pPr>
              <w:pStyle w:val="15"/>
              <w:rPr>
                <w:sz w:val="20"/>
                <w:lang w:eastAsia="en-US"/>
              </w:rPr>
            </w:pPr>
          </w:p>
          <w:p>
            <w:pPr>
              <w:pStyle w:val="15"/>
              <w:rPr>
                <w:sz w:val="20"/>
                <w:lang w:eastAsia="en-US"/>
              </w:rPr>
            </w:pPr>
          </w:p>
          <w:p>
            <w:pPr>
              <w:pStyle w:val="15"/>
              <w:rPr>
                <w:sz w:val="20"/>
                <w:lang w:eastAsia="en-US"/>
              </w:rPr>
            </w:pPr>
          </w:p>
          <w:p>
            <w:pPr>
              <w:pStyle w:val="15"/>
              <w:spacing w:before="4"/>
              <w:rPr>
                <w:sz w:val="26"/>
                <w:lang w:eastAsia="en-US"/>
              </w:rPr>
            </w:pPr>
          </w:p>
          <w:p>
            <w:pPr>
              <w:pStyle w:val="15"/>
              <w:spacing w:line="213" w:lineRule="auto"/>
              <w:ind w:left="664" w:right="131" w:hanging="524"/>
              <w:rPr>
                <w:rFonts w:ascii="黑体" w:eastAsia="黑体"/>
                <w:sz w:val="21"/>
                <w:lang w:eastAsia="en-US"/>
              </w:rPr>
            </w:pPr>
            <w:r>
              <w:rPr>
                <w:rFonts w:hint="eastAsia" w:ascii="黑体" w:eastAsia="黑体"/>
                <w:sz w:val="21"/>
                <w:lang w:eastAsia="en-US"/>
              </w:rPr>
              <w:t>可根据项目实际情况设置</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en-US" w:bidi="ar-SA"/>
              </w:rPr>
            </w:pPr>
            <w:r>
              <w:rPr>
                <w:rFonts w:hint="eastAsia" w:ascii="黑体" w:hAnsi="黑体" w:eastAsia="黑体" w:cs="黑体"/>
                <w:sz w:val="21"/>
                <w:szCs w:val="21"/>
                <w:lang w:val="en-US" w:eastAsia="zh-CN"/>
              </w:rPr>
              <w:t>10</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产出数量</w:t>
            </w:r>
            <w:r>
              <w:rPr>
                <w:rFonts w:hint="eastAsia" w:ascii="黑体" w:hAnsi="黑体" w:eastAsia="黑体" w:cs="黑体"/>
                <w:color w:val="000000"/>
                <w:kern w:val="0"/>
                <w:sz w:val="21"/>
                <w:szCs w:val="21"/>
                <w:lang w:eastAsia="zh-CN"/>
              </w:rPr>
              <w:t>计算得分。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5"/>
              <w:spacing w:before="121"/>
              <w:ind w:left="259"/>
              <w:rPr>
                <w:rFonts w:ascii="黑体" w:eastAsia="黑体"/>
                <w:sz w:val="21"/>
                <w:lang w:eastAsia="en-US"/>
              </w:rPr>
            </w:pPr>
            <w:r>
              <w:rPr>
                <w:rFonts w:hint="eastAsia" w:ascii="黑体" w:eastAsia="黑体"/>
                <w:sz w:val="21"/>
                <w:lang w:eastAsia="en-US"/>
              </w:rPr>
              <w:t>产出质量</w:t>
            </w:r>
          </w:p>
        </w:tc>
        <w:tc>
          <w:tcPr>
            <w:tcW w:w="59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en-US" w:bidi="ar-SA"/>
              </w:rPr>
            </w:pPr>
            <w:r>
              <w:rPr>
                <w:rFonts w:hint="eastAsia" w:ascii="黑体" w:hAnsi="黑体" w:eastAsia="黑体" w:cs="黑体"/>
                <w:sz w:val="21"/>
                <w:szCs w:val="21"/>
                <w:lang w:val="en-US" w:eastAsia="zh-CN"/>
              </w:rPr>
              <w:t>10</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w:t>
            </w:r>
            <w:r>
              <w:rPr>
                <w:rFonts w:hint="eastAsia" w:ascii="黑体" w:hAnsi="黑体" w:eastAsia="黑体" w:cs="黑体"/>
                <w:color w:val="000000"/>
                <w:kern w:val="0"/>
                <w:sz w:val="21"/>
                <w:szCs w:val="21"/>
                <w:lang w:eastAsia="zh-CN"/>
              </w:rPr>
              <w:t>质量计算得分。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5"/>
              <w:spacing w:before="122"/>
              <w:ind w:left="259"/>
              <w:rPr>
                <w:rFonts w:ascii="黑体" w:eastAsia="黑体"/>
                <w:sz w:val="21"/>
                <w:lang w:eastAsia="en-US"/>
              </w:rPr>
            </w:pPr>
            <w:r>
              <w:rPr>
                <w:rFonts w:hint="eastAsia" w:ascii="黑体" w:eastAsia="黑体"/>
                <w:sz w:val="21"/>
                <w:lang w:eastAsia="en-US"/>
              </w:rPr>
              <w:t>产出时效</w:t>
            </w:r>
          </w:p>
        </w:tc>
        <w:tc>
          <w:tcPr>
            <w:tcW w:w="59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en-US" w:bidi="ar-SA"/>
              </w:rPr>
            </w:pPr>
            <w:r>
              <w:rPr>
                <w:rFonts w:hint="eastAsia" w:ascii="黑体" w:hAnsi="黑体" w:eastAsia="黑体" w:cs="黑体"/>
                <w:sz w:val="21"/>
                <w:szCs w:val="21"/>
                <w:lang w:val="en-US" w:eastAsia="zh-CN"/>
              </w:rPr>
              <w:t>5</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根据实际完成各项工作时间计分</w:t>
            </w:r>
            <w:r>
              <w:rPr>
                <w:rFonts w:hint="eastAsia" w:ascii="黑体" w:hAnsi="黑体" w:eastAsia="黑体" w:cs="黑体"/>
                <w:color w:val="000000"/>
                <w:kern w:val="0"/>
                <w:sz w:val="21"/>
                <w:szCs w:val="21"/>
                <w:lang w:eastAsia="zh-CN"/>
              </w:rPr>
              <w:t>。</w:t>
            </w:r>
          </w:p>
        </w:tc>
        <w:tc>
          <w:tcPr>
            <w:tcW w:w="675" w:type="dxa"/>
            <w:vAlign w:val="top"/>
          </w:tcPr>
          <w:p>
            <w:pPr>
              <w:pStyle w:val="15"/>
              <w:jc w:val="center"/>
              <w:rPr>
                <w:rFonts w:hint="eastAsia" w:ascii="Times New Roman"/>
                <w:sz w:val="20"/>
                <w:lang w:val="en-US" w:eastAsia="zh-CN"/>
              </w:rPr>
            </w:pPr>
          </w:p>
          <w:p>
            <w:pPr>
              <w:pStyle w:val="15"/>
              <w:jc w:val="center"/>
              <w:rPr>
                <w:rFonts w:hint="default" w:ascii="Times New Roman" w:hAnsi="宋体" w:eastAsia="宋体" w:cs="宋体"/>
                <w:sz w:val="20"/>
                <w:szCs w:val="22"/>
                <w:lang w:val="en-US" w:eastAsia="en-US" w:bidi="zh-CN"/>
              </w:rPr>
            </w:pPr>
            <w:r>
              <w:rPr>
                <w:rFonts w:hint="eastAsia" w:ascii="Times New Roman"/>
                <w:sz w:val="20"/>
                <w:lang w:val="en-US" w:eastAsia="zh-CN"/>
              </w:rPr>
              <w:t>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5"/>
              <w:spacing w:before="121"/>
              <w:ind w:left="259"/>
              <w:rPr>
                <w:rFonts w:ascii="黑体" w:eastAsia="黑体"/>
                <w:sz w:val="21"/>
                <w:lang w:eastAsia="en-US"/>
              </w:rPr>
            </w:pPr>
            <w:r>
              <w:rPr>
                <w:rFonts w:hint="eastAsia" w:ascii="黑体" w:eastAsia="黑体"/>
                <w:sz w:val="21"/>
                <w:lang w:eastAsia="en-US"/>
              </w:rPr>
              <w:t>产出成本</w:t>
            </w:r>
          </w:p>
        </w:tc>
        <w:tc>
          <w:tcPr>
            <w:tcW w:w="59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en-US" w:bidi="ar-SA"/>
              </w:rPr>
            </w:pPr>
            <w:r>
              <w:rPr>
                <w:rFonts w:hint="eastAsia" w:ascii="黑体" w:hAnsi="黑体" w:eastAsia="黑体" w:cs="黑体"/>
                <w:sz w:val="21"/>
                <w:szCs w:val="21"/>
                <w:lang w:val="en-US" w:eastAsia="zh-CN"/>
              </w:rPr>
              <w:t>10</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lang w:eastAsia="zh-CN"/>
              </w:rPr>
              <w:t>根据实际</w:t>
            </w:r>
            <w:r>
              <w:rPr>
                <w:rFonts w:hint="eastAsia" w:ascii="黑体" w:hAnsi="黑体" w:eastAsia="黑体" w:cs="黑体"/>
                <w:color w:val="000000"/>
                <w:kern w:val="0"/>
                <w:sz w:val="21"/>
                <w:szCs w:val="21"/>
              </w:rPr>
              <w:t>产出成本</w:t>
            </w:r>
            <w:r>
              <w:rPr>
                <w:rFonts w:hint="eastAsia" w:ascii="黑体" w:hAnsi="黑体" w:eastAsia="黑体" w:cs="黑体"/>
                <w:color w:val="000000"/>
                <w:kern w:val="0"/>
                <w:sz w:val="21"/>
                <w:szCs w:val="21"/>
                <w:lang w:eastAsia="zh-CN"/>
              </w:rPr>
              <w:t>是否控制在预算内计算得分。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5"/>
              <w:rPr>
                <w:sz w:val="20"/>
                <w:lang w:eastAsia="en-US"/>
              </w:rPr>
            </w:pPr>
          </w:p>
          <w:p>
            <w:pPr>
              <w:pStyle w:val="15"/>
              <w:rPr>
                <w:sz w:val="20"/>
                <w:lang w:eastAsia="en-US"/>
              </w:rPr>
            </w:pPr>
          </w:p>
          <w:p>
            <w:pPr>
              <w:pStyle w:val="15"/>
              <w:rPr>
                <w:lang w:eastAsia="en-US"/>
              </w:rPr>
            </w:pPr>
          </w:p>
          <w:p>
            <w:pPr>
              <w:pStyle w:val="15"/>
              <w:spacing w:line="255" w:lineRule="exact"/>
              <w:ind w:left="74" w:right="69"/>
              <w:jc w:val="center"/>
              <w:rPr>
                <w:rFonts w:ascii="黑体" w:eastAsia="黑体"/>
                <w:sz w:val="21"/>
                <w:lang w:eastAsia="en-US"/>
              </w:rPr>
            </w:pPr>
            <w:r>
              <w:rPr>
                <w:rFonts w:hint="eastAsia" w:ascii="黑体" w:eastAsia="黑体"/>
                <w:sz w:val="21"/>
                <w:lang w:eastAsia="en-US"/>
              </w:rPr>
              <w:t>效益</w:t>
            </w:r>
          </w:p>
          <w:p>
            <w:pPr>
              <w:pStyle w:val="15"/>
              <w:spacing w:line="255" w:lineRule="exact"/>
              <w:ind w:left="77" w:right="69"/>
              <w:jc w:val="center"/>
              <w:rPr>
                <w:rFonts w:ascii="黑体" w:eastAsia="黑体"/>
                <w:sz w:val="21"/>
                <w:lang w:eastAsia="en-US"/>
              </w:rPr>
            </w:pPr>
            <w:r>
              <w:rPr>
                <w:rFonts w:hint="eastAsia" w:ascii="黑体" w:eastAsia="黑体"/>
                <w:sz w:val="21"/>
                <w:lang w:eastAsia="en-US"/>
              </w:rPr>
              <w:t>（25 分）</w:t>
            </w:r>
          </w:p>
        </w:tc>
        <w:tc>
          <w:tcPr>
            <w:tcW w:w="1361" w:type="dxa"/>
            <w:gridSpan w:val="2"/>
          </w:tcPr>
          <w:p>
            <w:pPr>
              <w:pStyle w:val="15"/>
              <w:spacing w:before="120"/>
              <w:ind w:left="259"/>
              <w:rPr>
                <w:rFonts w:ascii="黑体" w:eastAsia="黑体"/>
                <w:sz w:val="21"/>
                <w:lang w:eastAsia="en-US"/>
              </w:rPr>
            </w:pPr>
            <w:r>
              <w:rPr>
                <w:rFonts w:hint="eastAsia" w:ascii="黑体" w:eastAsia="黑体"/>
                <w:sz w:val="21"/>
                <w:lang w:eastAsia="en-US"/>
              </w:rPr>
              <w:t>经济效益</w:t>
            </w:r>
          </w:p>
        </w:tc>
        <w:tc>
          <w:tcPr>
            <w:tcW w:w="596" w:type="dxa"/>
            <w:vAlign w:val="top"/>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en-US" w:bidi="ar-SA"/>
              </w:rPr>
            </w:pPr>
            <w:r>
              <w:rPr>
                <w:rFonts w:hint="eastAsia" w:ascii="黑体" w:hAnsi="黑体" w:eastAsia="黑体" w:cs="黑体"/>
                <w:sz w:val="21"/>
                <w:szCs w:val="21"/>
                <w:lang w:val="en-US" w:eastAsia="zh-CN"/>
              </w:rPr>
              <w:t>5</w:t>
            </w:r>
          </w:p>
        </w:tc>
        <w:tc>
          <w:tcPr>
            <w:tcW w:w="3980" w:type="dxa"/>
            <w:vAlign w:val="top"/>
          </w:tcPr>
          <w:p>
            <w:pPr>
              <w:pStyle w:val="15"/>
              <w:rPr>
                <w:rFonts w:hint="eastAsia" w:ascii="黑体" w:hAnsi="黑体" w:eastAsia="黑体" w:cs="黑体"/>
                <w:sz w:val="21"/>
                <w:szCs w:val="21"/>
                <w:lang w:val="en-US" w:eastAsia="en-US" w:bidi="zh-CN"/>
              </w:rPr>
            </w:pPr>
            <w:r>
              <w:rPr>
                <w:rFonts w:hint="eastAsia" w:ascii="黑体" w:hAnsi="黑体" w:eastAsia="黑体" w:cs="黑体"/>
                <w:color w:val="000000"/>
                <w:kern w:val="0"/>
                <w:sz w:val="21"/>
                <w:szCs w:val="21"/>
              </w:rPr>
              <w:t>①</w:t>
            </w:r>
            <w:r>
              <w:rPr>
                <w:rFonts w:hint="eastAsia" w:ascii="黑体" w:hAnsi="黑体" w:eastAsia="黑体" w:cs="黑体"/>
                <w:sz w:val="21"/>
                <w:szCs w:val="21"/>
                <w:lang w:val="en-US" w:eastAsia="zh-CN"/>
              </w:rPr>
              <w:t>是否产生了不正常的经济效益，或本不产生经济收入而违规收取费用。如有，就为0分。</w:t>
            </w:r>
            <w:r>
              <w:rPr>
                <w:rFonts w:hint="eastAsia" w:ascii="黑体" w:hAnsi="黑体" w:eastAsia="黑体" w:cs="黑体"/>
                <w:color w:val="000000"/>
                <w:kern w:val="0"/>
                <w:sz w:val="21"/>
                <w:szCs w:val="21"/>
              </w:rPr>
              <w:t>②</w:t>
            </w:r>
            <w:r>
              <w:rPr>
                <w:rFonts w:hint="eastAsia" w:ascii="黑体" w:hAnsi="黑体" w:eastAsia="黑体" w:cs="黑体"/>
                <w:sz w:val="21"/>
                <w:szCs w:val="21"/>
                <w:lang w:val="en-US" w:eastAsia="zh-CN"/>
              </w:rPr>
              <w:t>对当地的经济发展起到一定作用。</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5"/>
              <w:spacing w:before="121"/>
              <w:ind w:left="259"/>
              <w:rPr>
                <w:rFonts w:ascii="黑体" w:eastAsia="黑体"/>
                <w:sz w:val="21"/>
                <w:lang w:eastAsia="en-US"/>
              </w:rPr>
            </w:pPr>
            <w:r>
              <w:rPr>
                <w:rFonts w:hint="eastAsia" w:ascii="黑体" w:eastAsia="黑体"/>
                <w:sz w:val="21"/>
                <w:lang w:eastAsia="en-US"/>
              </w:rPr>
              <w:t>社会效益</w:t>
            </w:r>
          </w:p>
        </w:tc>
        <w:tc>
          <w:tcPr>
            <w:tcW w:w="596" w:type="dxa"/>
            <w:vAlign w:val="top"/>
          </w:tcPr>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top"/>
          </w:tcPr>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3980" w:type="dxa"/>
            <w:vAlign w:val="top"/>
          </w:tcPr>
          <w:p>
            <w:pPr>
              <w:pStyle w:val="15"/>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对当地发展的稳定起到一定作用。</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5"/>
              <w:spacing w:before="120"/>
              <w:ind w:left="259"/>
              <w:rPr>
                <w:rFonts w:ascii="黑体" w:eastAsia="黑体"/>
                <w:sz w:val="21"/>
                <w:lang w:eastAsia="en-US"/>
              </w:rPr>
            </w:pPr>
            <w:r>
              <w:rPr>
                <w:rFonts w:hint="eastAsia" w:ascii="黑体" w:eastAsia="黑体"/>
                <w:sz w:val="21"/>
                <w:lang w:eastAsia="en-US"/>
              </w:rPr>
              <w:t>生态效益</w:t>
            </w:r>
          </w:p>
        </w:tc>
        <w:tc>
          <w:tcPr>
            <w:tcW w:w="596" w:type="dxa"/>
            <w:vAlign w:val="top"/>
          </w:tcPr>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top"/>
          </w:tcPr>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3980" w:type="dxa"/>
            <w:vAlign w:val="top"/>
          </w:tcPr>
          <w:p>
            <w:pPr>
              <w:pStyle w:val="15"/>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在组织活动中，是否对生态起到了破坏作用。如有，就为0分。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5"/>
              <w:spacing w:before="122"/>
              <w:ind w:left="154"/>
              <w:rPr>
                <w:rFonts w:ascii="黑体" w:eastAsia="黑体"/>
                <w:sz w:val="21"/>
                <w:lang w:eastAsia="en-US"/>
              </w:rPr>
            </w:pPr>
            <w:r>
              <w:rPr>
                <w:rFonts w:hint="eastAsia" w:ascii="黑体" w:eastAsia="黑体"/>
                <w:sz w:val="21"/>
                <w:lang w:eastAsia="en-US"/>
              </w:rPr>
              <w:t>可持续效益</w:t>
            </w:r>
          </w:p>
        </w:tc>
        <w:tc>
          <w:tcPr>
            <w:tcW w:w="596" w:type="dxa"/>
            <w:vAlign w:val="top"/>
          </w:tcPr>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top"/>
          </w:tcPr>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3980" w:type="dxa"/>
            <w:vAlign w:val="top"/>
          </w:tcPr>
          <w:p>
            <w:pPr>
              <w:pStyle w:val="15"/>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对本项目或其他活动的开展，起到可持续效益作用。</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141" w:type="dxa"/>
          </w:tcPr>
          <w:p>
            <w:pPr>
              <w:pStyle w:val="15"/>
              <w:spacing w:before="3"/>
              <w:rPr>
                <w:sz w:val="15"/>
                <w:lang w:eastAsia="en-US"/>
              </w:rPr>
            </w:pPr>
          </w:p>
          <w:p>
            <w:pPr>
              <w:pStyle w:val="15"/>
              <w:spacing w:line="255" w:lineRule="exact"/>
              <w:ind w:left="74" w:right="69"/>
              <w:jc w:val="center"/>
              <w:rPr>
                <w:rFonts w:ascii="黑体" w:eastAsia="黑体"/>
                <w:sz w:val="21"/>
                <w:lang w:eastAsia="en-US"/>
              </w:rPr>
            </w:pPr>
            <w:r>
              <w:rPr>
                <w:rFonts w:hint="eastAsia" w:ascii="黑体" w:eastAsia="黑体"/>
                <w:sz w:val="21"/>
                <w:lang w:eastAsia="en-US"/>
              </w:rPr>
              <w:t>满意度</w:t>
            </w:r>
          </w:p>
          <w:p>
            <w:pPr>
              <w:pStyle w:val="15"/>
              <w:spacing w:line="255" w:lineRule="exact"/>
              <w:ind w:left="77" w:right="69"/>
              <w:jc w:val="center"/>
              <w:rPr>
                <w:rFonts w:ascii="黑体" w:eastAsia="黑体"/>
                <w:sz w:val="21"/>
                <w:lang w:eastAsia="en-US"/>
              </w:rPr>
            </w:pPr>
            <w:r>
              <w:rPr>
                <w:rFonts w:hint="eastAsia" w:ascii="黑体" w:eastAsia="黑体"/>
                <w:sz w:val="21"/>
                <w:lang w:eastAsia="en-US"/>
              </w:rPr>
              <w:t>（10 分）</w:t>
            </w:r>
          </w:p>
        </w:tc>
        <w:tc>
          <w:tcPr>
            <w:tcW w:w="1361" w:type="dxa"/>
            <w:gridSpan w:val="2"/>
          </w:tcPr>
          <w:p>
            <w:pPr>
              <w:pStyle w:val="15"/>
              <w:spacing w:before="98" w:line="213" w:lineRule="auto"/>
              <w:ind w:left="154" w:right="145"/>
              <w:jc w:val="center"/>
              <w:rPr>
                <w:rFonts w:ascii="黑体" w:eastAsia="黑体"/>
                <w:sz w:val="21"/>
                <w:lang w:eastAsia="en-US"/>
              </w:rPr>
            </w:pPr>
            <w:r>
              <w:rPr>
                <w:rFonts w:hint="eastAsia" w:ascii="黑体" w:eastAsia="黑体"/>
                <w:sz w:val="21"/>
                <w:lang w:eastAsia="en-US"/>
              </w:rPr>
              <w:t>社会公众或服务对象满意度</w:t>
            </w:r>
          </w:p>
        </w:tc>
        <w:tc>
          <w:tcPr>
            <w:tcW w:w="596" w:type="dxa"/>
            <w:vAlign w:val="top"/>
          </w:tcPr>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1963" w:type="dxa"/>
          </w:tcPr>
          <w:p>
            <w:pPr>
              <w:pStyle w:val="15"/>
              <w:rPr>
                <w:rFonts w:ascii="Times New Roman"/>
                <w:sz w:val="20"/>
                <w:lang w:eastAsia="en-US"/>
              </w:rPr>
            </w:pPr>
          </w:p>
        </w:tc>
        <w:tc>
          <w:tcPr>
            <w:tcW w:w="706" w:type="dxa"/>
            <w:vAlign w:val="top"/>
          </w:tcPr>
          <w:p>
            <w:pPr>
              <w:pStyle w:val="15"/>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3980" w:type="dxa"/>
            <w:vAlign w:val="top"/>
          </w:tcPr>
          <w:p>
            <w:pPr>
              <w:pStyle w:val="15"/>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社会公众或服务对象是指因该项目实施而受到影响的部门（单位）、群体或个人。社会公众或服务对象满意度</w:t>
            </w:r>
            <w:r>
              <w:rPr>
                <w:rFonts w:hint="eastAsia" w:ascii="黑体" w:hAnsi="黑体" w:eastAsia="黑体" w:cs="黑体"/>
                <w:color w:val="000000"/>
                <w:kern w:val="0"/>
                <w:sz w:val="21"/>
                <w:szCs w:val="21"/>
                <w:lang w:val="en-US" w:eastAsia="zh-CN"/>
              </w:rPr>
              <w:t>按照实际情况给分。</w:t>
            </w:r>
          </w:p>
        </w:tc>
        <w:tc>
          <w:tcPr>
            <w:tcW w:w="675" w:type="dxa"/>
            <w:vAlign w:val="top"/>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hAnsi="宋体" w:eastAsia="宋体" w:cs="宋体"/>
                <w:sz w:val="20"/>
                <w:szCs w:val="22"/>
                <w:lang w:val="en-US" w:eastAsia="en-US" w:bidi="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747" w:type="dxa"/>
            <w:gridSpan w:val="7"/>
          </w:tcPr>
          <w:p>
            <w:pPr>
              <w:pStyle w:val="15"/>
              <w:spacing w:before="121"/>
              <w:ind w:left="4641" w:right="4636"/>
              <w:jc w:val="center"/>
              <w:rPr>
                <w:rFonts w:ascii="黑体" w:eastAsia="黑体"/>
                <w:sz w:val="21"/>
                <w:lang w:eastAsia="en-US"/>
              </w:rPr>
            </w:pPr>
            <w:r>
              <w:rPr>
                <w:rFonts w:hint="eastAsia" w:ascii="黑体" w:eastAsia="黑体"/>
                <w:sz w:val="21"/>
                <w:lang w:eastAsia="en-US"/>
              </w:rPr>
              <w:t>总分</w:t>
            </w:r>
          </w:p>
        </w:tc>
        <w:tc>
          <w:tcPr>
            <w:tcW w:w="675" w:type="dxa"/>
          </w:tcPr>
          <w:p>
            <w:pPr>
              <w:pStyle w:val="15"/>
              <w:rPr>
                <w:rFonts w:hint="default" w:ascii="Times New Roman" w:eastAsia="宋体"/>
                <w:sz w:val="20"/>
                <w:lang w:val="en-US" w:eastAsia="zh-CN"/>
              </w:rPr>
            </w:pPr>
            <w:r>
              <w:rPr>
                <w:rFonts w:hint="eastAsia" w:ascii="Times New Roman"/>
                <w:sz w:val="20"/>
                <w:lang w:val="en-US" w:eastAsia="zh-CN"/>
              </w:rPr>
              <w:t>86.82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29" w:type="dxa"/>
            <w:gridSpan w:val="2"/>
            <w:vMerge w:val="restart"/>
          </w:tcPr>
          <w:p>
            <w:pPr>
              <w:pStyle w:val="15"/>
              <w:rPr>
                <w:sz w:val="23"/>
                <w:lang w:eastAsia="en-US"/>
              </w:rPr>
            </w:pPr>
          </w:p>
          <w:p>
            <w:pPr>
              <w:pStyle w:val="15"/>
              <w:ind w:left="342"/>
              <w:rPr>
                <w:rFonts w:ascii="黑体" w:eastAsia="黑体"/>
                <w:sz w:val="21"/>
                <w:lang w:eastAsia="en-US"/>
              </w:rPr>
            </w:pPr>
            <w:r>
              <w:rPr>
                <w:rFonts w:hint="eastAsia" w:ascii="黑体" w:eastAsia="黑体"/>
                <w:sz w:val="21"/>
                <w:lang w:eastAsia="en-US"/>
              </w:rPr>
              <w:t>评价等级</w:t>
            </w:r>
          </w:p>
        </w:tc>
        <w:tc>
          <w:tcPr>
            <w:tcW w:w="8893" w:type="dxa"/>
            <w:gridSpan w:val="6"/>
          </w:tcPr>
          <w:p>
            <w:pPr>
              <w:pStyle w:val="15"/>
              <w:numPr>
                <w:ilvl w:val="0"/>
                <w:numId w:val="0"/>
              </w:numPr>
              <w:tabs>
                <w:tab w:val="left" w:pos="2527"/>
                <w:tab w:val="left" w:pos="3577"/>
                <w:tab w:val="left" w:pos="4813"/>
                <w:tab w:val="left" w:pos="6155"/>
              </w:tabs>
              <w:spacing w:before="72"/>
              <w:ind w:left="2338" w:leftChars="0"/>
              <w:rPr>
                <w:rFonts w:ascii="黑体" w:hAnsi="黑体" w:eastAsia="黑体"/>
                <w:sz w:val="21"/>
                <w:lang w:eastAsia="en-US"/>
              </w:rPr>
            </w:pPr>
            <w:r>
              <w:rPr>
                <w:rFonts w:hint="eastAsia" w:ascii="黑体" w:hAnsi="黑体" w:eastAsia="黑体"/>
                <w:sz w:val="21"/>
                <w:lang w:eastAsia="en-US"/>
              </w:rPr>
              <w:sym w:font="Wingdings 2" w:char="00A3"/>
            </w:r>
            <w:r>
              <w:rPr>
                <w:rFonts w:hint="eastAsia" w:ascii="黑体" w:hAnsi="黑体" w:eastAsia="黑体"/>
                <w:sz w:val="21"/>
                <w:lang w:eastAsia="en-US"/>
              </w:rPr>
              <w:t>优</w:t>
            </w:r>
            <w:r>
              <w:rPr>
                <w:rFonts w:hint="eastAsia" w:ascii="黑体" w:hAnsi="黑体" w:eastAsia="黑体"/>
                <w:sz w:val="21"/>
                <w:lang w:eastAsia="en-US"/>
              </w:rPr>
              <w:tab/>
            </w:r>
            <w:r>
              <w:rPr>
                <w:rFonts w:ascii="Wingdings 2" w:hAnsi="Wingdings 2" w:eastAsia="Wingdings 2"/>
                <w:sz w:val="21"/>
                <w:lang w:eastAsia="en-US"/>
              </w:rPr>
              <w:sym w:font="Wingdings 2" w:char="0052"/>
            </w:r>
            <w:r>
              <w:rPr>
                <w:rFonts w:hint="eastAsia" w:ascii="黑体" w:hAnsi="黑体" w:eastAsia="黑体"/>
                <w:sz w:val="21"/>
                <w:lang w:eastAsia="en-US"/>
              </w:rPr>
              <w:t>良</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中</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8893" w:type="dxa"/>
            <w:gridSpan w:val="6"/>
          </w:tcPr>
          <w:p>
            <w:pPr>
              <w:pStyle w:val="15"/>
              <w:spacing w:before="80"/>
              <w:ind w:left="107"/>
              <w:rPr>
                <w:rFonts w:ascii="黑体" w:eastAsia="黑体"/>
                <w:sz w:val="21"/>
                <w:lang w:eastAsia="en-US"/>
              </w:rPr>
            </w:pPr>
            <w:r>
              <w:rPr>
                <w:rFonts w:hint="eastAsia" w:ascii="黑体" w:eastAsia="黑体"/>
                <w:sz w:val="21"/>
                <w:lang w:eastAsia="en-US"/>
              </w:rPr>
              <w:t>90（含）-100 分为优、80（含）-90 分为良、60（含）-80 分为中、60 分以下为差</w:t>
            </w:r>
          </w:p>
        </w:tc>
      </w:tr>
    </w:tbl>
    <w:p>
      <w:pPr>
        <w:spacing w:before="282"/>
        <w:ind w:left="269"/>
        <w:rPr>
          <w:rFonts w:ascii="黑体" w:eastAsia="黑体"/>
          <w:sz w:val="20"/>
        </w:rPr>
      </w:pPr>
      <w:r>
        <w:rPr>
          <w:rFonts w:hint="eastAsia" w:ascii="黑体" w:eastAsia="黑体"/>
          <w:sz w:val="20"/>
        </w:rPr>
        <w:t>注：请参照《项目支出绩效评价指标体系框架》（财预〔2020〕10 号）设置相关指标。</w:t>
      </w:r>
    </w:p>
    <w:p>
      <w:pPr>
        <w:pStyle w:val="2"/>
        <w:rPr>
          <w:rFonts w:ascii="黑体"/>
          <w:sz w:val="27"/>
        </w:rPr>
      </w:pPr>
    </w:p>
    <w:p>
      <w:pPr>
        <w:spacing w:line="220" w:lineRule="atLeast"/>
      </w:pPr>
    </w:p>
    <w:sectPr>
      <w:footerReference r:id="rId7" w:type="even"/>
      <w:pgSz w:w="11910" w:h="16840"/>
      <w:pgMar w:top="1200" w:right="340" w:bottom="280" w:left="580"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FACCB"/>
    <w:multiLevelType w:val="singleLevel"/>
    <w:tmpl w:val="237FACC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ZWY1NmQ1ZWY5YTkyMDI5MzAwYWZlODUyZmYwNjgifQ=="/>
  </w:docVars>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136F66CF"/>
    <w:rsid w:val="18141CAC"/>
    <w:rsid w:val="18CB12CC"/>
    <w:rsid w:val="219359DF"/>
    <w:rsid w:val="276050CF"/>
    <w:rsid w:val="291B3A3F"/>
    <w:rsid w:val="34526CAC"/>
    <w:rsid w:val="3C7D7C75"/>
    <w:rsid w:val="3E5B3121"/>
    <w:rsid w:val="3EAC4F55"/>
    <w:rsid w:val="3FC4377B"/>
    <w:rsid w:val="42B73856"/>
    <w:rsid w:val="442742D8"/>
    <w:rsid w:val="44943031"/>
    <w:rsid w:val="4A1331B7"/>
    <w:rsid w:val="4DBC03F5"/>
    <w:rsid w:val="51254295"/>
    <w:rsid w:val="56B502AD"/>
    <w:rsid w:val="57AA2DFF"/>
    <w:rsid w:val="5CA14E7D"/>
    <w:rsid w:val="5F7954B6"/>
    <w:rsid w:val="5FAC715B"/>
    <w:rsid w:val="63B07764"/>
    <w:rsid w:val="66027711"/>
    <w:rsid w:val="68E07810"/>
    <w:rsid w:val="692C7466"/>
    <w:rsid w:val="6BBD17D6"/>
    <w:rsid w:val="7CEA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3">
    <w:name w:val="Balloon Text"/>
    <w:basedOn w:val="1"/>
    <w:link w:val="16"/>
    <w:semiHidden/>
    <w:unhideWhenUsed/>
    <w:qFormat/>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4">
    <w:name w:val="footer"/>
    <w:basedOn w:val="1"/>
    <w:link w:val="9"/>
    <w:semiHidden/>
    <w:unhideWhenUsed/>
    <w:qFormat/>
    <w:uiPriority w:val="99"/>
    <w:pPr>
      <w:tabs>
        <w:tab w:val="center" w:pos="4153"/>
        <w:tab w:val="right" w:pos="8306"/>
      </w:tabs>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semiHidden/>
    <w:qFormat/>
    <w:uiPriority w:val="99"/>
    <w:rPr>
      <w:rFonts w:ascii="Tahoma" w:hAnsi="Tahoma"/>
      <w:sz w:val="18"/>
      <w:szCs w:val="18"/>
    </w:rPr>
  </w:style>
  <w:style w:type="character" w:customStyle="1" w:styleId="9">
    <w:name w:val="页脚 Char"/>
    <w:basedOn w:val="7"/>
    <w:link w:val="4"/>
    <w:semiHidden/>
    <w:qFormat/>
    <w:uiPriority w:val="99"/>
    <w:rPr>
      <w:rFonts w:ascii="Tahoma" w:hAnsi="Tahoma"/>
      <w:sz w:val="18"/>
      <w:szCs w:val="18"/>
    </w:rPr>
  </w:style>
  <w:style w:type="table" w:customStyle="1" w:styleId="10">
    <w:name w:val="Table Normal"/>
    <w:semiHidden/>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1">
    <w:name w:val="正文文本 Char"/>
    <w:basedOn w:val="7"/>
    <w:link w:val="2"/>
    <w:qFormat/>
    <w:uiPriority w:val="1"/>
    <w:rPr>
      <w:rFonts w:ascii="宋体" w:hAnsi="宋体" w:eastAsia="宋体" w:cs="宋体"/>
      <w:sz w:val="32"/>
      <w:szCs w:val="32"/>
      <w:lang w:val="zh-CN" w:bidi="zh-CN"/>
    </w:rPr>
  </w:style>
  <w:style w:type="paragraph" w:customStyle="1" w:styleId="12">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3">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styleId="14">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5">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6">
    <w:name w:val="批注框文本 Char"/>
    <w:basedOn w:val="7"/>
    <w:link w:val="3"/>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4194</Words>
  <Characters>4342</Characters>
  <Lines>6</Lines>
  <Paragraphs>1</Paragraphs>
  <TotalTime>16</TotalTime>
  <ScaleCrop>false</ScaleCrop>
  <LinksUpToDate>false</LinksUpToDate>
  <CharactersWithSpaces>4430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2023-04-13T07:41:58Z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4737872A480A4AB2ABB3BE5506229094</vt:lpwstr>
  </property>
</Properties>
</file>