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center"/>
        <w:rPr>
          <w:rFonts w:ascii="黑体" w:hAnsi="黑体" w:eastAsia="黑体"/>
          <w:b/>
          <w:sz w:val="44"/>
          <w:szCs w:val="44"/>
        </w:rPr>
      </w:pPr>
    </w:p>
    <w:p>
      <w:pPr>
        <w:ind w:firstLine="0" w:firstLineChars="0"/>
        <w:jc w:val="center"/>
        <w:rPr>
          <w:rFonts w:ascii="黑体" w:hAnsi="黑体" w:eastAsia="黑体"/>
          <w:b/>
          <w:sz w:val="44"/>
          <w:szCs w:val="44"/>
        </w:rPr>
      </w:pPr>
      <w:r>
        <w:rPr>
          <w:rFonts w:hint="eastAsia" w:ascii="黑体" w:hAnsi="黑体" w:eastAsia="黑体"/>
          <w:b/>
          <w:sz w:val="44"/>
          <w:szCs w:val="44"/>
        </w:rPr>
        <w:t>财政项目支出绩效评价报告</w:t>
      </w:r>
    </w:p>
    <w:p>
      <w:pPr>
        <w:pStyle w:val="2"/>
        <w:ind w:firstLine="880"/>
        <w:rPr>
          <w:sz w:val="44"/>
          <w:szCs w:val="44"/>
        </w:rPr>
      </w:pPr>
    </w:p>
    <w:p>
      <w:pPr>
        <w:pStyle w:val="2"/>
        <w:ind w:firstLine="880"/>
        <w:rPr>
          <w:sz w:val="44"/>
          <w:szCs w:val="44"/>
        </w:rPr>
      </w:pPr>
    </w:p>
    <w:p>
      <w:pPr>
        <w:pStyle w:val="2"/>
        <w:ind w:firstLine="880"/>
        <w:rPr>
          <w:sz w:val="44"/>
          <w:szCs w:val="44"/>
        </w:rPr>
      </w:pPr>
    </w:p>
    <w:p>
      <w:pPr>
        <w:pStyle w:val="2"/>
        <w:ind w:firstLine="880"/>
        <w:rPr>
          <w:sz w:val="44"/>
          <w:szCs w:val="44"/>
        </w:rPr>
      </w:pPr>
    </w:p>
    <w:p>
      <w:pPr>
        <w:pStyle w:val="2"/>
        <w:ind w:firstLine="880"/>
        <w:rPr>
          <w:sz w:val="44"/>
          <w:szCs w:val="44"/>
        </w:rPr>
      </w:pPr>
    </w:p>
    <w:p>
      <w:pPr>
        <w:pStyle w:val="2"/>
        <w:ind w:firstLine="880"/>
        <w:rPr>
          <w:sz w:val="44"/>
          <w:szCs w:val="44"/>
        </w:rPr>
      </w:pPr>
    </w:p>
    <w:p>
      <w:pPr>
        <w:pStyle w:val="2"/>
        <w:ind w:firstLine="880"/>
        <w:rPr>
          <w:sz w:val="44"/>
          <w:szCs w:val="44"/>
        </w:rPr>
      </w:pPr>
    </w:p>
    <w:p>
      <w:pPr>
        <w:pStyle w:val="2"/>
        <w:ind w:firstLine="0" w:firstLineChars="0"/>
        <w:rPr>
          <w:sz w:val="44"/>
          <w:szCs w:val="44"/>
        </w:rPr>
      </w:pPr>
    </w:p>
    <w:p>
      <w:pPr>
        <w:pStyle w:val="2"/>
        <w:ind w:firstLine="0" w:firstLineChars="0"/>
        <w:rPr>
          <w:sz w:val="44"/>
          <w:szCs w:val="44"/>
        </w:rPr>
      </w:pPr>
    </w:p>
    <w:p>
      <w:pPr>
        <w:pStyle w:val="2"/>
        <w:ind w:firstLine="0" w:firstLineChars="0"/>
        <w:rPr>
          <w:sz w:val="44"/>
          <w:szCs w:val="44"/>
        </w:rPr>
      </w:pPr>
    </w:p>
    <w:p>
      <w:pPr>
        <w:ind w:firstLine="0" w:firstLineChars="0"/>
        <w:jc w:val="center"/>
        <w:rPr>
          <w:rFonts w:ascii="黑体" w:hAnsi="黑体" w:eastAsia="黑体" w:cs="黑体"/>
          <w:b/>
          <w:bCs/>
          <w:sz w:val="44"/>
          <w:szCs w:val="44"/>
        </w:rPr>
      </w:pPr>
      <w:r>
        <w:rPr>
          <w:rFonts w:hint="eastAsia" w:ascii="黑体" w:hAnsi="黑体" w:eastAsia="黑体" w:cs="黑体"/>
          <w:b/>
          <w:bCs/>
          <w:sz w:val="44"/>
          <w:szCs w:val="44"/>
        </w:rPr>
        <w:t>江西源起思成管理咨询有限公司</w:t>
      </w:r>
    </w:p>
    <w:p>
      <w:pPr>
        <w:ind w:firstLine="0" w:firstLineChars="0"/>
        <w:jc w:val="center"/>
        <w:rPr>
          <w:sz w:val="44"/>
          <w:szCs w:val="44"/>
        </w:rPr>
      </w:pPr>
      <w:r>
        <w:rPr>
          <w:rFonts w:hint="eastAsia" w:ascii="黑体" w:hAnsi="黑体" w:eastAsia="黑体"/>
          <w:b/>
          <w:sz w:val="44"/>
          <w:szCs w:val="44"/>
        </w:rPr>
        <w:t>2021年11月10日</w:t>
      </w:r>
    </w:p>
    <w:p>
      <w:pPr>
        <w:ind w:firstLine="723"/>
        <w:jc w:val="center"/>
        <w:rPr>
          <w:rFonts w:hint="eastAsia" w:ascii="黑体" w:hAnsi="黑体" w:eastAsia="黑体" w:cs="黑体"/>
          <w:b/>
          <w:bCs/>
          <w:sz w:val="36"/>
          <w:szCs w:val="36"/>
        </w:rPr>
      </w:pPr>
    </w:p>
    <w:p>
      <w:pPr>
        <w:pStyle w:val="2"/>
        <w:ind w:firstLine="560"/>
      </w:pPr>
    </w:p>
    <w:p>
      <w:pPr>
        <w:ind w:firstLine="723"/>
        <w:jc w:val="center"/>
        <w:rPr>
          <w:rFonts w:hint="eastAsia" w:ascii="黑体" w:hAnsi="黑体" w:eastAsia="黑体" w:cs="黑体"/>
          <w:b/>
          <w:bCs/>
          <w:sz w:val="36"/>
          <w:szCs w:val="36"/>
        </w:rPr>
      </w:pPr>
    </w:p>
    <w:p>
      <w:pPr>
        <w:ind w:firstLine="723"/>
        <w:jc w:val="center"/>
        <w:rPr>
          <w:rFonts w:ascii="黑体" w:hAnsi="黑体" w:eastAsia="黑体" w:cs="黑体"/>
        </w:rPr>
      </w:pPr>
      <w:r>
        <w:rPr>
          <w:rFonts w:hint="eastAsia" w:ascii="黑体" w:hAnsi="黑体" w:eastAsia="黑体" w:cs="黑体"/>
          <w:b/>
          <w:bCs/>
          <w:sz w:val="36"/>
          <w:szCs w:val="36"/>
        </w:rPr>
        <w:t>项目支出绩效评价报告</w:t>
      </w:r>
    </w:p>
    <w:p>
      <w:pPr>
        <w:ind w:firstLine="723"/>
        <w:rPr>
          <w:rFonts w:ascii="黑体" w:hAnsi="黑体" w:eastAsia="黑体" w:cs="黑体"/>
          <w:b/>
          <w:bCs/>
          <w:sz w:val="36"/>
          <w:szCs w:val="36"/>
        </w:rPr>
      </w:pPr>
    </w:p>
    <w:p>
      <w:pPr>
        <w:spacing w:line="600" w:lineRule="exact"/>
        <w:ind w:left="1929" w:leftChars="230" w:hanging="1285" w:hangingChars="400"/>
        <w:rPr>
          <w:rFonts w:ascii="黑体" w:hAnsi="黑体" w:eastAsia="黑体" w:cs="黑体"/>
          <w:b/>
          <w:bCs/>
          <w:sz w:val="32"/>
          <w:szCs w:val="32"/>
          <w:u w:val="single"/>
        </w:rPr>
      </w:pPr>
      <w:r>
        <w:rPr>
          <w:rFonts w:hint="eastAsia" w:ascii="黑体" w:hAnsi="黑体" w:eastAsia="黑体" w:cs="黑体"/>
          <w:b/>
          <w:bCs/>
          <w:sz w:val="32"/>
          <w:szCs w:val="32"/>
        </w:rPr>
        <w:t>项目名称：</w:t>
      </w:r>
      <w:r>
        <w:rPr>
          <w:rFonts w:hint="eastAsia" w:ascii="黑体" w:hAnsi="黑体" w:eastAsia="黑体" w:cs="黑体"/>
          <w:b/>
          <w:bCs/>
          <w:sz w:val="32"/>
          <w:szCs w:val="32"/>
          <w:u w:val="single"/>
        </w:rPr>
        <w:t xml:space="preserve">     救急难专项资金经费支出项目              </w:t>
      </w:r>
    </w:p>
    <w:p>
      <w:pPr>
        <w:spacing w:line="600" w:lineRule="exact"/>
        <w:ind w:firstLine="0" w:firstLineChars="0"/>
        <w:rPr>
          <w:rFonts w:ascii="黑体" w:hAnsi="黑体" w:eastAsia="黑体" w:cs="黑体"/>
          <w:b/>
          <w:bCs/>
          <w:sz w:val="32"/>
          <w:szCs w:val="32"/>
        </w:rPr>
      </w:pPr>
    </w:p>
    <w:p>
      <w:pPr>
        <w:spacing w:line="600" w:lineRule="exact"/>
        <w:ind w:firstLine="643"/>
        <w:rPr>
          <w:rFonts w:ascii="黑体" w:hAnsi="黑体" w:eastAsia="黑体" w:cs="黑体"/>
          <w:b/>
          <w:bCs/>
          <w:sz w:val="32"/>
          <w:szCs w:val="32"/>
        </w:rPr>
      </w:pPr>
      <w:r>
        <w:rPr>
          <w:rFonts w:hint="eastAsia" w:ascii="黑体" w:hAnsi="黑体" w:eastAsia="黑体" w:cs="黑体"/>
          <w:b/>
          <w:bCs/>
          <w:sz w:val="32"/>
          <w:szCs w:val="32"/>
        </w:rPr>
        <w:t>项目类别：</w:t>
      </w:r>
      <w:r>
        <w:rPr>
          <w:rFonts w:hint="eastAsia" w:ascii="黑体" w:hAnsi="黑体" w:eastAsia="黑体" w:cs="黑体"/>
          <w:b/>
          <w:bCs/>
          <w:sz w:val="32"/>
          <w:szCs w:val="32"/>
          <w:u w:val="single"/>
        </w:rPr>
        <w:t xml:space="preserve">            社会发展类                  </w:t>
      </w:r>
    </w:p>
    <w:p>
      <w:pPr>
        <w:spacing w:line="600" w:lineRule="exact"/>
        <w:ind w:firstLine="0" w:firstLineChars="0"/>
        <w:rPr>
          <w:rFonts w:ascii="黑体" w:hAnsi="黑体" w:eastAsia="黑体" w:cs="黑体"/>
          <w:b/>
          <w:bCs/>
          <w:sz w:val="32"/>
          <w:szCs w:val="32"/>
        </w:rPr>
      </w:pPr>
    </w:p>
    <w:p>
      <w:pPr>
        <w:spacing w:line="600" w:lineRule="exact"/>
        <w:ind w:firstLine="643"/>
        <w:rPr>
          <w:rFonts w:ascii="黑体" w:hAnsi="黑体" w:eastAsia="黑体" w:cs="黑体"/>
          <w:b/>
          <w:bCs/>
          <w:sz w:val="32"/>
          <w:szCs w:val="32"/>
        </w:rPr>
      </w:pPr>
      <w:r>
        <w:rPr>
          <w:rFonts w:hint="eastAsia" w:ascii="黑体" w:hAnsi="黑体" w:eastAsia="黑体" w:cs="黑体"/>
          <w:b/>
          <w:bCs/>
          <w:sz w:val="32"/>
          <w:szCs w:val="32"/>
        </w:rPr>
        <w:t>实施单位：</w:t>
      </w:r>
      <w:r>
        <w:rPr>
          <w:rFonts w:hint="eastAsia" w:ascii="黑体" w:hAnsi="黑体" w:eastAsia="黑体" w:cs="黑体"/>
          <w:b/>
          <w:bCs/>
          <w:sz w:val="32"/>
          <w:szCs w:val="32"/>
          <w:u w:val="single"/>
        </w:rPr>
        <w:t xml:space="preserve">       南昌市青云谱区民政局              </w:t>
      </w:r>
    </w:p>
    <w:p>
      <w:pPr>
        <w:spacing w:line="600" w:lineRule="exact"/>
        <w:ind w:firstLine="0" w:firstLineChars="0"/>
        <w:rPr>
          <w:rFonts w:ascii="黑体" w:hAnsi="黑体" w:eastAsia="黑体" w:cs="黑体"/>
          <w:b/>
          <w:bCs/>
          <w:sz w:val="32"/>
          <w:szCs w:val="32"/>
        </w:rPr>
      </w:pPr>
      <w:r>
        <w:rPr>
          <w:rFonts w:hint="eastAsia" w:ascii="黑体" w:hAnsi="黑体" w:eastAsia="黑体" w:cs="黑体"/>
          <w:b/>
          <w:bCs/>
          <w:sz w:val="32"/>
          <w:szCs w:val="32"/>
        </w:rPr>
        <w:t xml:space="preserve"> </w:t>
      </w:r>
    </w:p>
    <w:p>
      <w:pPr>
        <w:spacing w:line="600" w:lineRule="exact"/>
        <w:ind w:firstLine="643"/>
        <w:jc w:val="left"/>
        <w:rPr>
          <w:rFonts w:ascii="黑体" w:hAnsi="黑体" w:eastAsia="黑体" w:cs="黑体"/>
          <w:b/>
          <w:bCs/>
          <w:sz w:val="32"/>
          <w:szCs w:val="32"/>
        </w:rPr>
      </w:pPr>
      <w:r>
        <w:rPr>
          <w:rFonts w:hint="eastAsia" w:ascii="黑体" w:hAnsi="黑体" w:eastAsia="黑体" w:cs="黑体"/>
          <w:b/>
          <w:bCs/>
          <w:sz w:val="32"/>
          <w:szCs w:val="32"/>
        </w:rPr>
        <w:t>主管部门：</w:t>
      </w:r>
      <w:r>
        <w:rPr>
          <w:rFonts w:hint="eastAsia" w:ascii="黑体" w:hAnsi="黑体" w:eastAsia="黑体" w:cs="黑体"/>
          <w:b/>
          <w:bCs/>
          <w:sz w:val="32"/>
          <w:szCs w:val="32"/>
          <w:u w:val="single"/>
        </w:rPr>
        <w:t xml:space="preserve">      南昌市青云谱区民政局（盖章）           </w:t>
      </w:r>
    </w:p>
    <w:p>
      <w:pPr>
        <w:spacing w:line="600" w:lineRule="exact"/>
        <w:ind w:firstLine="0" w:firstLineChars="0"/>
        <w:rPr>
          <w:rFonts w:ascii="黑体" w:hAnsi="黑体" w:eastAsia="黑体" w:cs="黑体"/>
          <w:b/>
          <w:bCs/>
          <w:sz w:val="32"/>
          <w:szCs w:val="32"/>
        </w:rPr>
      </w:pPr>
    </w:p>
    <w:p>
      <w:pPr>
        <w:spacing w:line="600" w:lineRule="exact"/>
        <w:ind w:firstLine="643"/>
        <w:jc w:val="left"/>
        <w:rPr>
          <w:rFonts w:ascii="黑体" w:hAnsi="黑体" w:eastAsia="黑体" w:cs="黑体"/>
          <w:b/>
          <w:bCs/>
          <w:sz w:val="32"/>
          <w:szCs w:val="32"/>
        </w:rPr>
      </w:pPr>
      <w:r>
        <w:rPr>
          <w:rFonts w:hint="eastAsia" w:ascii="黑体" w:hAnsi="黑体" w:eastAsia="黑体" w:cs="黑体"/>
          <w:b/>
          <w:bCs/>
          <w:sz w:val="32"/>
          <w:szCs w:val="32"/>
        </w:rPr>
        <w:t>评价机构：</w:t>
      </w:r>
      <w:r>
        <w:rPr>
          <w:rFonts w:hint="eastAsia" w:ascii="黑体" w:hAnsi="黑体" w:eastAsia="黑体" w:cs="黑体"/>
          <w:b/>
          <w:bCs/>
          <w:sz w:val="32"/>
          <w:szCs w:val="32"/>
          <w:u w:val="single"/>
        </w:rPr>
        <w:t xml:space="preserve">   江西源起思成管理咨询有限公司（盖章）      </w:t>
      </w:r>
    </w:p>
    <w:p>
      <w:pPr>
        <w:spacing w:line="600" w:lineRule="exact"/>
        <w:ind w:firstLine="0" w:firstLineChars="0"/>
        <w:rPr>
          <w:rFonts w:ascii="黑体" w:hAnsi="黑体" w:eastAsia="黑体" w:cs="黑体"/>
          <w:b/>
          <w:bCs/>
          <w:sz w:val="32"/>
          <w:szCs w:val="32"/>
        </w:rPr>
      </w:pPr>
    </w:p>
    <w:p>
      <w:pPr>
        <w:spacing w:line="600" w:lineRule="exact"/>
        <w:ind w:firstLine="643"/>
        <w:rPr>
          <w:rFonts w:ascii="黑体" w:hAnsi="黑体" w:eastAsia="黑体" w:cs="黑体"/>
          <w:b/>
          <w:bCs/>
          <w:sz w:val="32"/>
          <w:szCs w:val="32"/>
        </w:rPr>
      </w:pPr>
      <w:r>
        <w:rPr>
          <w:rFonts w:hint="eastAsia" w:ascii="黑体" w:hAnsi="黑体" w:eastAsia="黑体" w:cs="黑体"/>
          <w:b/>
          <w:bCs/>
          <w:sz w:val="32"/>
          <w:szCs w:val="32"/>
        </w:rPr>
        <w:t>评价年度：</w:t>
      </w:r>
      <w:r>
        <w:rPr>
          <w:rFonts w:hint="eastAsia" w:ascii="黑体" w:hAnsi="黑体" w:eastAsia="黑体" w:cs="黑体"/>
          <w:b/>
          <w:bCs/>
          <w:sz w:val="32"/>
          <w:szCs w:val="32"/>
          <w:u w:val="single"/>
        </w:rPr>
        <w:t xml:space="preserve">                2020年                   </w:t>
      </w:r>
    </w:p>
    <w:p>
      <w:pPr>
        <w:ind w:firstLine="723"/>
        <w:rPr>
          <w:rFonts w:ascii="黑体" w:hAnsi="黑体" w:eastAsia="黑体" w:cs="黑体"/>
          <w:b/>
          <w:bCs/>
          <w:sz w:val="36"/>
          <w:szCs w:val="36"/>
        </w:rPr>
      </w:pPr>
      <w:r>
        <w:rPr>
          <w:rFonts w:hint="eastAsia" w:ascii="黑体" w:hAnsi="黑体" w:eastAsia="黑体" w:cs="黑体"/>
          <w:b/>
          <w:bCs/>
          <w:sz w:val="36"/>
          <w:szCs w:val="36"/>
        </w:rPr>
        <w:t xml:space="preserve">  </w:t>
      </w:r>
    </w:p>
    <w:p>
      <w:pPr>
        <w:ind w:firstLine="723"/>
        <w:jc w:val="center"/>
        <w:rPr>
          <w:rFonts w:ascii="黑体" w:hAnsi="黑体" w:eastAsia="黑体" w:cs="黑体"/>
          <w:b/>
          <w:bCs/>
          <w:sz w:val="36"/>
          <w:szCs w:val="36"/>
        </w:rPr>
      </w:pPr>
    </w:p>
    <w:p>
      <w:pPr>
        <w:pStyle w:val="2"/>
        <w:ind w:firstLine="560"/>
      </w:pPr>
    </w:p>
    <w:p>
      <w:pPr>
        <w:ind w:firstLine="723"/>
        <w:jc w:val="center"/>
        <w:rPr>
          <w:rFonts w:ascii="黑体" w:hAnsi="黑体" w:eastAsia="黑体" w:cs="黑体"/>
          <w:b/>
          <w:bCs/>
          <w:sz w:val="36"/>
          <w:szCs w:val="36"/>
        </w:rPr>
      </w:pPr>
      <w:r>
        <w:rPr>
          <w:rFonts w:hint="eastAsia" w:ascii="黑体" w:hAnsi="黑体" w:eastAsia="黑体" w:cs="黑体"/>
          <w:b/>
          <w:bCs/>
          <w:sz w:val="36"/>
          <w:szCs w:val="36"/>
        </w:rPr>
        <w:t>2021年11月10日</w:t>
      </w:r>
    </w:p>
    <w:p>
      <w:pPr>
        <w:ind w:firstLine="723"/>
      </w:pPr>
      <w:r>
        <w:rPr>
          <w:rFonts w:hint="eastAsia" w:ascii="宋体" w:hAnsi="宋体" w:cs="Arial"/>
          <w:b/>
          <w:bCs/>
          <w:sz w:val="36"/>
          <w:szCs w:val="36"/>
        </w:rPr>
        <w:br w:type="page"/>
      </w:r>
    </w:p>
    <w:tbl>
      <w:tblPr>
        <w:tblStyle w:val="12"/>
        <w:tblW w:w="0" w:type="auto"/>
        <w:jc w:val="center"/>
        <w:tblLayout w:type="fixed"/>
        <w:tblCellMar>
          <w:top w:w="0" w:type="dxa"/>
          <w:left w:w="108" w:type="dxa"/>
          <w:bottom w:w="0" w:type="dxa"/>
          <w:right w:w="108" w:type="dxa"/>
        </w:tblCellMar>
      </w:tblPr>
      <w:tblGrid>
        <w:gridCol w:w="1594"/>
        <w:gridCol w:w="3300"/>
        <w:gridCol w:w="2109"/>
        <w:gridCol w:w="1645"/>
      </w:tblGrid>
      <w:tr>
        <w:tblPrEx>
          <w:tblCellMar>
            <w:top w:w="0" w:type="dxa"/>
            <w:left w:w="108" w:type="dxa"/>
            <w:bottom w:w="0" w:type="dxa"/>
            <w:right w:w="108" w:type="dxa"/>
          </w:tblCellMar>
        </w:tblPrEx>
        <w:trPr>
          <w:trHeight w:val="550" w:hRule="atLeast"/>
          <w:jc w:val="center"/>
        </w:trPr>
        <w:tc>
          <w:tcPr>
            <w:tcW w:w="8648" w:type="dxa"/>
            <w:gridSpan w:val="4"/>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楷体" w:hAnsi="楷体" w:eastAsia="楷体" w:cs="楷体"/>
                <w:color w:val="000000"/>
                <w:sz w:val="36"/>
              </w:rPr>
            </w:pPr>
            <w:r>
              <w:rPr>
                <w:rFonts w:hint="eastAsia" w:ascii="楷体" w:hAnsi="楷体" w:eastAsia="楷体" w:cs="楷体"/>
                <w:b/>
                <w:bCs/>
                <w:color w:val="000000"/>
                <w:sz w:val="36"/>
              </w:rPr>
              <w:t>项目绩效评价人员</w:t>
            </w:r>
          </w:p>
        </w:tc>
      </w:tr>
      <w:tr>
        <w:tblPrEx>
          <w:tblCellMar>
            <w:top w:w="0" w:type="dxa"/>
            <w:left w:w="108" w:type="dxa"/>
            <w:bottom w:w="0" w:type="dxa"/>
            <w:right w:w="108" w:type="dxa"/>
          </w:tblCellMar>
        </w:tblPrEx>
        <w:trPr>
          <w:trHeight w:val="57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sz w:val="24"/>
              </w:rPr>
              <w:t>姓名</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sz w:val="24"/>
              </w:rPr>
              <w:t>单位</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sz w:val="24"/>
              </w:rPr>
              <w:t>职称/职务</w:t>
            </w: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sz w:val="24"/>
              </w:rPr>
              <w:t>签名</w:t>
            </w: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熊坤</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江西源起思成管理咨询有限公司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业务经理</w:t>
            </w: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夏小宇</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江西源起思成管理咨询有限公司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研究员</w:t>
            </w: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姚贞越</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江西源起思成管理咨询有限公司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研究员</w:t>
            </w: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63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c>
          <w:tcPr>
            <w:tcW w:w="1643" w:type="dxa"/>
            <w:tcBorders>
              <w:top w:val="single" w:color="000000" w:sz="4" w:space="0"/>
              <w:left w:val="single" w:color="000000" w:sz="4" w:space="0"/>
              <w:bottom w:val="single" w:color="000000" w:sz="4" w:space="0"/>
              <w:right w:val="single" w:color="000000" w:sz="4" w:space="0"/>
            </w:tcBorders>
            <w:vAlign w:val="center"/>
          </w:tcPr>
          <w:p>
            <w:pPr>
              <w:autoSpaceDN w:val="0"/>
              <w:ind w:firstLine="440"/>
              <w:jc w:val="center"/>
              <w:textAlignment w:val="center"/>
              <w:rPr>
                <w:rFonts w:ascii="仿宋" w:hAnsi="仿宋" w:eastAsia="仿宋" w:cs="仿宋"/>
                <w:color w:val="000000"/>
                <w:sz w:val="22"/>
              </w:rPr>
            </w:pPr>
          </w:p>
        </w:tc>
      </w:tr>
      <w:tr>
        <w:tblPrEx>
          <w:tblCellMar>
            <w:top w:w="0" w:type="dxa"/>
            <w:left w:w="108" w:type="dxa"/>
            <w:bottom w:w="0" w:type="dxa"/>
            <w:right w:w="108" w:type="dxa"/>
          </w:tblCellMar>
        </w:tblPrEx>
        <w:trPr>
          <w:trHeight w:val="114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评价组组长</w:t>
            </w:r>
          </w:p>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(签名):</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p>
        </w:tc>
        <w:tc>
          <w:tcPr>
            <w:tcW w:w="3752"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4"/>
              </w:rPr>
            </w:pPr>
            <w:r>
              <w:rPr>
                <w:rFonts w:hint="eastAsia" w:ascii="仿宋" w:hAnsi="仿宋" w:eastAsia="仿宋" w:cs="仿宋"/>
                <w:color w:val="000000"/>
                <w:sz w:val="24"/>
              </w:rPr>
              <w:t>年    月    日</w:t>
            </w:r>
          </w:p>
        </w:tc>
      </w:tr>
      <w:tr>
        <w:tblPrEx>
          <w:tblCellMar>
            <w:top w:w="0" w:type="dxa"/>
            <w:left w:w="108" w:type="dxa"/>
            <w:bottom w:w="0" w:type="dxa"/>
            <w:right w:w="108" w:type="dxa"/>
          </w:tblCellMar>
        </w:tblPrEx>
        <w:trPr>
          <w:trHeight w:val="1270"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中介机构</w:t>
            </w:r>
          </w:p>
          <w:p>
            <w:pPr>
              <w:autoSpaceDN w:val="0"/>
              <w:ind w:firstLine="0" w:firstLineChars="0"/>
              <w:jc w:val="center"/>
              <w:textAlignment w:val="center"/>
              <w:rPr>
                <w:rFonts w:ascii="仿宋" w:hAnsi="仿宋" w:eastAsia="仿宋" w:cs="仿宋"/>
                <w:color w:val="000000"/>
                <w:sz w:val="22"/>
              </w:rPr>
            </w:pPr>
            <w:r>
              <w:rPr>
                <w:rFonts w:hint="eastAsia" w:ascii="仿宋" w:hAnsi="仿宋" w:eastAsia="仿宋" w:cs="仿宋"/>
                <w:color w:val="000000"/>
                <w:sz w:val="22"/>
              </w:rPr>
              <w:t>（盖章）:</w:t>
            </w:r>
          </w:p>
        </w:tc>
        <w:tc>
          <w:tcPr>
            <w:tcW w:w="3300"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2"/>
              </w:rPr>
            </w:pPr>
          </w:p>
        </w:tc>
        <w:tc>
          <w:tcPr>
            <w:tcW w:w="3752"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仿宋" w:hAnsi="仿宋" w:eastAsia="仿宋" w:cs="仿宋"/>
                <w:color w:val="000000"/>
                <w:sz w:val="24"/>
              </w:rPr>
            </w:pPr>
            <w:r>
              <w:rPr>
                <w:rFonts w:hint="eastAsia" w:ascii="仿宋" w:hAnsi="仿宋" w:eastAsia="仿宋" w:cs="仿宋"/>
                <w:color w:val="000000"/>
                <w:sz w:val="24"/>
              </w:rPr>
              <w:t>年    月    日</w:t>
            </w:r>
          </w:p>
        </w:tc>
      </w:tr>
      <w:tr>
        <w:tblPrEx>
          <w:tblCellMar>
            <w:top w:w="0" w:type="dxa"/>
            <w:left w:w="108" w:type="dxa"/>
            <w:bottom w:w="0" w:type="dxa"/>
            <w:right w:w="108" w:type="dxa"/>
          </w:tblCellMar>
        </w:tblPrEx>
        <w:trPr>
          <w:trHeight w:val="900" w:hRule="atLeast"/>
          <w:jc w:val="center"/>
        </w:trPr>
        <w:tc>
          <w:tcPr>
            <w:tcW w:w="8648" w:type="dxa"/>
            <w:gridSpan w:val="4"/>
            <w:tcBorders>
              <w:top w:val="single" w:color="000000" w:sz="4" w:space="0"/>
            </w:tcBorders>
            <w:vAlign w:val="center"/>
          </w:tcPr>
          <w:p>
            <w:pPr>
              <w:autoSpaceDN w:val="0"/>
              <w:ind w:firstLine="0" w:firstLineChars="0"/>
              <w:textAlignment w:val="bottom"/>
              <w:rPr>
                <w:rFonts w:hint="eastAsia" w:ascii="仿宋" w:hAnsi="仿宋" w:eastAsia="仿宋" w:cs="仿宋"/>
                <w:color w:val="000000"/>
                <w:sz w:val="24"/>
                <w:lang w:eastAsia="zh-CN"/>
              </w:rPr>
            </w:pPr>
            <w:r>
              <w:rPr>
                <w:rFonts w:hint="eastAsia" w:ascii="仿宋" w:hAnsi="仿宋" w:eastAsia="仿宋" w:cs="仿宋"/>
                <w:color w:val="000000"/>
                <w:sz w:val="24"/>
              </w:rPr>
              <w:t>注：1.纳入部门评价的项目须填写此表，评价项目无须填写；</w:t>
            </w:r>
          </w:p>
          <w:p>
            <w:pPr>
              <w:autoSpaceDN w:val="0"/>
              <w:ind w:firstLine="0" w:firstLineChars="0"/>
              <w:textAlignment w:val="bottom"/>
              <w:rPr>
                <w:rFonts w:hint="eastAsia" w:ascii="仿宋" w:hAnsi="仿宋" w:eastAsia="仿宋" w:cs="仿宋"/>
                <w:color w:val="000000"/>
                <w:sz w:val="24"/>
                <w:lang w:eastAsia="zh-CN"/>
              </w:rPr>
            </w:pPr>
            <w:r>
              <w:rPr>
                <w:rFonts w:hint="eastAsia" w:ascii="仿宋" w:hAnsi="仿宋" w:eastAsia="仿宋" w:cs="仿宋"/>
                <w:color w:val="000000"/>
                <w:sz w:val="24"/>
              </w:rPr>
              <w:t xml:space="preserve">    2.评价小组须不低于3人，如未委托第三方中介机构，则最后一行无需填写；</w:t>
            </w:r>
          </w:p>
          <w:p>
            <w:pPr>
              <w:autoSpaceDN w:val="0"/>
              <w:ind w:firstLine="0" w:firstLineChars="0"/>
              <w:textAlignment w:val="bottom"/>
              <w:rPr>
                <w:rFonts w:ascii="仿宋" w:hAnsi="仿宋" w:eastAsia="仿宋" w:cs="仿宋"/>
                <w:color w:val="000000"/>
                <w:sz w:val="24"/>
              </w:rPr>
            </w:pPr>
            <w:r>
              <w:rPr>
                <w:rFonts w:hint="eastAsia" w:ascii="仿宋" w:hAnsi="仿宋" w:eastAsia="仿宋" w:cs="仿宋"/>
                <w:color w:val="000000"/>
                <w:sz w:val="24"/>
              </w:rPr>
              <w:t xml:space="preserve">    3.所有评价人员必须亲笔签名，否则评价无效。</w:t>
            </w:r>
          </w:p>
        </w:tc>
      </w:tr>
    </w:tbl>
    <w:p>
      <w:pPr>
        <w:ind w:firstLine="560"/>
        <w:jc w:val="center"/>
        <w:rPr>
          <w:rFonts w:ascii="仿宋_GB2312"/>
          <w:szCs w:val="30"/>
        </w:rPr>
      </w:pPr>
    </w:p>
    <w:p>
      <w:pPr>
        <w:ind w:firstLine="643"/>
        <w:jc w:val="center"/>
        <w:rPr>
          <w:rFonts w:ascii="黑体" w:hAnsi="黑体" w:eastAsia="黑体" w:cs="黑体"/>
          <w:b/>
          <w:bCs/>
          <w:sz w:val="32"/>
          <w:szCs w:val="32"/>
        </w:rPr>
        <w:sectPr>
          <w:headerReference r:id="rId5" w:type="default"/>
          <w:pgSz w:w="11906" w:h="16838"/>
          <w:pgMar w:top="1928" w:right="1531" w:bottom="1701" w:left="1531" w:header="737" w:footer="851" w:gutter="0"/>
          <w:cols w:space="720" w:num="1"/>
          <w:docGrid w:type="lines" w:linePitch="408" w:charSpace="0"/>
        </w:sectPr>
      </w:pPr>
    </w:p>
    <w:sdt>
      <w:sdtPr>
        <w:rPr>
          <w:rFonts w:ascii="宋体" w:hAnsi="宋体"/>
          <w:sz w:val="21"/>
        </w:rPr>
        <w:id w:val="147478482"/>
        <w:docPartObj>
          <w:docPartGallery w:val="Table of Contents"/>
          <w:docPartUnique/>
        </w:docPartObj>
      </w:sdtPr>
      <w:sdtEndPr>
        <w:rPr>
          <w:rFonts w:hint="eastAsia" w:ascii="黑体" w:hAnsi="黑体" w:eastAsia="黑体" w:cs="黑体"/>
          <w:b/>
          <w:bCs/>
          <w:sz w:val="28"/>
          <w:szCs w:val="32"/>
        </w:rPr>
      </w:sdtEndPr>
      <w:sdtContent>
        <w:p>
          <w:pPr>
            <w:spacing w:line="240" w:lineRule="auto"/>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目录</w:t>
          </w:r>
        </w:p>
        <w:p>
          <w:pPr>
            <w:pStyle w:val="19"/>
            <w:tabs>
              <w:tab w:val="right" w:leader="dot" w:pos="8844"/>
            </w:tabs>
            <w:rPr>
              <w:rFonts w:ascii="仿宋" w:hAnsi="仿宋" w:eastAsia="仿宋" w:cs="仿宋"/>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TOC \o "1-2" \h \u </w:instrText>
          </w:r>
          <w:r>
            <w:rPr>
              <w:rFonts w:hint="eastAsia" w:ascii="黑体" w:hAnsi="黑体" w:eastAsia="黑体" w:cs="黑体"/>
              <w:b/>
              <w:bCs/>
              <w:sz w:val="32"/>
              <w:szCs w:val="32"/>
            </w:rPr>
            <w:fldChar w:fldCharType="separate"/>
          </w:r>
          <w:r>
            <w:fldChar w:fldCharType="begin"/>
          </w:r>
          <w:r>
            <w:instrText xml:space="preserve"> HYPERLINK \l "_Toc17650" </w:instrText>
          </w:r>
          <w:r>
            <w:fldChar w:fldCharType="separate"/>
          </w:r>
          <w:r>
            <w:rPr>
              <w:rFonts w:hint="eastAsia" w:ascii="仿宋" w:hAnsi="仿宋" w:eastAsia="仿宋" w:cs="仿宋"/>
              <w:szCs w:val="32"/>
            </w:rPr>
            <w:t>前  言</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_Toc17650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"_Toc7658" </w:instrText>
          </w:r>
          <w:r>
            <w:fldChar w:fldCharType="separate"/>
          </w:r>
          <w:r>
            <w:rPr>
              <w:rFonts w:hint="eastAsia" w:ascii="仿宋" w:hAnsi="仿宋" w:eastAsia="仿宋" w:cs="仿宋"/>
              <w:szCs w:val="36"/>
            </w:rPr>
            <w:t>一、基本情况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_Toc7658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"_Toc31768" </w:instrText>
          </w:r>
          <w:r>
            <w:fldChar w:fldCharType="separate"/>
          </w:r>
          <w:r>
            <w:rPr>
              <w:rFonts w:hint="eastAsia" w:ascii="仿宋" w:hAnsi="仿宋" w:eastAsia="仿宋" w:cs="仿宋"/>
              <w:szCs w:val="32"/>
            </w:rPr>
            <w:t>（一）项目概况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_Toc31768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"_Toc23614" </w:instrText>
          </w:r>
          <w:r>
            <w:fldChar w:fldCharType="separate"/>
          </w:r>
          <w:r>
            <w:rPr>
              <w:rFonts w:hint="eastAsia" w:ascii="仿宋" w:hAnsi="仿宋" w:eastAsia="仿宋" w:cs="仿宋"/>
              <w:szCs w:val="32"/>
            </w:rPr>
            <w:t>1、项目背景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_Toc23614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"_Toc27110" </w:instrText>
          </w:r>
          <w:r>
            <w:fldChar w:fldCharType="separate"/>
          </w:r>
          <w:r>
            <w:rPr>
              <w:rFonts w:hint="eastAsia" w:ascii="仿宋" w:hAnsi="仿宋" w:eastAsia="仿宋" w:cs="仿宋"/>
              <w:szCs w:val="28"/>
            </w:rPr>
            <w:t>2、 主要内容及实施情况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_Toc27110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"_Toc7182" </w:instrText>
          </w:r>
          <w:r>
            <w:fldChar w:fldCharType="separate"/>
          </w:r>
          <w:r>
            <w:rPr>
              <w:rFonts w:hint="eastAsia" w:ascii="仿宋" w:hAnsi="仿宋" w:eastAsia="仿宋" w:cs="仿宋"/>
            </w:rPr>
            <w:t>（二）项目绩效目标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_Toc7182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"_Toc998" </w:instrText>
          </w:r>
          <w:r>
            <w:fldChar w:fldCharType="separate"/>
          </w:r>
          <w:r>
            <w:rPr>
              <w:rFonts w:hint="eastAsia" w:ascii="仿宋" w:hAnsi="仿宋" w:eastAsia="仿宋" w:cs="仿宋"/>
              <w:szCs w:val="28"/>
            </w:rPr>
            <w:t>1、总体目标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_Toc998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"_Toc25185" </w:instrText>
          </w:r>
          <w:r>
            <w:fldChar w:fldCharType="separate"/>
          </w:r>
          <w:r>
            <w:rPr>
              <w:rFonts w:hint="eastAsia" w:ascii="仿宋" w:hAnsi="仿宋" w:eastAsia="仿宋" w:cs="仿宋"/>
              <w:szCs w:val="28"/>
            </w:rPr>
            <w:t>2、 阶段性目标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_Toc25185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"_Toc4636" </w:instrText>
          </w:r>
          <w:r>
            <w:fldChar w:fldCharType="separate"/>
          </w:r>
          <w:r>
            <w:rPr>
              <w:rFonts w:hint="eastAsia" w:ascii="仿宋" w:hAnsi="仿宋" w:eastAsia="仿宋" w:cs="仿宋"/>
            </w:rPr>
            <w:t>二、绩效评价工作开展情况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_Toc4636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"_Toc14808" </w:instrText>
          </w:r>
          <w:r>
            <w:fldChar w:fldCharType="separate"/>
          </w:r>
          <w:r>
            <w:rPr>
              <w:rFonts w:hint="eastAsia" w:ascii="仿宋" w:hAnsi="仿宋" w:eastAsia="仿宋" w:cs="仿宋"/>
            </w:rPr>
            <w:t>（一）绩效评价目的、对象和范围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_Toc14808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"_Toc5257" </w:instrText>
          </w:r>
          <w:r>
            <w:fldChar w:fldCharType="separate"/>
          </w:r>
          <w:r>
            <w:rPr>
              <w:rFonts w:hint="eastAsia" w:ascii="仿宋" w:hAnsi="仿宋" w:eastAsia="仿宋" w:cs="仿宋"/>
              <w:szCs w:val="32"/>
            </w:rPr>
            <w:t>1、绩效评价的目的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_Toc5257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"_Toc27316" </w:instrText>
          </w:r>
          <w:r>
            <w:fldChar w:fldCharType="separate"/>
          </w:r>
          <w:r>
            <w:rPr>
              <w:rFonts w:hint="eastAsia" w:ascii="仿宋" w:hAnsi="仿宋" w:eastAsia="仿宋" w:cs="仿宋"/>
              <w:szCs w:val="32"/>
            </w:rPr>
            <w:t>2、 绩效评价的对象和范围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_Toc27316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"_Toc25005" </w:instrText>
          </w:r>
          <w:r>
            <w:fldChar w:fldCharType="separate"/>
          </w:r>
          <w:r>
            <w:rPr>
              <w:rFonts w:hint="eastAsia" w:ascii="仿宋" w:hAnsi="仿宋" w:eastAsia="仿宋" w:cs="仿宋"/>
            </w:rPr>
            <w:t>（二）绩效评价原则、评价指标体系（附表说明）、评价方法、评价标准等。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_Toc25005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"_Toc19402" </w:instrText>
          </w:r>
          <w:r>
            <w:fldChar w:fldCharType="separate"/>
          </w:r>
          <w:r>
            <w:rPr>
              <w:rFonts w:hint="eastAsia" w:ascii="仿宋" w:hAnsi="仿宋" w:eastAsia="仿宋" w:cs="仿宋"/>
              <w:szCs w:val="32"/>
            </w:rPr>
            <w:t>1、绩效评价的原则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_Toc19402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"_Toc11788" </w:instrText>
          </w:r>
          <w:r>
            <w:fldChar w:fldCharType="separate"/>
          </w:r>
          <w:r>
            <w:rPr>
              <w:rFonts w:hint="eastAsia" w:ascii="仿宋" w:hAnsi="仿宋" w:eastAsia="仿宋" w:cs="仿宋"/>
              <w:szCs w:val="32"/>
            </w:rPr>
            <w:t>2、评价指标体系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_Toc11788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"_Toc15467" </w:instrText>
          </w:r>
          <w:r>
            <w:fldChar w:fldCharType="separate"/>
          </w:r>
          <w:r>
            <w:rPr>
              <w:rFonts w:hint="eastAsia" w:ascii="仿宋" w:hAnsi="仿宋" w:eastAsia="仿宋" w:cs="仿宋"/>
              <w:szCs w:val="32"/>
            </w:rPr>
            <w:t>3、 评价方法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_Toc15467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"_Toc27919" </w:instrText>
          </w:r>
          <w:r>
            <w:fldChar w:fldCharType="separate"/>
          </w:r>
          <w:r>
            <w:rPr>
              <w:rFonts w:hint="eastAsia" w:ascii="仿宋" w:hAnsi="仿宋" w:eastAsia="仿宋" w:cs="仿宋"/>
              <w:szCs w:val="32"/>
            </w:rPr>
            <w:t>4、 评价标准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_Toc27919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"_Toc5712" </w:instrText>
          </w:r>
          <w:r>
            <w:fldChar w:fldCharType="separate"/>
          </w:r>
          <w:r>
            <w:rPr>
              <w:rFonts w:hint="eastAsia" w:ascii="仿宋" w:hAnsi="仿宋" w:eastAsia="仿宋" w:cs="仿宋"/>
            </w:rPr>
            <w:t>（三） 绩效评价工作过程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_Toc5712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"_Toc15797" </w:instrText>
          </w:r>
          <w:r>
            <w:fldChar w:fldCharType="separate"/>
          </w:r>
          <w:r>
            <w:rPr>
              <w:rFonts w:hint="eastAsia" w:ascii="仿宋" w:hAnsi="仿宋" w:eastAsia="仿宋" w:cs="仿宋"/>
              <w:szCs w:val="28"/>
            </w:rPr>
            <w:t>1、绩效评价的业务流程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_Toc15797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"_Toc8190" </w:instrText>
          </w:r>
          <w:r>
            <w:fldChar w:fldCharType="separate"/>
          </w:r>
          <w:r>
            <w:rPr>
              <w:rFonts w:hint="eastAsia" w:ascii="仿宋" w:hAnsi="仿宋" w:eastAsia="仿宋" w:cs="仿宋"/>
              <w:szCs w:val="36"/>
            </w:rPr>
            <w:t>2、形成绩效评价报告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_Toc8190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"_Toc27113" </w:instrText>
          </w:r>
          <w:r>
            <w:fldChar w:fldCharType="separate"/>
          </w:r>
          <w:r>
            <w:rPr>
              <w:rFonts w:hint="eastAsia" w:ascii="仿宋" w:hAnsi="仿宋" w:eastAsia="仿宋" w:cs="仿宋"/>
              <w:szCs w:val="28"/>
            </w:rPr>
            <w:t>3、建立绩效评价档案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_Toc27113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"_Toc2887" </w:instrText>
          </w:r>
          <w:r>
            <w:fldChar w:fldCharType="separate"/>
          </w:r>
          <w:r>
            <w:rPr>
              <w:rFonts w:hint="eastAsia" w:ascii="仿宋" w:hAnsi="仿宋" w:eastAsia="仿宋" w:cs="仿宋"/>
            </w:rPr>
            <w:t>三、 综合评价情况及评价结论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_Toc2887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"_Toc30079" </w:instrText>
          </w:r>
          <w:r>
            <w:fldChar w:fldCharType="separate"/>
          </w:r>
          <w:r>
            <w:rPr>
              <w:rFonts w:hint="eastAsia" w:ascii="仿宋" w:hAnsi="仿宋" w:eastAsia="仿宋" w:cs="仿宋"/>
            </w:rPr>
            <w:t>（一） 综合评价情况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_Toc30079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"_Toc10447" </w:instrText>
          </w:r>
          <w:r>
            <w:fldChar w:fldCharType="separate"/>
          </w:r>
          <w:r>
            <w:rPr>
              <w:rFonts w:hint="eastAsia" w:ascii="仿宋" w:hAnsi="仿宋" w:eastAsia="仿宋" w:cs="仿宋"/>
            </w:rPr>
            <w:t>（二） 评价结论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_Toc10447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"_Toc25125" </w:instrText>
          </w:r>
          <w:r>
            <w:fldChar w:fldCharType="separate"/>
          </w:r>
          <w:r>
            <w:rPr>
              <w:rFonts w:hint="eastAsia" w:ascii="仿宋" w:hAnsi="仿宋" w:eastAsia="仿宋" w:cs="仿宋"/>
              <w:szCs w:val="36"/>
            </w:rPr>
            <w:t>四、绩效评价指标分析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_Toc25125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"_Toc191" </w:instrText>
          </w:r>
          <w:r>
            <w:fldChar w:fldCharType="separate"/>
          </w:r>
          <w:r>
            <w:rPr>
              <w:rFonts w:hint="eastAsia" w:ascii="仿宋" w:hAnsi="仿宋" w:eastAsia="仿宋" w:cs="仿宋"/>
            </w:rPr>
            <w:t>（一）项目决策情况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_Toc191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"_Toc14282" </w:instrText>
          </w:r>
          <w:r>
            <w:fldChar w:fldCharType="separate"/>
          </w:r>
          <w:r>
            <w:rPr>
              <w:rFonts w:hint="eastAsia" w:ascii="仿宋" w:hAnsi="仿宋" w:eastAsia="仿宋" w:cs="仿宋"/>
              <w:szCs w:val="32"/>
            </w:rPr>
            <w:t>1、项目立项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_Toc14282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"_Toc16910" </w:instrText>
          </w:r>
          <w:r>
            <w:fldChar w:fldCharType="separate"/>
          </w:r>
          <w:r>
            <w:rPr>
              <w:rFonts w:hint="eastAsia" w:ascii="仿宋" w:hAnsi="仿宋" w:eastAsia="仿宋" w:cs="仿宋"/>
            </w:rPr>
            <w:t>（三） 项目过程情况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_Toc16910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"_Toc7495" </w:instrText>
          </w:r>
          <w:r>
            <w:fldChar w:fldCharType="separate"/>
          </w:r>
          <w:r>
            <w:rPr>
              <w:rFonts w:hint="eastAsia" w:ascii="仿宋" w:hAnsi="仿宋" w:eastAsia="仿宋" w:cs="仿宋"/>
            </w:rPr>
            <w:t>（四） 项目产出情况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_Toc7495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"_Toc17664" </w:instrText>
          </w:r>
          <w:r>
            <w:fldChar w:fldCharType="separate"/>
          </w:r>
          <w:r>
            <w:rPr>
              <w:rFonts w:hint="eastAsia" w:ascii="仿宋" w:hAnsi="仿宋" w:eastAsia="仿宋" w:cs="仿宋"/>
            </w:rPr>
            <w:t>（五） 项目效益情况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_Toc17664 \h </w:instrText>
          </w:r>
          <w:r>
            <w:rPr>
              <w:rFonts w:hint="eastAsia" w:ascii="仿宋" w:hAnsi="仿宋" w:eastAsia="仿宋" w:cs="仿宋"/>
            </w:rPr>
            <w:fldChar w:fldCharType="separate"/>
          </w:r>
          <w:r>
            <w:rPr>
              <w:rFonts w:hint="eastAsia" w:ascii="仿宋" w:hAnsi="仿宋" w:eastAsia="仿宋" w:cs="仿宋"/>
            </w:rPr>
            <w:t>25</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"_Toc27474" </w:instrText>
          </w:r>
          <w:r>
            <w:fldChar w:fldCharType="separate"/>
          </w:r>
          <w:r>
            <w:rPr>
              <w:rFonts w:hint="eastAsia" w:ascii="仿宋" w:hAnsi="仿宋" w:eastAsia="仿宋" w:cs="仿宋"/>
            </w:rPr>
            <w:t>五、存在的问题及原因分析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_Toc27474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844"/>
            </w:tabs>
            <w:ind w:left="0" w:leftChars="0"/>
            <w:rPr>
              <w:rFonts w:ascii="仿宋" w:hAnsi="仿宋" w:eastAsia="仿宋" w:cs="仿宋"/>
            </w:rPr>
          </w:pPr>
          <w:r>
            <w:fldChar w:fldCharType="begin"/>
          </w:r>
          <w:r>
            <w:instrText xml:space="preserve"> HYPERLINK \l "_Toc729" </w:instrText>
          </w:r>
          <w:r>
            <w:fldChar w:fldCharType="separate"/>
          </w:r>
          <w:r>
            <w:rPr>
              <w:rFonts w:hint="eastAsia" w:ascii="仿宋" w:hAnsi="仿宋" w:eastAsia="仿宋" w:cs="仿宋"/>
              <w:szCs w:val="28"/>
            </w:rPr>
            <w:t>（一）项目专项资金拨付不严谨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_Toc729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"_Toc13310" </w:instrText>
          </w:r>
          <w:r>
            <w:fldChar w:fldCharType="separate"/>
          </w:r>
          <w:r>
            <w:rPr>
              <w:rFonts w:hint="eastAsia" w:ascii="仿宋" w:hAnsi="仿宋" w:eastAsia="仿宋" w:cs="仿宋"/>
            </w:rPr>
            <w:t>（二）档案整理收集不完整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_Toc13310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844"/>
            </w:tabs>
            <w:ind w:left="0" w:leftChars="0"/>
            <w:rPr>
              <w:rFonts w:ascii="仿宋" w:hAnsi="仿宋" w:eastAsia="仿宋" w:cs="仿宋"/>
            </w:rPr>
          </w:pPr>
          <w:r>
            <w:fldChar w:fldCharType="begin"/>
          </w:r>
          <w:r>
            <w:instrText xml:space="preserve"> HYPERLINK \l "_Toc13260" </w:instrText>
          </w:r>
          <w:r>
            <w:fldChar w:fldCharType="separate"/>
          </w:r>
          <w:r>
            <w:rPr>
              <w:rFonts w:hint="eastAsia" w:ascii="仿宋" w:hAnsi="仿宋" w:eastAsia="仿宋" w:cs="仿宋"/>
              <w:szCs w:val="28"/>
            </w:rPr>
            <w:t>（三）结余资金处置不合理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_Toc13260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"_Toc19294" </w:instrText>
          </w:r>
          <w:r>
            <w:fldChar w:fldCharType="separate"/>
          </w:r>
          <w:r>
            <w:rPr>
              <w:rFonts w:hint="eastAsia" w:ascii="仿宋" w:hAnsi="仿宋" w:eastAsia="仿宋" w:cs="仿宋"/>
              <w:szCs w:val="32"/>
            </w:rPr>
            <w:t>六、 有关建议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_Toc19294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rPr>
            <w:fldChar w:fldCharType="end"/>
          </w:r>
        </w:p>
        <w:p>
          <w:pPr>
            <w:pStyle w:val="20"/>
            <w:tabs>
              <w:tab w:val="right" w:leader="dot" w:pos="8844"/>
            </w:tabs>
            <w:ind w:left="0" w:leftChars="0"/>
            <w:rPr>
              <w:rFonts w:ascii="仿宋" w:hAnsi="仿宋" w:eastAsia="仿宋" w:cs="仿宋"/>
            </w:rPr>
          </w:pPr>
          <w:r>
            <w:fldChar w:fldCharType="begin"/>
          </w:r>
          <w:r>
            <w:instrText xml:space="preserve"> HYPERLINK \l "_Toc3496" </w:instrText>
          </w:r>
          <w:r>
            <w:fldChar w:fldCharType="separate"/>
          </w:r>
          <w:r>
            <w:rPr>
              <w:rFonts w:hint="eastAsia" w:ascii="仿宋" w:hAnsi="仿宋" w:eastAsia="仿宋" w:cs="仿宋"/>
              <w:szCs w:val="32"/>
            </w:rPr>
            <w:t>（一）建立健全专项资金管理制度，促进制度落实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_Toc3496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rFonts w:ascii="仿宋" w:hAnsi="仿宋" w:eastAsia="仿宋" w:cs="仿宋"/>
            </w:rPr>
          </w:pPr>
          <w:r>
            <w:fldChar w:fldCharType="begin"/>
          </w:r>
          <w:r>
            <w:instrText xml:space="preserve"> HYPERLINK \l "_Toc505" </w:instrText>
          </w:r>
          <w:r>
            <w:fldChar w:fldCharType="separate"/>
          </w:r>
          <w:r>
            <w:rPr>
              <w:rFonts w:hint="eastAsia" w:ascii="仿宋" w:hAnsi="仿宋" w:eastAsia="仿宋" w:cs="仿宋"/>
            </w:rPr>
            <w:t>（二）规范项目档案管理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_Toc505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rPr>
            <w:fldChar w:fldCharType="end"/>
          </w:r>
        </w:p>
        <w:p>
          <w:pPr>
            <w:pStyle w:val="19"/>
            <w:tabs>
              <w:tab w:val="right" w:leader="dot" w:pos="8844"/>
            </w:tabs>
            <w:rPr>
              <w:b/>
            </w:rPr>
          </w:pPr>
          <w:r>
            <w:fldChar w:fldCharType="begin"/>
          </w:r>
          <w:r>
            <w:instrText xml:space="preserve"> HYPERLINK \l "_Toc12516" </w:instrText>
          </w:r>
          <w:r>
            <w:fldChar w:fldCharType="separate"/>
          </w:r>
          <w:r>
            <w:rPr>
              <w:rFonts w:hint="eastAsia" w:ascii="仿宋" w:hAnsi="仿宋" w:eastAsia="仿宋" w:cs="仿宋"/>
            </w:rPr>
            <w:t>（三）强化结余资金管理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_Toc12516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rPr>
            <w:fldChar w:fldCharType="end"/>
          </w:r>
        </w:p>
        <w:p>
          <w:pPr>
            <w:ind w:firstLine="0" w:firstLineChars="0"/>
            <w:jc w:val="center"/>
            <w:rPr>
              <w:rFonts w:ascii="黑体" w:hAnsi="黑体" w:eastAsia="黑体" w:cs="黑体"/>
              <w:b/>
              <w:bCs/>
              <w:sz w:val="32"/>
              <w:szCs w:val="32"/>
            </w:rPr>
          </w:pPr>
          <w:r>
            <w:rPr>
              <w:rFonts w:hint="eastAsia" w:ascii="黑体" w:hAnsi="黑体" w:eastAsia="黑体" w:cs="黑体"/>
              <w:b/>
              <w:bCs/>
              <w:szCs w:val="32"/>
            </w:rPr>
            <w:fldChar w:fldCharType="end"/>
          </w:r>
        </w:p>
      </w:sdtContent>
    </w:sdt>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jc w:val="center"/>
        <w:rPr>
          <w:rFonts w:ascii="黑体" w:hAnsi="黑体" w:eastAsia="黑体" w:cs="黑体"/>
          <w:b/>
          <w:bCs/>
          <w:sz w:val="32"/>
          <w:szCs w:val="32"/>
        </w:rPr>
      </w:pPr>
    </w:p>
    <w:p>
      <w:pPr>
        <w:ind w:firstLine="0" w:firstLineChars="0"/>
        <w:rPr>
          <w:rFonts w:ascii="黑体" w:hAnsi="黑体" w:eastAsia="黑体" w:cs="黑体"/>
          <w:b/>
          <w:bCs/>
          <w:sz w:val="32"/>
          <w:szCs w:val="32"/>
        </w:rPr>
      </w:pPr>
    </w:p>
    <w:p>
      <w:pPr>
        <w:ind w:firstLine="0" w:firstLineChars="0"/>
        <w:jc w:val="center"/>
        <w:outlineLvl w:val="0"/>
        <w:rPr>
          <w:rFonts w:ascii="黑体" w:hAnsi="黑体" w:eastAsia="黑体" w:cs="黑体"/>
          <w:b/>
          <w:bCs/>
          <w:sz w:val="32"/>
          <w:szCs w:val="32"/>
        </w:rPr>
      </w:pPr>
      <w:bookmarkStart w:id="0" w:name="_Toc17650"/>
      <w:r>
        <w:rPr>
          <w:rFonts w:hint="eastAsia" w:ascii="黑体" w:hAnsi="黑体" w:eastAsia="黑体" w:cs="黑体"/>
          <w:b/>
          <w:bCs/>
          <w:sz w:val="32"/>
          <w:szCs w:val="32"/>
        </w:rPr>
        <w:t>前  言</w:t>
      </w:r>
      <w:bookmarkEnd w:id="0"/>
    </w:p>
    <w:p>
      <w:pPr>
        <w:ind w:firstLine="560"/>
        <w:rPr>
          <w:rFonts w:ascii="仿宋" w:hAnsi="仿宋" w:eastAsia="仿宋" w:cs="仿宋"/>
        </w:rPr>
      </w:pPr>
      <w:r>
        <w:rPr>
          <w:rFonts w:hint="eastAsia" w:ascii="仿宋" w:hAnsi="仿宋" w:eastAsia="仿宋" w:cs="仿宋"/>
        </w:rPr>
        <w:t>财政支出绩效评价是财政管理体制改革的重大课题，也是建设廉洁高效政府的关键措施。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通过绩效评价，可以强化支出责任，优化资源配置，提高财政资金的使用效益。</w:t>
      </w:r>
    </w:p>
    <w:p>
      <w:pPr>
        <w:pStyle w:val="2"/>
        <w:ind w:firstLine="560"/>
        <w:rPr>
          <w:rFonts w:ascii="仿宋" w:hAnsi="仿宋" w:eastAsia="仿宋" w:cs="仿宋"/>
        </w:rPr>
      </w:pPr>
      <w:r>
        <w:rPr>
          <w:rFonts w:hint="eastAsia" w:ascii="仿宋" w:hAnsi="仿宋" w:eastAsia="仿宋" w:cs="仿宋"/>
          <w:szCs w:val="28"/>
          <w:shd w:val="clear" w:color="auto" w:fill="FFFFFF"/>
        </w:rPr>
        <w:t>通过实施财政支出绩效评价，增强部门单位的绩效观念和责任意识，确保“预算编制有目标、预算执行有监控、预算完成有评价、评价结果有应用”，使财政资金得到全面监管，财政预算和政策得到有效实施，逐步建立以“绩效”为导向的部门单位整体支出和项目支出评价监督机制，通过</w:t>
      </w:r>
      <w:r>
        <w:rPr>
          <w:rFonts w:hint="eastAsia" w:ascii="仿宋" w:hAnsi="仿宋" w:eastAsia="仿宋" w:cs="仿宋"/>
        </w:rPr>
        <w:t>民政局救急难专项资金项目来提贫困急难居民生活质量。</w:t>
      </w:r>
    </w:p>
    <w:p>
      <w:pPr>
        <w:pStyle w:val="2"/>
        <w:ind w:firstLine="560"/>
        <w:rPr>
          <w:rFonts w:ascii="仿宋" w:hAnsi="仿宋" w:eastAsia="仿宋" w:cs="仿宋"/>
        </w:rPr>
      </w:pPr>
      <w:r>
        <w:rPr>
          <w:rFonts w:hint="eastAsia" w:ascii="仿宋" w:hAnsi="仿宋" w:eastAsia="仿宋" w:cs="仿宋"/>
        </w:rPr>
        <w:t>为深入贯彻落实《预算法》文件精神，认真履行全面实施绩效管理的“十九大”精神，强化预算支出责任，提高财政资金使用效益，根据《青云谱区财政局关于开展2021年度预算绩效管理有关工作的通知》（青财发[2021]10号）等文件的要求，开展本次绩效评价工作。</w:t>
      </w:r>
    </w:p>
    <w:p>
      <w:pPr>
        <w:ind w:firstLine="560"/>
        <w:rPr>
          <w:rFonts w:ascii="仿宋" w:hAnsi="仿宋" w:eastAsia="仿宋" w:cs="仿宋"/>
        </w:rPr>
      </w:pPr>
      <w:r>
        <w:rPr>
          <w:rFonts w:hint="eastAsia" w:ascii="仿宋" w:hAnsi="仿宋" w:eastAsia="仿宋" w:cs="仿宋"/>
        </w:rPr>
        <w:t>为了解2020年度青云谱区民政局救急难专项资金支出项目产出情况、产生的效益、资金使用的合理性和规范性，南昌市青云谱区财政局对2020年度南昌市青云谱区民政局救急难专项资金支出的使用及其效果实施绩效评价并形成绩效评价报告。评价情况报告如下：</w:t>
      </w:r>
    </w:p>
    <w:p>
      <w:pPr>
        <w:pStyle w:val="2"/>
        <w:ind w:firstLine="560"/>
      </w:pPr>
    </w:p>
    <w:p>
      <w:pPr>
        <w:ind w:firstLine="0" w:firstLineChars="0"/>
        <w:outlineLvl w:val="0"/>
        <w:rPr>
          <w:rFonts w:ascii="黑体" w:hAnsi="黑体" w:eastAsia="黑体" w:cs="黑体"/>
          <w:b/>
          <w:bCs/>
          <w:sz w:val="36"/>
          <w:szCs w:val="36"/>
        </w:rPr>
      </w:pPr>
      <w:bookmarkStart w:id="1" w:name="_Toc7658"/>
      <w:r>
        <w:rPr>
          <w:rFonts w:hint="eastAsia" w:ascii="黑体" w:hAnsi="黑体" w:eastAsia="黑体" w:cs="黑体"/>
          <w:b/>
          <w:bCs/>
          <w:sz w:val="36"/>
          <w:szCs w:val="36"/>
        </w:rPr>
        <w:t>一、基本情况</w:t>
      </w:r>
      <w:bookmarkEnd w:id="1"/>
    </w:p>
    <w:p>
      <w:pPr>
        <w:pStyle w:val="4"/>
        <w:spacing w:before="204" w:after="204"/>
        <w:rPr>
          <w:rFonts w:ascii="黑体" w:hAnsi="黑体" w:cs="黑体"/>
        </w:rPr>
      </w:pPr>
      <w:bookmarkStart w:id="2" w:name="_Toc31768"/>
      <w:r>
        <w:rPr>
          <w:rFonts w:hint="eastAsia" w:ascii="黑体" w:hAnsi="黑体" w:cs="黑体"/>
        </w:rPr>
        <w:t>（一）项目概况</w:t>
      </w:r>
      <w:bookmarkEnd w:id="2"/>
    </w:p>
    <w:p>
      <w:pPr>
        <w:pStyle w:val="5"/>
        <w:ind w:firstLine="643"/>
        <w:rPr>
          <w:rFonts w:ascii="黑体" w:hAnsi="黑体" w:cs="黑体"/>
          <w:sz w:val="32"/>
        </w:rPr>
      </w:pPr>
      <w:bookmarkStart w:id="3" w:name="_Toc23614"/>
      <w:r>
        <w:rPr>
          <w:rFonts w:hint="eastAsia" w:ascii="黑体" w:hAnsi="黑体" w:cs="黑体"/>
          <w:sz w:val="32"/>
        </w:rPr>
        <w:t>1、项目背景</w:t>
      </w:r>
      <w:bookmarkEnd w:id="3"/>
    </w:p>
    <w:p>
      <w:pPr>
        <w:pStyle w:val="2"/>
        <w:ind w:firstLine="560"/>
        <w:rPr>
          <w:rFonts w:ascii="仿宋" w:hAnsi="仿宋" w:eastAsia="仿宋" w:cs="仿宋"/>
          <w:szCs w:val="28"/>
        </w:rPr>
      </w:pPr>
      <w:r>
        <w:rPr>
          <w:rFonts w:hint="eastAsia" w:ascii="仿宋" w:hAnsi="仿宋" w:eastAsia="仿宋" w:cs="仿宋"/>
          <w:szCs w:val="28"/>
        </w:rPr>
        <w:t>我国社会救助的基本框架已经建立,传统的各项救助都是以收入贫困,户籍,财产作为主要救助界定标准,但是任何人都可能因为突发,紧急事件陷入临时性贫困,其中包括常规救助无法覆盖的支出型贫困群体。2007年临时救助的成立填补了这个空白,但在临时救助制度不完善的情况下,单纯的依靠某一项救助根本无法满足急难救济方面的需要.除此之外,"碎片化"的资源状况长久的束缚着我国社会救助救急救难功能的发挥。在现有社会救助资源总量不变的前提下,实现社会救助救急救难的目的,建立一种机制将政府内部的资源和民间的救助资源统筹起来成为现实所需.在此背景下,2014年《社会救助暂行办法》的颁布,首次确立了"救急难"这一社会救助的重要原则和功能,"救急难"试点得以推行。"救急难"指对突遇不测陷入生存困难,现有社会保障和社会救助制度难以保障的"急难"群众,给予非定期,非定量的救助,同时也指出"'救急难'是破解社会救助制度"碎片化"的核心。</w:t>
      </w:r>
    </w:p>
    <w:p>
      <w:pPr>
        <w:pStyle w:val="2"/>
        <w:ind w:firstLine="560"/>
        <w:rPr>
          <w:rFonts w:ascii="仿宋" w:hAnsi="仿宋" w:eastAsia="仿宋" w:cs="仿宋"/>
          <w:szCs w:val="28"/>
        </w:rPr>
      </w:pPr>
      <w:r>
        <w:rPr>
          <w:rFonts w:hint="eastAsia" w:ascii="仿宋" w:hAnsi="仿宋" w:eastAsia="仿宋" w:cs="仿宋"/>
          <w:szCs w:val="28"/>
        </w:rPr>
        <w:t>为了深入贯彻落实《社会救助暂行办法》（国务院令第649号）、《国务院关于全面建立临时救助制度的通知》</w:t>
      </w:r>
      <w:r>
        <w:rPr>
          <w:rFonts w:hint="eastAsia" w:ascii="仿宋" w:hAnsi="仿宋" w:eastAsia="仿宋" w:cs="仿宋"/>
        </w:rPr>
        <w:t>（国发[2014]47号）、</w:t>
      </w:r>
      <w:r>
        <w:rPr>
          <w:rFonts w:hint="eastAsia" w:ascii="仿宋" w:hAnsi="仿宋" w:eastAsia="仿宋" w:cs="仿宋"/>
          <w:szCs w:val="28"/>
        </w:rPr>
        <w:t>《民政部 财政部关于在全国开展“救急难”综合试点工作的通知》</w:t>
      </w:r>
      <w:r>
        <w:rPr>
          <w:rFonts w:hint="eastAsia" w:ascii="仿宋" w:hAnsi="仿宋" w:eastAsia="仿宋" w:cs="仿宋"/>
        </w:rPr>
        <w:t>（民发[2015]57号）和</w:t>
      </w:r>
      <w:r>
        <w:rPr>
          <w:rFonts w:hint="eastAsia" w:ascii="仿宋" w:hAnsi="仿宋" w:eastAsia="仿宋" w:cs="仿宋"/>
          <w:szCs w:val="28"/>
        </w:rPr>
        <w:t>《南昌市人民政府办公厅印发关于贯彻落实（社会救助暂行办法）的实施意见的通知》</w:t>
      </w:r>
      <w:r>
        <w:rPr>
          <w:rFonts w:hint="eastAsia" w:ascii="仿宋" w:hAnsi="仿宋" w:eastAsia="仿宋" w:cs="仿宋"/>
        </w:rPr>
        <w:t>（洪府厅发[2015]47号）文件的要求，结合实际全面推进“救急难”的工作，以贯彻落实</w:t>
      </w:r>
      <w:r>
        <w:rPr>
          <w:rFonts w:hint="eastAsia" w:ascii="仿宋" w:hAnsi="仿宋" w:eastAsia="仿宋" w:cs="仿宋"/>
          <w:szCs w:val="28"/>
        </w:rPr>
        <w:t>《社会救助暂行办法》为主线，在社会救助制度体系框架内，立足于“托底线”，积极探索“救急难”的实现路径、工作机制和保障措施，充分发挥各项社会救助制度的作用，统筹各类救助资源，提升社会救助综合效应，形成政府各部门高效联动以及政府救助与慈善救助的紧密衔接，营造社会力量广泛参与的良好氛围，为全民开展“救急难”工作奠定基础。</w:t>
      </w:r>
    </w:p>
    <w:p>
      <w:pPr>
        <w:pStyle w:val="2"/>
        <w:ind w:firstLine="560"/>
        <w:rPr>
          <w:rFonts w:ascii="仿宋" w:hAnsi="仿宋" w:eastAsia="仿宋" w:cs="仿宋"/>
          <w:szCs w:val="28"/>
        </w:rPr>
      </w:pPr>
      <w:r>
        <w:rPr>
          <w:rFonts w:hint="eastAsia" w:ascii="仿宋" w:hAnsi="仿宋" w:eastAsia="仿宋" w:cs="仿宋"/>
          <w:szCs w:val="28"/>
        </w:rPr>
        <w:t>根据《南昌市人民政府办公厅关于印发南昌市全面推进“救急难”工作的实施意见的通知》</w:t>
      </w:r>
      <w:r>
        <w:rPr>
          <w:rFonts w:hint="eastAsia" w:ascii="仿宋" w:hAnsi="仿宋" w:eastAsia="仿宋" w:cs="仿宋"/>
        </w:rPr>
        <w:t>（洪府厅发[2016]86号）的文件要求，</w:t>
      </w:r>
      <w:r>
        <w:rPr>
          <w:rFonts w:hint="eastAsia" w:ascii="仿宋" w:hAnsi="仿宋" w:eastAsia="仿宋" w:cs="仿宋"/>
          <w:szCs w:val="28"/>
        </w:rPr>
        <w:t>全面推进青云谱区</w:t>
      </w:r>
      <w:r>
        <w:rPr>
          <w:rFonts w:hint="eastAsia" w:ascii="仿宋" w:hAnsi="仿宋" w:eastAsia="仿宋" w:cs="仿宋"/>
        </w:rPr>
        <w:t>“救急难”救助</w:t>
      </w:r>
      <w:r>
        <w:rPr>
          <w:rFonts w:hint="eastAsia" w:ascii="仿宋" w:hAnsi="仿宋" w:eastAsia="仿宋" w:cs="仿宋"/>
          <w:szCs w:val="28"/>
        </w:rPr>
        <w:t>工作。</w:t>
      </w:r>
    </w:p>
    <w:p>
      <w:pPr>
        <w:pStyle w:val="5"/>
        <w:numPr>
          <w:ilvl w:val="0"/>
          <w:numId w:val="1"/>
        </w:numPr>
        <w:ind w:firstLine="643"/>
        <w:rPr>
          <w:sz w:val="32"/>
          <w:szCs w:val="28"/>
        </w:rPr>
      </w:pPr>
      <w:bookmarkStart w:id="4" w:name="_Toc27110"/>
      <w:r>
        <w:rPr>
          <w:rFonts w:hint="eastAsia"/>
          <w:sz w:val="32"/>
          <w:szCs w:val="28"/>
        </w:rPr>
        <w:t>主要内容及实施情况</w:t>
      </w:r>
      <w:bookmarkEnd w:id="4"/>
    </w:p>
    <w:p>
      <w:pPr>
        <w:spacing w:line="500" w:lineRule="exact"/>
        <w:ind w:firstLine="560"/>
        <w:rPr>
          <w:rFonts w:ascii="仿宋" w:hAnsi="仿宋" w:eastAsia="仿宋" w:cs="仿宋"/>
        </w:rPr>
      </w:pPr>
      <w:r>
        <w:rPr>
          <w:rFonts w:hint="eastAsia" w:ascii="仿宋" w:hAnsi="仿宋" w:eastAsia="仿宋" w:cs="仿宋"/>
          <w:szCs w:val="28"/>
        </w:rPr>
        <w:t>本项目针对南昌市青云谱区民政局全面推进“救急难”工作的实际要求，区委、区政府多次召开专题会议，及时研究、协调解决工作中出现的新情况、新问题，使“救急难”工作落到实处。先后以区委、政府名义下发了《青云谱区“救急难”工作试点实施方案》、《青云谱区“救急难”救助实施细则》和《青云谱区“救急难”工作规范化管理规定》。建立了联席会议制度、部门定期会商制度、联络员制度、信息统计周报制度、工作通报制度、责任追究等工作制度。区卫健、教育、房管、人社等救助责任部门根据各自救助职责制定了本部门“救急难”实施细则，细化了救助条件、救助标准、救助程序和救助责任，形成了“救急难”与现行社会救助制度的无缝衔接。</w:t>
      </w:r>
    </w:p>
    <w:p>
      <w:pPr>
        <w:spacing w:line="500" w:lineRule="exact"/>
        <w:ind w:firstLine="560"/>
        <w:rPr>
          <w:rFonts w:ascii="仿宋" w:hAnsi="仿宋" w:eastAsia="仿宋" w:cs="仿宋"/>
          <w:szCs w:val="28"/>
        </w:rPr>
      </w:pPr>
      <w:r>
        <w:rPr>
          <w:rFonts w:hint="eastAsia" w:ascii="仿宋" w:hAnsi="仿宋" w:eastAsia="仿宋" w:cs="仿宋"/>
          <w:szCs w:val="28"/>
        </w:rPr>
        <w:t>建立“一门受理、协同办理”机制。各街道（镇、集聚区）根据各自工作实际，制定了《一门受理、协同办理”机制建设实施方案》和“救急难”首问责任制，区、街两级均设立了社会救助“一门受理”服务窗口，安装了电子显示屏和触摸屏，印制了民政、教育、住房、就业、疾病应急、慈善、法律援助、残疾人等16项社会救助办理指南和《一次性告知书》，做到救助政策、工作职责、服务内容、服务标准、服务流程、监督投诉电话上墙，明确了各部门职责及受理、分办、转办流程和办理时限，切实做到求助有门。</w:t>
      </w:r>
    </w:p>
    <w:p>
      <w:pPr>
        <w:pStyle w:val="2"/>
        <w:ind w:firstLine="560"/>
        <w:rPr>
          <w:rFonts w:ascii="仿宋" w:hAnsi="仿宋" w:eastAsia="仿宋" w:cs="仿宋"/>
          <w:szCs w:val="28"/>
        </w:rPr>
      </w:pPr>
      <w:r>
        <w:rPr>
          <w:rFonts w:hint="eastAsia" w:ascii="仿宋" w:hAnsi="仿宋" w:eastAsia="仿宋" w:cs="仿宋"/>
        </w:rPr>
        <w:t>建立主动发现机制。采取“八个一”的方式畅通主动发现渠道：</w:t>
      </w:r>
      <w:r>
        <w:rPr>
          <w:rFonts w:hint="eastAsia" w:ascii="仿宋" w:hAnsi="仿宋" w:eastAsia="仿宋" w:cs="仿宋"/>
          <w:szCs w:val="28"/>
        </w:rPr>
        <w:t>即在政府网站设立一个“救急难”公开信箱、在社区建立一支急难事件发现队伍、开通一条88482181社会救助热线、设立一部88483922语音电话、在社区建立一个居民联系QQ群、人手一册《社会救助办理指南》、每周一次由区领导带队</w:t>
      </w:r>
      <w:r>
        <w:rPr>
          <w:rFonts w:hint="eastAsia" w:ascii="仿宋" w:hAnsi="仿宋" w:eastAsia="仿宋" w:cs="仿宋"/>
          <w:kern w:val="0"/>
          <w:szCs w:val="28"/>
        </w:rPr>
        <w:t>深入社区广泛开展“躬身问民事，亲情解民忧”为主题的民情家访活动，</w:t>
      </w:r>
      <w:r>
        <w:rPr>
          <w:rFonts w:hint="eastAsia" w:ascii="仿宋" w:hAnsi="仿宋" w:eastAsia="仿宋" w:cs="仿宋"/>
          <w:szCs w:val="28"/>
        </w:rPr>
        <w:t>每周一次深入社区开展送政策、送服务、收信息、征意见活动，</w:t>
      </w:r>
      <w:r>
        <w:rPr>
          <w:rFonts w:hint="eastAsia" w:ascii="仿宋" w:hAnsi="仿宋" w:eastAsia="仿宋" w:cs="仿宋"/>
          <w:kern w:val="0"/>
          <w:szCs w:val="28"/>
        </w:rPr>
        <w:t>及时了解急难群众的救助需求</w:t>
      </w:r>
      <w:r>
        <w:rPr>
          <w:rFonts w:hint="eastAsia" w:ascii="仿宋" w:hAnsi="仿宋" w:eastAsia="仿宋" w:cs="仿宋"/>
          <w:szCs w:val="28"/>
        </w:rPr>
        <w:t>，充分发挥机关干部、社工、义工、志愿者、社会组织的作用，畅通主动发现急难对象渠道。</w:t>
      </w:r>
    </w:p>
    <w:p>
      <w:pPr>
        <w:pStyle w:val="2"/>
        <w:ind w:firstLine="560"/>
        <w:rPr>
          <w:rFonts w:ascii="仿宋" w:hAnsi="仿宋" w:eastAsia="仿宋" w:cs="仿宋"/>
          <w:szCs w:val="28"/>
        </w:rPr>
      </w:pPr>
      <w:r>
        <w:rPr>
          <w:rFonts w:hint="eastAsia" w:ascii="仿宋" w:hAnsi="仿宋" w:eastAsia="仿宋" w:cs="仿宋"/>
          <w:szCs w:val="28"/>
        </w:rPr>
        <w:t>丰富“救急难”工作服务模式化解重难点问题。</w:t>
      </w:r>
      <w:r>
        <w:rPr>
          <w:rFonts w:hint="eastAsia" w:ascii="仿宋" w:hAnsi="仿宋" w:eastAsia="仿宋" w:cs="仿宋"/>
          <w:kern w:val="0"/>
          <w:szCs w:val="28"/>
        </w:rPr>
        <w:t>将社工理念、方法、技巧和社会组织的公益服务引入“救急难”工作，介入急难救助的所有环节，为规范社工介入“救急难”工作，我区以</w:t>
      </w:r>
      <w:r>
        <w:rPr>
          <w:rFonts w:hint="eastAsia" w:ascii="仿宋" w:hAnsi="仿宋" w:eastAsia="仿宋" w:cs="仿宋"/>
          <w:szCs w:val="28"/>
        </w:rPr>
        <w:t>“救急难”领导小组办公室名义制定</w:t>
      </w:r>
      <w:r>
        <w:rPr>
          <w:rFonts w:hint="eastAsia" w:ascii="仿宋" w:hAnsi="仿宋" w:eastAsia="仿宋" w:cs="仿宋"/>
          <w:kern w:val="0"/>
          <w:szCs w:val="28"/>
        </w:rPr>
        <w:t>下发了《青云谱区社工服务介入“救急难”工作实施方案》，注重由单一的物质救助向多样化、个性化救助转变。</w:t>
      </w:r>
    </w:p>
    <w:p>
      <w:pPr>
        <w:ind w:firstLine="643"/>
        <w:rPr>
          <w:rFonts w:ascii="黑体" w:hAnsi="黑体" w:eastAsia="黑体" w:cs="黑体"/>
          <w:b/>
          <w:bCs/>
          <w:sz w:val="32"/>
          <w:szCs w:val="32"/>
        </w:rPr>
      </w:pPr>
      <w:r>
        <w:rPr>
          <w:rFonts w:hint="eastAsia" w:ascii="黑体" w:hAnsi="黑体" w:eastAsia="黑体" w:cs="黑体"/>
          <w:b/>
          <w:bCs/>
          <w:sz w:val="32"/>
          <w:szCs w:val="32"/>
        </w:rPr>
        <w:t>3、资金投入和使用情况</w:t>
      </w:r>
    </w:p>
    <w:p>
      <w:pPr>
        <w:ind w:firstLine="560"/>
        <w:rPr>
          <w:rFonts w:ascii="仿宋" w:hAnsi="仿宋" w:eastAsia="仿宋" w:cs="仿宋"/>
        </w:rPr>
      </w:pPr>
      <w:r>
        <w:rPr>
          <w:rFonts w:hint="eastAsia" w:ascii="仿宋" w:hAnsi="仿宋" w:eastAsia="仿宋" w:cs="仿宋"/>
        </w:rPr>
        <w:t>资金到位情况：2020年度</w:t>
      </w:r>
      <w:r>
        <w:rPr>
          <w:rFonts w:hint="eastAsia" w:ascii="仿宋" w:hAnsi="仿宋" w:eastAsia="仿宋" w:cs="仿宋"/>
          <w:szCs w:val="28"/>
        </w:rPr>
        <w:t>南昌市青云谱区民政局全面推进</w:t>
      </w:r>
      <w:r>
        <w:rPr>
          <w:rFonts w:hint="eastAsia" w:ascii="仿宋" w:hAnsi="仿宋" w:eastAsia="仿宋" w:cs="仿宋"/>
        </w:rPr>
        <w:t>“救急难”救助</w:t>
      </w:r>
      <w:r>
        <w:rPr>
          <w:rFonts w:hint="eastAsia" w:ascii="仿宋" w:hAnsi="仿宋" w:eastAsia="仿宋" w:cs="仿宋"/>
          <w:szCs w:val="28"/>
        </w:rPr>
        <w:t>工作</w:t>
      </w:r>
      <w:r>
        <w:rPr>
          <w:rFonts w:hint="eastAsia" w:ascii="仿宋" w:hAnsi="仿宋" w:eastAsia="仿宋" w:cs="仿宋"/>
        </w:rPr>
        <w:t>专用资金为20万元，实际到位资金8.6万元，资金到位率=（实际到位资金÷全年预算资金）×100%=（8.6÷20）×100%=43%，资金到位率偏低。</w:t>
      </w:r>
    </w:p>
    <w:p>
      <w:pPr>
        <w:ind w:firstLine="560"/>
        <w:rPr>
          <w:rFonts w:ascii="仿宋" w:hAnsi="仿宋" w:eastAsia="仿宋" w:cs="仿宋"/>
        </w:rPr>
      </w:pPr>
      <w:r>
        <w:rPr>
          <w:rFonts w:hint="eastAsia" w:ascii="仿宋" w:hAnsi="仿宋" w:eastAsia="仿宋" w:cs="仿宋"/>
        </w:rPr>
        <w:t>资金执行情况：根据2020年1月至2020年12月南昌市青云谱区民政局实际发放“救急难”救助资金为5.6万元，其中5.6万元用于支付青云谱区民政局“救急难”救助项目，实际到位资金中结余3万元未使用，于2021年3月返还入账，预算执行率=（实际支出资金÷实际到位资金）×100%=（5.6÷5.6）×100%=100%。</w:t>
      </w:r>
    </w:p>
    <w:p>
      <w:pPr>
        <w:pStyle w:val="4"/>
        <w:spacing w:before="204" w:after="204"/>
      </w:pPr>
      <w:bookmarkStart w:id="5" w:name="_Toc7182"/>
      <w:r>
        <w:rPr>
          <w:rFonts w:hint="eastAsia"/>
        </w:rPr>
        <w:t>（二）项目绩效目标</w:t>
      </w:r>
      <w:bookmarkEnd w:id="5"/>
    </w:p>
    <w:p>
      <w:pPr>
        <w:pStyle w:val="5"/>
        <w:ind w:firstLine="643"/>
        <w:rPr>
          <w:sz w:val="32"/>
          <w:szCs w:val="28"/>
        </w:rPr>
      </w:pPr>
      <w:bookmarkStart w:id="6" w:name="_Toc998"/>
      <w:r>
        <w:rPr>
          <w:rFonts w:hint="eastAsia"/>
          <w:sz w:val="32"/>
          <w:szCs w:val="28"/>
        </w:rPr>
        <w:t>1、总体目标</w:t>
      </w:r>
      <w:bookmarkEnd w:id="6"/>
    </w:p>
    <w:p>
      <w:pPr>
        <w:ind w:firstLine="560"/>
        <w:rPr>
          <w:rFonts w:ascii="仿宋" w:hAnsi="仿宋" w:eastAsia="仿宋" w:cs="仿宋"/>
        </w:rPr>
      </w:pPr>
      <w:r>
        <w:rPr>
          <w:rFonts w:hint="eastAsia" w:ascii="仿宋" w:hAnsi="仿宋" w:eastAsia="仿宋" w:cs="仿宋"/>
          <w:szCs w:val="28"/>
        </w:rPr>
        <w:t>完善社会救助，加强社会救助平台搭建，进一步提高社会救助水平，持续推动困难群众生活质量稳步提升。</w:t>
      </w:r>
    </w:p>
    <w:p>
      <w:pPr>
        <w:pStyle w:val="5"/>
        <w:numPr>
          <w:ilvl w:val="0"/>
          <w:numId w:val="2"/>
        </w:numPr>
        <w:ind w:firstLineChars="0"/>
        <w:rPr>
          <w:sz w:val="32"/>
          <w:szCs w:val="28"/>
        </w:rPr>
      </w:pPr>
      <w:bookmarkStart w:id="7" w:name="_Toc25185"/>
      <w:r>
        <w:rPr>
          <w:rFonts w:hint="eastAsia"/>
          <w:sz w:val="32"/>
          <w:szCs w:val="28"/>
        </w:rPr>
        <w:t>阶段性目标</w:t>
      </w:r>
      <w:bookmarkEnd w:id="7"/>
    </w:p>
    <w:p>
      <w:pPr>
        <w:ind w:firstLine="560"/>
        <w:rPr>
          <w:rFonts w:ascii="仿宋" w:hAnsi="仿宋" w:eastAsia="仿宋" w:cs="仿宋"/>
        </w:rPr>
      </w:pPr>
      <w:r>
        <w:rPr>
          <w:rFonts w:hint="eastAsia" w:ascii="仿宋" w:hAnsi="仿宋" w:eastAsia="仿宋" w:cs="仿宋"/>
        </w:rPr>
        <w:t>及时给急难对象发放急难救助金。做到制度健全，操作规范，资金到位，发放及时，服务优良，群众满意</w:t>
      </w:r>
    </w:p>
    <w:p>
      <w:pPr>
        <w:pStyle w:val="3"/>
        <w:rPr>
          <w:szCs w:val="36"/>
        </w:rPr>
      </w:pPr>
      <w:bookmarkStart w:id="8" w:name="_Toc4636"/>
      <w:r>
        <w:rPr>
          <w:rFonts w:hint="eastAsia"/>
          <w:szCs w:val="36"/>
        </w:rPr>
        <w:t>二、绩效评价工作开展情况</w:t>
      </w:r>
      <w:bookmarkEnd w:id="8"/>
    </w:p>
    <w:p>
      <w:pPr>
        <w:pStyle w:val="4"/>
        <w:spacing w:before="204" w:after="204"/>
      </w:pPr>
      <w:bookmarkStart w:id="9" w:name="_Toc14808"/>
      <w:r>
        <w:rPr>
          <w:rFonts w:hint="eastAsia"/>
        </w:rPr>
        <w:t>（一）绩效评价目的、对象和范围</w:t>
      </w:r>
      <w:bookmarkEnd w:id="9"/>
    </w:p>
    <w:p>
      <w:pPr>
        <w:pStyle w:val="5"/>
        <w:ind w:firstLine="643"/>
        <w:rPr>
          <w:rFonts w:ascii="黑体" w:hAnsi="黑体" w:cs="黑体"/>
          <w:sz w:val="32"/>
        </w:rPr>
      </w:pPr>
      <w:bookmarkStart w:id="10" w:name="_Toc5257"/>
      <w:r>
        <w:rPr>
          <w:rFonts w:hint="eastAsia" w:ascii="黑体" w:hAnsi="黑体" w:cs="黑体"/>
          <w:sz w:val="32"/>
        </w:rPr>
        <w:t>1、绩效评价的目的</w:t>
      </w:r>
      <w:bookmarkEnd w:id="10"/>
    </w:p>
    <w:p>
      <w:pPr>
        <w:ind w:firstLine="560"/>
        <w:rPr>
          <w:rFonts w:ascii="仿宋" w:hAnsi="仿宋" w:eastAsia="仿宋" w:cs="仿宋"/>
        </w:rPr>
      </w:pPr>
      <w:r>
        <w:rPr>
          <w:rFonts w:hint="eastAsia" w:ascii="仿宋" w:hAnsi="仿宋" w:eastAsia="仿宋" w:cs="仿宋"/>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rPr>
          <w:rFonts w:ascii="仿宋" w:hAnsi="仿宋" w:eastAsia="仿宋" w:cs="仿宋"/>
        </w:rPr>
      </w:pPr>
      <w:r>
        <w:rPr>
          <w:rFonts w:hint="eastAsia" w:ascii="仿宋" w:hAnsi="仿宋" w:eastAsia="仿宋" w:cs="仿宋"/>
        </w:rPr>
        <w:t>①了解各项目资金的使用情况、项目成效、社会效益及可持续效益等信息；</w:t>
      </w:r>
    </w:p>
    <w:p>
      <w:pPr>
        <w:ind w:firstLine="560"/>
        <w:rPr>
          <w:rFonts w:ascii="仿宋" w:hAnsi="仿宋" w:eastAsia="仿宋" w:cs="仿宋"/>
        </w:rPr>
      </w:pPr>
      <w:r>
        <w:rPr>
          <w:rFonts w:hint="eastAsia" w:ascii="仿宋" w:hAnsi="仿宋" w:eastAsia="仿宋" w:cs="仿宋"/>
        </w:rPr>
        <w:t>②发现和找出资金使用中或项目管理中的不足和问题，并进行深入研究和分析；</w:t>
      </w:r>
    </w:p>
    <w:p>
      <w:pPr>
        <w:ind w:firstLine="560"/>
        <w:rPr>
          <w:rFonts w:ascii="仿宋" w:hAnsi="仿宋" w:eastAsia="仿宋" w:cs="仿宋"/>
        </w:rPr>
      </w:pPr>
      <w:r>
        <w:rPr>
          <w:rFonts w:hint="eastAsia" w:ascii="仿宋" w:hAnsi="仿宋" w:eastAsia="仿宋" w:cs="仿宋"/>
        </w:rPr>
        <w:t>③针对绩效评价中发现的项目中存在的不足和问题，提出有针对性和可行性的改进建议，为改善后续工作提供有效借鉴，以促进资金使用效率的提高和项目效益的增强。</w:t>
      </w:r>
    </w:p>
    <w:p>
      <w:pPr>
        <w:pStyle w:val="5"/>
        <w:numPr>
          <w:ilvl w:val="0"/>
          <w:numId w:val="3"/>
        </w:numPr>
        <w:ind w:firstLine="643"/>
        <w:rPr>
          <w:sz w:val="32"/>
        </w:rPr>
      </w:pPr>
      <w:bookmarkStart w:id="11" w:name="_Toc27316"/>
      <w:r>
        <w:rPr>
          <w:rFonts w:hint="eastAsia"/>
          <w:sz w:val="32"/>
        </w:rPr>
        <w:t>绩效评价的对象和范围</w:t>
      </w:r>
      <w:bookmarkEnd w:id="11"/>
    </w:p>
    <w:p>
      <w:pPr>
        <w:ind w:firstLine="560"/>
        <w:rPr>
          <w:rFonts w:ascii="仿宋" w:hAnsi="仿宋" w:eastAsia="仿宋" w:cs="仿宋"/>
        </w:rPr>
      </w:pPr>
      <w:r>
        <w:rPr>
          <w:rFonts w:hint="eastAsia" w:ascii="仿宋" w:hAnsi="仿宋" w:eastAsia="仿宋" w:cs="仿宋"/>
        </w:rPr>
        <w:t>本次项目绩效评价主要对象为青云谱区民政局“救急难”项目及其实施单位南昌市青云谱区民政局，评级范围包含了项目工作实施情况，政府救急难资金申请、使用、拨付流程的合规性、救助人员材料审核的合规性、救助人员材料的真实性，项目实施后产生的社会效益、可持续效益以及相关人员及单位的满意度因素。</w:t>
      </w:r>
    </w:p>
    <w:p>
      <w:pPr>
        <w:pStyle w:val="4"/>
        <w:spacing w:before="204" w:after="204"/>
      </w:pPr>
      <w:bookmarkStart w:id="12" w:name="_Toc25005"/>
      <w:r>
        <w:rPr>
          <w:rFonts w:hint="eastAsia"/>
        </w:rPr>
        <w:t>（二）绩效评价原则、评价指标体系（附表说明）、评价方法、评价标准等。</w:t>
      </w:r>
      <w:bookmarkEnd w:id="12"/>
    </w:p>
    <w:p>
      <w:pPr>
        <w:pStyle w:val="5"/>
        <w:ind w:firstLine="643"/>
        <w:rPr>
          <w:rFonts w:ascii="黑体" w:hAnsi="黑体" w:cs="黑体"/>
          <w:sz w:val="32"/>
        </w:rPr>
      </w:pPr>
      <w:bookmarkStart w:id="13" w:name="_Toc19402"/>
      <w:r>
        <w:rPr>
          <w:rFonts w:hint="eastAsia" w:ascii="黑体" w:hAnsi="黑体" w:cs="黑体"/>
          <w:sz w:val="32"/>
        </w:rPr>
        <w:t>1、绩效评价的原则</w:t>
      </w:r>
      <w:bookmarkEnd w:id="13"/>
    </w:p>
    <w:p>
      <w:pPr>
        <w:ind w:firstLine="560"/>
        <w:rPr>
          <w:rFonts w:ascii="仿宋" w:hAnsi="仿宋" w:eastAsia="仿宋" w:cs="仿宋"/>
        </w:rPr>
      </w:pPr>
      <w:r>
        <w:rPr>
          <w:rFonts w:hint="eastAsia" w:ascii="仿宋" w:hAnsi="仿宋" w:eastAsia="仿宋" w:cs="仿宋"/>
        </w:rPr>
        <w:t>绩效评价应当遵循以下基本原则：</w:t>
      </w:r>
    </w:p>
    <w:p>
      <w:pPr>
        <w:ind w:firstLine="560"/>
        <w:rPr>
          <w:rFonts w:ascii="仿宋" w:hAnsi="仿宋" w:eastAsia="仿宋" w:cs="仿宋"/>
        </w:rPr>
      </w:pPr>
      <w:r>
        <w:rPr>
          <w:rFonts w:hint="eastAsia" w:ascii="仿宋" w:hAnsi="仿宋" w:eastAsia="仿宋" w:cs="仿宋"/>
        </w:rPr>
        <w:t>①科学规范。绩效评价注重财政支出的经济性、效率性和有效性，严格执行规定的程序，采用定量与定性分析相结合的方法。</w:t>
      </w:r>
    </w:p>
    <w:p>
      <w:pPr>
        <w:ind w:firstLine="560"/>
        <w:rPr>
          <w:rFonts w:ascii="仿宋" w:hAnsi="仿宋" w:eastAsia="仿宋" w:cs="仿宋"/>
        </w:rPr>
      </w:pPr>
      <w:r>
        <w:rPr>
          <w:rFonts w:hint="eastAsia" w:ascii="仿宋" w:hAnsi="仿宋" w:eastAsia="仿宋" w:cs="仿宋"/>
        </w:rPr>
        <w:t>②公正公开。绩效评价客观、公正，标准统一、资料可靠，依法公开并接受监督。</w:t>
      </w:r>
    </w:p>
    <w:p>
      <w:pPr>
        <w:ind w:firstLine="560"/>
        <w:rPr>
          <w:rFonts w:ascii="仿宋" w:hAnsi="仿宋" w:eastAsia="仿宋" w:cs="仿宋"/>
        </w:rPr>
      </w:pPr>
      <w:r>
        <w:rPr>
          <w:rFonts w:hint="eastAsia" w:ascii="仿宋" w:hAnsi="仿宋" w:eastAsia="仿宋" w:cs="仿宋"/>
        </w:rPr>
        <w:t>③分级分类。绩效评价由各级财政部门、部门（单位）根据评价对象的特点，分类组织实施。</w:t>
      </w:r>
    </w:p>
    <w:p>
      <w:pPr>
        <w:ind w:firstLine="560"/>
        <w:rPr>
          <w:rFonts w:ascii="仿宋" w:hAnsi="仿宋" w:eastAsia="仿宋" w:cs="仿宋"/>
        </w:rPr>
      </w:pPr>
      <w:r>
        <w:rPr>
          <w:rFonts w:hint="eastAsia" w:ascii="仿宋" w:hAnsi="仿宋" w:eastAsia="仿宋" w:cs="仿宋"/>
        </w:rPr>
        <w:t>④绩效相关。绩效评价针对具体支出及其产出绩效进行，评价结果清晰反映支出和产出绩效之间的紧密对应关系。</w:t>
      </w:r>
    </w:p>
    <w:p>
      <w:pPr>
        <w:pStyle w:val="5"/>
        <w:ind w:left="560" w:leftChars="200" w:firstLine="0" w:firstLineChars="0"/>
        <w:rPr>
          <w:sz w:val="32"/>
        </w:rPr>
      </w:pPr>
      <w:bookmarkStart w:id="14" w:name="_Toc11788"/>
      <w:r>
        <w:rPr>
          <w:rFonts w:hint="eastAsia"/>
          <w:sz w:val="32"/>
        </w:rPr>
        <w:t>2、评价指标体系</w:t>
      </w:r>
      <w:bookmarkEnd w:id="14"/>
    </w:p>
    <w:p>
      <w:pPr>
        <w:ind w:firstLine="560"/>
        <w:rPr>
          <w:rFonts w:ascii="仿宋" w:hAnsi="仿宋" w:eastAsia="仿宋" w:cs="仿宋"/>
        </w:rPr>
      </w:pPr>
      <w:r>
        <w:rPr>
          <w:rFonts w:hint="eastAsia" w:ascii="仿宋" w:hAnsi="仿宋" w:eastAsia="仿宋" w:cs="仿宋"/>
        </w:rPr>
        <w:t>根据财政部《项目支出绩效评价管理办法》（财预[2020]10号）、《青云谱区财政局关于开展2021年度预算绩效管理有关工作的通知》（青财发[2021]10号）等文件精神，确定本次绩效评价指标的整体框架。包括项目决策指标（项目立项、绩效目标、资金投入），过程指标（资金管理、组织实施），项目产出（产出数量指标、产出质量指标、产出时效指标、产出成本指标），产出效益（项目社会效益指标、项目可持续效益指标、项目满意度），结合项目实际情况，确定本次绩效评价指标体系的个性指标，并通过与相关各方的协商最终确定全部指标内容。指标数据来源于法规与政府文件、基础数据采集、问卷调查、访谈等。具体详见附表1《项目支出绩效评价表》。</w:t>
      </w:r>
    </w:p>
    <w:p>
      <w:pPr>
        <w:ind w:firstLine="560"/>
        <w:rPr>
          <w:rFonts w:ascii="仿宋" w:hAnsi="仿宋" w:eastAsia="仿宋" w:cs="仿宋"/>
          <w:b/>
          <w:bCs/>
        </w:rPr>
      </w:pPr>
      <w:r>
        <w:rPr>
          <w:rFonts w:hint="eastAsia" w:ascii="仿宋" w:hAnsi="仿宋" w:eastAsia="仿宋" w:cs="仿宋"/>
        </w:rPr>
        <w:t>（1）项目决策：占权重分20分。用于考核项目立项、目标等方面。</w:t>
      </w:r>
    </w:p>
    <w:p>
      <w:pPr>
        <w:ind w:firstLine="560"/>
        <w:rPr>
          <w:rFonts w:ascii="仿宋" w:hAnsi="仿宋" w:eastAsia="仿宋" w:cs="仿宋"/>
        </w:rPr>
      </w:pPr>
      <w:r>
        <w:rPr>
          <w:rFonts w:hint="eastAsia" w:ascii="仿宋" w:hAnsi="仿宋" w:eastAsia="仿宋" w:cs="仿宋"/>
        </w:rPr>
        <w:t>（2）项目过程：占权重分20分。用于考核项目预算资金执行率等方面。</w:t>
      </w:r>
    </w:p>
    <w:p>
      <w:pPr>
        <w:ind w:firstLine="560"/>
        <w:rPr>
          <w:rFonts w:ascii="仿宋" w:hAnsi="仿宋" w:eastAsia="仿宋" w:cs="仿宋"/>
        </w:rPr>
      </w:pPr>
      <w:r>
        <w:rPr>
          <w:rFonts w:hint="eastAsia" w:ascii="仿宋" w:hAnsi="仿宋" w:eastAsia="仿宋" w:cs="仿宋"/>
        </w:rPr>
        <w:t>（3）项目产出：占权重35分，分为产出数量、产出质量、产出时效、产出成本四个方面。</w:t>
      </w:r>
    </w:p>
    <w:p>
      <w:pPr>
        <w:ind w:firstLine="560"/>
        <w:rPr>
          <w:rFonts w:ascii="仿宋" w:hAnsi="仿宋" w:eastAsia="仿宋" w:cs="仿宋"/>
        </w:rPr>
      </w:pPr>
      <w:r>
        <w:rPr>
          <w:rFonts w:hint="eastAsia" w:ascii="仿宋" w:hAnsi="仿宋" w:eastAsia="仿宋" w:cs="仿宋"/>
        </w:rPr>
        <w:t>（4）项目效益：占权重20分，分为社会效益、可持续效益等方面。</w:t>
      </w:r>
    </w:p>
    <w:p>
      <w:pPr>
        <w:ind w:firstLine="560"/>
        <w:rPr>
          <w:rFonts w:ascii="仿宋" w:hAnsi="仿宋" w:eastAsia="仿宋" w:cs="仿宋"/>
        </w:rPr>
      </w:pPr>
      <w:r>
        <w:rPr>
          <w:rFonts w:hint="eastAsia" w:ascii="仿宋" w:hAnsi="仿宋" w:eastAsia="仿宋" w:cs="仿宋"/>
        </w:rPr>
        <w:t>（5）项目满意度：占权重5分，主要考察项目实施后困难生活群众对项目实施产生效果的满意度，包含受益群体满意度与普通群众满意度等方面。</w:t>
      </w:r>
    </w:p>
    <w:p>
      <w:pPr>
        <w:pStyle w:val="5"/>
        <w:numPr>
          <w:ilvl w:val="0"/>
          <w:numId w:val="3"/>
        </w:numPr>
        <w:ind w:firstLine="643"/>
        <w:rPr>
          <w:sz w:val="32"/>
        </w:rPr>
      </w:pPr>
      <w:bookmarkStart w:id="15" w:name="_Toc15467"/>
      <w:r>
        <w:rPr>
          <w:rFonts w:hint="eastAsia"/>
          <w:sz w:val="32"/>
        </w:rPr>
        <w:t>评价方法</w:t>
      </w:r>
      <w:bookmarkEnd w:id="15"/>
    </w:p>
    <w:p>
      <w:pPr>
        <w:ind w:firstLine="560"/>
        <w:rPr>
          <w:rFonts w:ascii="仿宋" w:hAnsi="仿宋" w:eastAsia="仿宋" w:cs="仿宋"/>
          <w:highlight w:val="yellow"/>
        </w:rPr>
      </w:pPr>
      <w:r>
        <w:rPr>
          <w:rFonts w:hint="eastAsia" w:ascii="仿宋" w:hAnsi="仿宋" w:eastAsia="仿宋" w:cs="仿宋"/>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掌握项目资金的使用情况；实地调研则是通过研究员调查实地情况，了解项目的产出和效果；问卷调查则是对项目的相关受益群体进行，了解其对项目实施的真实看法及满意状况。</w:t>
      </w:r>
    </w:p>
    <w:p>
      <w:pPr>
        <w:pStyle w:val="5"/>
        <w:numPr>
          <w:ilvl w:val="0"/>
          <w:numId w:val="3"/>
        </w:numPr>
        <w:ind w:firstLine="643"/>
        <w:rPr>
          <w:sz w:val="32"/>
        </w:rPr>
      </w:pPr>
      <w:bookmarkStart w:id="16" w:name="_Toc27919"/>
      <w:r>
        <w:rPr>
          <w:rFonts w:hint="eastAsia"/>
          <w:sz w:val="32"/>
        </w:rPr>
        <w:t>评价标准</w:t>
      </w:r>
      <w:bookmarkEnd w:id="16"/>
    </w:p>
    <w:p>
      <w:pPr>
        <w:ind w:firstLine="560"/>
        <w:rPr>
          <w:rFonts w:ascii="仿宋" w:hAnsi="仿宋" w:eastAsia="仿宋" w:cs="仿宋"/>
        </w:rPr>
      </w:pPr>
      <w:r>
        <w:rPr>
          <w:rFonts w:hint="eastAsia" w:ascii="仿宋" w:hAnsi="仿宋" w:eastAsia="仿宋" w:cs="仿宋"/>
        </w:rPr>
        <w:t>绩效评价标准是指衡量财政支出绩效目标完成程度的尺度。对于评价指标而言，需要通过评价标准来判别评价指标的状况和优劣程度。是评价工作的基本准绳和标尺，是最后进行评价计分的依据，它决定了评价目标能否实现以及评价结果是否公平准确。绩效指标评价标准主要有：</w:t>
      </w:r>
    </w:p>
    <w:p>
      <w:pPr>
        <w:ind w:firstLine="643"/>
        <w:rPr>
          <w:rFonts w:ascii="黑体" w:hAnsi="黑体" w:eastAsia="黑体" w:cs="黑体"/>
          <w:b/>
          <w:bCs/>
          <w:sz w:val="32"/>
          <w:szCs w:val="28"/>
        </w:rPr>
      </w:pPr>
      <w:r>
        <w:rPr>
          <w:rFonts w:hint="eastAsia" w:ascii="黑体" w:hAnsi="黑体" w:eastAsia="黑体" w:cs="黑体"/>
          <w:b/>
          <w:bCs/>
          <w:sz w:val="32"/>
          <w:szCs w:val="28"/>
        </w:rPr>
        <w:t>（1）计划标准</w:t>
      </w:r>
    </w:p>
    <w:p>
      <w:pPr>
        <w:ind w:firstLine="560"/>
        <w:rPr>
          <w:rFonts w:ascii="仿宋" w:hAnsi="仿宋" w:eastAsia="仿宋" w:cs="仿宋"/>
        </w:rPr>
      </w:pPr>
      <w:r>
        <w:rPr>
          <w:rFonts w:hint="eastAsia" w:ascii="仿宋" w:hAnsi="仿宋" w:eastAsia="仿宋" w:cs="仿宋"/>
        </w:rPr>
        <w:t>以预先制定的计划、目标、预算或定额等数据作为绩效评价标准。计划值作为评价的指标旨在通过将实际完成值与预定值对比，找出两者的差异，从而达到评价目的。但由于容易受主观因素影响，计划标准的制定要求较高。</w:t>
      </w:r>
    </w:p>
    <w:p>
      <w:pPr>
        <w:ind w:firstLine="643"/>
        <w:rPr>
          <w:rFonts w:ascii="黑体" w:hAnsi="黑体" w:eastAsia="黑体" w:cs="黑体"/>
          <w:b/>
          <w:bCs/>
          <w:sz w:val="32"/>
          <w:szCs w:val="28"/>
        </w:rPr>
      </w:pPr>
      <w:r>
        <w:rPr>
          <w:rFonts w:hint="eastAsia" w:ascii="黑体" w:hAnsi="黑体" w:eastAsia="黑体" w:cs="黑体"/>
          <w:b/>
          <w:bCs/>
          <w:sz w:val="32"/>
          <w:szCs w:val="28"/>
        </w:rPr>
        <w:t>（2）行业标准</w:t>
      </w:r>
    </w:p>
    <w:p>
      <w:pPr>
        <w:ind w:firstLine="560"/>
        <w:rPr>
          <w:rFonts w:ascii="仿宋" w:hAnsi="仿宋" w:eastAsia="仿宋" w:cs="仿宋"/>
        </w:rPr>
      </w:pPr>
      <w:r>
        <w:rPr>
          <w:rFonts w:hint="eastAsia" w:ascii="仿宋" w:hAnsi="仿宋" w:eastAsia="仿宋" w:cs="仿宋"/>
        </w:rPr>
        <w:t>以某一具体行业许多个体或某项财政经费的相关指标数据为样本，运用数理统计方法，计算和制定的该行业评价标准。行业标准可方便财政部门对各类支出的绩效情况进行纵向的或横向的比较分析；行业标准具有易取得性、权威性和客观性，广为评价工作者使用，然而行业标准的充分应用需要强大的数据资料库做支撑。</w:t>
      </w:r>
    </w:p>
    <w:p>
      <w:pPr>
        <w:ind w:firstLine="643"/>
        <w:rPr>
          <w:rFonts w:ascii="黑体" w:hAnsi="黑体" w:eastAsia="黑体" w:cs="黑体"/>
          <w:b/>
          <w:bCs/>
          <w:sz w:val="32"/>
          <w:szCs w:val="28"/>
        </w:rPr>
      </w:pPr>
    </w:p>
    <w:p>
      <w:pPr>
        <w:ind w:firstLine="643"/>
        <w:rPr>
          <w:rFonts w:ascii="黑体" w:hAnsi="黑体" w:eastAsia="黑体" w:cs="黑体"/>
          <w:b/>
          <w:bCs/>
          <w:sz w:val="32"/>
          <w:szCs w:val="28"/>
        </w:rPr>
      </w:pPr>
      <w:r>
        <w:rPr>
          <w:rFonts w:hint="eastAsia" w:ascii="黑体" w:hAnsi="黑体" w:eastAsia="黑体" w:cs="黑体"/>
          <w:b/>
          <w:bCs/>
          <w:sz w:val="32"/>
          <w:szCs w:val="28"/>
        </w:rPr>
        <w:t>（3）历史标准</w:t>
      </w:r>
    </w:p>
    <w:p>
      <w:pPr>
        <w:ind w:firstLine="560"/>
        <w:rPr>
          <w:rFonts w:ascii="仿宋" w:hAnsi="仿宋" w:eastAsia="仿宋" w:cs="仿宋"/>
        </w:rPr>
      </w:pPr>
      <w:r>
        <w:rPr>
          <w:rFonts w:hint="eastAsia" w:ascii="仿宋" w:hAnsi="仿宋" w:eastAsia="仿宋" w:cs="仿宋"/>
        </w:rPr>
        <w:t xml:space="preserve">以绩效评价指标的历史数据作为样本，运用一定的统计学方法，计算出各类指标的平均历史水平。在运用历史标准进行评价时，要对其根据价格指数、统计口径或核算方法的变化对历史标准进行修订和完善。 </w:t>
      </w:r>
    </w:p>
    <w:p>
      <w:pPr>
        <w:ind w:firstLine="643"/>
        <w:rPr>
          <w:rFonts w:ascii="黑体" w:hAnsi="黑体" w:eastAsia="黑体" w:cs="黑体"/>
          <w:b/>
          <w:bCs/>
          <w:sz w:val="32"/>
          <w:szCs w:val="28"/>
        </w:rPr>
      </w:pPr>
      <w:r>
        <w:rPr>
          <w:rFonts w:hint="eastAsia" w:ascii="黑体" w:hAnsi="黑体" w:eastAsia="黑体" w:cs="黑体"/>
          <w:b/>
          <w:bCs/>
          <w:sz w:val="32"/>
          <w:szCs w:val="28"/>
        </w:rPr>
        <w:t>（4）经验标准</w:t>
      </w:r>
    </w:p>
    <w:p>
      <w:pPr>
        <w:ind w:firstLine="560"/>
        <w:rPr>
          <w:rFonts w:ascii="仿宋" w:hAnsi="仿宋" w:eastAsia="仿宋" w:cs="仿宋"/>
        </w:rPr>
      </w:pPr>
      <w:r>
        <w:rPr>
          <w:rFonts w:hint="eastAsia" w:ascii="仿宋" w:hAnsi="仿宋" w:eastAsia="仿宋" w:cs="仿宋"/>
        </w:rPr>
        <w:t>根据长期的财政经济活动管理实践，由在该领域中具有丰富经验的专家学者，在经过严密分析与研究，得到的有关指标标准。该标准适用于缺乏同行业标准比较时用。即便行业标准与经验标准两者都可得到并使用，如果前者不如后者有权威性时，为保证评价结果的认可度，也应当选择经验标准，而不是选择行业标准。</w:t>
      </w:r>
    </w:p>
    <w:p>
      <w:pPr>
        <w:pStyle w:val="4"/>
        <w:numPr>
          <w:ilvl w:val="0"/>
          <w:numId w:val="4"/>
        </w:numPr>
        <w:spacing w:before="204" w:after="204"/>
      </w:pPr>
      <w:bookmarkStart w:id="17" w:name="_Toc5712"/>
      <w:r>
        <w:rPr>
          <w:rFonts w:hint="eastAsia"/>
        </w:rPr>
        <w:t>绩效评价工作过程</w:t>
      </w:r>
      <w:bookmarkEnd w:id="17"/>
    </w:p>
    <w:p>
      <w:pPr>
        <w:ind w:firstLine="560"/>
      </w:pPr>
      <w:r>
        <w:rPr>
          <w:rFonts w:hint="eastAsia" w:ascii="仿宋" w:hAnsi="仿宋" w:eastAsia="仿宋" w:cs="仿宋"/>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5"/>
        <w:ind w:firstLine="643"/>
        <w:rPr>
          <w:sz w:val="32"/>
          <w:szCs w:val="28"/>
        </w:rPr>
      </w:pPr>
      <w:bookmarkStart w:id="18" w:name="_Toc15797"/>
      <w:r>
        <w:rPr>
          <w:rFonts w:hint="eastAsia"/>
          <w:sz w:val="32"/>
          <w:szCs w:val="28"/>
        </w:rPr>
        <w:t>1、绩效评价的业务流程</w:t>
      </w:r>
      <w:bookmarkEnd w:id="18"/>
    </w:p>
    <w:p>
      <w:pPr>
        <w:ind w:firstLine="643"/>
        <w:rPr>
          <w:rFonts w:ascii="黑体" w:hAnsi="黑体" w:eastAsia="黑体" w:cs="黑体"/>
          <w:b/>
          <w:bCs/>
          <w:sz w:val="32"/>
          <w:szCs w:val="28"/>
        </w:rPr>
      </w:pPr>
      <w:r>
        <w:rPr>
          <w:rFonts w:hint="eastAsia" w:ascii="黑体" w:hAnsi="黑体" w:eastAsia="黑体" w:cs="黑体"/>
          <w:b/>
          <w:bCs/>
          <w:sz w:val="32"/>
          <w:szCs w:val="28"/>
        </w:rPr>
        <w:t>（1）评价前期准备</w:t>
      </w:r>
    </w:p>
    <w:p>
      <w:pPr>
        <w:ind w:firstLine="560"/>
        <w:rPr>
          <w:rFonts w:ascii="仿宋" w:hAnsi="仿宋" w:eastAsia="仿宋" w:cs="仿宋"/>
        </w:rPr>
      </w:pPr>
      <w:r>
        <w:rPr>
          <w:rFonts w:hint="eastAsia" w:ascii="仿宋" w:hAnsi="仿宋" w:eastAsia="仿宋" w:cs="仿宋"/>
        </w:rPr>
        <w:t>了解评价对象情况</w:t>
      </w:r>
      <w:r>
        <w:rPr>
          <w:rFonts w:hint="eastAsia" w:ascii="仿宋" w:hAnsi="仿宋" w:eastAsia="仿宋" w:cs="仿宋"/>
          <w:b/>
          <w:bCs/>
        </w:rPr>
        <w:t>：</w:t>
      </w:r>
      <w:r>
        <w:rPr>
          <w:rFonts w:hint="eastAsia" w:ascii="仿宋" w:hAnsi="仿宋" w:eastAsia="仿宋" w:cs="仿宋"/>
        </w:rPr>
        <w:t>根据委托方及主管部门（单位）的介绍及相关文件的解读，了解预算2020年南昌市青云谱区民政局“救急难”救助项目的绩效管理培训项目情况，确定本次绩效评价类型、适用的原理框架、评价重点领域及涉及到的相关方。</w:t>
      </w:r>
    </w:p>
    <w:p>
      <w:pPr>
        <w:ind w:firstLine="643"/>
        <w:rPr>
          <w:rFonts w:ascii="黑体" w:hAnsi="黑体" w:eastAsia="黑体" w:cs="黑体"/>
          <w:b/>
          <w:bCs/>
          <w:sz w:val="32"/>
          <w:szCs w:val="28"/>
        </w:rPr>
      </w:pPr>
      <w:r>
        <w:rPr>
          <w:rFonts w:hint="eastAsia" w:ascii="黑体" w:hAnsi="黑体" w:eastAsia="黑体" w:cs="黑体"/>
          <w:b/>
          <w:bCs/>
          <w:sz w:val="32"/>
          <w:szCs w:val="28"/>
        </w:rPr>
        <w:t>（2）绩效评价实施</w:t>
      </w:r>
    </w:p>
    <w:p>
      <w:pPr>
        <w:ind w:firstLine="560"/>
        <w:rPr>
          <w:rFonts w:ascii="仿宋" w:hAnsi="仿宋" w:eastAsia="仿宋" w:cs="仿宋"/>
        </w:rPr>
      </w:pPr>
      <w:r>
        <w:rPr>
          <w:rFonts w:hint="eastAsia" w:ascii="仿宋" w:hAnsi="仿宋" w:eastAsia="仿宋" w:cs="仿宋"/>
        </w:rPr>
        <w:t>评价证据的收集</w:t>
      </w:r>
      <w:r>
        <w:rPr>
          <w:rFonts w:hint="eastAsia" w:ascii="仿宋" w:hAnsi="仿宋" w:eastAsia="仿宋" w:cs="仿宋"/>
          <w:b/>
          <w:bCs/>
        </w:rPr>
        <w:t>：</w:t>
      </w:r>
      <w:r>
        <w:rPr>
          <w:rFonts w:hint="eastAsia" w:ascii="仿宋" w:hAnsi="仿宋" w:eastAsia="仿宋" w:cs="仿宋"/>
        </w:rPr>
        <w:t>绩效评价工作的科学合理开展建立在坚实的证据基础之上。绩效评价组决定从项目资金入手，对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rPr>
          <w:rFonts w:ascii="仿宋" w:hAnsi="仿宋" w:eastAsia="仿宋" w:cs="仿宋"/>
        </w:rPr>
      </w:pPr>
      <w:r>
        <w:rPr>
          <w:rFonts w:hint="eastAsia" w:ascii="仿宋" w:hAnsi="仿宋" w:eastAsia="仿宋" w:cs="仿宋"/>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rPr>
          <w:rFonts w:ascii="仿宋" w:hAnsi="仿宋" w:eastAsia="仿宋" w:cs="仿宋"/>
        </w:rPr>
      </w:pPr>
      <w:r>
        <w:rPr>
          <w:rFonts w:hint="eastAsia" w:ascii="仿宋" w:hAnsi="仿宋" w:eastAsia="仿宋" w:cs="仿宋"/>
        </w:rPr>
        <w:t>然后，对项目组织实施资料进行核实，这一阶段主要是进行项目相关证据的收集，为后续分析及报告撰写做好铺垫。</w:t>
      </w:r>
    </w:p>
    <w:p>
      <w:pPr>
        <w:ind w:firstLine="560"/>
        <w:rPr>
          <w:rFonts w:ascii="仿宋" w:hAnsi="仿宋" w:eastAsia="仿宋" w:cs="仿宋"/>
        </w:rPr>
      </w:pPr>
      <w:r>
        <w:rPr>
          <w:rFonts w:hint="eastAsia" w:ascii="仿宋" w:hAnsi="仿宋" w:eastAsia="仿宋" w:cs="仿宋"/>
        </w:rPr>
        <w:t>另外，对项目组织实施资料进行整理，了解</w:t>
      </w:r>
      <w:r>
        <w:rPr>
          <w:rFonts w:hint="eastAsia" w:ascii="仿宋" w:hAnsi="仿宋" w:eastAsia="仿宋" w:cs="仿宋"/>
          <w:szCs w:val="28"/>
        </w:rPr>
        <w:t>青云谱区民政局“救急难”</w:t>
      </w:r>
      <w:r>
        <w:rPr>
          <w:rFonts w:hint="eastAsia" w:ascii="仿宋" w:hAnsi="仿宋" w:eastAsia="仿宋" w:cs="仿宋"/>
        </w:rPr>
        <w:t>项目实施受益群体范围，并进行问卷调查和组织座谈。</w:t>
      </w:r>
    </w:p>
    <w:p>
      <w:pPr>
        <w:ind w:firstLine="560"/>
        <w:rPr>
          <w:rFonts w:ascii="仿宋" w:hAnsi="仿宋" w:eastAsia="仿宋" w:cs="仿宋"/>
        </w:rPr>
      </w:pPr>
      <w:r>
        <w:rPr>
          <w:rFonts w:hint="eastAsia" w:ascii="仿宋" w:hAnsi="仿宋" w:eastAsia="仿宋" w:cs="仿宋"/>
        </w:rPr>
        <w:t xml:space="preserve">评价证据审核：对收集到的评价证据，保持职业怀疑，通过核实基础数据的全面性、真实性以及统计口径的一致性等，增加评价证据的可置信程度。 </w:t>
      </w:r>
    </w:p>
    <w:p>
      <w:pPr>
        <w:ind w:firstLine="560"/>
        <w:rPr>
          <w:rFonts w:ascii="仿宋" w:hAnsi="仿宋" w:eastAsia="仿宋" w:cs="仿宋"/>
        </w:rPr>
      </w:pPr>
      <w:r>
        <w:rPr>
          <w:rFonts w:hint="eastAsia" w:ascii="仿宋" w:hAnsi="仿宋" w:eastAsia="仿宋" w:cs="仿宋"/>
        </w:rPr>
        <w:t>绩效分析与评级：运用既定的分析方法，根据收集整理的证据和设定的评分标准进行分析，对各项评价指标进行评分。通过加权计算出最终的评价分值，并相应确定绩效等级。</w:t>
      </w:r>
    </w:p>
    <w:p>
      <w:pPr>
        <w:ind w:firstLine="560"/>
        <w:rPr>
          <w:rFonts w:ascii="仿宋" w:hAnsi="仿宋" w:eastAsia="仿宋" w:cs="仿宋"/>
        </w:rPr>
      </w:pPr>
      <w:r>
        <w:rPr>
          <w:rFonts w:hint="eastAsia" w:ascii="仿宋" w:hAnsi="仿宋" w:eastAsia="仿宋" w:cs="仿宋"/>
        </w:rPr>
        <w:t>形成评价结论：评价结论按照既定要求在内外部组织讨论，从各评价维度对相关细节问题进行核实并权衡。评价结论了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5"/>
        <w:ind w:left="560" w:leftChars="200" w:firstLine="0" w:firstLineChars="0"/>
        <w:rPr>
          <w:rFonts w:ascii="黑体" w:hAnsi="黑体" w:cs="黑体"/>
          <w:sz w:val="32"/>
          <w:szCs w:val="36"/>
        </w:rPr>
      </w:pPr>
      <w:bookmarkStart w:id="19" w:name="_Toc8190"/>
      <w:r>
        <w:rPr>
          <w:rFonts w:hint="eastAsia" w:ascii="黑体" w:hAnsi="黑体" w:cs="黑体"/>
          <w:sz w:val="32"/>
          <w:szCs w:val="36"/>
        </w:rPr>
        <w:t>2、形成绩效评价报告</w:t>
      </w:r>
      <w:bookmarkEnd w:id="19"/>
    </w:p>
    <w:p>
      <w:pPr>
        <w:ind w:firstLine="560"/>
        <w:rPr>
          <w:rFonts w:ascii="仿宋" w:hAnsi="仿宋" w:eastAsia="仿宋" w:cs="仿宋"/>
          <w:szCs w:val="28"/>
        </w:rPr>
      </w:pPr>
      <w:r>
        <w:rPr>
          <w:rFonts w:hint="eastAsia" w:ascii="仿宋" w:hAnsi="仿宋" w:eastAsia="仿宋" w:cs="仿宋"/>
          <w:szCs w:val="28"/>
        </w:rPr>
        <w:t>（1）撰写绩效评价报告。评价组根据前述绩效分析和评价结论，按照青云谱区财政局要求提炼撰写绩效报告，确保绩效数据真实、可靠，报告逻辑清晰、完整，分析问题深入、透彻等。</w:t>
      </w:r>
    </w:p>
    <w:p>
      <w:pPr>
        <w:ind w:firstLine="560"/>
        <w:rPr>
          <w:rFonts w:ascii="仿宋" w:hAnsi="仿宋" w:eastAsia="仿宋" w:cs="仿宋"/>
          <w:szCs w:val="28"/>
        </w:rPr>
      </w:pPr>
      <w:r>
        <w:rPr>
          <w:rFonts w:hint="eastAsia" w:ascii="仿宋" w:hAnsi="仿宋" w:eastAsia="仿宋" w:cs="仿宋"/>
          <w:szCs w:val="28"/>
        </w:rPr>
        <w:t>（2）绩效评价报告复核。公司内部质量复核组将对所属评价团队提交的评价报告初稿进行复核，主要关注报告结论是否全面、准确；经验、教训的总结是否深刻，建议是否可行等。</w:t>
      </w:r>
    </w:p>
    <w:p>
      <w:pPr>
        <w:ind w:firstLine="560"/>
        <w:rPr>
          <w:rFonts w:ascii="仿宋" w:hAnsi="仿宋" w:eastAsia="仿宋" w:cs="仿宋"/>
          <w:szCs w:val="28"/>
        </w:rPr>
      </w:pPr>
      <w:r>
        <w:rPr>
          <w:rFonts w:hint="eastAsia" w:ascii="仿宋" w:hAnsi="仿宋" w:eastAsia="仿宋" w:cs="仿宋"/>
          <w:szCs w:val="28"/>
        </w:rPr>
        <w:t>（3）提交项目委托方审核。在吸取公司内部质量复核组对评价报告意见和建议的基础上，修改并完善评价报告。提交青云谱区财政局审核。</w:t>
      </w:r>
    </w:p>
    <w:p>
      <w:pPr>
        <w:ind w:firstLine="560"/>
        <w:rPr>
          <w:rFonts w:ascii="仿宋" w:hAnsi="仿宋" w:eastAsia="仿宋" w:cs="仿宋"/>
          <w:szCs w:val="28"/>
        </w:rPr>
      </w:pPr>
      <w:r>
        <w:rPr>
          <w:rFonts w:hint="eastAsia" w:ascii="仿宋" w:hAnsi="仿宋" w:eastAsia="仿宋" w:cs="仿宋"/>
          <w:szCs w:val="28"/>
        </w:rPr>
        <w:t>（4）形成评价报告终稿。根据青云谱区财政局对评价报告的反馈意见，提供相关证据，修改并完善评价报告。</w:t>
      </w:r>
    </w:p>
    <w:p>
      <w:pPr>
        <w:pStyle w:val="5"/>
        <w:ind w:firstLine="643"/>
        <w:rPr>
          <w:sz w:val="32"/>
          <w:szCs w:val="28"/>
        </w:rPr>
      </w:pPr>
      <w:bookmarkStart w:id="20" w:name="_Toc31500"/>
      <w:bookmarkStart w:id="21" w:name="_Toc21529"/>
      <w:bookmarkStart w:id="22" w:name="_Toc21528"/>
      <w:bookmarkStart w:id="23" w:name="_Toc27113"/>
      <w:bookmarkStart w:id="24" w:name="_Toc26973"/>
      <w:r>
        <w:rPr>
          <w:rFonts w:hint="eastAsia"/>
          <w:sz w:val="32"/>
          <w:szCs w:val="28"/>
        </w:rPr>
        <w:t>3、建立绩效评价档案</w:t>
      </w:r>
      <w:bookmarkEnd w:id="20"/>
      <w:bookmarkEnd w:id="21"/>
      <w:bookmarkEnd w:id="22"/>
      <w:bookmarkEnd w:id="23"/>
      <w:bookmarkEnd w:id="24"/>
    </w:p>
    <w:p>
      <w:pPr>
        <w:ind w:firstLine="560"/>
        <w:rPr>
          <w:rStyle w:val="17"/>
        </w:rPr>
      </w:pPr>
      <w:r>
        <w:rPr>
          <w:rFonts w:hint="eastAsia" w:ascii="仿宋" w:hAnsi="仿宋" w:eastAsia="仿宋" w:cs="仿宋"/>
          <w:szCs w:val="28"/>
        </w:rPr>
        <w:t>按照档案管理要求，对绩效评价的所有资料进行整理归档，电子稿资料刻录光盘进行保存。</w:t>
      </w:r>
    </w:p>
    <w:p>
      <w:pPr>
        <w:pStyle w:val="3"/>
        <w:numPr>
          <w:ilvl w:val="0"/>
          <w:numId w:val="5"/>
        </w:numPr>
        <w:rPr>
          <w:rStyle w:val="17"/>
          <w:b/>
          <w:bCs/>
        </w:rPr>
      </w:pPr>
      <w:bookmarkStart w:id="25" w:name="_Toc2887"/>
      <w:r>
        <w:rPr>
          <w:rStyle w:val="17"/>
          <w:rFonts w:hint="eastAsia"/>
          <w:b/>
          <w:bCs/>
        </w:rPr>
        <w:t>综合评价情况及评价结论</w:t>
      </w:r>
      <w:bookmarkEnd w:id="25"/>
    </w:p>
    <w:p>
      <w:pPr>
        <w:widowControl/>
        <w:ind w:firstLine="560"/>
        <w:rPr>
          <w:rFonts w:ascii="仿宋" w:hAnsi="仿宋" w:eastAsia="仿宋" w:cs="仿宋"/>
          <w:color w:val="000000"/>
          <w:kern w:val="0"/>
          <w:szCs w:val="28"/>
        </w:rPr>
      </w:pPr>
      <w:r>
        <w:rPr>
          <w:rFonts w:hint="eastAsia" w:ascii="仿宋" w:hAnsi="仿宋" w:eastAsia="仿宋" w:cs="仿宋"/>
          <w:color w:val="000000"/>
          <w:kern w:val="0"/>
          <w:szCs w:val="28"/>
        </w:rPr>
        <w:t>该项目绩效评价结果采取评分和评级相结合的方式，总分设置为100 分，等级划分为四档:</w:t>
      </w:r>
    </w:p>
    <w:p>
      <w:pPr>
        <w:widowControl/>
        <w:ind w:firstLine="560"/>
        <w:rPr>
          <w:rFonts w:ascii="仿宋" w:hAnsi="仿宋" w:eastAsia="仿宋" w:cs="仿宋"/>
        </w:rPr>
      </w:pPr>
      <w:r>
        <w:rPr>
          <w:rFonts w:hint="eastAsia" w:ascii="仿宋" w:hAnsi="仿宋" w:eastAsia="仿宋" w:cs="仿宋"/>
          <w:color w:val="000000"/>
          <w:kern w:val="0"/>
          <w:szCs w:val="28"/>
        </w:rPr>
        <w:t xml:space="preserve">综合得分在 90（含）-100 分为优；综合得分在 80（含）-90 分为良；综合得分在 60（含）-80 分为中；综合得分在 60 分以下为差。 </w:t>
      </w:r>
    </w:p>
    <w:p>
      <w:pPr>
        <w:pStyle w:val="4"/>
        <w:numPr>
          <w:ilvl w:val="0"/>
          <w:numId w:val="6"/>
        </w:numPr>
        <w:spacing w:before="204" w:after="204"/>
      </w:pPr>
      <w:bookmarkStart w:id="26" w:name="_Toc30079"/>
      <w:r>
        <w:rPr>
          <w:rFonts w:hint="eastAsia"/>
        </w:rPr>
        <w:t>综合评价情况</w:t>
      </w:r>
      <w:bookmarkEnd w:id="26"/>
    </w:p>
    <w:p>
      <w:pPr>
        <w:ind w:firstLine="560"/>
        <w:rPr>
          <w:rFonts w:ascii="仿宋" w:hAnsi="仿宋" w:eastAsia="仿宋" w:cs="仿宋"/>
          <w:color w:val="000000"/>
          <w:kern w:val="0"/>
          <w:szCs w:val="28"/>
        </w:rPr>
      </w:pPr>
      <w:r>
        <w:rPr>
          <w:rFonts w:hint="eastAsia" w:ascii="仿宋" w:hAnsi="仿宋" w:eastAsia="仿宋" w:cs="仿宋"/>
          <w:color w:val="000000"/>
          <w:kern w:val="0"/>
          <w:szCs w:val="28"/>
        </w:rPr>
        <w:t>评价组围绕绩效评价指标体系，通过资料核查、数据分析、现场调研及深度访谈等方式，对</w:t>
      </w:r>
      <w:r>
        <w:rPr>
          <w:rFonts w:hint="eastAsia" w:ascii="仿宋" w:hAnsi="仿宋" w:eastAsia="仿宋" w:cs="仿宋"/>
        </w:rPr>
        <w:t>南昌市青云谱区民政局“救急难”救助项目进行客观评价。</w:t>
      </w:r>
      <w:r>
        <w:rPr>
          <w:rFonts w:hint="eastAsia" w:ascii="仿宋" w:hAnsi="仿宋" w:eastAsia="仿宋" w:cs="仿宋"/>
          <w:color w:val="000000"/>
          <w:kern w:val="0"/>
          <w:szCs w:val="28"/>
        </w:rPr>
        <w:t>绩效进行了客观公正的评价，最终评价结果为</w:t>
      </w:r>
      <w:r>
        <w:rPr>
          <w:rFonts w:hint="eastAsia" w:ascii="仿宋" w:hAnsi="仿宋" w:eastAsia="仿宋" w:cs="仿宋"/>
          <w:lang w:val="en-US" w:eastAsia="zh-CN"/>
        </w:rPr>
        <w:t>97.</w:t>
      </w:r>
      <w:r>
        <w:rPr>
          <w:rFonts w:hint="eastAsia" w:ascii="仿宋" w:hAnsi="仿宋" w:eastAsia="仿宋" w:cs="仿宋"/>
        </w:rPr>
        <w:t>84</w:t>
      </w:r>
      <w:r>
        <w:rPr>
          <w:rFonts w:hint="eastAsia" w:ascii="仿宋" w:hAnsi="仿宋" w:eastAsia="仿宋" w:cs="仿宋"/>
          <w:color w:val="000000"/>
          <w:kern w:val="0"/>
          <w:szCs w:val="28"/>
        </w:rPr>
        <w:t>分，依据财政绩效评价等级划分，本项目绩效评价等级“优”。根据对决策、过程、</w:t>
      </w:r>
      <w:bookmarkStart w:id="41" w:name="_GoBack"/>
      <w:bookmarkEnd w:id="41"/>
      <w:r>
        <w:rPr>
          <w:rFonts w:hint="eastAsia" w:ascii="仿宋" w:hAnsi="仿宋" w:eastAsia="仿宋" w:cs="仿宋"/>
          <w:color w:val="000000"/>
          <w:kern w:val="0"/>
          <w:szCs w:val="28"/>
        </w:rPr>
        <w:t>产出、效益指标的评分标准进行评价，四项指标得分分别为20 分、14.84 分、35 分、25 分，各项指标评价分情况见下图：</w:t>
      </w:r>
    </w:p>
    <w:p>
      <w:pPr>
        <w:pStyle w:val="2"/>
        <w:ind w:firstLine="560"/>
        <w:jc w:val="center"/>
      </w:pPr>
      <w:r>
        <w:drawing>
          <wp:inline distT="0" distB="0" distL="114300" distR="114300">
            <wp:extent cx="4411980" cy="2566670"/>
            <wp:effectExtent l="6350" t="6350" r="20320" b="177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422"/>
        <w:jc w:val="center"/>
        <w:rPr>
          <w:rFonts w:ascii="仿宋" w:hAnsi="仿宋" w:eastAsia="仿宋" w:cs="仿宋"/>
        </w:rPr>
      </w:pPr>
      <w:r>
        <w:rPr>
          <w:rFonts w:hint="eastAsia" w:ascii="楷体" w:hAnsi="楷体" w:eastAsia="楷体" w:cs="楷体"/>
          <w:b/>
          <w:bCs/>
          <w:sz w:val="21"/>
          <w:szCs w:val="21"/>
        </w:rPr>
        <w:t>图1 青云谱区2020年</w:t>
      </w:r>
      <w:r>
        <w:rPr>
          <w:rFonts w:hint="eastAsia" w:ascii="楷体" w:hAnsi="楷体" w:eastAsia="楷体" w:cs="楷体"/>
          <w:b/>
          <w:bCs/>
          <w:color w:val="000000"/>
          <w:kern w:val="0"/>
          <w:sz w:val="21"/>
          <w:szCs w:val="21"/>
        </w:rPr>
        <w:t>民政局“救急难”项目</w:t>
      </w:r>
      <w:r>
        <w:rPr>
          <w:rFonts w:hint="eastAsia" w:ascii="楷体" w:hAnsi="楷体" w:eastAsia="楷体" w:cs="楷体"/>
          <w:b/>
          <w:bCs/>
          <w:sz w:val="21"/>
          <w:szCs w:val="21"/>
        </w:rPr>
        <w:t>绩效评价得分图</w:t>
      </w:r>
    </w:p>
    <w:p>
      <w:pPr>
        <w:pStyle w:val="4"/>
        <w:numPr>
          <w:ilvl w:val="0"/>
          <w:numId w:val="6"/>
        </w:numPr>
        <w:spacing w:before="204" w:after="204"/>
      </w:pPr>
      <w:bookmarkStart w:id="27" w:name="_Toc10447"/>
      <w:r>
        <w:rPr>
          <w:rFonts w:hint="eastAsia"/>
        </w:rPr>
        <w:t>评价结论</w:t>
      </w:r>
      <w:bookmarkEnd w:id="27"/>
    </w:p>
    <w:p>
      <w:pPr>
        <w:widowControl/>
        <w:ind w:firstLine="560"/>
        <w:jc w:val="left"/>
        <w:rPr>
          <w:rFonts w:ascii="宋体" w:hAnsi="宋体" w:cs="宋体"/>
          <w:color w:val="000000"/>
          <w:kern w:val="0"/>
          <w:szCs w:val="28"/>
        </w:rPr>
      </w:pPr>
      <w:r>
        <w:rPr>
          <w:rFonts w:hint="eastAsia" w:ascii="仿宋" w:hAnsi="仿宋" w:eastAsia="仿宋" w:cs="仿宋"/>
        </w:rPr>
        <w:t>南昌市青云谱区民政局“救急难”救助项目</w:t>
      </w:r>
      <w:r>
        <w:rPr>
          <w:rFonts w:hint="eastAsia" w:ascii="仿宋" w:hAnsi="仿宋" w:eastAsia="仿宋" w:cs="仿宋"/>
          <w:color w:val="000000"/>
          <w:kern w:val="0"/>
          <w:szCs w:val="28"/>
        </w:rPr>
        <w:t>决策、过程、产出、及效益各部分得分情况及评价结论如下表所示：</w:t>
      </w:r>
    </w:p>
    <w:p>
      <w:pPr>
        <w:pStyle w:val="2"/>
        <w:ind w:firstLine="0" w:firstLineChars="0"/>
        <w:jc w:val="center"/>
        <w:rPr>
          <w:rFonts w:ascii="楷体" w:hAnsi="楷体" w:eastAsia="楷体" w:cs="楷体"/>
          <w:color w:val="000000"/>
          <w:kern w:val="0"/>
          <w:szCs w:val="28"/>
        </w:rPr>
      </w:pPr>
      <w:r>
        <w:rPr>
          <w:rFonts w:hint="eastAsia" w:ascii="楷体" w:hAnsi="楷体" w:eastAsia="楷体" w:cs="楷体"/>
          <w:b/>
          <w:bCs/>
          <w:sz w:val="24"/>
          <w:szCs w:val="22"/>
        </w:rPr>
        <w:t>表1 青云谱区民政局2020年“救急难”项目绩效评价综合结论表</w:t>
      </w:r>
    </w:p>
    <w:tbl>
      <w:tblPr>
        <w:tblStyle w:val="12"/>
        <w:tblW w:w="876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57"/>
        <w:gridCol w:w="1103"/>
        <w:gridCol w:w="1314"/>
        <w:gridCol w:w="1228"/>
        <w:gridCol w:w="4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957" w:type="dxa"/>
            <w:shd w:val="clear" w:color="auto" w:fill="auto"/>
            <w:vAlign w:val="center"/>
          </w:tcPr>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评价</w:t>
            </w:r>
          </w:p>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内容</w:t>
            </w:r>
          </w:p>
        </w:tc>
        <w:tc>
          <w:tcPr>
            <w:tcW w:w="1103" w:type="dxa"/>
            <w:shd w:val="clear" w:color="auto" w:fill="auto"/>
            <w:vAlign w:val="center"/>
          </w:tcPr>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分值</w:t>
            </w:r>
          </w:p>
        </w:tc>
        <w:tc>
          <w:tcPr>
            <w:tcW w:w="1314" w:type="dxa"/>
            <w:shd w:val="clear" w:color="auto" w:fill="auto"/>
            <w:vAlign w:val="center"/>
          </w:tcPr>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得分</w:t>
            </w:r>
          </w:p>
        </w:tc>
        <w:tc>
          <w:tcPr>
            <w:tcW w:w="1228" w:type="dxa"/>
            <w:shd w:val="clear" w:color="auto" w:fill="auto"/>
            <w:vAlign w:val="center"/>
          </w:tcPr>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得分率</w:t>
            </w:r>
          </w:p>
        </w:tc>
        <w:tc>
          <w:tcPr>
            <w:tcW w:w="4167" w:type="dxa"/>
            <w:shd w:val="clear" w:color="auto" w:fill="auto"/>
            <w:vAlign w:val="center"/>
          </w:tcPr>
          <w:p>
            <w:pPr>
              <w:widowControl/>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评分结论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957"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决策</w:t>
            </w:r>
          </w:p>
        </w:tc>
        <w:tc>
          <w:tcPr>
            <w:tcW w:w="1103"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20</w:t>
            </w:r>
          </w:p>
        </w:tc>
        <w:tc>
          <w:tcPr>
            <w:tcW w:w="1314"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20</w:t>
            </w:r>
          </w:p>
        </w:tc>
        <w:tc>
          <w:tcPr>
            <w:tcW w:w="1228"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20%</w:t>
            </w:r>
          </w:p>
        </w:tc>
        <w:tc>
          <w:tcPr>
            <w:tcW w:w="4167" w:type="dxa"/>
            <w:shd w:val="clear" w:color="auto" w:fill="auto"/>
            <w:vAlign w:val="center"/>
          </w:tcPr>
          <w:p>
            <w:pPr>
              <w:widowControl/>
              <w:numPr>
                <w:ilvl w:val="0"/>
                <w:numId w:val="7"/>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项目立项符合国家法律法规、国民经济发展规划，符合</w:t>
            </w:r>
            <w:r>
              <w:rPr>
                <w:rFonts w:hint="eastAsia" w:ascii="楷体" w:hAnsi="楷体" w:eastAsia="楷体" w:cs="楷体"/>
                <w:sz w:val="21"/>
                <w:szCs w:val="21"/>
              </w:rPr>
              <w:t>《社会救助暂行办法》（国务院令第649号）、《国务院关于全面建立临时救助制度的通知》（国发[2014]47号）、《民政部 财政部关于在全国开展“救急难”综合试点工作的通知》（民发[2015]57号）、《南昌市人民政府办公厅印发关于贯彻落实（社会救助暂行办法）的实施意见的通知》（洪府厅发[2015]47号）</w:t>
            </w:r>
            <w:r>
              <w:rPr>
                <w:rFonts w:hint="eastAsia" w:ascii="楷体" w:hAnsi="楷体" w:eastAsia="楷体" w:cs="楷体"/>
                <w:color w:val="000000"/>
                <w:kern w:val="0"/>
                <w:sz w:val="21"/>
                <w:szCs w:val="21"/>
              </w:rPr>
              <w:t>政策要求，与部门职责范围相符，属于部门履职所需。</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2、项目按规定的程序申请设立，审批文件、材料符合</w:t>
            </w:r>
            <w:r>
              <w:rPr>
                <w:rFonts w:hint="eastAsia" w:ascii="楷体" w:hAnsi="楷体" w:eastAsia="楷体" w:cs="楷体"/>
                <w:sz w:val="21"/>
                <w:szCs w:val="21"/>
              </w:rPr>
              <w:t>《南昌市人民政府办公厅关于印发南昌市全面推进“救急难”工作的实施意见的通知》（洪府厅发[2016]86号）的文件要求的要求</w:t>
            </w:r>
            <w:r>
              <w:rPr>
                <w:rFonts w:hint="eastAsia" w:ascii="楷体" w:hAnsi="楷体" w:eastAsia="楷体" w:cs="楷体"/>
                <w:color w:val="000000"/>
                <w:kern w:val="0"/>
                <w:sz w:val="21"/>
                <w:szCs w:val="21"/>
              </w:rPr>
              <w:t>。</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3、事前已经过必要的可行性研究、专家论证、风险评估、绩效评估、集体决策。</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4、绩效目标设定等相关工作</w:t>
            </w:r>
            <w:r>
              <w:rPr>
                <w:rFonts w:hint="eastAsia" w:ascii="楷体" w:hAnsi="楷体" w:eastAsia="楷体" w:cs="楷体"/>
                <w:sz w:val="21"/>
                <w:szCs w:val="21"/>
              </w:rPr>
              <w:t>根据财政部《项目支出绩效评价管理办法》（财预[2020]10号）的文件要求设定。</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sz w:val="21"/>
                <w:szCs w:val="21"/>
              </w:rPr>
              <w:t>5、项目预算纳入政府采购预算，预算额度测算依据充分，预算确定的项目内容与采购需求相匹配。</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sz w:val="21"/>
                <w:szCs w:val="21"/>
              </w:rPr>
              <w:t>6、项目编制了采购需求，项目采购需求编制程序符合规范，项目采购需求与实际情况相匹配。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957"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过程</w:t>
            </w:r>
          </w:p>
        </w:tc>
        <w:tc>
          <w:tcPr>
            <w:tcW w:w="1103"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20</w:t>
            </w:r>
          </w:p>
        </w:tc>
        <w:tc>
          <w:tcPr>
            <w:tcW w:w="1314" w:type="dxa"/>
            <w:shd w:val="clear" w:color="auto" w:fill="auto"/>
            <w:vAlign w:val="center"/>
          </w:tcPr>
          <w:p>
            <w:pPr>
              <w:widowControl/>
              <w:spacing w:line="240" w:lineRule="exact"/>
              <w:ind w:firstLine="0" w:firstLineChars="0"/>
              <w:jc w:val="center"/>
              <w:rPr>
                <w:rFonts w:hint="default" w:ascii="楷体" w:hAnsi="楷体" w:eastAsia="楷体" w:cs="楷体"/>
                <w:color w:val="000000"/>
                <w:kern w:val="0"/>
                <w:sz w:val="21"/>
                <w:szCs w:val="21"/>
                <w:lang w:val="en-US" w:eastAsia="zh-CN"/>
              </w:rPr>
            </w:pPr>
            <w:r>
              <w:rPr>
                <w:rFonts w:hint="eastAsia" w:ascii="楷体" w:hAnsi="楷体" w:eastAsia="楷体" w:cs="楷体"/>
                <w:color w:val="000000"/>
                <w:kern w:val="0"/>
                <w:sz w:val="21"/>
                <w:szCs w:val="21"/>
                <w:lang w:val="en-US" w:eastAsia="zh-CN"/>
              </w:rPr>
              <w:t>17.84</w:t>
            </w:r>
          </w:p>
        </w:tc>
        <w:tc>
          <w:tcPr>
            <w:tcW w:w="1228"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lang w:val="en-US" w:eastAsia="zh-CN"/>
              </w:rPr>
              <w:t>17.84</w:t>
            </w:r>
            <w:r>
              <w:rPr>
                <w:rFonts w:hint="eastAsia" w:ascii="楷体" w:hAnsi="楷体" w:eastAsia="楷体" w:cs="楷体"/>
                <w:color w:val="000000"/>
                <w:kern w:val="0"/>
                <w:sz w:val="21"/>
                <w:szCs w:val="21"/>
              </w:rPr>
              <w:t>%</w:t>
            </w:r>
          </w:p>
        </w:tc>
        <w:tc>
          <w:tcPr>
            <w:tcW w:w="4167" w:type="dxa"/>
            <w:shd w:val="clear" w:color="auto" w:fill="auto"/>
            <w:vAlign w:val="center"/>
          </w:tcPr>
          <w:p>
            <w:pPr>
              <w:widowControl/>
              <w:numPr>
                <w:ilvl w:val="0"/>
                <w:numId w:val="8"/>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绩效申报流程符合政府绩效预算申报规章制度的要求。</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2、按相关文件要求制定了项目预算，但项目总体预算资金并未全部到位。</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3、制定或具有相应的财务和业务管理制度，部门制定专项资金管理使用办法，财务管理制度完整。</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4、资金拨付不符合专项资金使用管理办法。</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5、</w:t>
            </w:r>
            <w:r>
              <w:rPr>
                <w:rFonts w:hint="eastAsia" w:ascii="楷体" w:hAnsi="楷体" w:eastAsia="楷体" w:cs="楷体"/>
                <w:sz w:val="21"/>
                <w:szCs w:val="21"/>
              </w:rPr>
              <w:t>项目资金专款专用、独立核算，但结余资金未合理处置，及时报告退回。</w:t>
            </w:r>
            <w:r>
              <w:rPr>
                <w:rFonts w:hint="eastAsia" w:ascii="楷体" w:hAnsi="楷体" w:eastAsia="楷体" w:cs="楷体"/>
                <w:color w:val="000000"/>
                <w:kern w:val="0"/>
                <w:sz w:val="21"/>
                <w:szCs w:val="21"/>
              </w:rPr>
              <w:t>。</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7、“救急难”项目实施符合</w:t>
            </w:r>
            <w:r>
              <w:rPr>
                <w:rFonts w:hint="eastAsia" w:ascii="楷体" w:hAnsi="楷体" w:eastAsia="楷体" w:cs="楷体"/>
                <w:sz w:val="21"/>
                <w:szCs w:val="21"/>
              </w:rPr>
              <w:t>《青云谱区“救急难”工作试点实施方案》、《青云谱区“救急难”救助实施细则》、《青云谱区“救急难”工作规范化管理规定》</w:t>
            </w:r>
            <w:r>
              <w:rPr>
                <w:rFonts w:hint="eastAsia" w:ascii="楷体" w:hAnsi="楷体" w:eastAsia="楷体" w:cs="楷体"/>
                <w:color w:val="000000"/>
                <w:kern w:val="0"/>
                <w:sz w:val="21"/>
                <w:szCs w:val="21"/>
              </w:rPr>
              <w:t>相关规章制度。</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8、</w:t>
            </w:r>
            <w:r>
              <w:rPr>
                <w:rFonts w:hint="eastAsia" w:ascii="楷体" w:hAnsi="楷体" w:eastAsia="楷体" w:cs="楷体"/>
                <w:sz w:val="21"/>
                <w:szCs w:val="21"/>
              </w:rPr>
              <w:t>明确各部门职责及受理、分办、转办流程和办理时限。</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sz w:val="21"/>
                <w:szCs w:val="21"/>
              </w:rPr>
              <w:t>9、建立急难信息沟通交流机制，制定了青云谱区“救急难”工作联络制度、青云谱区“救急难”工作首问责任制等相关制度。</w:t>
            </w:r>
          </w:p>
          <w:p>
            <w:pPr>
              <w:widowControl/>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10、资金到位率为</w:t>
            </w:r>
            <w:r>
              <w:rPr>
                <w:rFonts w:hint="eastAsia" w:ascii="楷体" w:hAnsi="楷体" w:eastAsia="楷体" w:cs="楷体"/>
                <w:sz w:val="21"/>
                <w:szCs w:val="21"/>
              </w:rPr>
              <w:t>43%，资金到位率偏低。</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sz w:val="21"/>
                <w:szCs w:val="21"/>
              </w:rPr>
              <w:t>11、资金使用符合国家财经法规和财务管理制度，资金使用未发现截留、挤占、挪用、虚列支出等情况。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00" w:hRule="atLeast"/>
          <w:jc w:val="center"/>
        </w:trPr>
        <w:tc>
          <w:tcPr>
            <w:tcW w:w="957"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产出</w:t>
            </w:r>
          </w:p>
        </w:tc>
        <w:tc>
          <w:tcPr>
            <w:tcW w:w="1103"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35</w:t>
            </w:r>
          </w:p>
        </w:tc>
        <w:tc>
          <w:tcPr>
            <w:tcW w:w="1314"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35</w:t>
            </w:r>
          </w:p>
        </w:tc>
        <w:tc>
          <w:tcPr>
            <w:tcW w:w="1228"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35%</w:t>
            </w:r>
          </w:p>
        </w:tc>
        <w:tc>
          <w:tcPr>
            <w:tcW w:w="4167" w:type="dxa"/>
            <w:shd w:val="clear" w:color="auto" w:fill="auto"/>
            <w:vAlign w:val="center"/>
          </w:tcPr>
          <w:p>
            <w:pPr>
              <w:widowControl/>
              <w:numPr>
                <w:ilvl w:val="0"/>
                <w:numId w:val="9"/>
              </w:numPr>
              <w:spacing w:line="240" w:lineRule="exact"/>
              <w:ind w:firstLine="0" w:firstLineChars="0"/>
              <w:rPr>
                <w:rFonts w:ascii="楷体" w:hAnsi="楷体" w:eastAsia="楷体" w:cs="楷体"/>
                <w:sz w:val="21"/>
                <w:szCs w:val="21"/>
              </w:rPr>
            </w:pPr>
            <w:r>
              <w:rPr>
                <w:rFonts w:hint="eastAsia" w:ascii="楷体" w:hAnsi="楷体" w:eastAsia="楷体" w:cs="楷体"/>
                <w:color w:val="000000"/>
                <w:kern w:val="0"/>
                <w:sz w:val="21"/>
                <w:szCs w:val="21"/>
              </w:rPr>
              <w:t>“救急难”救助人员数量共有困难群众9户17名申请“救急难”资金并批复发放资金</w:t>
            </w:r>
            <w:r>
              <w:rPr>
                <w:rFonts w:hint="eastAsia" w:ascii="楷体" w:hAnsi="楷体" w:eastAsia="楷体" w:cs="楷体"/>
                <w:sz w:val="21"/>
                <w:szCs w:val="21"/>
              </w:rPr>
              <w:t>。</w:t>
            </w:r>
          </w:p>
          <w:p>
            <w:pPr>
              <w:widowControl/>
              <w:numPr>
                <w:ilvl w:val="0"/>
                <w:numId w:val="9"/>
              </w:numPr>
              <w:spacing w:line="240" w:lineRule="exact"/>
              <w:ind w:firstLine="0" w:firstLineChars="0"/>
              <w:rPr>
                <w:rFonts w:ascii="楷体" w:hAnsi="楷体" w:eastAsia="楷体" w:cs="楷体"/>
                <w:sz w:val="21"/>
                <w:szCs w:val="21"/>
              </w:rPr>
            </w:pPr>
            <w:r>
              <w:rPr>
                <w:rFonts w:hint="eastAsia" w:ascii="楷体" w:hAnsi="楷体" w:eastAsia="楷体" w:cs="楷体"/>
                <w:sz w:val="21"/>
                <w:szCs w:val="21"/>
              </w:rPr>
              <w:t>困难群众提交“青云谱困难群众救急难申请表”以及相关申请材料，并通过民政局审批提交材料的真实性确保救急难资金发放到困难群众个人。</w:t>
            </w:r>
          </w:p>
          <w:p>
            <w:pPr>
              <w:widowControl/>
              <w:numPr>
                <w:ilvl w:val="0"/>
                <w:numId w:val="9"/>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提交的“救急难”申请的材料均及时在三个工作日内审核，救助金自批准之日三个工作日内发放，符合</w:t>
            </w:r>
            <w:r>
              <w:rPr>
                <w:rFonts w:hint="eastAsia" w:ascii="楷体" w:hAnsi="楷体" w:eastAsia="楷体" w:cs="楷体"/>
                <w:sz w:val="21"/>
                <w:szCs w:val="21"/>
              </w:rPr>
              <w:t>《青云谱区“救急难”救助实施细则》、</w:t>
            </w:r>
            <w:r>
              <w:rPr>
                <w:rFonts w:hint="eastAsia" w:ascii="楷体" w:hAnsi="楷体" w:eastAsia="楷体" w:cs="楷体"/>
                <w:kern w:val="0"/>
                <w:sz w:val="21"/>
                <w:szCs w:val="21"/>
              </w:rPr>
              <w:t>《青云谱区社工服务介入“救急难”工作实施方案》</w:t>
            </w:r>
            <w:r>
              <w:rPr>
                <w:rFonts w:hint="eastAsia" w:ascii="楷体" w:hAnsi="楷体" w:eastAsia="楷体" w:cs="楷体"/>
                <w:color w:val="000000"/>
                <w:kern w:val="0"/>
                <w:sz w:val="21"/>
                <w:szCs w:val="21"/>
              </w:rPr>
              <w:t>。</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4、</w:t>
            </w:r>
            <w:r>
              <w:rPr>
                <w:rFonts w:hint="eastAsia" w:ascii="楷体" w:hAnsi="楷体" w:eastAsia="楷体" w:cs="楷体"/>
                <w:sz w:val="21"/>
                <w:szCs w:val="21"/>
              </w:rPr>
              <w:t>明确了各部门职责及受理、分办、转办流程和办理时限，切实做到求助有门</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5、</w:t>
            </w:r>
            <w:r>
              <w:rPr>
                <w:rFonts w:hint="eastAsia" w:ascii="楷体" w:hAnsi="楷体" w:eastAsia="楷体" w:cs="楷体"/>
                <w:sz w:val="21"/>
                <w:szCs w:val="21"/>
              </w:rPr>
              <w:t>2020年1月-2020年12月，“救急难”救助账户资金实际累计支出金额控制在预算</w:t>
            </w:r>
            <w:r>
              <w:rPr>
                <w:rFonts w:hint="eastAsia" w:ascii="楷体" w:hAnsi="楷体" w:eastAsia="楷体" w:cs="楷体"/>
                <w:color w:val="000000"/>
                <w:kern w:val="0"/>
                <w:sz w:val="21"/>
                <w:szCs w:val="21"/>
              </w:rPr>
              <w:t>成本内。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83" w:hRule="atLeast"/>
          <w:jc w:val="center"/>
        </w:trPr>
        <w:tc>
          <w:tcPr>
            <w:tcW w:w="957"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效益</w:t>
            </w:r>
          </w:p>
        </w:tc>
        <w:tc>
          <w:tcPr>
            <w:tcW w:w="1103"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25</w:t>
            </w:r>
          </w:p>
        </w:tc>
        <w:tc>
          <w:tcPr>
            <w:tcW w:w="1314"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25</w:t>
            </w:r>
          </w:p>
        </w:tc>
        <w:tc>
          <w:tcPr>
            <w:tcW w:w="1228"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25%</w:t>
            </w:r>
          </w:p>
        </w:tc>
        <w:tc>
          <w:tcPr>
            <w:tcW w:w="4167" w:type="dxa"/>
            <w:shd w:val="clear" w:color="auto" w:fill="auto"/>
            <w:vAlign w:val="center"/>
          </w:tcPr>
          <w:p>
            <w:pPr>
              <w:widowControl/>
              <w:numPr>
                <w:ilvl w:val="0"/>
                <w:numId w:val="10"/>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sz w:val="21"/>
                <w:szCs w:val="21"/>
              </w:rPr>
              <w:t>对区内生活困难群众对特殊突发情况予以经济帮助。</w:t>
            </w:r>
          </w:p>
          <w:p>
            <w:pPr>
              <w:widowControl/>
              <w:numPr>
                <w:ilvl w:val="0"/>
                <w:numId w:val="10"/>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sz w:val="21"/>
                <w:szCs w:val="21"/>
              </w:rPr>
              <w:t>减轻困难群众生活压力</w:t>
            </w:r>
            <w:r>
              <w:rPr>
                <w:rFonts w:hint="eastAsia" w:ascii="楷体" w:hAnsi="楷体" w:eastAsia="楷体" w:cs="楷体"/>
                <w:color w:val="000000"/>
                <w:kern w:val="0"/>
                <w:sz w:val="21"/>
                <w:szCs w:val="21"/>
              </w:rPr>
              <w:t>。</w:t>
            </w:r>
          </w:p>
          <w:p>
            <w:pPr>
              <w:widowControl/>
              <w:numPr>
                <w:ilvl w:val="0"/>
                <w:numId w:val="10"/>
              </w:numPr>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协助下属街道等单位实施开展“救急难”工作。</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4、建立了“救急难”工作精细化管理体系。</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5、</w:t>
            </w:r>
            <w:r>
              <w:rPr>
                <w:rFonts w:hint="eastAsia" w:ascii="楷体" w:hAnsi="楷体" w:eastAsia="楷体" w:cs="楷体"/>
                <w:sz w:val="21"/>
                <w:szCs w:val="21"/>
              </w:rPr>
              <w:t>项目开展区民政局根据项目实际制定了相关制度，《青云谱区“救急难”工作试点实施方案》、《青云谱区“救急难”救助实施细则》、《青云谱区“救急难”工作规范化管理规定》。6、制定了青云谱区“救急难”工作联络制度、青云谱区“救急难”工作首问责任制、青云谱区社会救助申办流程图</w:t>
            </w:r>
            <w:r>
              <w:rPr>
                <w:rFonts w:hint="eastAsia" w:ascii="楷体" w:hAnsi="楷体" w:eastAsia="楷体" w:cs="楷体"/>
                <w:color w:val="000000"/>
                <w:kern w:val="0"/>
                <w:sz w:val="21"/>
                <w:szCs w:val="21"/>
              </w:rPr>
              <w:t>。</w:t>
            </w:r>
          </w:p>
          <w:p>
            <w:pPr>
              <w:widowControl/>
              <w:spacing w:line="240" w:lineRule="exact"/>
              <w:ind w:firstLine="0" w:firstLineChars="0"/>
              <w:rPr>
                <w:rFonts w:ascii="楷体" w:hAnsi="楷体" w:eastAsia="楷体" w:cs="楷体"/>
                <w:color w:val="000000"/>
                <w:kern w:val="0"/>
                <w:sz w:val="21"/>
                <w:szCs w:val="21"/>
              </w:rPr>
            </w:pPr>
            <w:r>
              <w:rPr>
                <w:rFonts w:hint="eastAsia" w:ascii="楷体" w:hAnsi="楷体" w:eastAsia="楷体" w:cs="楷体"/>
                <w:color w:val="000000"/>
                <w:kern w:val="0"/>
                <w:sz w:val="21"/>
                <w:szCs w:val="21"/>
              </w:rPr>
              <w:t>7、街道、困难群众对“救急难”救助工作情况等反应较好，满意度较高。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9" w:hRule="atLeast"/>
          <w:jc w:val="center"/>
        </w:trPr>
        <w:tc>
          <w:tcPr>
            <w:tcW w:w="957"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合计</w:t>
            </w:r>
          </w:p>
        </w:tc>
        <w:tc>
          <w:tcPr>
            <w:tcW w:w="1103"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color w:val="000000"/>
                <w:kern w:val="0"/>
                <w:sz w:val="21"/>
                <w:szCs w:val="21"/>
              </w:rPr>
              <w:t>100</w:t>
            </w:r>
          </w:p>
        </w:tc>
        <w:tc>
          <w:tcPr>
            <w:tcW w:w="1314" w:type="dxa"/>
            <w:shd w:val="clear" w:color="auto" w:fill="auto"/>
            <w:vAlign w:val="center"/>
          </w:tcPr>
          <w:p>
            <w:pPr>
              <w:widowControl/>
              <w:spacing w:line="240" w:lineRule="exact"/>
              <w:ind w:firstLine="0" w:firstLineChars="0"/>
              <w:jc w:val="center"/>
              <w:rPr>
                <w:rFonts w:hint="default" w:ascii="楷体" w:hAnsi="楷体" w:eastAsia="楷体" w:cs="楷体"/>
                <w:color w:val="000000"/>
                <w:kern w:val="0"/>
                <w:sz w:val="21"/>
                <w:szCs w:val="21"/>
                <w:lang w:val="en-US" w:eastAsia="zh-CN"/>
              </w:rPr>
            </w:pPr>
            <w:r>
              <w:rPr>
                <w:rFonts w:hint="eastAsia" w:ascii="楷体" w:hAnsi="楷体" w:eastAsia="楷体" w:cs="楷体"/>
                <w:sz w:val="21"/>
                <w:szCs w:val="21"/>
                <w:lang w:val="en-US" w:eastAsia="zh-CN"/>
              </w:rPr>
              <w:t>97.84</w:t>
            </w:r>
          </w:p>
        </w:tc>
        <w:tc>
          <w:tcPr>
            <w:tcW w:w="1228" w:type="dxa"/>
            <w:shd w:val="clear" w:color="auto" w:fill="auto"/>
            <w:vAlign w:val="center"/>
          </w:tcPr>
          <w:p>
            <w:pPr>
              <w:widowControl/>
              <w:spacing w:line="240" w:lineRule="exact"/>
              <w:ind w:firstLine="0" w:firstLineChars="0"/>
              <w:jc w:val="center"/>
              <w:rPr>
                <w:rFonts w:ascii="楷体" w:hAnsi="楷体" w:eastAsia="楷体" w:cs="楷体"/>
                <w:color w:val="000000"/>
                <w:kern w:val="0"/>
                <w:sz w:val="21"/>
                <w:szCs w:val="21"/>
              </w:rPr>
            </w:pPr>
            <w:r>
              <w:rPr>
                <w:rFonts w:hint="eastAsia" w:ascii="楷体" w:hAnsi="楷体" w:eastAsia="楷体" w:cs="楷体"/>
                <w:sz w:val="21"/>
                <w:szCs w:val="21"/>
                <w:lang w:val="en-US" w:eastAsia="zh-CN"/>
              </w:rPr>
              <w:t>97.84</w:t>
            </w:r>
            <w:r>
              <w:rPr>
                <w:rFonts w:hint="eastAsia" w:ascii="楷体" w:hAnsi="楷体" w:eastAsia="楷体" w:cs="楷体"/>
                <w:color w:val="000000"/>
                <w:kern w:val="0"/>
                <w:sz w:val="21"/>
                <w:szCs w:val="21"/>
              </w:rPr>
              <w:t>%</w:t>
            </w:r>
          </w:p>
        </w:tc>
        <w:tc>
          <w:tcPr>
            <w:tcW w:w="4167" w:type="dxa"/>
            <w:shd w:val="clear" w:color="auto" w:fill="auto"/>
            <w:vAlign w:val="center"/>
          </w:tcPr>
          <w:p>
            <w:pPr>
              <w:widowControl/>
              <w:spacing w:line="240" w:lineRule="exact"/>
              <w:ind w:firstLine="0" w:firstLineChars="0"/>
              <w:jc w:val="center"/>
              <w:rPr>
                <w:rFonts w:ascii="楷体" w:hAnsi="楷体" w:eastAsia="楷体" w:cs="楷体"/>
                <w:b/>
                <w:bCs/>
                <w:color w:val="000000"/>
                <w:kern w:val="0"/>
                <w:sz w:val="21"/>
                <w:szCs w:val="21"/>
              </w:rPr>
            </w:pPr>
            <w:r>
              <w:rPr>
                <w:rFonts w:hint="eastAsia" w:ascii="楷体" w:hAnsi="楷体" w:eastAsia="楷体" w:cs="楷体"/>
                <w:b/>
                <w:bCs/>
                <w:color w:val="000000"/>
                <w:kern w:val="0"/>
                <w:sz w:val="21"/>
                <w:szCs w:val="21"/>
              </w:rPr>
              <w:t>--</w:t>
            </w:r>
          </w:p>
        </w:tc>
      </w:tr>
    </w:tbl>
    <w:p>
      <w:pPr>
        <w:ind w:firstLine="0" w:firstLineChars="0"/>
        <w:outlineLvl w:val="0"/>
        <w:rPr>
          <w:rFonts w:ascii="黑体" w:hAnsi="黑体" w:eastAsia="黑体" w:cs="黑体"/>
          <w:b/>
          <w:bCs/>
          <w:sz w:val="36"/>
          <w:szCs w:val="36"/>
        </w:rPr>
      </w:pPr>
      <w:bookmarkStart w:id="28" w:name="_Toc25125"/>
      <w:r>
        <w:rPr>
          <w:rFonts w:hint="eastAsia" w:ascii="黑体" w:hAnsi="黑体" w:eastAsia="黑体" w:cs="黑体"/>
          <w:b/>
          <w:bCs/>
          <w:sz w:val="36"/>
          <w:szCs w:val="36"/>
        </w:rPr>
        <w:t>四、绩效评价指标分析</w:t>
      </w:r>
      <w:bookmarkEnd w:id="28"/>
    </w:p>
    <w:p>
      <w:pPr>
        <w:pStyle w:val="4"/>
        <w:spacing w:before="204" w:after="204"/>
      </w:pPr>
      <w:bookmarkStart w:id="29" w:name="_Toc191"/>
      <w:r>
        <w:rPr>
          <w:rFonts w:hint="eastAsia"/>
        </w:rPr>
        <w:t>（一）项目决策情况</w:t>
      </w:r>
      <w:bookmarkEnd w:id="29"/>
    </w:p>
    <w:p>
      <w:pPr>
        <w:pStyle w:val="4"/>
        <w:spacing w:before="204" w:after="204"/>
        <w:ind w:firstLine="643" w:firstLineChars="200"/>
        <w:rPr>
          <w:rFonts w:ascii="黑体" w:hAnsi="黑体" w:cs="黑体"/>
        </w:rPr>
      </w:pPr>
      <w:bookmarkStart w:id="30" w:name="_Toc14282"/>
      <w:r>
        <w:rPr>
          <w:rFonts w:hint="eastAsia" w:ascii="黑体" w:hAnsi="黑体" w:cs="黑体"/>
        </w:rPr>
        <w:t>1、项目立项</w:t>
      </w:r>
      <w:bookmarkEnd w:id="30"/>
    </w:p>
    <w:p>
      <w:pPr>
        <w:ind w:firstLine="643"/>
        <w:rPr>
          <w:rFonts w:ascii="仿宋" w:hAnsi="仿宋" w:eastAsia="仿宋" w:cs="仿宋"/>
          <w:b/>
          <w:bCs/>
          <w:sz w:val="32"/>
          <w:szCs w:val="28"/>
        </w:rPr>
      </w:pPr>
      <w:r>
        <w:rPr>
          <w:rFonts w:hint="eastAsia" w:ascii="仿宋" w:hAnsi="仿宋" w:eastAsia="仿宋" w:cs="仿宋"/>
          <w:b/>
          <w:bCs/>
          <w:sz w:val="32"/>
          <w:szCs w:val="28"/>
        </w:rPr>
        <w:t>（1）立项依据充分性</w:t>
      </w:r>
    </w:p>
    <w:p>
      <w:pPr>
        <w:pStyle w:val="2"/>
        <w:ind w:firstLine="560"/>
        <w:rPr>
          <w:rFonts w:ascii="仿宋" w:hAnsi="仿宋" w:eastAsia="仿宋" w:cs="仿宋"/>
          <w:szCs w:val="28"/>
        </w:rPr>
      </w:pPr>
      <w:r>
        <w:rPr>
          <w:rFonts w:hint="eastAsia" w:ascii="仿宋" w:hAnsi="仿宋" w:eastAsia="仿宋" w:cs="仿宋"/>
          <w:szCs w:val="28"/>
        </w:rPr>
        <w:t>为了深入贯彻落实《社会救助暂行办法》（国务院令第649号）、《国务院关于全面建立临时救助制度的通知》</w:t>
      </w:r>
      <w:r>
        <w:rPr>
          <w:rFonts w:hint="eastAsia" w:ascii="仿宋" w:hAnsi="仿宋" w:eastAsia="仿宋" w:cs="仿宋"/>
        </w:rPr>
        <w:t>（国发[2014]47号）、</w:t>
      </w:r>
      <w:r>
        <w:rPr>
          <w:rFonts w:hint="eastAsia" w:ascii="仿宋" w:hAnsi="仿宋" w:eastAsia="仿宋" w:cs="仿宋"/>
          <w:szCs w:val="28"/>
        </w:rPr>
        <w:t>《民政部 财政部关于在全国开展“救急难”综合试点工作的通知》</w:t>
      </w:r>
      <w:r>
        <w:rPr>
          <w:rFonts w:hint="eastAsia" w:ascii="仿宋" w:hAnsi="仿宋" w:eastAsia="仿宋" w:cs="仿宋"/>
        </w:rPr>
        <w:t>（民发[2015]57号）和</w:t>
      </w:r>
      <w:r>
        <w:rPr>
          <w:rFonts w:hint="eastAsia" w:ascii="仿宋" w:hAnsi="仿宋" w:eastAsia="仿宋" w:cs="仿宋"/>
          <w:szCs w:val="28"/>
        </w:rPr>
        <w:t>《南昌市人民政府办公厅印发关于贯彻落实（社会救助暂行办法）的实施意见的通知》</w:t>
      </w:r>
      <w:r>
        <w:rPr>
          <w:rFonts w:hint="eastAsia" w:ascii="仿宋" w:hAnsi="仿宋" w:eastAsia="仿宋" w:cs="仿宋"/>
        </w:rPr>
        <w:t>（洪府厅发[2015]47号）文件的要求，结合实际全面推进“救急难”的工作，以贯彻落实</w:t>
      </w:r>
      <w:r>
        <w:rPr>
          <w:rFonts w:hint="eastAsia" w:ascii="仿宋" w:hAnsi="仿宋" w:eastAsia="仿宋" w:cs="仿宋"/>
          <w:szCs w:val="28"/>
        </w:rPr>
        <w:t>《社会救助暂行办法》为主线，在社会救助制度体系框架内，立足于“托底线”，积极探索“救急难”的实现路径、工作机制和保障措施，充分发挥各项社会救助制度的作用，统筹各类救助资源，提升社会救助综合效应，形成政府各部门高效联动以及政府救助与慈善救助的紧密衔接，营造社会力量广泛参与的良好氛围，为全民开展</w:t>
      </w:r>
      <w:r>
        <w:rPr>
          <w:rFonts w:hint="eastAsia" w:ascii="仿宋" w:hAnsi="仿宋" w:eastAsia="仿宋" w:cs="仿宋"/>
        </w:rPr>
        <w:t>“救急难”救助</w:t>
      </w:r>
      <w:r>
        <w:rPr>
          <w:rFonts w:hint="eastAsia" w:ascii="仿宋" w:hAnsi="仿宋" w:eastAsia="仿宋" w:cs="仿宋"/>
          <w:szCs w:val="28"/>
        </w:rPr>
        <w:t>工作奠定基础。</w:t>
      </w:r>
    </w:p>
    <w:p>
      <w:pPr>
        <w:pStyle w:val="2"/>
        <w:ind w:firstLine="560"/>
        <w:rPr>
          <w:rFonts w:ascii="仿宋" w:hAnsi="仿宋" w:eastAsia="仿宋" w:cs="仿宋"/>
          <w:b/>
          <w:bCs/>
        </w:rPr>
      </w:pPr>
      <w:r>
        <w:rPr>
          <w:rFonts w:hint="eastAsia" w:ascii="仿宋" w:hAnsi="仿宋" w:eastAsia="仿宋" w:cs="仿宋"/>
          <w:szCs w:val="28"/>
        </w:rPr>
        <w:t>根据《南昌市人民政府办公厅关于印发南昌市全面推进“救急难”工作的实施意见的通知》</w:t>
      </w:r>
      <w:r>
        <w:rPr>
          <w:rFonts w:hint="eastAsia" w:ascii="仿宋" w:hAnsi="仿宋" w:eastAsia="仿宋" w:cs="仿宋"/>
        </w:rPr>
        <w:t>（洪府厅发[2016]86号）的文件要求，</w:t>
      </w:r>
      <w:r>
        <w:rPr>
          <w:rFonts w:hint="eastAsia" w:ascii="仿宋" w:hAnsi="仿宋" w:eastAsia="仿宋" w:cs="仿宋"/>
          <w:szCs w:val="28"/>
        </w:rPr>
        <w:t>全面推进青云谱区</w:t>
      </w:r>
      <w:r>
        <w:rPr>
          <w:rFonts w:hint="eastAsia" w:ascii="仿宋" w:hAnsi="仿宋" w:eastAsia="仿宋" w:cs="仿宋"/>
        </w:rPr>
        <w:t>“救急难”救助</w:t>
      </w:r>
      <w:r>
        <w:rPr>
          <w:rFonts w:hint="eastAsia" w:ascii="仿宋" w:hAnsi="仿宋" w:eastAsia="仿宋" w:cs="仿宋"/>
          <w:szCs w:val="28"/>
        </w:rPr>
        <w:t>工作。</w:t>
      </w:r>
    </w:p>
    <w:p>
      <w:pPr>
        <w:ind w:firstLine="643"/>
        <w:rPr>
          <w:rFonts w:ascii="仿宋" w:hAnsi="仿宋" w:eastAsia="仿宋" w:cs="仿宋"/>
          <w:sz w:val="32"/>
          <w:szCs w:val="28"/>
        </w:rPr>
      </w:pPr>
      <w:r>
        <w:rPr>
          <w:rFonts w:hint="eastAsia" w:ascii="仿宋" w:hAnsi="仿宋" w:eastAsia="仿宋" w:cs="仿宋"/>
          <w:b/>
          <w:bCs/>
          <w:sz w:val="32"/>
          <w:szCs w:val="28"/>
        </w:rPr>
        <w:t>（2）立项程序规范性</w:t>
      </w:r>
    </w:p>
    <w:p>
      <w:pPr>
        <w:ind w:firstLine="560"/>
        <w:rPr>
          <w:rFonts w:ascii="黑体" w:hAnsi="黑体" w:eastAsia="黑体" w:cs="黑体"/>
          <w:b/>
          <w:bCs/>
          <w:sz w:val="32"/>
          <w:szCs w:val="32"/>
        </w:rPr>
      </w:pPr>
      <w:r>
        <w:rPr>
          <w:rFonts w:hint="eastAsia" w:ascii="仿宋" w:hAnsi="仿宋" w:eastAsia="仿宋" w:cs="仿宋"/>
        </w:rPr>
        <w:t>南昌市青云谱区民政局“救急难”救助项目经费支出符合南昌市青云谱区民政局工作职能规定，属于部门履职所需。项目属于公共财政支持范围，与青云谱区民政局其他项目或有关部门工作无冲突或重复。项目按照南昌市青云谱区规定的程序进行申请设立，于2020年根据</w:t>
      </w:r>
      <w:r>
        <w:rPr>
          <w:rFonts w:hint="eastAsia" w:ascii="仿宋" w:hAnsi="仿宋" w:eastAsia="仿宋" w:cs="仿宋"/>
          <w:szCs w:val="28"/>
        </w:rPr>
        <w:t>《南昌市人民政府办公厅关于印发南昌市全面推进“救急难”工作的实施意见的通知》</w:t>
      </w:r>
      <w:r>
        <w:rPr>
          <w:rFonts w:hint="eastAsia" w:ascii="仿宋" w:hAnsi="仿宋" w:eastAsia="仿宋" w:cs="仿宋"/>
        </w:rPr>
        <w:t>（洪府厅发[2016]86号）的文件，开展2020年南昌市青云谱民政局“救急难”救助项目的工作，并向南昌市青云谱区人民政府提交请示文件。经过南昌市青云谱区人民政府的审批，通过此次项目的批复并完成南昌市青云谱区民政局“救急难”救助项目的工作。项目申请相关审批文件、材料符合相关要求，事前已经过必要的可行性研究和集体决策。</w:t>
      </w:r>
    </w:p>
    <w:p>
      <w:pPr>
        <w:pStyle w:val="2"/>
        <w:ind w:left="560" w:leftChars="200" w:firstLine="0" w:firstLineChars="0"/>
        <w:rPr>
          <w:rFonts w:ascii="黑体" w:hAnsi="黑体" w:eastAsia="黑体" w:cs="黑体"/>
          <w:b/>
          <w:bCs/>
          <w:sz w:val="32"/>
          <w:szCs w:val="32"/>
        </w:rPr>
      </w:pPr>
      <w:r>
        <w:rPr>
          <w:rFonts w:hint="eastAsia" w:ascii="黑体" w:hAnsi="黑体" w:eastAsia="黑体" w:cs="黑体"/>
          <w:b/>
          <w:bCs/>
          <w:sz w:val="32"/>
          <w:szCs w:val="32"/>
        </w:rPr>
        <w:t>2、绩效目标</w:t>
      </w:r>
    </w:p>
    <w:p>
      <w:pPr>
        <w:pStyle w:val="2"/>
        <w:ind w:firstLine="560"/>
        <w:rPr>
          <w:rFonts w:ascii="仿宋" w:hAnsi="仿宋" w:eastAsia="仿宋" w:cs="仿宋"/>
        </w:rPr>
      </w:pPr>
      <w:r>
        <w:rPr>
          <w:rFonts w:hint="eastAsia" w:ascii="仿宋" w:hAnsi="仿宋" w:eastAsia="仿宋" w:cs="仿宋"/>
        </w:rPr>
        <w:t>项目设定的绩效目标与实际工作内容具有高度相关性，依据考核的方式与考核的综合评分结果对项目内容从多角度对项目产出、质量设置了绩效目标，确保项目实施能够达成预期目标，同时项目预期的产出效益和效果符合市场上同类型项目的正常效益水平，绩效目标与项目确定的项目预期资金额相匹配。</w:t>
      </w:r>
    </w:p>
    <w:p>
      <w:pPr>
        <w:pStyle w:val="2"/>
        <w:numPr>
          <w:ilvl w:val="0"/>
          <w:numId w:val="2"/>
        </w:numPr>
        <w:ind w:firstLineChars="0"/>
        <w:rPr>
          <w:rFonts w:ascii="黑体" w:hAnsi="黑体" w:eastAsia="黑体" w:cs="黑体"/>
          <w:sz w:val="32"/>
          <w:szCs w:val="32"/>
        </w:rPr>
      </w:pPr>
      <w:r>
        <w:rPr>
          <w:rFonts w:hint="eastAsia" w:ascii="黑体" w:hAnsi="黑体" w:eastAsia="黑体" w:cs="黑体"/>
          <w:b/>
          <w:bCs/>
          <w:sz w:val="32"/>
          <w:szCs w:val="32"/>
        </w:rPr>
        <w:t>资金投入</w:t>
      </w:r>
    </w:p>
    <w:p>
      <w:pPr>
        <w:pStyle w:val="2"/>
        <w:ind w:firstLine="643"/>
        <w:rPr>
          <w:rFonts w:ascii="仿宋" w:hAnsi="仿宋" w:eastAsia="仿宋" w:cs="仿宋"/>
          <w:b/>
          <w:bCs/>
          <w:sz w:val="32"/>
          <w:szCs w:val="28"/>
        </w:rPr>
      </w:pPr>
      <w:r>
        <w:rPr>
          <w:rFonts w:hint="eastAsia" w:ascii="仿宋" w:hAnsi="仿宋" w:eastAsia="仿宋" w:cs="仿宋"/>
          <w:b/>
          <w:bCs/>
          <w:sz w:val="32"/>
          <w:szCs w:val="28"/>
        </w:rPr>
        <w:t>（1）预算编制科学性</w:t>
      </w:r>
    </w:p>
    <w:p>
      <w:pPr>
        <w:pStyle w:val="2"/>
        <w:ind w:firstLine="560"/>
        <w:rPr>
          <w:rFonts w:ascii="仿宋" w:hAnsi="仿宋" w:eastAsia="仿宋" w:cs="仿宋"/>
        </w:rPr>
      </w:pPr>
      <w:r>
        <w:rPr>
          <w:rFonts w:hint="eastAsia" w:ascii="仿宋" w:hAnsi="仿宋" w:eastAsia="仿宋" w:cs="仿宋"/>
        </w:rPr>
        <w:t>2020年度南昌市青云谱区民政局“救急难”救助该项目根据</w:t>
      </w:r>
      <w:r>
        <w:rPr>
          <w:rFonts w:hint="eastAsia" w:ascii="仿宋" w:hAnsi="仿宋" w:eastAsia="仿宋" w:cs="仿宋"/>
          <w:szCs w:val="28"/>
        </w:rPr>
        <w:t>《国务院关于全面建立临时救助制度的通知》</w:t>
      </w:r>
      <w:r>
        <w:rPr>
          <w:rFonts w:hint="eastAsia" w:ascii="仿宋" w:hAnsi="仿宋" w:eastAsia="仿宋" w:cs="仿宋"/>
        </w:rPr>
        <w:t>（国发[2014]47号）、</w:t>
      </w:r>
      <w:r>
        <w:rPr>
          <w:rFonts w:hint="eastAsia" w:ascii="仿宋" w:hAnsi="仿宋" w:eastAsia="仿宋" w:cs="仿宋"/>
          <w:szCs w:val="28"/>
        </w:rPr>
        <w:t>《南昌市人民政府办公厅关于印发南昌市全面推进“救急难”工作的实施意见的通知》</w:t>
      </w:r>
      <w:r>
        <w:rPr>
          <w:rFonts w:hint="eastAsia" w:ascii="仿宋" w:hAnsi="仿宋" w:eastAsia="仿宋" w:cs="仿宋"/>
        </w:rPr>
        <w:t>（洪府厅发[2016]86号）的文件要求，编制项目预算细化明确了项目实施内容的资金投入使用量，预算内容与预算项目内容较匹配，未发现无关支出内容。</w:t>
      </w:r>
    </w:p>
    <w:p>
      <w:pPr>
        <w:pStyle w:val="2"/>
        <w:numPr>
          <w:ilvl w:val="0"/>
          <w:numId w:val="11"/>
        </w:numPr>
        <w:ind w:firstLine="643"/>
        <w:rPr>
          <w:rFonts w:ascii="仿宋" w:hAnsi="仿宋" w:eastAsia="仿宋" w:cs="仿宋"/>
          <w:b/>
          <w:bCs/>
          <w:sz w:val="32"/>
          <w:szCs w:val="28"/>
        </w:rPr>
      </w:pPr>
      <w:r>
        <w:rPr>
          <w:rFonts w:hint="eastAsia" w:ascii="仿宋" w:hAnsi="仿宋" w:eastAsia="仿宋" w:cs="仿宋"/>
          <w:b/>
          <w:bCs/>
          <w:sz w:val="32"/>
          <w:szCs w:val="28"/>
        </w:rPr>
        <w:t>资金分配合理性</w:t>
      </w:r>
    </w:p>
    <w:p>
      <w:pPr>
        <w:pStyle w:val="2"/>
        <w:ind w:firstLine="560"/>
        <w:rPr>
          <w:rFonts w:ascii="仿宋" w:hAnsi="仿宋" w:eastAsia="仿宋" w:cs="仿宋"/>
        </w:rPr>
      </w:pPr>
      <w:r>
        <w:rPr>
          <w:rFonts w:hint="eastAsia" w:ascii="仿宋" w:hAnsi="仿宋" w:eastAsia="仿宋" w:cs="仿宋"/>
        </w:rPr>
        <w:t>依据《关于印发 青云谱区民政专项资金使用管理办法（试行）的通知》（青民发[2013]26号）相关文件的要求，专项支出核定结合本区实际情况进行调整，所有项目实施资金均由财政部门拨付至民政局由民政局据实拨付至困难群众，资金分配额度与审定的预算编制金额相同，资金分配拨付依据充分、合理。</w:t>
      </w:r>
    </w:p>
    <w:p>
      <w:pPr>
        <w:pStyle w:val="4"/>
        <w:numPr>
          <w:ilvl w:val="0"/>
          <w:numId w:val="6"/>
        </w:numPr>
        <w:spacing w:before="204" w:after="204"/>
      </w:pPr>
      <w:bookmarkStart w:id="31" w:name="_Toc16910"/>
      <w:r>
        <w:rPr>
          <w:rFonts w:hint="eastAsia"/>
        </w:rPr>
        <w:t>项目过程情况</w:t>
      </w:r>
      <w:bookmarkEnd w:id="31"/>
    </w:p>
    <w:p>
      <w:pPr>
        <w:numPr>
          <w:ilvl w:val="0"/>
          <w:numId w:val="12"/>
        </w:numPr>
        <w:ind w:firstLine="643"/>
        <w:rPr>
          <w:rFonts w:ascii="黑体" w:hAnsi="黑体" w:eastAsia="黑体" w:cs="黑体"/>
          <w:b/>
          <w:bCs/>
          <w:sz w:val="32"/>
          <w:szCs w:val="32"/>
        </w:rPr>
      </w:pPr>
      <w:r>
        <w:rPr>
          <w:rFonts w:hint="eastAsia" w:ascii="黑体" w:hAnsi="黑体" w:eastAsia="黑体" w:cs="黑体"/>
          <w:b/>
          <w:bCs/>
          <w:sz w:val="32"/>
          <w:szCs w:val="32"/>
        </w:rPr>
        <w:t>资金管理</w:t>
      </w:r>
    </w:p>
    <w:p>
      <w:pPr>
        <w:numPr>
          <w:ilvl w:val="0"/>
          <w:numId w:val="13"/>
        </w:numPr>
        <w:ind w:firstLineChars="0"/>
        <w:rPr>
          <w:rFonts w:ascii="仿宋" w:hAnsi="仿宋" w:eastAsia="仿宋" w:cs="仿宋"/>
          <w:b/>
          <w:bCs/>
          <w:sz w:val="32"/>
          <w:szCs w:val="28"/>
        </w:rPr>
      </w:pPr>
      <w:r>
        <w:rPr>
          <w:rFonts w:hint="eastAsia" w:ascii="仿宋" w:hAnsi="仿宋" w:eastAsia="仿宋" w:cs="仿宋"/>
          <w:b/>
          <w:bCs/>
          <w:sz w:val="32"/>
          <w:szCs w:val="28"/>
        </w:rPr>
        <w:t>资金到位率</w:t>
      </w:r>
    </w:p>
    <w:p>
      <w:pPr>
        <w:ind w:firstLine="560"/>
      </w:pPr>
      <w:r>
        <w:rPr>
          <w:rFonts w:hint="eastAsia" w:ascii="仿宋" w:hAnsi="仿宋" w:eastAsia="仿宋" w:cs="仿宋"/>
        </w:rPr>
        <w:t>2020年度南昌市青云谱区民政局“救急难”救助项目资金为20万元，实际到位资金8.6万元，资金到位率=（实际到位资金÷全年预算资金）×100%=（8.6÷20）×100%=43%。资金到位率较低，原因是“救急难”项目性质特殊，每年项目设立前并不能提前预估项目具体会有多少困难群众需要使用“救急难”资金，项目资金不能根据未发生救助的情况来核定，资金的拨付都是据实拨付，因此才导致项目资金到位较低。</w:t>
      </w:r>
    </w:p>
    <w:p>
      <w:pPr>
        <w:numPr>
          <w:ilvl w:val="0"/>
          <w:numId w:val="13"/>
        </w:numPr>
        <w:ind w:firstLineChars="0"/>
        <w:rPr>
          <w:rFonts w:ascii="仿宋" w:hAnsi="仿宋" w:eastAsia="仿宋" w:cs="仿宋"/>
          <w:b/>
          <w:bCs/>
          <w:sz w:val="32"/>
          <w:szCs w:val="28"/>
        </w:rPr>
      </w:pPr>
      <w:r>
        <w:rPr>
          <w:rFonts w:hint="eastAsia" w:ascii="仿宋" w:hAnsi="仿宋" w:eastAsia="仿宋" w:cs="仿宋"/>
          <w:b/>
          <w:bCs/>
          <w:sz w:val="32"/>
          <w:szCs w:val="28"/>
        </w:rPr>
        <w:t>预算执行率</w:t>
      </w:r>
    </w:p>
    <w:p>
      <w:pPr>
        <w:ind w:firstLine="560"/>
        <w:rPr>
          <w:rFonts w:ascii="仿宋" w:hAnsi="仿宋" w:eastAsia="仿宋" w:cs="仿宋"/>
        </w:rPr>
      </w:pPr>
      <w:r>
        <w:rPr>
          <w:rFonts w:hint="eastAsia" w:ascii="仿宋" w:hAnsi="仿宋" w:eastAsia="仿宋" w:cs="仿宋"/>
        </w:rPr>
        <w:t>该年度项目全年预算执行数为5.6万元，其中5.6万元全额用于支付南昌市青云谱区民政局“救急难”救助项目，预算执行率=（实际支出资金÷实际到位资金）×100%=（5.6÷5.6）×100%=100%。</w:t>
      </w:r>
    </w:p>
    <w:p>
      <w:pPr>
        <w:ind w:firstLine="643"/>
        <w:rPr>
          <w:rFonts w:ascii="仿宋" w:hAnsi="仿宋" w:eastAsia="仿宋" w:cs="仿宋"/>
          <w:b/>
          <w:bCs/>
          <w:sz w:val="32"/>
          <w:szCs w:val="28"/>
        </w:rPr>
      </w:pPr>
      <w:r>
        <w:rPr>
          <w:rFonts w:hint="eastAsia" w:ascii="仿宋" w:hAnsi="仿宋" w:eastAsia="仿宋" w:cs="仿宋"/>
          <w:b/>
          <w:bCs/>
          <w:sz w:val="32"/>
          <w:szCs w:val="28"/>
        </w:rPr>
        <w:t>(3)资金使用合规性</w:t>
      </w:r>
    </w:p>
    <w:p>
      <w:pPr>
        <w:ind w:firstLine="560"/>
        <w:rPr>
          <w:rFonts w:ascii="仿宋" w:hAnsi="仿宋" w:eastAsia="仿宋" w:cs="仿宋"/>
          <w:szCs w:val="28"/>
        </w:rPr>
      </w:pPr>
      <w:r>
        <w:rPr>
          <w:rFonts w:hint="eastAsia" w:ascii="仿宋" w:hAnsi="仿宋" w:eastAsia="仿宋" w:cs="仿宋"/>
          <w:szCs w:val="28"/>
        </w:rPr>
        <w:t>项目资金中使用符合南昌市青云谱区民政局专项资金管理办法，《关于印发 青云谱区民政专项资金使用管理办法（试行）的通知》南昌市青云谱区“救急难”项目资金的拨付具有完整的审批程序和手续，资金的后续使用符合预算批复时规定的用途，不存在截留、挤占、挪用、虚列支出等情况，财政局、民政局南昌市青云谱区“救急难”救助项目资金管理使用情况进行绩效评估，财政、审计、监察部门加强监督检查。</w:t>
      </w:r>
    </w:p>
    <w:p>
      <w:pPr>
        <w:pStyle w:val="2"/>
        <w:numPr>
          <w:ilvl w:val="0"/>
          <w:numId w:val="12"/>
        </w:numPr>
        <w:ind w:firstLine="643"/>
        <w:rPr>
          <w:rFonts w:ascii="黑体" w:hAnsi="黑体" w:eastAsia="黑体" w:cs="黑体"/>
          <w:b/>
          <w:bCs/>
          <w:sz w:val="32"/>
          <w:szCs w:val="32"/>
        </w:rPr>
      </w:pPr>
      <w:r>
        <w:rPr>
          <w:rFonts w:hint="eastAsia" w:ascii="黑体" w:hAnsi="黑体" w:eastAsia="黑体" w:cs="黑体"/>
          <w:b/>
          <w:bCs/>
          <w:sz w:val="32"/>
          <w:szCs w:val="32"/>
        </w:rPr>
        <w:t>组织实施</w:t>
      </w:r>
    </w:p>
    <w:p>
      <w:pPr>
        <w:ind w:firstLine="643"/>
        <w:rPr>
          <w:rFonts w:ascii="仿宋" w:hAnsi="仿宋" w:eastAsia="仿宋" w:cs="仿宋"/>
          <w:b/>
          <w:bCs/>
          <w:sz w:val="32"/>
          <w:szCs w:val="28"/>
        </w:rPr>
      </w:pPr>
      <w:r>
        <w:rPr>
          <w:rFonts w:hint="eastAsia" w:ascii="仿宋" w:hAnsi="仿宋" w:eastAsia="仿宋" w:cs="仿宋"/>
          <w:b/>
          <w:bCs/>
          <w:sz w:val="32"/>
          <w:szCs w:val="28"/>
        </w:rPr>
        <w:t>（1）管理制度的健全性</w:t>
      </w:r>
    </w:p>
    <w:p>
      <w:pPr>
        <w:pStyle w:val="2"/>
        <w:ind w:firstLine="560"/>
        <w:rPr>
          <w:rFonts w:ascii="仿宋" w:hAnsi="仿宋" w:eastAsia="仿宋" w:cs="仿宋"/>
        </w:rPr>
      </w:pPr>
      <w:r>
        <w:rPr>
          <w:rFonts w:hint="eastAsia" w:ascii="仿宋" w:hAnsi="仿宋" w:eastAsia="仿宋" w:cs="仿宋"/>
        </w:rPr>
        <w:t>南昌市青云谱区民政局财务管理制度与专项资金使用管理办法健全，相关财务制度明确。针对民政局“救急难”救助项目制定了项目实施方案、项目实施相关人员制度和成立了项目推进实施小组等，相关项目管理制度较为健全。</w:t>
      </w:r>
    </w:p>
    <w:p>
      <w:pPr>
        <w:pStyle w:val="2"/>
        <w:ind w:firstLine="643"/>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（2）制度执行有效性</w:t>
      </w:r>
    </w:p>
    <w:p>
      <w:pPr>
        <w:pStyle w:val="2"/>
        <w:ind w:firstLine="560"/>
        <w:rPr>
          <w:rFonts w:ascii="仿宋" w:hAnsi="仿宋" w:eastAsia="仿宋" w:cs="仿宋"/>
        </w:rPr>
      </w:pPr>
      <w:r>
        <w:rPr>
          <w:rFonts w:hint="eastAsia" w:ascii="仿宋" w:hAnsi="仿宋" w:eastAsia="仿宋" w:cs="仿宋"/>
        </w:rPr>
        <w:t>依据《南昌市青云谱区人民政府办公室关于印发青云谱区“救急难”救助实施细则（试行）的通知》（青政办发[2015]19号）文件的要求，确定落实项目实施相关的人员及工作方案制度等。针对遭遇突发事件、意外伤害、重大疾病或其他特护原因导致生存陷入困境的困难群众给予急难救助，在项目执行过程中，单位相关人员根据项目实施细则开展各项工作，2020年度项目开展后共计救助急难群众17名。</w:t>
      </w:r>
    </w:p>
    <w:p>
      <w:pPr>
        <w:pStyle w:val="4"/>
        <w:numPr>
          <w:ilvl w:val="0"/>
          <w:numId w:val="6"/>
        </w:numPr>
        <w:spacing w:before="204" w:after="204"/>
      </w:pPr>
      <w:bookmarkStart w:id="32" w:name="_Toc7495"/>
      <w:r>
        <w:rPr>
          <w:rFonts w:hint="eastAsia"/>
        </w:rPr>
        <w:t>项目产出情况</w:t>
      </w:r>
      <w:bookmarkEnd w:id="32"/>
    </w:p>
    <w:p>
      <w:pPr>
        <w:pStyle w:val="2"/>
        <w:numPr>
          <w:ilvl w:val="0"/>
          <w:numId w:val="14"/>
        </w:numPr>
        <w:ind w:firstLine="643"/>
        <w:rPr>
          <w:rFonts w:ascii="黑体" w:hAnsi="黑体" w:eastAsia="黑体" w:cs="黑体"/>
          <w:b/>
          <w:bCs/>
          <w:sz w:val="32"/>
          <w:szCs w:val="28"/>
        </w:rPr>
      </w:pPr>
      <w:r>
        <w:rPr>
          <w:rFonts w:hint="eastAsia" w:ascii="黑体" w:hAnsi="黑体" w:eastAsia="黑体" w:cs="黑体"/>
          <w:b/>
          <w:bCs/>
          <w:sz w:val="32"/>
          <w:szCs w:val="28"/>
        </w:rPr>
        <w:t>产出数量</w:t>
      </w:r>
    </w:p>
    <w:p>
      <w:pPr>
        <w:pStyle w:val="2"/>
        <w:numPr>
          <w:ilvl w:val="0"/>
          <w:numId w:val="15"/>
        </w:numPr>
        <w:ind w:firstLine="643"/>
        <w:rPr>
          <w:rFonts w:ascii="仿宋" w:hAnsi="仿宋" w:eastAsia="仿宋" w:cs="仿宋"/>
          <w:b/>
          <w:bCs/>
          <w:sz w:val="32"/>
          <w:szCs w:val="32"/>
        </w:rPr>
      </w:pPr>
      <w:r>
        <w:rPr>
          <w:rFonts w:hint="eastAsia" w:ascii="仿宋" w:hAnsi="仿宋" w:eastAsia="仿宋" w:cs="仿宋"/>
          <w:b/>
          <w:bCs/>
          <w:color w:val="000000"/>
          <w:kern w:val="0"/>
          <w:sz w:val="32"/>
          <w:szCs w:val="32"/>
        </w:rPr>
        <w:t>“救急难”救助人员数量</w:t>
      </w:r>
    </w:p>
    <w:p>
      <w:pPr>
        <w:pStyle w:val="2"/>
        <w:ind w:firstLine="560"/>
        <w:rPr>
          <w:rFonts w:ascii="仿宋" w:hAnsi="仿宋" w:eastAsia="仿宋" w:cs="仿宋"/>
          <w:b/>
          <w:bCs/>
        </w:rPr>
      </w:pPr>
      <w:r>
        <w:rPr>
          <w:rFonts w:hint="eastAsia" w:ascii="仿宋" w:hAnsi="仿宋" w:eastAsia="仿宋" w:cs="仿宋"/>
        </w:rPr>
        <w:t>依据20202年1月至2020年12月青云谱区困“救急难”工作报表、青云谱区困难群众“救急难”申请表、青云谱区困难群众“救急难”审核审批表等相关材料，有以下9户困难群众家庭收到“救急难”救助资金（黄萍一户一人、殷水平一户一人、刘国华一户一人、胡帅一户一人、王国平一户一人、李银怀一户四人、增强一户三人、赖诚哲一户一人王小毛一户四人），核定共计9户17人收到“救急难”救助资金。</w:t>
      </w:r>
    </w:p>
    <w:p>
      <w:pPr>
        <w:pStyle w:val="2"/>
        <w:numPr>
          <w:ilvl w:val="0"/>
          <w:numId w:val="14"/>
        </w:numPr>
        <w:ind w:firstLine="643"/>
        <w:rPr>
          <w:rFonts w:ascii="黑体" w:hAnsi="黑体" w:eastAsia="黑体" w:cs="黑体"/>
          <w:b/>
          <w:bCs/>
          <w:sz w:val="32"/>
          <w:szCs w:val="32"/>
        </w:rPr>
      </w:pPr>
      <w:r>
        <w:rPr>
          <w:rFonts w:hint="eastAsia" w:ascii="黑体" w:hAnsi="黑体" w:eastAsia="黑体" w:cs="黑体"/>
          <w:b/>
          <w:bCs/>
          <w:sz w:val="32"/>
          <w:szCs w:val="32"/>
        </w:rPr>
        <w:t>产出质量</w:t>
      </w:r>
    </w:p>
    <w:p>
      <w:pPr>
        <w:pStyle w:val="2"/>
        <w:ind w:left="560" w:leftChars="200" w:firstLine="0" w:firstLineChars="0"/>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color w:val="000000"/>
          <w:kern w:val="0"/>
          <w:sz w:val="32"/>
          <w:szCs w:val="32"/>
        </w:rPr>
        <w:t>“救急难”资金发放人员准确率</w:t>
      </w:r>
    </w:p>
    <w:p>
      <w:pPr>
        <w:pStyle w:val="2"/>
        <w:ind w:firstLine="560"/>
        <w:rPr>
          <w:rFonts w:ascii="仿宋" w:hAnsi="仿宋" w:eastAsia="仿宋" w:cs="仿宋"/>
          <w:color w:val="000000"/>
          <w:kern w:val="0"/>
          <w:szCs w:val="28"/>
        </w:rPr>
      </w:pPr>
      <w:r>
        <w:rPr>
          <w:rFonts w:hint="eastAsia" w:ascii="仿宋" w:hAnsi="仿宋" w:eastAsia="仿宋" w:cs="仿宋"/>
        </w:rPr>
        <w:t>针对申请“救急难”救助的9户</w:t>
      </w:r>
      <w:r>
        <w:rPr>
          <w:rFonts w:hint="eastAsia" w:ascii="仿宋" w:hAnsi="仿宋" w:eastAsia="仿宋" w:cs="仿宋"/>
          <w:color w:val="000000"/>
          <w:kern w:val="0"/>
          <w:szCs w:val="28"/>
        </w:rPr>
        <w:t>困难群众均提交的申请材料，如：“青云谱困难群众救急难申请表”、户口本（身份证）、低保证、五保供养证、残疾证、孤老（孤儿）证明等相关材料复印件以及家庭财产证明、收入状况证明或县级以上医疗部门相关诊断书等相关申请材料均已提交，并通过民政局审批提交材料的真实性以及各街道（镇、园）、村（居）民委员会配合民政局及时了解、掌握、核实申请人员遭遇突发事件、意外事故、患有重大疾病等特殊情况的真实性，确保救急难资金据实发放到困难群众。</w:t>
      </w:r>
    </w:p>
    <w:p>
      <w:pPr>
        <w:pStyle w:val="2"/>
        <w:numPr>
          <w:ilvl w:val="0"/>
          <w:numId w:val="14"/>
        </w:numPr>
        <w:ind w:firstLine="643"/>
        <w:rPr>
          <w:rFonts w:ascii="黑体" w:hAnsi="黑体" w:eastAsia="黑体" w:cs="黑体"/>
          <w:b/>
          <w:bCs/>
          <w:sz w:val="32"/>
          <w:szCs w:val="32"/>
        </w:rPr>
      </w:pPr>
      <w:r>
        <w:rPr>
          <w:rFonts w:hint="eastAsia" w:ascii="黑体" w:hAnsi="黑体" w:eastAsia="黑体" w:cs="黑体"/>
          <w:b/>
          <w:bCs/>
          <w:sz w:val="32"/>
          <w:szCs w:val="32"/>
        </w:rPr>
        <w:t>产出时效</w:t>
      </w:r>
    </w:p>
    <w:p>
      <w:pPr>
        <w:pStyle w:val="2"/>
        <w:ind w:firstLine="560"/>
        <w:rPr>
          <w:b/>
          <w:bCs/>
        </w:rPr>
      </w:pPr>
      <w:r>
        <w:rPr>
          <w:rFonts w:hint="eastAsia" w:ascii="仿宋" w:hAnsi="仿宋" w:eastAsia="仿宋" w:cs="仿宋"/>
        </w:rPr>
        <w:t>南昌市青云谱区民政局“救急难”救助项目所发放的救助资金均根据《南昌市青云谱区人民政府办公室关于印发青云谱区“救急难”救助实施细则（试行）的通知》（青政办发[2015]19号）文件中第四章第七条、第八条、第九条“救急难”救助资金的有关规定严格进行，中间无材料审核滞留、资金审批延误等现象，所有“救急难”资金发放均在符合规定时间内发放至困难群众个人。</w:t>
      </w:r>
    </w:p>
    <w:p>
      <w:pPr>
        <w:pStyle w:val="2"/>
        <w:ind w:firstLine="643"/>
        <w:rPr>
          <w:rFonts w:ascii="黑体" w:hAnsi="黑体" w:eastAsia="黑体" w:cs="黑体"/>
          <w:b/>
          <w:bCs/>
          <w:sz w:val="32"/>
          <w:szCs w:val="32"/>
        </w:rPr>
      </w:pPr>
      <w:r>
        <w:rPr>
          <w:rFonts w:hint="eastAsia" w:ascii="黑体" w:hAnsi="黑体" w:eastAsia="黑体" w:cs="黑体"/>
          <w:b/>
          <w:bCs/>
          <w:sz w:val="32"/>
          <w:szCs w:val="32"/>
        </w:rPr>
        <w:t>4、产出成本</w:t>
      </w:r>
    </w:p>
    <w:p>
      <w:pPr>
        <w:pStyle w:val="2"/>
        <w:ind w:firstLine="560"/>
        <w:rPr>
          <w:rFonts w:ascii="仿宋" w:hAnsi="仿宋" w:eastAsia="仿宋" w:cs="仿宋"/>
        </w:rPr>
      </w:pPr>
      <w:r>
        <w:rPr>
          <w:rFonts w:hint="eastAsia" w:ascii="仿宋" w:hAnsi="仿宋" w:eastAsia="仿宋" w:cs="仿宋"/>
        </w:rPr>
        <w:t>南昌市青云谱区民政局“救急难”救助项目预算编制合理、准确，项目预算“救急难”资金20万元，使用资金5.6万元，资金使用未超出预算</w:t>
      </w:r>
      <w:r>
        <w:rPr>
          <w:rFonts w:hint="eastAsia" w:ascii="仿宋" w:hAnsi="仿宋" w:eastAsia="仿宋" w:cs="仿宋"/>
          <w:lang w:eastAsia="zh-CN"/>
        </w:rPr>
        <w:t>。</w:t>
      </w:r>
    </w:p>
    <w:p>
      <w:pPr>
        <w:pStyle w:val="4"/>
        <w:numPr>
          <w:ilvl w:val="0"/>
          <w:numId w:val="6"/>
        </w:numPr>
        <w:spacing w:before="204" w:after="204"/>
      </w:pPr>
      <w:bookmarkStart w:id="33" w:name="_Toc17664"/>
      <w:r>
        <w:rPr>
          <w:rFonts w:hint="eastAsia"/>
        </w:rPr>
        <w:t>项目效益情况</w:t>
      </w:r>
      <w:bookmarkEnd w:id="33"/>
    </w:p>
    <w:p>
      <w:pPr>
        <w:pStyle w:val="2"/>
        <w:numPr>
          <w:ilvl w:val="0"/>
          <w:numId w:val="16"/>
        </w:numPr>
        <w:ind w:firstLine="643"/>
        <w:rPr>
          <w:rFonts w:ascii="黑体" w:hAnsi="黑体" w:eastAsia="黑体" w:cs="黑体"/>
          <w:b/>
          <w:bCs/>
          <w:sz w:val="32"/>
          <w:szCs w:val="28"/>
        </w:rPr>
      </w:pPr>
      <w:r>
        <w:rPr>
          <w:rFonts w:hint="eastAsia" w:ascii="黑体" w:hAnsi="黑体" w:eastAsia="黑体" w:cs="黑体"/>
          <w:b/>
          <w:bCs/>
          <w:sz w:val="32"/>
          <w:szCs w:val="28"/>
        </w:rPr>
        <w:t>社会效益</w:t>
      </w:r>
    </w:p>
    <w:p>
      <w:pPr>
        <w:pStyle w:val="2"/>
        <w:numPr>
          <w:ilvl w:val="0"/>
          <w:numId w:val="17"/>
        </w:numPr>
        <w:ind w:firstLineChars="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帮助青云谱区困难生活群众生活提高生活质量</w:t>
      </w:r>
    </w:p>
    <w:p>
      <w:pPr>
        <w:pStyle w:val="2"/>
        <w:ind w:firstLine="560"/>
        <w:rPr>
          <w:rFonts w:ascii="仿宋" w:hAnsi="仿宋" w:eastAsia="仿宋" w:cs="仿宋"/>
          <w:szCs w:val="28"/>
        </w:rPr>
      </w:pPr>
      <w:r>
        <w:rPr>
          <w:rFonts w:hint="eastAsia" w:ascii="仿宋" w:hAnsi="仿宋" w:eastAsia="仿宋" w:cs="仿宋"/>
          <w:szCs w:val="28"/>
        </w:rPr>
        <w:t>充分发挥青云谱区民政局社会救助制度的作用，针对区内生活困难群众对特殊突发情况予以经济帮助，减轻困难群众生活压力，切实提升区内困难群众生活质量。</w:t>
      </w:r>
    </w:p>
    <w:p>
      <w:pPr>
        <w:pStyle w:val="2"/>
        <w:ind w:firstLine="643"/>
        <w:rPr>
          <w:rFonts w:ascii="黑体" w:hAnsi="黑体" w:eastAsia="黑体" w:cs="黑体"/>
          <w:b/>
          <w:bCs/>
          <w:sz w:val="32"/>
          <w:szCs w:val="32"/>
        </w:rPr>
      </w:pPr>
      <w:r>
        <w:rPr>
          <w:rFonts w:hint="eastAsia" w:ascii="黑体" w:hAnsi="黑体" w:eastAsia="黑体" w:cs="黑体"/>
          <w:b/>
          <w:bCs/>
          <w:sz w:val="32"/>
          <w:szCs w:val="32"/>
        </w:rPr>
        <w:t>2、可持续效益</w:t>
      </w:r>
    </w:p>
    <w:p>
      <w:pPr>
        <w:pStyle w:val="2"/>
        <w:ind w:left="560" w:firstLine="0" w:firstLineChars="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（1）完善“救急难”项目制度</w:t>
      </w:r>
    </w:p>
    <w:p>
      <w:pPr>
        <w:pStyle w:val="2"/>
        <w:ind w:firstLine="560"/>
        <w:rPr>
          <w:rFonts w:ascii="宋体" w:hAnsi="宋体" w:cs="宋体"/>
          <w:szCs w:val="28"/>
        </w:rPr>
      </w:pPr>
      <w:r>
        <w:rPr>
          <w:rFonts w:hint="eastAsia" w:ascii="仿宋" w:hAnsi="仿宋" w:eastAsia="仿宋" w:cs="仿宋"/>
          <w:szCs w:val="28"/>
        </w:rPr>
        <w:t>“救急难”救助项目开展，区民政局根据项目实际制定了一系列相关制度，如：《青云谱区“救急难”工作试点实施方案》、《青云谱区“救急难”救助实施细则》和《青云谱区“救急难”工作规范化管理规定》和青云谱区“救急难”工作联络制度、青云谱区“救急难”工作首问责任制、青云谱区社会救助申办流程图等。</w:t>
      </w:r>
    </w:p>
    <w:p>
      <w:pPr>
        <w:pStyle w:val="2"/>
        <w:ind w:left="560" w:leftChars="200" w:firstLine="0" w:firstLineChars="0"/>
        <w:rPr>
          <w:rFonts w:ascii="黑体" w:hAnsi="黑体" w:eastAsia="黑体" w:cs="黑体"/>
          <w:b/>
          <w:bCs/>
          <w:sz w:val="32"/>
          <w:szCs w:val="28"/>
        </w:rPr>
      </w:pPr>
      <w:r>
        <w:rPr>
          <w:rFonts w:hint="eastAsia" w:ascii="黑体" w:hAnsi="黑体" w:eastAsia="黑体" w:cs="黑体"/>
          <w:b/>
          <w:bCs/>
          <w:sz w:val="32"/>
          <w:szCs w:val="28"/>
        </w:rPr>
        <w:t>3、满意度</w:t>
      </w:r>
    </w:p>
    <w:p>
      <w:pPr>
        <w:pStyle w:val="2"/>
        <w:ind w:firstLine="560"/>
        <w:rPr>
          <w:rFonts w:ascii="仿宋" w:hAnsi="仿宋" w:eastAsia="仿宋" w:cs="仿宋"/>
          <w:b/>
          <w:bCs/>
        </w:rPr>
      </w:pPr>
      <w:r>
        <w:rPr>
          <w:rFonts w:hint="eastAsia" w:ascii="仿宋" w:hAnsi="仿宋" w:eastAsia="仿宋" w:cs="仿宋"/>
        </w:rPr>
        <w:t>调查员通过随机访问、纸质满意度调查的方式对此次南昌市青云谱区民政局“救急难”救助</w:t>
      </w:r>
      <w:r>
        <w:rPr>
          <w:rFonts w:hint="eastAsia" w:ascii="仿宋" w:hAnsi="仿宋" w:eastAsia="仿宋" w:cs="仿宋"/>
          <w:color w:val="000000"/>
          <w:kern w:val="0"/>
          <w:szCs w:val="28"/>
        </w:rPr>
        <w:t>项目</w:t>
      </w:r>
      <w:r>
        <w:rPr>
          <w:rFonts w:hint="eastAsia" w:ascii="仿宋" w:hAnsi="仿宋" w:eastAsia="仿宋" w:cs="仿宋"/>
        </w:rPr>
        <w:t>工作的对象</w:t>
      </w:r>
      <w:r>
        <w:rPr>
          <w:rFonts w:hint="eastAsia" w:ascii="仿宋" w:hAnsi="仿宋" w:eastAsia="仿宋" w:cs="仿宋"/>
          <w:color w:val="000000"/>
          <w:kern w:val="0"/>
          <w:szCs w:val="28"/>
        </w:rPr>
        <w:t>救助困难群众进行项目实施情况、过程、结果满意度</w:t>
      </w:r>
      <w:r>
        <w:rPr>
          <w:rFonts w:hint="eastAsia" w:ascii="仿宋" w:hAnsi="仿宋" w:eastAsia="仿宋" w:cs="仿宋"/>
        </w:rPr>
        <w:t>进行统计。本项目通过“救急难”救助项目切实提高了困难群众的生活质量，减轻了困难群众针对突发紧急事件的经济压力，</w:t>
      </w:r>
      <w:r>
        <w:rPr>
          <w:rFonts w:hint="eastAsia" w:ascii="仿宋" w:hAnsi="仿宋" w:eastAsia="仿宋" w:cs="仿宋"/>
          <w:color w:val="000000"/>
          <w:kern w:val="0"/>
          <w:szCs w:val="28"/>
        </w:rPr>
        <w:t>相关困难群众满意度均为100</w:t>
      </w:r>
      <w:r>
        <w:rPr>
          <w:rFonts w:hint="eastAsia" w:ascii="仿宋" w:hAnsi="仿宋" w:eastAsia="仿宋" w:cs="仿宋"/>
        </w:rPr>
        <w:t>%。</w:t>
      </w:r>
    </w:p>
    <w:p>
      <w:pPr>
        <w:pStyle w:val="3"/>
      </w:pPr>
      <w:bookmarkStart w:id="34" w:name="_Toc27474"/>
      <w:r>
        <w:rPr>
          <w:rFonts w:hint="eastAsia"/>
        </w:rPr>
        <w:t>五、存在的问题及原因分析</w:t>
      </w:r>
      <w:bookmarkEnd w:id="34"/>
    </w:p>
    <w:p>
      <w:pPr>
        <w:pStyle w:val="2"/>
        <w:ind w:firstLine="643"/>
        <w:outlineLvl w:val="1"/>
        <w:rPr>
          <w:rFonts w:ascii="黑体" w:hAnsi="黑体" w:eastAsia="黑体" w:cs="黑体"/>
          <w:b/>
          <w:bCs/>
          <w:sz w:val="32"/>
          <w:szCs w:val="28"/>
        </w:rPr>
      </w:pPr>
      <w:bookmarkStart w:id="35" w:name="_Toc729"/>
      <w:r>
        <w:rPr>
          <w:rFonts w:hint="eastAsia" w:ascii="黑体" w:hAnsi="黑体" w:eastAsia="黑体" w:cs="黑体"/>
          <w:b/>
          <w:bCs/>
          <w:sz w:val="32"/>
          <w:szCs w:val="28"/>
        </w:rPr>
        <w:t>（一）项目专项资金拨付不严谨</w:t>
      </w:r>
      <w:bookmarkEnd w:id="35"/>
    </w:p>
    <w:p>
      <w:pPr>
        <w:ind w:firstLine="560"/>
        <w:rPr>
          <w:rFonts w:ascii="仿宋" w:hAnsi="仿宋" w:eastAsia="仿宋" w:cs="仿宋"/>
          <w:szCs w:val="28"/>
        </w:rPr>
      </w:pPr>
      <w:r>
        <w:rPr>
          <w:rFonts w:hint="eastAsia" w:ascii="仿宋" w:hAnsi="仿宋" w:eastAsia="仿宋" w:cs="仿宋"/>
        </w:rPr>
        <w:t>南昌市青云谱区民政局针对具体专项资金管理使用拨付违反了《关于印发 青云谱区民政专项资金使用管理办法（试行）的通知》（青民发[2013]26号）文件中关于资金申请拨付的相关规定，</w:t>
      </w:r>
      <w:r>
        <w:rPr>
          <w:rFonts w:hint="eastAsia" w:ascii="仿宋" w:hAnsi="仿宋" w:eastAsia="仿宋" w:cs="仿宋"/>
          <w:szCs w:val="28"/>
        </w:rPr>
        <w:t>未严格按照相关办法据实拨付，存在提前拨付专项资金，</w:t>
      </w:r>
      <w:r>
        <w:rPr>
          <w:rFonts w:hint="eastAsia" w:ascii="仿宋" w:hAnsi="仿宋" w:eastAsia="仿宋" w:cs="仿宋"/>
        </w:rPr>
        <w:t>原因是项目人员应对困难群众的突发状况时经常由个人先行垫付资金，因此才提前申请拨付资金做备用</w:t>
      </w:r>
      <w:r>
        <w:rPr>
          <w:rFonts w:hint="eastAsia" w:ascii="仿宋" w:hAnsi="仿宋" w:eastAsia="仿宋" w:cs="仿宋"/>
          <w:szCs w:val="28"/>
        </w:rPr>
        <w:t>。</w:t>
      </w:r>
    </w:p>
    <w:p>
      <w:pPr>
        <w:pStyle w:val="4"/>
        <w:spacing w:before="204" w:after="204"/>
        <w:ind w:firstLine="643" w:firstLineChars="200"/>
      </w:pPr>
      <w:bookmarkStart w:id="36" w:name="_Toc13310"/>
      <w:bookmarkStart w:id="37" w:name="_Toc9178"/>
      <w:r>
        <w:rPr>
          <w:rFonts w:hint="eastAsia"/>
        </w:rPr>
        <w:t>（二）档案整理收集不完整</w:t>
      </w:r>
      <w:bookmarkEnd w:id="36"/>
      <w:bookmarkEnd w:id="37"/>
    </w:p>
    <w:p>
      <w:pPr>
        <w:ind w:firstLine="560"/>
        <w:rPr>
          <w:rFonts w:ascii="仿宋" w:hAnsi="仿宋" w:eastAsia="仿宋" w:cs="仿宋"/>
        </w:rPr>
      </w:pPr>
      <w:r>
        <w:rPr>
          <w:rFonts w:hint="eastAsia" w:ascii="仿宋" w:hAnsi="仿宋" w:eastAsia="仿宋" w:cs="仿宋"/>
        </w:rPr>
        <w:t>实施办法中要求民政局对街道等上报困难群众申请的“救急难”材料进行全面审查验收，但实际上所有材料均由区群众服务办事大厅相关单全面验收并保存相关材料，而民政局没有对申请“救急难”相关困难群众的材料进行全面审验及存档。</w:t>
      </w:r>
    </w:p>
    <w:p>
      <w:pPr>
        <w:pStyle w:val="2"/>
        <w:numPr>
          <w:ilvl w:val="0"/>
          <w:numId w:val="18"/>
        </w:numPr>
        <w:ind w:firstLine="0" w:firstLineChars="0"/>
        <w:outlineLvl w:val="0"/>
        <w:rPr>
          <w:rFonts w:ascii="黑体" w:hAnsi="黑体" w:eastAsia="黑体" w:cs="黑体"/>
          <w:b/>
          <w:bCs/>
          <w:sz w:val="36"/>
          <w:szCs w:val="32"/>
        </w:rPr>
      </w:pPr>
      <w:bookmarkStart w:id="38" w:name="_Toc19294"/>
      <w:r>
        <w:rPr>
          <w:rFonts w:hint="eastAsia" w:ascii="黑体" w:hAnsi="黑体" w:eastAsia="黑体" w:cs="黑体"/>
          <w:b/>
          <w:bCs/>
          <w:sz w:val="36"/>
          <w:szCs w:val="32"/>
        </w:rPr>
        <w:t>有关建议</w:t>
      </w:r>
      <w:bookmarkEnd w:id="38"/>
    </w:p>
    <w:p>
      <w:pPr>
        <w:pStyle w:val="2"/>
        <w:ind w:left="560" w:leftChars="200" w:firstLine="0" w:firstLineChars="0"/>
        <w:outlineLvl w:val="1"/>
        <w:rPr>
          <w:rFonts w:ascii="黑体" w:hAnsi="黑体" w:eastAsia="黑体" w:cs="黑体"/>
          <w:b/>
          <w:bCs/>
          <w:sz w:val="32"/>
          <w:szCs w:val="32"/>
        </w:rPr>
      </w:pPr>
      <w:bookmarkStart w:id="39" w:name="_Toc3496"/>
      <w:r>
        <w:rPr>
          <w:rFonts w:hint="eastAsia" w:ascii="黑体" w:hAnsi="黑体" w:eastAsia="黑体" w:cs="黑体"/>
          <w:b/>
          <w:bCs/>
          <w:sz w:val="32"/>
          <w:szCs w:val="32"/>
        </w:rPr>
        <w:t>（一）建立健全专项资金管理制度，促进制度落实</w:t>
      </w:r>
      <w:bookmarkEnd w:id="39"/>
    </w:p>
    <w:p>
      <w:pPr>
        <w:pStyle w:val="2"/>
        <w:ind w:firstLine="560"/>
        <w:rPr>
          <w:rFonts w:ascii="仿宋" w:hAnsi="仿宋" w:eastAsia="仿宋" w:cs="仿宋"/>
          <w:szCs w:val="28"/>
        </w:rPr>
      </w:pPr>
      <w:r>
        <w:rPr>
          <w:rFonts w:hint="eastAsia" w:ascii="仿宋" w:hAnsi="仿宋" w:eastAsia="仿宋" w:cs="仿宋"/>
        </w:rPr>
        <w:t>项目单位应牢固树立严谨专项资金使用、拨付意识，</w:t>
      </w:r>
      <w:r>
        <w:rPr>
          <w:rFonts w:hint="eastAsia" w:ascii="仿宋" w:hAnsi="仿宋" w:eastAsia="仿宋" w:cs="仿宋"/>
          <w:szCs w:val="28"/>
        </w:rPr>
        <w:t>为使项目专项资金监管更具效力，需要加强专项资金管理制度建设，通过制定完善项目管理办法及相应的监管机制，明确专项资金使用流程和标准，对项目实施过程所需专项资金进行全面有效监管，保证项目实施的延续性和可控性，以促进项目预期目标的实现。</w:t>
      </w:r>
    </w:p>
    <w:p>
      <w:pPr>
        <w:pStyle w:val="4"/>
        <w:spacing w:before="204" w:after="204"/>
        <w:ind w:firstLine="643" w:firstLineChars="200"/>
      </w:pPr>
      <w:bookmarkStart w:id="40" w:name="_Toc505"/>
      <w:r>
        <w:rPr>
          <w:rFonts w:hint="eastAsia"/>
        </w:rPr>
        <w:t>（二）规范项目档案管理</w:t>
      </w:r>
      <w:bookmarkEnd w:id="40"/>
    </w:p>
    <w:p>
      <w:pPr>
        <w:ind w:firstLine="560"/>
        <w:rPr>
          <w:rFonts w:ascii="仿宋" w:hAnsi="仿宋" w:eastAsia="仿宋" w:cs="仿宋"/>
        </w:rPr>
      </w:pPr>
      <w:r>
        <w:rPr>
          <w:rFonts w:hint="eastAsia" w:ascii="仿宋" w:hAnsi="仿宋" w:eastAsia="仿宋" w:cs="仿宋"/>
        </w:rPr>
        <w:t>项目单位及相关责任主体应规范档案管理，严格按照项目实施办法规定，重视申请资料、资金申请相关档案收集工作。项目单位可要求各资金申报主体随资金申请文件报送申报资料备份。</w:t>
      </w:r>
    </w:p>
    <w:p>
      <w:pPr>
        <w:pStyle w:val="2"/>
        <w:ind w:firstLine="560"/>
        <w:rPr>
          <w:rFonts w:ascii="仿宋" w:hAnsi="仿宋" w:eastAsia="仿宋" w:cs="仿宋"/>
          <w:szCs w:val="28"/>
        </w:rPr>
      </w:pPr>
    </w:p>
    <w:p>
      <w:pPr>
        <w:ind w:firstLine="560"/>
      </w:pPr>
    </w:p>
    <w:p>
      <w:pPr>
        <w:ind w:firstLine="0" w:firstLineChars="0"/>
      </w:pPr>
    </w:p>
    <w:sectPr>
      <w:headerReference r:id="rId6" w:type="default"/>
      <w:footerReference r:id="rId7" w:type="default"/>
      <w:pgSz w:w="11906" w:h="16838"/>
      <w:pgMar w:top="1928" w:right="1531" w:bottom="1701" w:left="1531" w:header="737" w:footer="851" w:gutter="0"/>
      <w:pgNumType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t>27</w:t>
    </w:r>
    <w:r>
      <w:fldChar w:fldCharType="end"/>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jc w:val="center"/>
    </w:pPr>
  </w:p>
  <w:p>
    <w:pPr>
      <w:pStyle w:val="9"/>
      <w:ind w:firstLine="0" w:firstLineChars="0"/>
      <w:rPr>
        <w:rFonts w:ascii="黑体" w:hAnsi="黑体" w:eastAsia="黑体" w:cs="黑体"/>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jc w:val="center"/>
    </w:pPr>
  </w:p>
  <w:p>
    <w:pPr>
      <w:pStyle w:val="9"/>
      <w:ind w:firstLine="0" w:firstLineChars="0"/>
    </w:pPr>
  </w:p>
  <w:p>
    <w:pPr>
      <w:pStyle w:val="9"/>
      <w:pBdr>
        <w:bottom w:val="single" w:color="auto" w:sz="4" w:space="1"/>
      </w:pBdr>
      <w:ind w:firstLine="0" w:firstLineChars="0"/>
      <w:jc w:val="center"/>
      <w:rPr>
        <w:rFonts w:asciiTheme="majorEastAsia" w:hAnsiTheme="majorEastAsia" w:eastAsiaTheme="majorEastAsia" w:cstheme="majorEastAsia"/>
        <w:b/>
        <w:bCs/>
        <w:szCs w:val="18"/>
      </w:rPr>
    </w:pPr>
    <w:r>
      <w:rPr>
        <w:rFonts w:hint="eastAsia" w:asciiTheme="majorEastAsia" w:hAnsiTheme="majorEastAsia" w:eastAsiaTheme="majorEastAsia" w:cstheme="majorEastAsia"/>
        <w:b/>
        <w:bCs/>
        <w:szCs w:val="18"/>
      </w:rPr>
      <w:t>2020年度南昌市青云谱区民政局救急难专项资金</w:t>
    </w:r>
    <w:r>
      <w:rPr>
        <w:rFonts w:hint="eastAsia"/>
        <w:b/>
        <w:bCs/>
      </w:rPr>
      <w:t>支出项目</w:t>
    </w:r>
    <w:r>
      <w:rPr>
        <w:rFonts w:hint="eastAsia" w:asciiTheme="majorEastAsia" w:hAnsiTheme="majorEastAsia" w:eastAsiaTheme="majorEastAsia" w:cstheme="majorEastAsia"/>
        <w:b/>
        <w:bCs/>
        <w:szCs w:val="18"/>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1CA19"/>
    <w:multiLevelType w:val="singleLevel"/>
    <w:tmpl w:val="8D51CA19"/>
    <w:lvl w:ilvl="0" w:tentative="0">
      <w:start w:val="2"/>
      <w:numFmt w:val="decimal"/>
      <w:suff w:val="nothing"/>
      <w:lvlText w:val="%1、"/>
      <w:lvlJc w:val="left"/>
    </w:lvl>
  </w:abstractNum>
  <w:abstractNum w:abstractNumId="1">
    <w:nsid w:val="91BD512C"/>
    <w:multiLevelType w:val="singleLevel"/>
    <w:tmpl w:val="91BD512C"/>
    <w:lvl w:ilvl="0" w:tentative="0">
      <w:start w:val="6"/>
      <w:numFmt w:val="chineseCounting"/>
      <w:suff w:val="nothing"/>
      <w:lvlText w:val="%1、"/>
      <w:lvlJc w:val="left"/>
      <w:rPr>
        <w:rFonts w:hint="eastAsia"/>
      </w:rPr>
    </w:lvl>
  </w:abstractNum>
  <w:abstractNum w:abstractNumId="2">
    <w:nsid w:val="9C9B21BC"/>
    <w:multiLevelType w:val="singleLevel"/>
    <w:tmpl w:val="9C9B21BC"/>
    <w:lvl w:ilvl="0" w:tentative="0">
      <w:start w:val="1"/>
      <w:numFmt w:val="decimal"/>
      <w:suff w:val="nothing"/>
      <w:lvlText w:val="（%1）"/>
      <w:lvlJc w:val="left"/>
    </w:lvl>
  </w:abstractNum>
  <w:abstractNum w:abstractNumId="3">
    <w:nsid w:val="B99889D9"/>
    <w:multiLevelType w:val="singleLevel"/>
    <w:tmpl w:val="B99889D9"/>
    <w:lvl w:ilvl="0" w:tentative="0">
      <w:start w:val="1"/>
      <w:numFmt w:val="decimal"/>
      <w:suff w:val="nothing"/>
      <w:lvlText w:val="%1、"/>
      <w:lvlJc w:val="left"/>
    </w:lvl>
  </w:abstractNum>
  <w:abstractNum w:abstractNumId="4">
    <w:nsid w:val="D0BA5121"/>
    <w:multiLevelType w:val="singleLevel"/>
    <w:tmpl w:val="D0BA5121"/>
    <w:lvl w:ilvl="0" w:tentative="0">
      <w:start w:val="1"/>
      <w:numFmt w:val="decimal"/>
      <w:suff w:val="nothing"/>
      <w:lvlText w:val="%1、"/>
      <w:lvlJc w:val="left"/>
    </w:lvl>
  </w:abstractNum>
  <w:abstractNum w:abstractNumId="5">
    <w:nsid w:val="DC03A5B7"/>
    <w:multiLevelType w:val="singleLevel"/>
    <w:tmpl w:val="DC03A5B7"/>
    <w:lvl w:ilvl="0" w:tentative="0">
      <w:start w:val="1"/>
      <w:numFmt w:val="decimal"/>
      <w:suff w:val="nothing"/>
      <w:lvlText w:val="%1、"/>
      <w:lvlJc w:val="left"/>
    </w:lvl>
  </w:abstractNum>
  <w:abstractNum w:abstractNumId="6">
    <w:nsid w:val="E6126DC0"/>
    <w:multiLevelType w:val="singleLevel"/>
    <w:tmpl w:val="E6126DC0"/>
    <w:lvl w:ilvl="0" w:tentative="0">
      <w:start w:val="2"/>
      <w:numFmt w:val="decimal"/>
      <w:suff w:val="nothing"/>
      <w:lvlText w:val="（%1）"/>
      <w:lvlJc w:val="left"/>
    </w:lvl>
  </w:abstractNum>
  <w:abstractNum w:abstractNumId="7">
    <w:nsid w:val="ECCDDE09"/>
    <w:multiLevelType w:val="singleLevel"/>
    <w:tmpl w:val="ECCDDE09"/>
    <w:lvl w:ilvl="0" w:tentative="0">
      <w:start w:val="2"/>
      <w:numFmt w:val="decimal"/>
      <w:suff w:val="nothing"/>
      <w:lvlText w:val="%1、"/>
      <w:lvlJc w:val="left"/>
      <w:pPr>
        <w:ind w:left="-2"/>
      </w:pPr>
      <w:rPr>
        <w:rFonts w:hint="default"/>
        <w:b/>
        <w:bCs/>
      </w:rPr>
    </w:lvl>
  </w:abstractNum>
  <w:abstractNum w:abstractNumId="8">
    <w:nsid w:val="FA69E428"/>
    <w:multiLevelType w:val="singleLevel"/>
    <w:tmpl w:val="FA69E428"/>
    <w:lvl w:ilvl="0" w:tentative="0">
      <w:start w:val="3"/>
      <w:numFmt w:val="chineseCounting"/>
      <w:suff w:val="nothing"/>
      <w:lvlText w:val="%1、"/>
      <w:lvlJc w:val="left"/>
      <w:rPr>
        <w:rFonts w:hint="eastAsia"/>
      </w:rPr>
    </w:lvl>
  </w:abstractNum>
  <w:abstractNum w:abstractNumId="9">
    <w:nsid w:val="05267BF2"/>
    <w:multiLevelType w:val="singleLevel"/>
    <w:tmpl w:val="05267BF2"/>
    <w:lvl w:ilvl="0" w:tentative="0">
      <w:start w:val="1"/>
      <w:numFmt w:val="chineseCounting"/>
      <w:suff w:val="nothing"/>
      <w:lvlText w:val="（%1）"/>
      <w:lvlJc w:val="left"/>
      <w:rPr>
        <w:rFonts w:hint="eastAsia"/>
      </w:rPr>
    </w:lvl>
  </w:abstractNum>
  <w:abstractNum w:abstractNumId="10">
    <w:nsid w:val="080EE2BB"/>
    <w:multiLevelType w:val="singleLevel"/>
    <w:tmpl w:val="080EE2BB"/>
    <w:lvl w:ilvl="0" w:tentative="0">
      <w:start w:val="1"/>
      <w:numFmt w:val="decimal"/>
      <w:suff w:val="nothing"/>
      <w:lvlText w:val="%1、"/>
      <w:lvlJc w:val="left"/>
    </w:lvl>
  </w:abstractNum>
  <w:abstractNum w:abstractNumId="11">
    <w:nsid w:val="1637F2FF"/>
    <w:multiLevelType w:val="singleLevel"/>
    <w:tmpl w:val="1637F2FF"/>
    <w:lvl w:ilvl="0" w:tentative="0">
      <w:start w:val="1"/>
      <w:numFmt w:val="decimal"/>
      <w:suff w:val="nothing"/>
      <w:lvlText w:val="%1、"/>
      <w:lvlJc w:val="left"/>
    </w:lvl>
  </w:abstractNum>
  <w:abstractNum w:abstractNumId="12">
    <w:nsid w:val="231151C8"/>
    <w:multiLevelType w:val="singleLevel"/>
    <w:tmpl w:val="231151C8"/>
    <w:lvl w:ilvl="0" w:tentative="0">
      <w:start w:val="1"/>
      <w:numFmt w:val="decimal"/>
      <w:suff w:val="nothing"/>
      <w:lvlText w:val="（%1）"/>
      <w:lvlJc w:val="left"/>
      <w:pPr>
        <w:ind w:left="-2"/>
      </w:pPr>
    </w:lvl>
  </w:abstractNum>
  <w:abstractNum w:abstractNumId="13">
    <w:nsid w:val="6A960C53"/>
    <w:multiLevelType w:val="singleLevel"/>
    <w:tmpl w:val="6A960C53"/>
    <w:lvl w:ilvl="0" w:tentative="0">
      <w:start w:val="1"/>
      <w:numFmt w:val="decimal"/>
      <w:suff w:val="nothing"/>
      <w:lvlText w:val="%1、"/>
      <w:lvlJc w:val="left"/>
    </w:lvl>
  </w:abstractNum>
  <w:abstractNum w:abstractNumId="14">
    <w:nsid w:val="6B11B3AB"/>
    <w:multiLevelType w:val="singleLevel"/>
    <w:tmpl w:val="6B11B3AB"/>
    <w:lvl w:ilvl="0" w:tentative="0">
      <w:start w:val="1"/>
      <w:numFmt w:val="decimal"/>
      <w:suff w:val="nothing"/>
      <w:lvlText w:val="%1、"/>
      <w:lvlJc w:val="left"/>
    </w:lvl>
  </w:abstractNum>
  <w:abstractNum w:abstractNumId="15">
    <w:nsid w:val="7472057F"/>
    <w:multiLevelType w:val="singleLevel"/>
    <w:tmpl w:val="7472057F"/>
    <w:lvl w:ilvl="0" w:tentative="0">
      <w:start w:val="2"/>
      <w:numFmt w:val="decimal"/>
      <w:suff w:val="nothing"/>
      <w:lvlText w:val="%1、"/>
      <w:lvlJc w:val="left"/>
    </w:lvl>
  </w:abstractNum>
  <w:abstractNum w:abstractNumId="16">
    <w:nsid w:val="7846E55A"/>
    <w:multiLevelType w:val="singleLevel"/>
    <w:tmpl w:val="7846E55A"/>
    <w:lvl w:ilvl="0" w:tentative="0">
      <w:start w:val="1"/>
      <w:numFmt w:val="decimal"/>
      <w:suff w:val="nothing"/>
      <w:lvlText w:val="（%1）"/>
      <w:lvlJc w:val="left"/>
      <w:pPr>
        <w:ind w:left="-2"/>
      </w:pPr>
    </w:lvl>
  </w:abstractNum>
  <w:abstractNum w:abstractNumId="17">
    <w:nsid w:val="7AC620CC"/>
    <w:multiLevelType w:val="singleLevel"/>
    <w:tmpl w:val="7AC620CC"/>
    <w:lvl w:ilvl="0" w:tentative="0">
      <w:start w:val="3"/>
      <w:numFmt w:val="chineseCounting"/>
      <w:suff w:val="nothing"/>
      <w:lvlText w:val="（%1）"/>
      <w:lvlJc w:val="left"/>
      <w:rPr>
        <w:rFonts w:hint="eastAsia"/>
      </w:rPr>
    </w:lvl>
  </w:abstractNum>
  <w:num w:numId="1">
    <w:abstractNumId w:val="15"/>
  </w:num>
  <w:num w:numId="2">
    <w:abstractNumId w:val="7"/>
  </w:num>
  <w:num w:numId="3">
    <w:abstractNumId w:val="0"/>
  </w:num>
  <w:num w:numId="4">
    <w:abstractNumId w:val="17"/>
  </w:num>
  <w:num w:numId="5">
    <w:abstractNumId w:val="8"/>
  </w:num>
  <w:num w:numId="6">
    <w:abstractNumId w:val="9"/>
  </w:num>
  <w:num w:numId="7">
    <w:abstractNumId w:val="5"/>
  </w:num>
  <w:num w:numId="8">
    <w:abstractNumId w:val="10"/>
  </w:num>
  <w:num w:numId="9">
    <w:abstractNumId w:val="4"/>
  </w:num>
  <w:num w:numId="10">
    <w:abstractNumId w:val="14"/>
  </w:num>
  <w:num w:numId="11">
    <w:abstractNumId w:val="6"/>
  </w:num>
  <w:num w:numId="12">
    <w:abstractNumId w:val="3"/>
  </w:num>
  <w:num w:numId="13">
    <w:abstractNumId w:val="16"/>
  </w:num>
  <w:num w:numId="14">
    <w:abstractNumId w:val="11"/>
  </w:num>
  <w:num w:numId="15">
    <w:abstractNumId w:val="2"/>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A034F"/>
    <w:rsid w:val="00206878"/>
    <w:rsid w:val="00267CE0"/>
    <w:rsid w:val="00590039"/>
    <w:rsid w:val="0066257D"/>
    <w:rsid w:val="00670F92"/>
    <w:rsid w:val="0074365A"/>
    <w:rsid w:val="00755494"/>
    <w:rsid w:val="008D788F"/>
    <w:rsid w:val="00984555"/>
    <w:rsid w:val="00BB4867"/>
    <w:rsid w:val="00BF4162"/>
    <w:rsid w:val="00CA0ED6"/>
    <w:rsid w:val="00D279D8"/>
    <w:rsid w:val="00DE7C5C"/>
    <w:rsid w:val="00E41A60"/>
    <w:rsid w:val="00E66502"/>
    <w:rsid w:val="00E7756A"/>
    <w:rsid w:val="010D294D"/>
    <w:rsid w:val="01AB294F"/>
    <w:rsid w:val="01AF5DD3"/>
    <w:rsid w:val="022961FA"/>
    <w:rsid w:val="022E61AD"/>
    <w:rsid w:val="0273523D"/>
    <w:rsid w:val="030C11F3"/>
    <w:rsid w:val="03264275"/>
    <w:rsid w:val="03E34342"/>
    <w:rsid w:val="044478DD"/>
    <w:rsid w:val="04966044"/>
    <w:rsid w:val="04FF0292"/>
    <w:rsid w:val="051665EA"/>
    <w:rsid w:val="054C7162"/>
    <w:rsid w:val="05DD3A01"/>
    <w:rsid w:val="062B4C6D"/>
    <w:rsid w:val="06AD5106"/>
    <w:rsid w:val="06EB064C"/>
    <w:rsid w:val="074C443D"/>
    <w:rsid w:val="07DB798D"/>
    <w:rsid w:val="07E84F72"/>
    <w:rsid w:val="08336D51"/>
    <w:rsid w:val="08A83BA2"/>
    <w:rsid w:val="094477B3"/>
    <w:rsid w:val="09601349"/>
    <w:rsid w:val="09621C86"/>
    <w:rsid w:val="099C624D"/>
    <w:rsid w:val="09E95BA9"/>
    <w:rsid w:val="0A126BCB"/>
    <w:rsid w:val="0ADB66EF"/>
    <w:rsid w:val="0B89741B"/>
    <w:rsid w:val="0BA2678F"/>
    <w:rsid w:val="0BAB088E"/>
    <w:rsid w:val="0C6955A8"/>
    <w:rsid w:val="0CB3499B"/>
    <w:rsid w:val="0D1C19EB"/>
    <w:rsid w:val="0DB40096"/>
    <w:rsid w:val="0DF753BE"/>
    <w:rsid w:val="0E64309B"/>
    <w:rsid w:val="0E9A7F6C"/>
    <w:rsid w:val="0E9B5BC3"/>
    <w:rsid w:val="0FDD37DD"/>
    <w:rsid w:val="102D2539"/>
    <w:rsid w:val="105A052C"/>
    <w:rsid w:val="10BB3C04"/>
    <w:rsid w:val="112C1EF0"/>
    <w:rsid w:val="120311AD"/>
    <w:rsid w:val="12202650"/>
    <w:rsid w:val="12B964AC"/>
    <w:rsid w:val="13115754"/>
    <w:rsid w:val="132B641A"/>
    <w:rsid w:val="13FE39EC"/>
    <w:rsid w:val="142D4818"/>
    <w:rsid w:val="144E04FA"/>
    <w:rsid w:val="147B5F91"/>
    <w:rsid w:val="149504FA"/>
    <w:rsid w:val="14A002EE"/>
    <w:rsid w:val="14F0110D"/>
    <w:rsid w:val="15FB0AB9"/>
    <w:rsid w:val="169B1161"/>
    <w:rsid w:val="16D63200"/>
    <w:rsid w:val="172D1F20"/>
    <w:rsid w:val="1769413A"/>
    <w:rsid w:val="177176CC"/>
    <w:rsid w:val="17DE155E"/>
    <w:rsid w:val="17E95BB1"/>
    <w:rsid w:val="186951F6"/>
    <w:rsid w:val="18D0584D"/>
    <w:rsid w:val="18F91828"/>
    <w:rsid w:val="190804B9"/>
    <w:rsid w:val="1913719E"/>
    <w:rsid w:val="19190301"/>
    <w:rsid w:val="192C687E"/>
    <w:rsid w:val="194F2FFE"/>
    <w:rsid w:val="1996720F"/>
    <w:rsid w:val="19D04338"/>
    <w:rsid w:val="1B770890"/>
    <w:rsid w:val="1BEB3D75"/>
    <w:rsid w:val="1CC91A43"/>
    <w:rsid w:val="1CCD5FBF"/>
    <w:rsid w:val="1D35500E"/>
    <w:rsid w:val="1D8908AC"/>
    <w:rsid w:val="1DC72AFC"/>
    <w:rsid w:val="1E9C6D8E"/>
    <w:rsid w:val="1ED76A5E"/>
    <w:rsid w:val="1F004CA4"/>
    <w:rsid w:val="1F323EA6"/>
    <w:rsid w:val="1F934C94"/>
    <w:rsid w:val="1F9724DC"/>
    <w:rsid w:val="205758C7"/>
    <w:rsid w:val="215B13C3"/>
    <w:rsid w:val="22340431"/>
    <w:rsid w:val="22535DBD"/>
    <w:rsid w:val="231C34D0"/>
    <w:rsid w:val="23DE7EC4"/>
    <w:rsid w:val="24224E0D"/>
    <w:rsid w:val="243014A9"/>
    <w:rsid w:val="246F7E58"/>
    <w:rsid w:val="248932B0"/>
    <w:rsid w:val="248B5224"/>
    <w:rsid w:val="24905389"/>
    <w:rsid w:val="25104FE6"/>
    <w:rsid w:val="256C6D1A"/>
    <w:rsid w:val="2659530B"/>
    <w:rsid w:val="27356B76"/>
    <w:rsid w:val="27675078"/>
    <w:rsid w:val="27E73F9D"/>
    <w:rsid w:val="296740D1"/>
    <w:rsid w:val="2983579F"/>
    <w:rsid w:val="298B54A3"/>
    <w:rsid w:val="29A15FE3"/>
    <w:rsid w:val="29B468C8"/>
    <w:rsid w:val="29FD0939"/>
    <w:rsid w:val="2B527937"/>
    <w:rsid w:val="2B6C4415"/>
    <w:rsid w:val="2B745413"/>
    <w:rsid w:val="2BDF3FDA"/>
    <w:rsid w:val="2C683F50"/>
    <w:rsid w:val="2CAD1024"/>
    <w:rsid w:val="2CB7662D"/>
    <w:rsid w:val="2CC94F8B"/>
    <w:rsid w:val="2D22686C"/>
    <w:rsid w:val="2D815B8B"/>
    <w:rsid w:val="2DA43945"/>
    <w:rsid w:val="2DC368BF"/>
    <w:rsid w:val="2E6C5E19"/>
    <w:rsid w:val="2EA2608B"/>
    <w:rsid w:val="2F211D71"/>
    <w:rsid w:val="310B4BA0"/>
    <w:rsid w:val="314A36D6"/>
    <w:rsid w:val="318C370E"/>
    <w:rsid w:val="31912737"/>
    <w:rsid w:val="31E841BB"/>
    <w:rsid w:val="31FA77E7"/>
    <w:rsid w:val="327A7ABF"/>
    <w:rsid w:val="32F50547"/>
    <w:rsid w:val="32F702F5"/>
    <w:rsid w:val="334A6CDC"/>
    <w:rsid w:val="33B343BB"/>
    <w:rsid w:val="35027EF6"/>
    <w:rsid w:val="350F2895"/>
    <w:rsid w:val="35160EBD"/>
    <w:rsid w:val="3551329F"/>
    <w:rsid w:val="368816A5"/>
    <w:rsid w:val="36DE32B6"/>
    <w:rsid w:val="36F75F0F"/>
    <w:rsid w:val="37031DFA"/>
    <w:rsid w:val="372B46E4"/>
    <w:rsid w:val="3757044B"/>
    <w:rsid w:val="37D42F18"/>
    <w:rsid w:val="37E05A24"/>
    <w:rsid w:val="37E336EC"/>
    <w:rsid w:val="37EB2642"/>
    <w:rsid w:val="37F40772"/>
    <w:rsid w:val="38135131"/>
    <w:rsid w:val="38646ABF"/>
    <w:rsid w:val="38950FE3"/>
    <w:rsid w:val="389D6A07"/>
    <w:rsid w:val="38E617C3"/>
    <w:rsid w:val="392A3563"/>
    <w:rsid w:val="399515EE"/>
    <w:rsid w:val="39D22CFF"/>
    <w:rsid w:val="39D61314"/>
    <w:rsid w:val="3B4347A6"/>
    <w:rsid w:val="3C263F26"/>
    <w:rsid w:val="3C571E91"/>
    <w:rsid w:val="3D007B78"/>
    <w:rsid w:val="3D492443"/>
    <w:rsid w:val="3D6D0542"/>
    <w:rsid w:val="3DB06E67"/>
    <w:rsid w:val="3DED7CD6"/>
    <w:rsid w:val="3E3C2FB3"/>
    <w:rsid w:val="3E4667A1"/>
    <w:rsid w:val="3E6921ED"/>
    <w:rsid w:val="3F913313"/>
    <w:rsid w:val="40381DD6"/>
    <w:rsid w:val="40D24E58"/>
    <w:rsid w:val="40DE72B2"/>
    <w:rsid w:val="40DF7B8A"/>
    <w:rsid w:val="411C7F02"/>
    <w:rsid w:val="4139359B"/>
    <w:rsid w:val="4171789D"/>
    <w:rsid w:val="41936FB6"/>
    <w:rsid w:val="42086406"/>
    <w:rsid w:val="421C727C"/>
    <w:rsid w:val="42707F66"/>
    <w:rsid w:val="428F0565"/>
    <w:rsid w:val="42992CB5"/>
    <w:rsid w:val="42F94677"/>
    <w:rsid w:val="43441926"/>
    <w:rsid w:val="435930AD"/>
    <w:rsid w:val="448F2855"/>
    <w:rsid w:val="44F54C6C"/>
    <w:rsid w:val="452C5C1B"/>
    <w:rsid w:val="4555169A"/>
    <w:rsid w:val="45717FE0"/>
    <w:rsid w:val="46397A91"/>
    <w:rsid w:val="46A2560A"/>
    <w:rsid w:val="47370CB4"/>
    <w:rsid w:val="47BB14E2"/>
    <w:rsid w:val="48495E99"/>
    <w:rsid w:val="48552836"/>
    <w:rsid w:val="488F19E0"/>
    <w:rsid w:val="48BC1F65"/>
    <w:rsid w:val="4A0E7EEB"/>
    <w:rsid w:val="4A1F6434"/>
    <w:rsid w:val="4A7850F2"/>
    <w:rsid w:val="4A7E2D13"/>
    <w:rsid w:val="4B186423"/>
    <w:rsid w:val="4B7862F0"/>
    <w:rsid w:val="4C152BC9"/>
    <w:rsid w:val="4C7552E1"/>
    <w:rsid w:val="4D0F4352"/>
    <w:rsid w:val="4D320506"/>
    <w:rsid w:val="4D60105B"/>
    <w:rsid w:val="4DC65748"/>
    <w:rsid w:val="4DE76E84"/>
    <w:rsid w:val="4E740786"/>
    <w:rsid w:val="4EC66A06"/>
    <w:rsid w:val="4EE00FA2"/>
    <w:rsid w:val="4F657280"/>
    <w:rsid w:val="50855B02"/>
    <w:rsid w:val="508D1EAD"/>
    <w:rsid w:val="50A21C98"/>
    <w:rsid w:val="50F10A63"/>
    <w:rsid w:val="51372F8C"/>
    <w:rsid w:val="51387AF3"/>
    <w:rsid w:val="51532ADC"/>
    <w:rsid w:val="520D1F38"/>
    <w:rsid w:val="523D3F7C"/>
    <w:rsid w:val="52A72CE8"/>
    <w:rsid w:val="52F076B3"/>
    <w:rsid w:val="53364381"/>
    <w:rsid w:val="53416DD5"/>
    <w:rsid w:val="53581038"/>
    <w:rsid w:val="53914A9E"/>
    <w:rsid w:val="53FD3114"/>
    <w:rsid w:val="54B15B1B"/>
    <w:rsid w:val="54B51CCF"/>
    <w:rsid w:val="55405F7A"/>
    <w:rsid w:val="5574183A"/>
    <w:rsid w:val="55A96E3B"/>
    <w:rsid w:val="55C64637"/>
    <w:rsid w:val="55C760C6"/>
    <w:rsid w:val="55E8289A"/>
    <w:rsid w:val="560307FB"/>
    <w:rsid w:val="560C6DF3"/>
    <w:rsid w:val="565E293E"/>
    <w:rsid w:val="56C075C3"/>
    <w:rsid w:val="57F8278E"/>
    <w:rsid w:val="587E707C"/>
    <w:rsid w:val="598267F5"/>
    <w:rsid w:val="59AC5678"/>
    <w:rsid w:val="59D505F6"/>
    <w:rsid w:val="5A7E4B6D"/>
    <w:rsid w:val="5BAB54F1"/>
    <w:rsid w:val="5BD145E4"/>
    <w:rsid w:val="5BD95361"/>
    <w:rsid w:val="5C8C5765"/>
    <w:rsid w:val="5CED1F2E"/>
    <w:rsid w:val="5D0929EA"/>
    <w:rsid w:val="5D157D83"/>
    <w:rsid w:val="5D466A50"/>
    <w:rsid w:val="5D52194E"/>
    <w:rsid w:val="5D83389A"/>
    <w:rsid w:val="5DC901CB"/>
    <w:rsid w:val="5DEA22F0"/>
    <w:rsid w:val="5DF86222"/>
    <w:rsid w:val="5E2F57CA"/>
    <w:rsid w:val="5E8D1823"/>
    <w:rsid w:val="5EC30673"/>
    <w:rsid w:val="5F416993"/>
    <w:rsid w:val="5F7C70B7"/>
    <w:rsid w:val="5F8B7743"/>
    <w:rsid w:val="5F9B012C"/>
    <w:rsid w:val="5FDC7F30"/>
    <w:rsid w:val="60280358"/>
    <w:rsid w:val="60F04C20"/>
    <w:rsid w:val="61EC3916"/>
    <w:rsid w:val="62903E6C"/>
    <w:rsid w:val="62D75147"/>
    <w:rsid w:val="62E2402B"/>
    <w:rsid w:val="63282BAB"/>
    <w:rsid w:val="632D4275"/>
    <w:rsid w:val="63644DA4"/>
    <w:rsid w:val="63950468"/>
    <w:rsid w:val="63EF7198"/>
    <w:rsid w:val="641B2E59"/>
    <w:rsid w:val="642776D6"/>
    <w:rsid w:val="64366056"/>
    <w:rsid w:val="64424CD7"/>
    <w:rsid w:val="65127164"/>
    <w:rsid w:val="653B4EB6"/>
    <w:rsid w:val="658021EB"/>
    <w:rsid w:val="65DE4CB4"/>
    <w:rsid w:val="65FD028D"/>
    <w:rsid w:val="66465988"/>
    <w:rsid w:val="66C53896"/>
    <w:rsid w:val="671967A2"/>
    <w:rsid w:val="684101B7"/>
    <w:rsid w:val="693248F3"/>
    <w:rsid w:val="694B02A3"/>
    <w:rsid w:val="69BC2461"/>
    <w:rsid w:val="69CF4BE0"/>
    <w:rsid w:val="6A170946"/>
    <w:rsid w:val="6A6D3957"/>
    <w:rsid w:val="6B0D5E40"/>
    <w:rsid w:val="6BAA5369"/>
    <w:rsid w:val="6BAE1481"/>
    <w:rsid w:val="6C320CB6"/>
    <w:rsid w:val="6C3A2107"/>
    <w:rsid w:val="6C4B3610"/>
    <w:rsid w:val="6C741647"/>
    <w:rsid w:val="6CC776E6"/>
    <w:rsid w:val="6CEF1E68"/>
    <w:rsid w:val="6D003C58"/>
    <w:rsid w:val="6D1725F3"/>
    <w:rsid w:val="6D426A0B"/>
    <w:rsid w:val="6D6B0C16"/>
    <w:rsid w:val="6D8E0BC6"/>
    <w:rsid w:val="6DDD28B7"/>
    <w:rsid w:val="6E607FD0"/>
    <w:rsid w:val="6E8668A0"/>
    <w:rsid w:val="6EA963DD"/>
    <w:rsid w:val="6EAD1A61"/>
    <w:rsid w:val="6EB66E2F"/>
    <w:rsid w:val="6F0A64FE"/>
    <w:rsid w:val="6F2C6300"/>
    <w:rsid w:val="6F517CE8"/>
    <w:rsid w:val="7150153E"/>
    <w:rsid w:val="71E033B1"/>
    <w:rsid w:val="72877679"/>
    <w:rsid w:val="73172A54"/>
    <w:rsid w:val="73502A43"/>
    <w:rsid w:val="73A256C9"/>
    <w:rsid w:val="73CC3FBC"/>
    <w:rsid w:val="73F11D97"/>
    <w:rsid w:val="74520087"/>
    <w:rsid w:val="7492474B"/>
    <w:rsid w:val="7580219D"/>
    <w:rsid w:val="758C0866"/>
    <w:rsid w:val="759A718A"/>
    <w:rsid w:val="75DA1030"/>
    <w:rsid w:val="75FE5A3D"/>
    <w:rsid w:val="76053670"/>
    <w:rsid w:val="76E01001"/>
    <w:rsid w:val="76F60A20"/>
    <w:rsid w:val="77053370"/>
    <w:rsid w:val="772D281F"/>
    <w:rsid w:val="77713832"/>
    <w:rsid w:val="77B63049"/>
    <w:rsid w:val="77CC31AF"/>
    <w:rsid w:val="780536DC"/>
    <w:rsid w:val="784F6E3E"/>
    <w:rsid w:val="78867D32"/>
    <w:rsid w:val="78880F38"/>
    <w:rsid w:val="789B3791"/>
    <w:rsid w:val="78A7576C"/>
    <w:rsid w:val="78B7789A"/>
    <w:rsid w:val="78E16EFF"/>
    <w:rsid w:val="793C5439"/>
    <w:rsid w:val="793F6E56"/>
    <w:rsid w:val="79F1184A"/>
    <w:rsid w:val="7A515ACF"/>
    <w:rsid w:val="7A65520E"/>
    <w:rsid w:val="7AF24B60"/>
    <w:rsid w:val="7B561DAC"/>
    <w:rsid w:val="7B707B4A"/>
    <w:rsid w:val="7C1A6C29"/>
    <w:rsid w:val="7CC336C6"/>
    <w:rsid w:val="7D6E4DB0"/>
    <w:rsid w:val="7DD17B61"/>
    <w:rsid w:val="7E6140FA"/>
    <w:rsid w:val="7E645E96"/>
    <w:rsid w:val="7E684A47"/>
    <w:rsid w:val="7E8D7FC0"/>
    <w:rsid w:val="7E9F7FDC"/>
    <w:rsid w:val="7F16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7"/>
    <w:qFormat/>
    <w:uiPriority w:val="0"/>
    <w:pPr>
      <w:keepNext/>
      <w:keepLines/>
      <w:spacing w:before="240" w:after="240"/>
      <w:ind w:firstLine="0" w:firstLineChars="0"/>
      <w:jc w:val="left"/>
      <w:outlineLvl w:val="0"/>
    </w:pPr>
    <w:rPr>
      <w:rFonts w:eastAsia="黑体"/>
      <w:b/>
      <w:bCs/>
      <w:kern w:val="44"/>
      <w:sz w:val="36"/>
      <w:szCs w:val="44"/>
    </w:rPr>
  </w:style>
  <w:style w:type="paragraph" w:styleId="4">
    <w:name w:val="heading 2"/>
    <w:basedOn w:val="3"/>
    <w:next w:val="1"/>
    <w:link w:val="16"/>
    <w:unhideWhenUsed/>
    <w:qFormat/>
    <w:uiPriority w:val="0"/>
    <w:pPr>
      <w:spacing w:beforeLines="50" w:afterLines="50"/>
      <w:outlineLvl w:val="1"/>
    </w:pPr>
    <w:rPr>
      <w:rFonts w:ascii="仿宋" w:hAnsi="仿宋"/>
      <w:sz w:val="32"/>
      <w:szCs w:val="32"/>
    </w:rPr>
  </w:style>
  <w:style w:type="paragraph" w:styleId="5">
    <w:name w:val="heading 3"/>
    <w:basedOn w:val="3"/>
    <w:next w:val="1"/>
    <w:unhideWhenUsed/>
    <w:qFormat/>
    <w:uiPriority w:val="0"/>
    <w:pPr>
      <w:spacing w:before="120" w:after="120"/>
      <w:ind w:firstLine="562" w:firstLineChars="200"/>
      <w:outlineLvl w:val="2"/>
    </w:pPr>
    <w:rPr>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caption"/>
    <w:basedOn w:val="1"/>
    <w:next w:val="1"/>
    <w:semiHidden/>
    <w:unhideWhenUsed/>
    <w:qFormat/>
    <w:uiPriority w:val="0"/>
    <w:rPr>
      <w:rFonts w:ascii="Arial" w:hAnsi="Arial" w:eastAsia="黑体"/>
      <w:sz w:val="20"/>
    </w:rPr>
  </w:style>
  <w:style w:type="paragraph" w:styleId="7">
    <w:name w:val="Balloon Text"/>
    <w:basedOn w:val="1"/>
    <w:link w:val="21"/>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character" w:customStyle="1" w:styleId="16">
    <w:name w:val="标题 2 Char"/>
    <w:link w:val="4"/>
    <w:qFormat/>
    <w:uiPriority w:val="0"/>
    <w:rPr>
      <w:rFonts w:ascii="仿宋" w:hAnsi="仿宋" w:eastAsia="黑体" w:cs="Times New Roman"/>
      <w:b/>
      <w:bCs/>
      <w:sz w:val="32"/>
      <w:szCs w:val="32"/>
    </w:rPr>
  </w:style>
  <w:style w:type="character" w:customStyle="1" w:styleId="17">
    <w:name w:val="标题 1 Char"/>
    <w:link w:val="3"/>
    <w:qFormat/>
    <w:uiPriority w:val="0"/>
    <w:rPr>
      <w:rFonts w:ascii="Times New Roman" w:hAnsi="Times New Roman" w:eastAsia="黑体" w:cs="Times New Roman"/>
      <w:b/>
      <w:bCs/>
      <w:kern w:val="44"/>
      <w:sz w:val="36"/>
      <w:szCs w:val="44"/>
    </w:rPr>
  </w:style>
  <w:style w:type="table" w:customStyle="1" w:styleId="18">
    <w:name w:val="网格型3"/>
    <w:basedOn w:val="12"/>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批注框文本 Char"/>
    <w:basedOn w:val="14"/>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xxdtu\Documents\WeChat%20Files\wxid_s05423n92ian21\FileStorage\File\2021-10\&#22270;&#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187206020696"/>
          <c:y val="0.0876156217882837"/>
          <c:w val="0.621825023518346"/>
          <c:h val="0.849177800616649"/>
        </c:manualLayout>
      </c:layout>
      <c:radarChart>
        <c:radarStyle val="marker"/>
        <c:varyColors val="0"/>
        <c:ser>
          <c:idx val="0"/>
          <c:order val="0"/>
          <c:tx>
            <c:strRef>
              <c:f>图4!$A$2</c:f>
              <c:strCache>
                <c:ptCount val="1"/>
                <c:pt idx="0">
                  <c:v>分值</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图4!$B$1:$E$1</c:f>
              <c:strCache>
                <c:ptCount val="4"/>
                <c:pt idx="0">
                  <c:v>决策</c:v>
                </c:pt>
                <c:pt idx="1">
                  <c:v>过程</c:v>
                </c:pt>
                <c:pt idx="2">
                  <c:v>产出</c:v>
                </c:pt>
                <c:pt idx="3">
                  <c:v>效益</c:v>
                </c:pt>
              </c:strCache>
            </c:strRef>
          </c:cat>
          <c:val>
            <c:numRef>
              <c:f>图4!$B$2:$E$2</c:f>
              <c:numCache>
                <c:formatCode>General</c:formatCode>
                <c:ptCount val="4"/>
                <c:pt idx="0">
                  <c:v>20</c:v>
                </c:pt>
                <c:pt idx="1">
                  <c:v>20</c:v>
                </c:pt>
                <c:pt idx="2">
                  <c:v>35</c:v>
                </c:pt>
                <c:pt idx="3">
                  <c:v>25</c:v>
                </c:pt>
              </c:numCache>
            </c:numRef>
          </c:val>
        </c:ser>
        <c:ser>
          <c:idx val="1"/>
          <c:order val="1"/>
          <c:tx>
            <c:strRef>
              <c:f>图4!$A$3</c:f>
              <c:strCache>
                <c:ptCount val="1"/>
                <c:pt idx="0">
                  <c:v>得分</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Lbl>
              <c:idx val="0"/>
              <c:layout>
                <c:manualLayout>
                  <c:x val="-0.0282485875706215"/>
                  <c:y val="0.07734616706772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1111111111111"/>
                  <c:y val="0.03609487796493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76647834274954"/>
                  <c:y val="-0.03609487796493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491525423729"/>
                  <c:y val="0.0025782055689240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图4!$B$1:$E$1</c:f>
              <c:strCache>
                <c:ptCount val="4"/>
                <c:pt idx="0">
                  <c:v>决策</c:v>
                </c:pt>
                <c:pt idx="1">
                  <c:v>过程</c:v>
                </c:pt>
                <c:pt idx="2">
                  <c:v>产出</c:v>
                </c:pt>
                <c:pt idx="3">
                  <c:v>效益</c:v>
                </c:pt>
              </c:strCache>
            </c:strRef>
          </c:cat>
          <c:val>
            <c:numRef>
              <c:f>图4!$B$3:$E$3</c:f>
              <c:numCache>
                <c:formatCode>General</c:formatCode>
                <c:ptCount val="4"/>
                <c:pt idx="0">
                  <c:v>20</c:v>
                </c:pt>
                <c:pt idx="1">
                  <c:v>17.84</c:v>
                </c:pt>
                <c:pt idx="2">
                  <c:v>35</c:v>
                </c:pt>
                <c:pt idx="3">
                  <c:v>25</c:v>
                </c:pt>
              </c:numCache>
            </c:numRef>
          </c:val>
        </c:ser>
        <c:dLbls>
          <c:showLegendKey val="0"/>
          <c:showVal val="1"/>
          <c:showCatName val="0"/>
          <c:showSerName val="0"/>
          <c:showPercent val="0"/>
          <c:showBubbleSize val="0"/>
        </c:dLbls>
        <c:axId val="48345088"/>
        <c:axId val="48346624"/>
      </c:radarChart>
      <c:catAx>
        <c:axId val="4834508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46624"/>
        <c:crosses val="autoZero"/>
        <c:auto val="1"/>
        <c:lblAlgn val="ctr"/>
        <c:lblOffset val="100"/>
        <c:noMultiLvlLbl val="0"/>
      </c:catAx>
      <c:valAx>
        <c:axId val="48346624"/>
        <c:scaling>
          <c:orientation val="minMax"/>
          <c:max val="4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12700" cap="rnd" cmpd="sng" algn="ctr">
            <a:gradFill>
              <a:gsLst>
                <a:gs pos="72000">
                  <a:srgbClr val="B2C7E2">
                    <a:alpha val="100000"/>
                  </a:srgbClr>
                </a:gs>
                <a:gs pos="71000">
                  <a:srgbClr val="B3C8E2">
                    <a:alpha val="100000"/>
                  </a:srgbClr>
                </a:gs>
                <a:gs pos="69000">
                  <a:srgbClr val="B5CAE3">
                    <a:alpha val="100000"/>
                  </a:srgbClr>
                </a:gs>
                <a:gs pos="64000">
                  <a:srgbClr val="B9CDE5">
                    <a:alpha val="100000"/>
                  </a:srgbClr>
                </a:gs>
                <a:gs pos="55000">
                  <a:srgbClr val="C2D3E8">
                    <a:alpha val="100000"/>
                  </a:srgbClr>
                </a:gs>
                <a:gs pos="37000">
                  <a:srgbClr val="D3E0EF">
                    <a:alpha val="100000"/>
                  </a:srgb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olid"/>
            <a:miter lim="800000"/>
            <a:headEnd type="none"/>
            <a:tailEnd type="triangle"/>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45088"/>
        <c:crosses val="autoZero"/>
        <c:crossBetween val="between"/>
        <c:majorUnit val="1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12700" cap="flat" cmpd="sng" algn="ctr">
      <a:solidFill>
        <a:schemeClr val="bg1">
          <a:lumMod val="75000"/>
          <a:alpha val="0"/>
        </a:schemeClr>
      </a:solidFill>
      <a:prstDash val="solid"/>
      <a:miter lim="800000"/>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2357</Words>
  <Characters>13438</Characters>
  <Lines>111</Lines>
  <Paragraphs>31</Paragraphs>
  <TotalTime>30</TotalTime>
  <ScaleCrop>false</ScaleCrop>
  <LinksUpToDate>false</LinksUpToDate>
  <CharactersWithSpaces>15764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JXB</dc:creator>
  <cp:lastModifiedBy>夏小小小</cp:lastModifiedBy>
  <cp:lastPrinted>2020-09-18T04:32:00Z</cp:lastPrinted>
  <dcterms:modified xsi:type="dcterms:W3CDTF">2021-11-23T01:59:37Z</dcterms:modified>
  <dc:title>项目支出绩效评价报告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6CC71047EC19431CBA700076EAC11FD4</vt:lpwstr>
  </property>
</Properties>
</file>