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2"/>
        <w:ind w:left="269"/>
        <w:rPr>
          <w:rFonts w:ascii="黑体" w:eastAsia="黑体"/>
          <w:color w:val="000000" w:themeColor="text1"/>
        </w:rPr>
      </w:pPr>
    </w:p>
    <w:p>
      <w:pPr>
        <w:pStyle w:val="3"/>
        <w:spacing w:before="4"/>
        <w:rPr>
          <w:rFonts w:ascii="黑体"/>
          <w:color w:val="000000" w:themeColor="text1"/>
          <w:sz w:val="55"/>
        </w:rPr>
      </w:pPr>
      <w:r>
        <w:rPr>
          <w:color w:val="000000" w:themeColor="text1"/>
        </w:rPr>
        <w:br w:type="column"/>
      </w:r>
    </w:p>
    <w:p>
      <w:pPr>
        <w:pStyle w:val="13"/>
        <w:ind w:left="253" w:right="2295"/>
        <w:rPr>
          <w:color w:val="000000" w:themeColor="text1"/>
        </w:rPr>
      </w:pPr>
      <w:r>
        <w:rPr>
          <w:color w:val="000000" w:themeColor="text1"/>
        </w:rPr>
        <w:t>部门（单位）整体支出绩效自评表</w:t>
      </w:r>
    </w:p>
    <w:p>
      <w:pPr>
        <w:spacing w:before="253"/>
        <w:ind w:left="253" w:right="2295"/>
        <w:jc w:val="center"/>
        <w:rPr>
          <w:rFonts w:ascii="Microsoft JhengHei" w:eastAsia="Microsoft JhengHei"/>
          <w:b/>
          <w:color w:val="000000" w:themeColor="text1"/>
          <w:sz w:val="28"/>
        </w:rPr>
      </w:pPr>
      <w:r>
        <w:rPr>
          <w:rFonts w:hint="eastAsia" w:ascii="Microsoft JhengHei" w:eastAsia="Microsoft JhengHei"/>
          <w:b/>
          <w:color w:val="000000" w:themeColor="text1"/>
          <w:sz w:val="28"/>
        </w:rPr>
        <w:t>（2021 年度）</w:t>
      </w:r>
    </w:p>
    <w:p>
      <w:pPr>
        <w:jc w:val="center"/>
        <w:rPr>
          <w:rFonts w:ascii="Microsoft JhengHei" w:eastAsia="Microsoft JhengHei"/>
          <w:color w:val="000000" w:themeColor="text1"/>
          <w:sz w:val="28"/>
        </w:rPr>
        <w:sectPr>
          <w:footerReference r:id="rId5" w:type="default"/>
          <w:pgSz w:w="11910" w:h="16840"/>
          <w:pgMar w:top="1260" w:right="340" w:bottom="1140" w:left="580" w:header="0" w:footer="1034" w:gutter="0"/>
          <w:cols w:equalWidth="0" w:num="2">
            <w:col w:w="1510" w:space="292"/>
            <w:col w:w="9188"/>
          </w:cols>
        </w:sectPr>
      </w:pPr>
    </w:p>
    <w:p>
      <w:pPr>
        <w:pStyle w:val="3"/>
        <w:spacing w:before="14"/>
        <w:rPr>
          <w:rFonts w:ascii="Microsoft JhengHei"/>
          <w:b/>
          <w:color w:val="000000" w:themeColor="text1"/>
          <w:sz w:val="3"/>
        </w:rPr>
      </w:pPr>
    </w:p>
    <w:tbl>
      <w:tblPr>
        <w:tblStyle w:val="11"/>
        <w:tblW w:w="10340"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6"/>
        <w:gridCol w:w="292"/>
        <w:gridCol w:w="319"/>
        <w:gridCol w:w="2695"/>
        <w:gridCol w:w="334"/>
        <w:gridCol w:w="847"/>
        <w:gridCol w:w="265"/>
        <w:gridCol w:w="553"/>
        <w:gridCol w:w="239"/>
        <w:gridCol w:w="1012"/>
        <w:gridCol w:w="684"/>
        <w:gridCol w:w="115"/>
        <w:gridCol w:w="620"/>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347" w:type="dxa"/>
            <w:gridSpan w:val="3"/>
            <w:vAlign w:val="center"/>
          </w:tcPr>
          <w:p>
            <w:pPr>
              <w:pStyle w:val="16"/>
              <w:spacing w:before="4" w:line="240" w:lineRule="exact"/>
              <w:ind w:left="469" w:right="250" w:hanging="21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评价部门名称</w:t>
            </w:r>
          </w:p>
        </w:tc>
        <w:tc>
          <w:tcPr>
            <w:tcW w:w="4141" w:type="dxa"/>
            <w:gridSpan w:val="4"/>
            <w:vAlign w:val="center"/>
          </w:tcPr>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南昌市青云谱区民政局</w:t>
            </w:r>
          </w:p>
        </w:tc>
        <w:tc>
          <w:tcPr>
            <w:tcW w:w="2603" w:type="dxa"/>
            <w:gridSpan w:val="5"/>
            <w:vAlign w:val="center"/>
          </w:tcPr>
          <w:p>
            <w:pPr>
              <w:pStyle w:val="16"/>
              <w:spacing w:before="106"/>
              <w:ind w:left="680"/>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下属单位个数</w:t>
            </w:r>
          </w:p>
        </w:tc>
        <w:tc>
          <w:tcPr>
            <w:tcW w:w="2249" w:type="dxa"/>
            <w:gridSpan w:val="2"/>
            <w:vAlign w:val="center"/>
          </w:tcPr>
          <w:p>
            <w:pPr>
              <w:pStyle w:val="16"/>
              <w:jc w:val="center"/>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347" w:type="dxa"/>
            <w:gridSpan w:val="3"/>
            <w:vMerge w:val="restart"/>
            <w:vAlign w:val="center"/>
          </w:tcPr>
          <w:p>
            <w:pPr>
              <w:pStyle w:val="16"/>
              <w:spacing w:before="4"/>
              <w:jc w:val="center"/>
              <w:rPr>
                <w:rFonts w:hint="eastAsia" w:ascii="黑体" w:hAnsi="黑体" w:eastAsia="黑体" w:cs="黑体"/>
                <w:b/>
                <w:color w:val="000000" w:themeColor="text1"/>
                <w:sz w:val="20"/>
                <w:szCs w:val="20"/>
                <w:lang w:eastAsia="en-US"/>
              </w:rPr>
            </w:pPr>
          </w:p>
          <w:p>
            <w:pPr>
              <w:pStyle w:val="16"/>
              <w:spacing w:line="213" w:lineRule="auto"/>
              <w:ind w:left="469" w:right="250" w:hanging="21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整体支出规模</w:t>
            </w:r>
          </w:p>
        </w:tc>
        <w:tc>
          <w:tcPr>
            <w:tcW w:w="3029" w:type="dxa"/>
            <w:gridSpan w:val="2"/>
            <w:vAlign w:val="center"/>
          </w:tcPr>
          <w:p>
            <w:pPr>
              <w:pStyle w:val="16"/>
              <w:jc w:val="center"/>
              <w:rPr>
                <w:rFonts w:hint="eastAsia" w:ascii="黑体" w:hAnsi="黑体" w:eastAsia="黑体" w:cs="黑体"/>
                <w:color w:val="000000" w:themeColor="text1"/>
                <w:sz w:val="20"/>
                <w:szCs w:val="20"/>
                <w:lang w:eastAsia="en-US"/>
              </w:rPr>
            </w:pPr>
          </w:p>
        </w:tc>
        <w:tc>
          <w:tcPr>
            <w:tcW w:w="1665" w:type="dxa"/>
            <w:gridSpan w:val="3"/>
            <w:vAlign w:val="center"/>
          </w:tcPr>
          <w:p>
            <w:pPr>
              <w:pStyle w:val="16"/>
              <w:spacing w:line="216" w:lineRule="exact"/>
              <w:ind w:left="313"/>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全年预算数</w:t>
            </w:r>
          </w:p>
        </w:tc>
        <w:tc>
          <w:tcPr>
            <w:tcW w:w="2050" w:type="dxa"/>
            <w:gridSpan w:val="4"/>
            <w:vAlign w:val="center"/>
          </w:tcPr>
          <w:p>
            <w:pPr>
              <w:pStyle w:val="16"/>
              <w:spacing w:line="216" w:lineRule="exact"/>
              <w:ind w:left="507"/>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全年执行数</w:t>
            </w:r>
          </w:p>
        </w:tc>
        <w:tc>
          <w:tcPr>
            <w:tcW w:w="2249" w:type="dxa"/>
            <w:gridSpan w:val="2"/>
            <w:vAlign w:val="center"/>
          </w:tcPr>
          <w:p>
            <w:pPr>
              <w:pStyle w:val="16"/>
              <w:spacing w:line="216" w:lineRule="exact"/>
              <w:ind w:left="796" w:right="790"/>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347" w:type="dxa"/>
            <w:gridSpan w:val="3"/>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3029" w:type="dxa"/>
            <w:gridSpan w:val="2"/>
            <w:vAlign w:val="center"/>
          </w:tcPr>
          <w:p>
            <w:pPr>
              <w:pStyle w:val="16"/>
              <w:spacing w:before="21"/>
              <w:ind w:left="317"/>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资金来源：（1）财政拨款</w:t>
            </w:r>
          </w:p>
        </w:tc>
        <w:tc>
          <w:tcPr>
            <w:tcW w:w="1665"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8590.04</w:t>
            </w:r>
          </w:p>
        </w:tc>
        <w:tc>
          <w:tcPr>
            <w:tcW w:w="2050" w:type="dxa"/>
            <w:gridSpan w:val="4"/>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10649.76</w:t>
            </w:r>
          </w:p>
        </w:tc>
        <w:tc>
          <w:tcPr>
            <w:tcW w:w="2249"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123.98%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347" w:type="dxa"/>
            <w:gridSpan w:val="3"/>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3029" w:type="dxa"/>
            <w:gridSpan w:val="2"/>
            <w:vAlign w:val="center"/>
          </w:tcPr>
          <w:p>
            <w:pPr>
              <w:pStyle w:val="16"/>
              <w:spacing w:line="220" w:lineRule="exact"/>
              <w:ind w:left="843"/>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（2）其他资金</w:t>
            </w:r>
          </w:p>
        </w:tc>
        <w:tc>
          <w:tcPr>
            <w:tcW w:w="1665" w:type="dxa"/>
            <w:gridSpan w:val="3"/>
            <w:vAlign w:val="center"/>
          </w:tcPr>
          <w:p>
            <w:pPr>
              <w:widowControl w:val="0"/>
              <w:autoSpaceDE w:val="0"/>
              <w:autoSpaceDN w:val="0"/>
              <w:jc w:val="center"/>
              <w:rPr>
                <w:rFonts w:hint="eastAsia" w:ascii="黑体" w:hAnsi="黑体" w:eastAsia="黑体" w:cs="黑体"/>
                <w:color w:val="000000" w:themeColor="text1"/>
                <w:sz w:val="20"/>
                <w:szCs w:val="20"/>
                <w:lang w:eastAsia="en-US"/>
              </w:rPr>
            </w:pPr>
          </w:p>
        </w:tc>
        <w:tc>
          <w:tcPr>
            <w:tcW w:w="2050" w:type="dxa"/>
            <w:gridSpan w:val="4"/>
            <w:vAlign w:val="center"/>
          </w:tcPr>
          <w:p>
            <w:pPr>
              <w:widowControl w:val="0"/>
              <w:autoSpaceDE w:val="0"/>
              <w:autoSpaceDN w:val="0"/>
              <w:jc w:val="center"/>
              <w:rPr>
                <w:rFonts w:hint="eastAsia" w:ascii="黑体" w:hAnsi="黑体" w:eastAsia="黑体" w:cs="黑体"/>
                <w:color w:val="000000" w:themeColor="text1"/>
                <w:sz w:val="20"/>
                <w:szCs w:val="20"/>
                <w:lang w:eastAsia="en-US"/>
              </w:rPr>
            </w:pPr>
          </w:p>
        </w:tc>
        <w:tc>
          <w:tcPr>
            <w:tcW w:w="2249" w:type="dxa"/>
            <w:gridSpan w:val="2"/>
            <w:vAlign w:val="center"/>
          </w:tcPr>
          <w:p>
            <w:pPr>
              <w:widowControl w:val="0"/>
              <w:autoSpaceDE w:val="0"/>
              <w:autoSpaceDN w:val="0"/>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347" w:type="dxa"/>
            <w:gridSpan w:val="3"/>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3029" w:type="dxa"/>
            <w:gridSpan w:val="2"/>
            <w:vAlign w:val="center"/>
          </w:tcPr>
          <w:p>
            <w:pPr>
              <w:pStyle w:val="16"/>
              <w:spacing w:line="234" w:lineRule="exact"/>
              <w:ind w:left="317"/>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资金结构：（1）基本支出</w:t>
            </w:r>
          </w:p>
        </w:tc>
        <w:tc>
          <w:tcPr>
            <w:tcW w:w="1665"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 xml:space="preserve">230.29 </w:t>
            </w:r>
          </w:p>
        </w:tc>
        <w:tc>
          <w:tcPr>
            <w:tcW w:w="2050" w:type="dxa"/>
            <w:gridSpan w:val="4"/>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 xml:space="preserve">5376.54 </w:t>
            </w:r>
          </w:p>
        </w:tc>
        <w:tc>
          <w:tcPr>
            <w:tcW w:w="2249"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2334.68%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347" w:type="dxa"/>
            <w:gridSpan w:val="3"/>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3029" w:type="dxa"/>
            <w:gridSpan w:val="2"/>
            <w:vAlign w:val="center"/>
          </w:tcPr>
          <w:p>
            <w:pPr>
              <w:pStyle w:val="16"/>
              <w:spacing w:line="220" w:lineRule="exact"/>
              <w:ind w:left="843"/>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（2）项目支出</w:t>
            </w:r>
          </w:p>
        </w:tc>
        <w:tc>
          <w:tcPr>
            <w:tcW w:w="1665"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 xml:space="preserve">8359.75 </w:t>
            </w:r>
          </w:p>
        </w:tc>
        <w:tc>
          <w:tcPr>
            <w:tcW w:w="2050" w:type="dxa"/>
            <w:gridSpan w:val="4"/>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 xml:space="preserve">5273.22 </w:t>
            </w:r>
          </w:p>
        </w:tc>
        <w:tc>
          <w:tcPr>
            <w:tcW w:w="2249"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63.08%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1028" w:type="dxa"/>
            <w:gridSpan w:val="2"/>
            <w:vMerge w:val="restart"/>
            <w:vAlign w:val="center"/>
          </w:tcPr>
          <w:p>
            <w:pPr>
              <w:pStyle w:val="16"/>
              <w:spacing w:before="7" w:line="240" w:lineRule="exact"/>
              <w:ind w:left="203" w:right="191"/>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年度总体目标</w:t>
            </w:r>
          </w:p>
        </w:tc>
        <w:tc>
          <w:tcPr>
            <w:tcW w:w="4460" w:type="dxa"/>
            <w:gridSpan w:val="5"/>
            <w:vAlign w:val="center"/>
          </w:tcPr>
          <w:p>
            <w:pPr>
              <w:pStyle w:val="16"/>
              <w:spacing w:line="220" w:lineRule="exact"/>
              <w:ind w:left="1596" w:right="158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年初设定目标</w:t>
            </w:r>
          </w:p>
        </w:tc>
        <w:tc>
          <w:tcPr>
            <w:tcW w:w="4852" w:type="dxa"/>
            <w:gridSpan w:val="7"/>
            <w:vAlign w:val="center"/>
          </w:tcPr>
          <w:p>
            <w:pPr>
              <w:pStyle w:val="16"/>
              <w:spacing w:line="220" w:lineRule="exact"/>
              <w:ind w:left="1792" w:right="1787"/>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全年完成情况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2" w:hRule="atLeast"/>
        </w:trPr>
        <w:tc>
          <w:tcPr>
            <w:tcW w:w="1028" w:type="dxa"/>
            <w:gridSpan w:val="2"/>
            <w:vMerge w:val="continue"/>
            <w:tcBorders>
              <w:top w:val="nil"/>
            </w:tcBorders>
          </w:tcPr>
          <w:p>
            <w:pPr>
              <w:widowControl w:val="0"/>
              <w:autoSpaceDE w:val="0"/>
              <w:autoSpaceDN w:val="0"/>
              <w:spacing w:after="0"/>
              <w:rPr>
                <w:rFonts w:hint="eastAsia" w:ascii="黑体" w:hAnsi="黑体" w:eastAsia="黑体" w:cs="黑体"/>
                <w:color w:val="000000" w:themeColor="text1"/>
                <w:sz w:val="20"/>
                <w:szCs w:val="20"/>
                <w:lang w:eastAsia="en-US"/>
              </w:rPr>
            </w:pPr>
          </w:p>
        </w:tc>
        <w:tc>
          <w:tcPr>
            <w:tcW w:w="4460" w:type="dxa"/>
            <w:gridSpan w:val="5"/>
          </w:tcPr>
          <w:p>
            <w:pPr>
              <w:pStyle w:val="16"/>
              <w:ind w:firstLine="400" w:firstLineChars="200"/>
              <w:rPr>
                <w:rFonts w:hint="eastAsia" w:ascii="黑体" w:hAnsi="黑体" w:eastAsia="黑体" w:cs="黑体"/>
                <w:color w:val="000000" w:themeColor="text1"/>
                <w:sz w:val="20"/>
                <w:szCs w:val="20"/>
                <w:lang w:eastAsia="en-US"/>
              </w:rPr>
            </w:pPr>
          </w:p>
          <w:p>
            <w:pPr>
              <w:pStyle w:val="16"/>
              <w:ind w:firstLine="400" w:firstLineChars="200"/>
              <w:rPr>
                <w:rFonts w:hint="eastAsia" w:ascii="黑体" w:hAnsi="黑体" w:eastAsia="黑体" w:cs="黑体"/>
                <w:color w:val="000000" w:themeColor="text1"/>
                <w:sz w:val="20"/>
                <w:szCs w:val="20"/>
                <w:lang w:eastAsia="en-US"/>
              </w:rPr>
            </w:pPr>
          </w:p>
          <w:p>
            <w:pPr>
              <w:pStyle w:val="16"/>
              <w:ind w:firstLine="400" w:firstLineChars="200"/>
              <w:rPr>
                <w:rFonts w:hint="eastAsia" w:ascii="黑体" w:hAnsi="黑体" w:eastAsia="黑体" w:cs="黑体"/>
                <w:color w:val="000000" w:themeColor="text1"/>
                <w:sz w:val="20"/>
                <w:szCs w:val="20"/>
                <w:lang w:eastAsia="en-US"/>
              </w:rPr>
            </w:pPr>
          </w:p>
          <w:p>
            <w:pPr>
              <w:pStyle w:val="16"/>
              <w:ind w:firstLine="400" w:firstLineChars="200"/>
              <w:rPr>
                <w:rFonts w:hint="eastAsia" w:ascii="黑体" w:hAnsi="黑体" w:eastAsia="黑体" w:cs="黑体"/>
                <w:color w:val="000000" w:themeColor="text1"/>
                <w:sz w:val="20"/>
                <w:szCs w:val="20"/>
                <w:lang w:eastAsia="en-US"/>
              </w:rPr>
            </w:pPr>
          </w:p>
          <w:p>
            <w:pPr>
              <w:pStyle w:val="16"/>
              <w:ind w:firstLine="400" w:firstLineChars="200"/>
              <w:rPr>
                <w:rFonts w:hint="eastAsia" w:ascii="黑体" w:hAnsi="黑体" w:eastAsia="黑体" w:cs="黑体"/>
                <w:color w:val="000000" w:themeColor="text1"/>
                <w:sz w:val="20"/>
                <w:szCs w:val="20"/>
                <w:lang w:eastAsia="en-US"/>
              </w:rPr>
            </w:pPr>
          </w:p>
          <w:p>
            <w:pPr>
              <w:pStyle w:val="16"/>
              <w:ind w:firstLine="400" w:firstLineChars="200"/>
              <w:rPr>
                <w:rFonts w:hint="eastAsia" w:ascii="黑体" w:hAnsi="黑体" w:eastAsia="黑体" w:cs="黑体"/>
                <w:color w:val="000000" w:themeColor="text1"/>
                <w:sz w:val="20"/>
                <w:szCs w:val="20"/>
                <w:lang w:eastAsia="en-US"/>
              </w:rPr>
            </w:pPr>
          </w:p>
          <w:p>
            <w:pPr>
              <w:pStyle w:val="16"/>
              <w:ind w:firstLine="400" w:firstLineChars="200"/>
              <w:rPr>
                <w:rFonts w:hint="eastAsia" w:ascii="黑体" w:hAnsi="黑体" w:eastAsia="黑体" w:cs="黑体"/>
                <w:color w:val="000000" w:themeColor="text1"/>
                <w:sz w:val="20"/>
                <w:szCs w:val="20"/>
                <w:lang w:eastAsia="en-US"/>
              </w:rPr>
            </w:pPr>
          </w:p>
          <w:p>
            <w:pPr>
              <w:pStyle w:val="16"/>
              <w:ind w:firstLine="400" w:firstLineChars="200"/>
              <w:rPr>
                <w:rFonts w:hint="eastAsia" w:ascii="黑体" w:hAnsi="黑体" w:eastAsia="黑体" w:cs="黑体"/>
                <w:color w:val="000000" w:themeColor="text1"/>
                <w:sz w:val="20"/>
                <w:szCs w:val="20"/>
                <w:lang w:eastAsia="en-US"/>
              </w:rPr>
            </w:pPr>
          </w:p>
          <w:p>
            <w:pPr>
              <w:pStyle w:val="16"/>
              <w:ind w:firstLine="400" w:firstLineChars="200"/>
              <w:rPr>
                <w:rFonts w:hint="eastAsia" w:ascii="黑体" w:hAnsi="黑体" w:eastAsia="黑体" w:cs="黑体"/>
                <w:color w:val="000000" w:themeColor="text1"/>
                <w:sz w:val="20"/>
                <w:szCs w:val="20"/>
                <w:lang w:eastAsia="en-US"/>
              </w:rPr>
            </w:pPr>
          </w:p>
          <w:p>
            <w:pPr>
              <w:pStyle w:val="16"/>
              <w:ind w:firstLine="400" w:firstLineChars="200"/>
              <w:rPr>
                <w:rFonts w:hint="eastAsia" w:ascii="黑体" w:hAnsi="黑体" w:eastAsia="黑体" w:cs="黑体"/>
                <w:color w:val="000000" w:themeColor="text1"/>
                <w:sz w:val="20"/>
                <w:szCs w:val="20"/>
                <w:lang w:eastAsia="en-US"/>
              </w:rPr>
            </w:pPr>
          </w:p>
          <w:p>
            <w:pPr>
              <w:pStyle w:val="16"/>
              <w:ind w:firstLine="400" w:firstLineChars="200"/>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深入贯彻落实党的十九大、十九届六中全会精神，聚焦脱贫攻坚，聚焦特殊群体，聚焦群众关切，更好履行基本民生保障、基层社会治理、基本社会服务等职责，扎实推进社会救助、养老服务、社区建设、社会事务等工作，努力提升民政公共服务水平。</w:t>
            </w:r>
          </w:p>
        </w:tc>
        <w:tc>
          <w:tcPr>
            <w:tcW w:w="4852" w:type="dxa"/>
            <w:gridSpan w:val="7"/>
          </w:tcPr>
          <w:p>
            <w:pPr>
              <w:pStyle w:val="16"/>
              <w:jc w:val="center"/>
              <w:rPr>
                <w:rFonts w:hint="eastAsia" w:ascii="黑体" w:hAnsi="黑体" w:eastAsia="黑体" w:cs="黑体"/>
                <w:color w:val="000000" w:themeColor="text1"/>
                <w:sz w:val="20"/>
                <w:szCs w:val="20"/>
                <w:lang w:eastAsia="en-US"/>
              </w:rPr>
            </w:pPr>
          </w:p>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1、社会救助工作。一是按时完成低保提标工作。二是按时完成特困供养金提标和特困护理补助提标工作。三是发挥好临时救助的“基本生活保障”、“应急”和“化解矛盾”的功能。四是完善“七彩虹”帮扶长效机制。五是扎实开展服务类社会救助改革试点工作。2、基层政权建设。一是社区邻里中心建设工程。二是完成“两委”换届选举任务。三是“两委”干部培训。四是指导村规民约（居民公约）的制定。五是开展“江西最美城乡社区工作者”评选活动。六是完成2021年省级“绿色社区 美丽家园”创建现场考核工作。七是出台《青云谱区大力推动社区(村)民政服务元素融合提升社区(村)治理水平的实施意见》。3、社会组织管理。一是指导社会组织党组织进行“三化”建设。二是开展打击非法社会组织宣传。三是加大社区社会组织培育扶持力度。四是通过党建引领，引导社工和社会组织全面渗透到文明创建、社会治理等中心工作。4、养老福利工作。一是确保高龄老人、残疾人等优待政策落实到位。二是整合多方资源，加快推进居家养老站点和养老院建设。三是开展居家养老服务工作。四是开展了全市养老领域风险防范交叉排查工作。5、社会事务工作。一是对销售封建迷信等违规殡葬用品的商户进行宣传教育，对无照经营、占道经营等非法经营行为予以取缔。二是办理结婚登记。三是举办未成年人保护服务专题培训班和“童心向党，礼赞百年”关爱困境儿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0340" w:type="dxa"/>
            <w:gridSpan w:val="14"/>
          </w:tcPr>
          <w:p>
            <w:pPr>
              <w:pStyle w:val="16"/>
              <w:spacing w:line="220" w:lineRule="exact"/>
              <w:ind w:left="4559" w:right="45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分解目标自评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736" w:type="dxa"/>
            <w:vAlign w:val="center"/>
          </w:tcPr>
          <w:p>
            <w:pPr>
              <w:pStyle w:val="16"/>
              <w:spacing w:before="8" w:line="240" w:lineRule="exact"/>
              <w:ind w:left="160" w:right="1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一级指标</w:t>
            </w:r>
          </w:p>
        </w:tc>
        <w:tc>
          <w:tcPr>
            <w:tcW w:w="611" w:type="dxa"/>
            <w:gridSpan w:val="2"/>
            <w:vAlign w:val="center"/>
          </w:tcPr>
          <w:p>
            <w:pPr>
              <w:pStyle w:val="16"/>
              <w:spacing w:before="8" w:line="240" w:lineRule="exact"/>
              <w:ind w:left="202" w:right="193"/>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权重</w:t>
            </w:r>
          </w:p>
        </w:tc>
        <w:tc>
          <w:tcPr>
            <w:tcW w:w="2695" w:type="dxa"/>
            <w:vAlign w:val="center"/>
          </w:tcPr>
          <w:p>
            <w:pPr>
              <w:pStyle w:val="16"/>
              <w:spacing w:before="110"/>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二级指标</w:t>
            </w:r>
          </w:p>
        </w:tc>
        <w:tc>
          <w:tcPr>
            <w:tcW w:w="1181" w:type="dxa"/>
            <w:gridSpan w:val="2"/>
            <w:vAlign w:val="center"/>
          </w:tcPr>
          <w:p>
            <w:pPr>
              <w:pStyle w:val="16"/>
              <w:spacing w:before="110"/>
              <w:ind w:left="174"/>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三级指标</w:t>
            </w:r>
          </w:p>
        </w:tc>
        <w:tc>
          <w:tcPr>
            <w:tcW w:w="1057" w:type="dxa"/>
            <w:gridSpan w:val="3"/>
            <w:vAlign w:val="center"/>
          </w:tcPr>
          <w:p>
            <w:pPr>
              <w:pStyle w:val="16"/>
              <w:spacing w:before="8" w:line="240" w:lineRule="exact"/>
              <w:ind w:left="427" w:right="102" w:hanging="315"/>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年度指标值</w:t>
            </w:r>
          </w:p>
        </w:tc>
        <w:tc>
          <w:tcPr>
            <w:tcW w:w="1012" w:type="dxa"/>
            <w:vAlign w:val="center"/>
          </w:tcPr>
          <w:p>
            <w:pPr>
              <w:pStyle w:val="16"/>
              <w:spacing w:before="8" w:line="240" w:lineRule="exact"/>
              <w:ind w:left="300" w:right="185" w:hanging="10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全年完成值</w:t>
            </w:r>
          </w:p>
        </w:tc>
        <w:tc>
          <w:tcPr>
            <w:tcW w:w="684" w:type="dxa"/>
            <w:vAlign w:val="center"/>
          </w:tcPr>
          <w:p>
            <w:pPr>
              <w:pStyle w:val="16"/>
              <w:spacing w:before="110"/>
              <w:ind w:left="170" w:right="165"/>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分值</w:t>
            </w:r>
          </w:p>
        </w:tc>
        <w:tc>
          <w:tcPr>
            <w:tcW w:w="735" w:type="dxa"/>
            <w:gridSpan w:val="2"/>
            <w:vAlign w:val="center"/>
          </w:tcPr>
          <w:p>
            <w:pPr>
              <w:pStyle w:val="16"/>
              <w:spacing w:before="110"/>
              <w:ind w:left="171"/>
              <w:jc w:val="left"/>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得分</w:t>
            </w:r>
          </w:p>
        </w:tc>
        <w:tc>
          <w:tcPr>
            <w:tcW w:w="1629" w:type="dxa"/>
            <w:vAlign w:val="center"/>
          </w:tcPr>
          <w:p>
            <w:pPr>
              <w:pStyle w:val="16"/>
              <w:spacing w:before="8" w:line="240" w:lineRule="exact"/>
              <w:ind w:right="11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val="en-US" w:eastAsia="zh-CN"/>
              </w:rPr>
              <w:t xml:space="preserve"> </w:t>
            </w:r>
            <w:r>
              <w:rPr>
                <w:rFonts w:hint="eastAsia" w:ascii="黑体" w:hAnsi="黑体" w:eastAsia="黑体" w:cs="黑体"/>
                <w:color w:val="000000" w:themeColor="text1"/>
                <w:sz w:val="20"/>
                <w:szCs w:val="20"/>
                <w:lang w:eastAsia="en-US"/>
              </w:rPr>
              <w:t>偏差及原因分析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36" w:type="dxa"/>
            <w:vMerge w:val="restart"/>
            <w:vAlign w:val="center"/>
          </w:tcPr>
          <w:p>
            <w:pPr>
              <w:pStyle w:val="16"/>
              <w:jc w:val="center"/>
              <w:rPr>
                <w:rFonts w:hint="eastAsia" w:ascii="黑体" w:hAnsi="黑体" w:eastAsia="黑体" w:cs="黑体"/>
                <w:b/>
                <w:color w:val="000000" w:themeColor="text1"/>
                <w:sz w:val="20"/>
                <w:szCs w:val="20"/>
                <w:lang w:eastAsia="en-US"/>
              </w:rPr>
            </w:pPr>
          </w:p>
          <w:p>
            <w:pPr>
              <w:pStyle w:val="16"/>
              <w:jc w:val="center"/>
              <w:rPr>
                <w:rFonts w:hint="eastAsia" w:ascii="黑体" w:hAnsi="黑体" w:eastAsia="黑体" w:cs="黑体"/>
                <w:b/>
                <w:color w:val="000000" w:themeColor="text1"/>
                <w:sz w:val="20"/>
                <w:szCs w:val="20"/>
                <w:lang w:eastAsia="en-US"/>
              </w:rPr>
            </w:pPr>
          </w:p>
          <w:p>
            <w:pPr>
              <w:pStyle w:val="16"/>
              <w:spacing w:before="10"/>
              <w:jc w:val="center"/>
              <w:rPr>
                <w:rFonts w:hint="eastAsia" w:ascii="黑体" w:hAnsi="黑体" w:eastAsia="黑体" w:cs="黑体"/>
                <w:b/>
                <w:color w:val="000000" w:themeColor="text1"/>
                <w:sz w:val="20"/>
                <w:szCs w:val="20"/>
                <w:lang w:eastAsia="en-US"/>
              </w:rPr>
            </w:pPr>
          </w:p>
          <w:p>
            <w:pPr>
              <w:pStyle w:val="16"/>
              <w:spacing w:before="1" w:line="213" w:lineRule="auto"/>
              <w:ind w:left="160" w:right="1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管理指标</w:t>
            </w:r>
          </w:p>
        </w:tc>
        <w:tc>
          <w:tcPr>
            <w:tcW w:w="611" w:type="dxa"/>
            <w:gridSpan w:val="2"/>
            <w:vMerge w:val="restart"/>
            <w:vAlign w:val="center"/>
          </w:tcPr>
          <w:p>
            <w:pPr>
              <w:pStyle w:val="16"/>
              <w:jc w:val="both"/>
              <w:rPr>
                <w:rFonts w:hint="eastAsia" w:ascii="黑体" w:hAnsi="黑体" w:eastAsia="黑体" w:cs="黑体"/>
                <w:b/>
                <w:color w:val="000000" w:themeColor="text1"/>
                <w:sz w:val="20"/>
                <w:szCs w:val="20"/>
                <w:lang w:eastAsia="en-US"/>
              </w:rPr>
            </w:pPr>
          </w:p>
          <w:p>
            <w:pPr>
              <w:pStyle w:val="16"/>
              <w:jc w:val="both"/>
              <w:rPr>
                <w:rFonts w:hint="eastAsia" w:ascii="黑体" w:hAnsi="黑体" w:eastAsia="黑体" w:cs="黑体"/>
                <w:b/>
                <w:color w:val="000000" w:themeColor="text1"/>
                <w:sz w:val="20"/>
                <w:szCs w:val="20"/>
                <w:lang w:eastAsia="en-US"/>
              </w:rPr>
            </w:pPr>
          </w:p>
          <w:p>
            <w:pPr>
              <w:pStyle w:val="16"/>
              <w:spacing w:before="15"/>
              <w:jc w:val="both"/>
              <w:rPr>
                <w:rFonts w:hint="eastAsia" w:ascii="黑体" w:hAnsi="黑体" w:eastAsia="黑体" w:cs="黑体"/>
                <w:b/>
                <w:color w:val="000000" w:themeColor="text1"/>
                <w:sz w:val="20"/>
                <w:szCs w:val="20"/>
                <w:lang w:eastAsia="en-US"/>
              </w:rPr>
            </w:pPr>
          </w:p>
          <w:p>
            <w:pPr>
              <w:pStyle w:val="16"/>
              <w:spacing w:before="1"/>
              <w:ind w:left="202"/>
              <w:jc w:val="both"/>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30</w:t>
            </w:r>
          </w:p>
        </w:tc>
        <w:tc>
          <w:tcPr>
            <w:tcW w:w="2695" w:type="dxa"/>
            <w:vMerge w:val="restart"/>
            <w:vAlign w:val="center"/>
          </w:tcPr>
          <w:p>
            <w:pPr>
              <w:pStyle w:val="16"/>
              <w:spacing w:before="45"/>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预算编审管理</w:t>
            </w:r>
          </w:p>
        </w:tc>
        <w:tc>
          <w:tcPr>
            <w:tcW w:w="1181" w:type="dxa"/>
            <w:gridSpan w:val="2"/>
            <w:vAlign w:val="center"/>
          </w:tcPr>
          <w:p>
            <w:pPr>
              <w:pStyle w:val="16"/>
              <w:spacing w:line="220" w:lineRule="exact"/>
              <w:jc w:val="both"/>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任务1：预算编制完整性</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预算编制是否完整、齐全，数据是否有错</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预算编制完整、齐全，数据无误</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36" w:type="dxa"/>
            <w:vMerge w:val="continue"/>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rPr>
            </w:pPr>
          </w:p>
        </w:tc>
        <w:tc>
          <w:tcPr>
            <w:tcW w:w="2695" w:type="dxa"/>
            <w:vMerge w:val="continue"/>
            <w:vAlign w:val="center"/>
          </w:tcPr>
          <w:p>
            <w:pPr>
              <w:pStyle w:val="16"/>
              <w:jc w:val="center"/>
              <w:rPr>
                <w:rFonts w:hint="eastAsia" w:ascii="黑体" w:hAnsi="黑体" w:eastAsia="黑体" w:cs="黑体"/>
                <w:color w:val="000000" w:themeColor="text1"/>
                <w:sz w:val="20"/>
                <w:szCs w:val="20"/>
              </w:rPr>
            </w:pPr>
          </w:p>
        </w:tc>
        <w:tc>
          <w:tcPr>
            <w:tcW w:w="1181" w:type="dxa"/>
            <w:gridSpan w:val="2"/>
            <w:vAlign w:val="center"/>
          </w:tcPr>
          <w:p>
            <w:pPr>
              <w:pStyle w:val="16"/>
              <w:jc w:val="both"/>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任务2：预算编制准确性</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预算编列预算科目是否准确、细化</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预算编列预算科目准确、细化</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736"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lang w:eastAsia="en-US"/>
              </w:rPr>
            </w:pPr>
          </w:p>
        </w:tc>
        <w:tc>
          <w:tcPr>
            <w:tcW w:w="2695"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1181" w:type="dxa"/>
            <w:gridSpan w:val="2"/>
            <w:vAlign w:val="center"/>
          </w:tcPr>
          <w:p>
            <w:pPr>
              <w:pStyle w:val="16"/>
              <w:jc w:val="both"/>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任务3：绩效目标管理</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预算绩效目标编制的规范性、合理性，以及覆盖率</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预算绩效目标编制规范合理，全面覆盖</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Merge w:val="restart"/>
            <w:vAlign w:val="center"/>
          </w:tcPr>
          <w:p>
            <w:pPr>
              <w:pStyle w:val="16"/>
              <w:spacing w:before="44"/>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预算执行管理</w:t>
            </w:r>
          </w:p>
        </w:tc>
        <w:tc>
          <w:tcPr>
            <w:tcW w:w="1181" w:type="dxa"/>
            <w:gridSpan w:val="2"/>
            <w:tcBorders>
              <w:top w:val="nil"/>
            </w:tcBorders>
            <w:vAlign w:val="center"/>
          </w:tcPr>
          <w:p>
            <w:pPr>
              <w:pStyle w:val="16"/>
              <w:spacing w:line="220" w:lineRule="exact"/>
              <w:jc w:val="both"/>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任务1：预算完成率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w:t>
            </w:r>
            <w:r>
              <w:rPr>
                <w:rStyle w:val="18"/>
                <w:rFonts w:hint="eastAsia" w:ascii="黑体" w:hAnsi="黑体" w:eastAsia="黑体" w:cs="黑体"/>
                <w:color w:val="000000" w:themeColor="text1"/>
                <w:sz w:val="20"/>
                <w:szCs w:val="20"/>
                <w:lang w:val="en-US" w:eastAsia="zh-CN" w:bidi="ar"/>
              </w:rPr>
              <w:t>95%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123.98%</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2</w:t>
            </w:r>
          </w:p>
        </w:tc>
        <w:tc>
          <w:tcPr>
            <w:tcW w:w="1629" w:type="dxa"/>
            <w:vAlign w:val="center"/>
          </w:tcPr>
          <w:p>
            <w:pPr>
              <w:pStyle w:val="16"/>
              <w:jc w:val="center"/>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为更好开展工作，政府加大了投入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36" w:type="dxa"/>
            <w:vMerge w:val="continue"/>
            <w:tcBorders>
              <w:top w:val="nil"/>
            </w:tcBorders>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tcBorders>
              <w:top w:val="nil"/>
            </w:tcBorders>
            <w:vAlign w:val="center"/>
          </w:tcPr>
          <w:p>
            <w:pPr>
              <w:pStyle w:val="16"/>
              <w:jc w:val="both"/>
              <w:rPr>
                <w:rFonts w:hint="eastAsia" w:ascii="黑体" w:hAnsi="黑体" w:eastAsia="黑体" w:cs="黑体"/>
                <w:color w:val="000000" w:themeColor="text1"/>
                <w:sz w:val="20"/>
                <w:szCs w:val="20"/>
              </w:rPr>
            </w:pPr>
          </w:p>
        </w:tc>
        <w:tc>
          <w:tcPr>
            <w:tcW w:w="2695" w:type="dxa"/>
            <w:vMerge w:val="continue"/>
            <w:vAlign w:val="center"/>
          </w:tcPr>
          <w:p>
            <w:pPr>
              <w:pStyle w:val="16"/>
              <w:jc w:val="center"/>
              <w:rPr>
                <w:rFonts w:hint="eastAsia" w:ascii="黑体" w:hAnsi="黑体" w:eastAsia="黑体" w:cs="黑体"/>
                <w:color w:val="000000" w:themeColor="text1"/>
                <w:sz w:val="20"/>
                <w:szCs w:val="20"/>
              </w:rPr>
            </w:pPr>
          </w:p>
        </w:tc>
        <w:tc>
          <w:tcPr>
            <w:tcW w:w="1181" w:type="dxa"/>
            <w:gridSpan w:val="2"/>
            <w:tcBorders>
              <w:top w:val="nil"/>
            </w:tcBorders>
            <w:vAlign w:val="center"/>
          </w:tcPr>
          <w:p>
            <w:pPr>
              <w:pStyle w:val="16"/>
              <w:jc w:val="both"/>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任务2：支付进度率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736" w:type="dxa"/>
            <w:vMerge w:val="continue"/>
            <w:tcBorders>
              <w:top w:val="nil"/>
            </w:tcBorders>
            <w:vAlign w:val="center"/>
          </w:tcPr>
          <w:p>
            <w:pPr>
              <w:pStyle w:val="16"/>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pStyle w:val="16"/>
              <w:jc w:val="both"/>
              <w:rPr>
                <w:rFonts w:hint="eastAsia" w:ascii="黑体" w:hAnsi="黑体" w:eastAsia="黑体" w:cs="黑体"/>
                <w:color w:val="000000" w:themeColor="text1"/>
                <w:sz w:val="20"/>
                <w:szCs w:val="20"/>
                <w:lang w:eastAsia="en-US"/>
              </w:rPr>
            </w:pPr>
          </w:p>
        </w:tc>
        <w:tc>
          <w:tcPr>
            <w:tcW w:w="2695"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1181" w:type="dxa"/>
            <w:gridSpan w:val="2"/>
            <w:tcBorders>
              <w:top w:val="nil"/>
            </w:tcBorders>
            <w:vAlign w:val="center"/>
          </w:tcPr>
          <w:p>
            <w:pPr>
              <w:pStyle w:val="16"/>
              <w:jc w:val="both"/>
              <w:rPr>
                <w:rFonts w:hint="eastAsia" w:ascii="黑体" w:hAnsi="黑体" w:eastAsia="黑体" w:cs="黑体"/>
                <w:color w:val="000000" w:themeColor="text1"/>
                <w:sz w:val="20"/>
                <w:szCs w:val="20"/>
                <w:lang w:val="en-US" w:eastAsia="zh-CN"/>
              </w:rPr>
            </w:pPr>
            <w:r>
              <w:rPr>
                <w:rFonts w:hint="eastAsia" w:ascii="黑体" w:hAnsi="黑体" w:eastAsia="黑体" w:cs="黑体"/>
                <w:color w:val="000000" w:themeColor="text1"/>
                <w:sz w:val="20"/>
                <w:szCs w:val="20"/>
                <w:lang w:val="en-US" w:eastAsia="zh-CN"/>
              </w:rPr>
              <w:t>任务3：公用经费控制率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144.29%</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1629" w:type="dxa"/>
            <w:vAlign w:val="center"/>
          </w:tcPr>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为做好工作，</w:t>
            </w:r>
            <w:r>
              <w:rPr>
                <w:rFonts w:hint="eastAsia" w:ascii="黑体" w:hAnsi="黑体" w:eastAsia="黑体" w:cs="黑体"/>
                <w:color w:val="000000" w:themeColor="text1"/>
                <w:sz w:val="20"/>
                <w:szCs w:val="20"/>
                <w:lang w:val="en-US" w:eastAsia="zh-CN"/>
              </w:rPr>
              <w:t>加强了</w:t>
            </w:r>
            <w:r>
              <w:rPr>
                <w:rFonts w:hint="eastAsia" w:ascii="黑体" w:hAnsi="黑体" w:eastAsia="黑体" w:cs="黑体"/>
                <w:color w:val="000000" w:themeColor="text1"/>
                <w:sz w:val="20"/>
                <w:szCs w:val="20"/>
                <w:lang w:eastAsia="en-US"/>
              </w:rPr>
              <w:t>日常宣传活动开展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6" w:type="dxa"/>
            <w:vMerge w:val="continue"/>
            <w:tcBorders>
              <w:top w:val="nil"/>
            </w:tcBorders>
            <w:vAlign w:val="center"/>
          </w:tcPr>
          <w:p>
            <w:pPr>
              <w:pStyle w:val="16"/>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pStyle w:val="16"/>
              <w:jc w:val="both"/>
              <w:rPr>
                <w:rFonts w:hint="eastAsia" w:ascii="黑体" w:hAnsi="黑体" w:eastAsia="黑体" w:cs="黑体"/>
                <w:color w:val="000000" w:themeColor="text1"/>
                <w:sz w:val="20"/>
                <w:szCs w:val="20"/>
                <w:lang w:eastAsia="en-US"/>
              </w:rPr>
            </w:pPr>
          </w:p>
        </w:tc>
        <w:tc>
          <w:tcPr>
            <w:tcW w:w="2695"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1181" w:type="dxa"/>
            <w:gridSpan w:val="2"/>
            <w:tcBorders>
              <w:top w:val="nil"/>
            </w:tcBorders>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val="en-US" w:eastAsia="zh-CN"/>
              </w:rPr>
            </w:pPr>
            <w:r>
              <w:rPr>
                <w:rFonts w:hint="eastAsia" w:ascii="黑体" w:hAnsi="黑体" w:eastAsia="黑体" w:cs="黑体"/>
                <w:i w:val="0"/>
                <w:color w:val="000000" w:themeColor="text1"/>
                <w:kern w:val="0"/>
                <w:sz w:val="20"/>
                <w:szCs w:val="20"/>
                <w:u w:val="none"/>
                <w:lang w:val="en-US" w:eastAsia="zh-CN" w:bidi="ar"/>
              </w:rPr>
              <w:t>三公经费控制率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25.22%</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1</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1</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Align w:val="center"/>
          </w:tcPr>
          <w:p>
            <w:pPr>
              <w:pStyle w:val="16"/>
              <w:spacing w:before="44"/>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部门结转结余资金管理</w:t>
            </w:r>
          </w:p>
        </w:tc>
        <w:tc>
          <w:tcPr>
            <w:tcW w:w="1181" w:type="dxa"/>
            <w:gridSpan w:val="2"/>
            <w:tcBorders>
              <w:top w:val="nil"/>
            </w:tcBorders>
            <w:vAlign w:val="center"/>
          </w:tcPr>
          <w:p>
            <w:pPr>
              <w:pStyle w:val="16"/>
              <w:spacing w:line="220" w:lineRule="exact"/>
              <w:jc w:val="both"/>
              <w:rPr>
                <w:rFonts w:hint="eastAsia" w:ascii="黑体" w:hAnsi="黑体" w:eastAsia="黑体" w:cs="黑体"/>
                <w:color w:val="000000" w:themeColor="text1"/>
                <w:sz w:val="20"/>
                <w:szCs w:val="20"/>
                <w:lang w:eastAsia="zh-CN"/>
              </w:rPr>
            </w:pPr>
            <w:r>
              <w:rPr>
                <w:rFonts w:hint="eastAsia" w:ascii="黑体" w:hAnsi="黑体" w:eastAsia="黑体" w:cs="黑体"/>
                <w:color w:val="000000" w:themeColor="text1"/>
                <w:sz w:val="20"/>
                <w:szCs w:val="20"/>
                <w:lang w:val="en-US" w:eastAsia="zh-CN"/>
              </w:rPr>
              <w:t>任务1：结转结余率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0.00%</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Merge w:val="restart"/>
            <w:vAlign w:val="center"/>
          </w:tcPr>
          <w:p>
            <w:pPr>
              <w:pStyle w:val="16"/>
              <w:spacing w:before="46"/>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预决算信息公开管理</w:t>
            </w:r>
          </w:p>
        </w:tc>
        <w:tc>
          <w:tcPr>
            <w:tcW w:w="1181" w:type="dxa"/>
            <w:gridSpan w:val="2"/>
            <w:tcBorders>
              <w:top w:val="nil"/>
            </w:tcBorders>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任务1：预决算信息公开性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是否按照规定内容及时限公开预决算信息</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及时按照要求公开</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36" w:type="dxa"/>
            <w:vMerge w:val="continue"/>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rPr>
            </w:pPr>
          </w:p>
        </w:tc>
        <w:tc>
          <w:tcPr>
            <w:tcW w:w="2695" w:type="dxa"/>
            <w:vMerge w:val="continue"/>
            <w:vAlign w:val="center"/>
          </w:tcPr>
          <w:p>
            <w:pPr>
              <w:pStyle w:val="16"/>
              <w:jc w:val="center"/>
              <w:rPr>
                <w:rFonts w:hint="eastAsia" w:ascii="黑体" w:hAnsi="黑体" w:eastAsia="黑体" w:cs="黑体"/>
                <w:color w:val="000000" w:themeColor="text1"/>
                <w:sz w:val="20"/>
                <w:szCs w:val="20"/>
              </w:rPr>
            </w:pPr>
          </w:p>
        </w:tc>
        <w:tc>
          <w:tcPr>
            <w:tcW w:w="1181" w:type="dxa"/>
            <w:gridSpan w:val="2"/>
            <w:tcBorders>
              <w:top w:val="nil"/>
            </w:tcBorders>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任务2：基础信息完善性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基础数据信息是否真实、完整、准确</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真实、完整、准确</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Merge w:val="restart"/>
            <w:vAlign w:val="center"/>
          </w:tcPr>
          <w:p>
            <w:pPr>
              <w:pStyle w:val="16"/>
              <w:spacing w:before="45"/>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部门预算管理</w:t>
            </w:r>
          </w:p>
        </w:tc>
        <w:tc>
          <w:tcPr>
            <w:tcW w:w="1181" w:type="dxa"/>
            <w:gridSpan w:val="2"/>
            <w:tcBorders>
              <w:top w:val="nil"/>
            </w:tcBorders>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任务1：在职人员控制率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59.26%</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736" w:type="dxa"/>
            <w:vMerge w:val="continue"/>
            <w:tcBorders>
              <w:top w:val="nil"/>
            </w:tcBorders>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tcBorders>
              <w:top w:val="nil"/>
            </w:tcBorders>
            <w:vAlign w:val="center"/>
          </w:tcPr>
          <w:p>
            <w:pPr>
              <w:pStyle w:val="16"/>
              <w:jc w:val="both"/>
              <w:rPr>
                <w:rFonts w:hint="eastAsia" w:ascii="黑体" w:hAnsi="黑体" w:eastAsia="黑体" w:cs="黑体"/>
                <w:color w:val="000000" w:themeColor="text1"/>
                <w:sz w:val="20"/>
                <w:szCs w:val="20"/>
              </w:rPr>
            </w:pPr>
          </w:p>
        </w:tc>
        <w:tc>
          <w:tcPr>
            <w:tcW w:w="2695" w:type="dxa"/>
            <w:vMerge w:val="continue"/>
            <w:vAlign w:val="center"/>
          </w:tcPr>
          <w:p>
            <w:pPr>
              <w:pStyle w:val="16"/>
              <w:jc w:val="center"/>
              <w:rPr>
                <w:rFonts w:hint="eastAsia" w:ascii="黑体" w:hAnsi="黑体" w:eastAsia="黑体" w:cs="黑体"/>
                <w:color w:val="000000" w:themeColor="text1"/>
                <w:sz w:val="20"/>
                <w:szCs w:val="20"/>
              </w:rPr>
            </w:pPr>
          </w:p>
        </w:tc>
        <w:tc>
          <w:tcPr>
            <w:tcW w:w="1181" w:type="dxa"/>
            <w:gridSpan w:val="2"/>
            <w:tcBorders>
              <w:top w:val="nil"/>
            </w:tcBorders>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任务2：管理制度健全性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会计相关管理制度是否健全完整</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制度健全</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736"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lang w:eastAsia="en-US"/>
              </w:rPr>
            </w:pPr>
          </w:p>
        </w:tc>
        <w:tc>
          <w:tcPr>
            <w:tcW w:w="2695"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1181" w:type="dxa"/>
            <w:gridSpan w:val="2"/>
            <w:tcBorders>
              <w:top w:val="nil"/>
            </w:tcBorders>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任务3：资金使用合规性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使用预算资金是否符合相关的预算财务管理制度的规定</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符合</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Align w:val="center"/>
          </w:tcPr>
          <w:p>
            <w:pPr>
              <w:pStyle w:val="16"/>
              <w:spacing w:before="45"/>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政府采购管理</w:t>
            </w:r>
          </w:p>
        </w:tc>
        <w:tc>
          <w:tcPr>
            <w:tcW w:w="1181" w:type="dxa"/>
            <w:gridSpan w:val="2"/>
            <w:tcBorders>
              <w:top w:val="nil"/>
            </w:tcBorders>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任务1：政府采购执行率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100.00%</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Merge w:val="restart"/>
            <w:vAlign w:val="center"/>
          </w:tcPr>
          <w:p>
            <w:pPr>
              <w:pStyle w:val="16"/>
              <w:spacing w:before="45"/>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资产管理</w:t>
            </w:r>
          </w:p>
        </w:tc>
        <w:tc>
          <w:tcPr>
            <w:tcW w:w="1181" w:type="dxa"/>
            <w:gridSpan w:val="2"/>
            <w:tcBorders>
              <w:top w:val="nil"/>
            </w:tcBorders>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任务1：管理制度健全性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资产管理制度是否健全</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制度健全</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2</w:t>
            </w:r>
          </w:p>
        </w:tc>
        <w:tc>
          <w:tcPr>
            <w:tcW w:w="1629" w:type="dxa"/>
            <w:vAlign w:val="center"/>
          </w:tcPr>
          <w:p>
            <w:pPr>
              <w:pStyle w:val="16"/>
              <w:jc w:val="center"/>
              <w:rPr>
                <w:rFonts w:hint="eastAsia" w:ascii="黑体" w:hAnsi="黑体" w:eastAsia="黑体" w:cs="黑体"/>
                <w:color w:val="000000" w:themeColor="text1"/>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5" w:hRule="atLeast"/>
        </w:trPr>
        <w:tc>
          <w:tcPr>
            <w:tcW w:w="736" w:type="dxa"/>
            <w:vMerge w:val="continue"/>
            <w:tcBorders>
              <w:top w:val="nil"/>
            </w:tcBorders>
            <w:vAlign w:val="center"/>
          </w:tcPr>
          <w:p>
            <w:pPr>
              <w:pStyle w:val="16"/>
              <w:jc w:val="center"/>
              <w:rPr>
                <w:rFonts w:hint="eastAsia" w:ascii="黑体" w:hAnsi="黑体" w:eastAsia="黑体" w:cs="黑体"/>
                <w:color w:val="000000" w:themeColor="text1"/>
                <w:sz w:val="20"/>
                <w:szCs w:val="20"/>
              </w:rPr>
            </w:pPr>
          </w:p>
        </w:tc>
        <w:tc>
          <w:tcPr>
            <w:tcW w:w="611" w:type="dxa"/>
            <w:gridSpan w:val="2"/>
            <w:vMerge w:val="continue"/>
            <w:tcBorders>
              <w:top w:val="nil"/>
            </w:tcBorders>
            <w:vAlign w:val="center"/>
          </w:tcPr>
          <w:p>
            <w:pPr>
              <w:pStyle w:val="16"/>
              <w:jc w:val="both"/>
              <w:rPr>
                <w:rFonts w:hint="eastAsia" w:ascii="黑体" w:hAnsi="黑体" w:eastAsia="黑体" w:cs="黑体"/>
                <w:color w:val="000000" w:themeColor="text1"/>
                <w:sz w:val="20"/>
                <w:szCs w:val="20"/>
              </w:rPr>
            </w:pPr>
          </w:p>
        </w:tc>
        <w:tc>
          <w:tcPr>
            <w:tcW w:w="2695" w:type="dxa"/>
            <w:vMerge w:val="continue"/>
            <w:vAlign w:val="center"/>
          </w:tcPr>
          <w:p>
            <w:pPr>
              <w:pStyle w:val="16"/>
              <w:jc w:val="center"/>
              <w:rPr>
                <w:rFonts w:hint="eastAsia" w:ascii="黑体" w:hAnsi="黑体" w:eastAsia="黑体" w:cs="黑体"/>
                <w:color w:val="000000" w:themeColor="text1"/>
                <w:sz w:val="20"/>
                <w:szCs w:val="20"/>
              </w:rPr>
            </w:pPr>
          </w:p>
        </w:tc>
        <w:tc>
          <w:tcPr>
            <w:tcW w:w="1181" w:type="dxa"/>
            <w:gridSpan w:val="2"/>
            <w:tcBorders>
              <w:top w:val="nil"/>
            </w:tcBorders>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任务2：资产管理安全性</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资产是否保存完整、使用合规、配置合理、处置规范、收入及时足额上缴</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资产保管安全合理合规</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6"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pStyle w:val="16"/>
              <w:jc w:val="both"/>
              <w:rPr>
                <w:rFonts w:hint="eastAsia" w:ascii="黑体" w:hAnsi="黑体" w:eastAsia="黑体" w:cs="黑体"/>
                <w:color w:val="000000" w:themeColor="text1"/>
                <w:sz w:val="20"/>
                <w:szCs w:val="20"/>
                <w:lang w:eastAsia="en-US"/>
              </w:rPr>
            </w:pPr>
          </w:p>
        </w:tc>
        <w:tc>
          <w:tcPr>
            <w:tcW w:w="2695" w:type="dxa"/>
            <w:vMerge w:val="continue"/>
            <w:vAlign w:val="center"/>
          </w:tcPr>
          <w:p>
            <w:pPr>
              <w:pStyle w:val="16"/>
              <w:jc w:val="center"/>
              <w:rPr>
                <w:rFonts w:hint="eastAsia" w:ascii="黑体" w:hAnsi="黑体" w:eastAsia="黑体" w:cs="黑体"/>
                <w:color w:val="000000" w:themeColor="text1"/>
                <w:sz w:val="20"/>
                <w:szCs w:val="20"/>
                <w:lang w:eastAsia="en-US"/>
              </w:rPr>
            </w:pPr>
          </w:p>
        </w:tc>
        <w:tc>
          <w:tcPr>
            <w:tcW w:w="1181" w:type="dxa"/>
            <w:gridSpan w:val="2"/>
            <w:tcBorders>
              <w:top w:val="nil"/>
            </w:tcBorders>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任务3：固定资产利用率</w:t>
            </w:r>
          </w:p>
        </w:tc>
        <w:tc>
          <w:tcPr>
            <w:tcW w:w="1057" w:type="dxa"/>
            <w:gridSpan w:val="3"/>
            <w:tcBorders>
              <w:top w:val="nil"/>
            </w:tcBorders>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≥95%</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96%</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36" w:type="dxa"/>
            <w:vMerge w:val="restart"/>
            <w:vAlign w:val="center"/>
          </w:tcPr>
          <w:p>
            <w:pPr>
              <w:pStyle w:val="16"/>
              <w:jc w:val="center"/>
              <w:rPr>
                <w:rFonts w:hint="eastAsia" w:ascii="黑体" w:hAnsi="黑体" w:eastAsia="黑体" w:cs="黑体"/>
                <w:b/>
                <w:color w:val="000000" w:themeColor="text1"/>
                <w:sz w:val="20"/>
                <w:szCs w:val="20"/>
                <w:lang w:eastAsia="en-US"/>
              </w:rPr>
            </w:pPr>
          </w:p>
          <w:p>
            <w:pPr>
              <w:pStyle w:val="16"/>
              <w:jc w:val="center"/>
              <w:rPr>
                <w:rFonts w:hint="eastAsia" w:ascii="黑体" w:hAnsi="黑体" w:eastAsia="黑体" w:cs="黑体"/>
                <w:b/>
                <w:color w:val="000000" w:themeColor="text1"/>
                <w:sz w:val="20"/>
                <w:szCs w:val="20"/>
                <w:lang w:eastAsia="en-US"/>
              </w:rPr>
            </w:pPr>
          </w:p>
          <w:p>
            <w:pPr>
              <w:pStyle w:val="16"/>
              <w:spacing w:before="1"/>
              <w:jc w:val="center"/>
              <w:rPr>
                <w:rFonts w:hint="eastAsia" w:ascii="黑体" w:hAnsi="黑体" w:eastAsia="黑体" w:cs="黑体"/>
                <w:b/>
                <w:color w:val="000000" w:themeColor="text1"/>
                <w:sz w:val="20"/>
                <w:szCs w:val="20"/>
                <w:lang w:eastAsia="en-US"/>
              </w:rPr>
            </w:pPr>
          </w:p>
          <w:p>
            <w:pPr>
              <w:pStyle w:val="16"/>
              <w:spacing w:line="213" w:lineRule="auto"/>
              <w:ind w:left="160" w:right="1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产出指标</w:t>
            </w:r>
          </w:p>
        </w:tc>
        <w:tc>
          <w:tcPr>
            <w:tcW w:w="611" w:type="dxa"/>
            <w:gridSpan w:val="2"/>
            <w:vMerge w:val="restart"/>
            <w:vAlign w:val="center"/>
          </w:tcPr>
          <w:p>
            <w:pPr>
              <w:pStyle w:val="16"/>
              <w:jc w:val="both"/>
              <w:rPr>
                <w:rFonts w:hint="eastAsia" w:ascii="黑体" w:hAnsi="黑体" w:eastAsia="黑体" w:cs="黑体"/>
                <w:b/>
                <w:color w:val="000000" w:themeColor="text1"/>
                <w:sz w:val="20"/>
                <w:szCs w:val="20"/>
                <w:lang w:eastAsia="en-US"/>
              </w:rPr>
            </w:pPr>
          </w:p>
          <w:p>
            <w:pPr>
              <w:pStyle w:val="16"/>
              <w:jc w:val="both"/>
              <w:rPr>
                <w:rFonts w:hint="eastAsia" w:ascii="黑体" w:hAnsi="黑体" w:eastAsia="黑体" w:cs="黑体"/>
                <w:b/>
                <w:color w:val="000000" w:themeColor="text1"/>
                <w:sz w:val="20"/>
                <w:szCs w:val="20"/>
                <w:lang w:eastAsia="en-US"/>
              </w:rPr>
            </w:pPr>
          </w:p>
          <w:p>
            <w:pPr>
              <w:pStyle w:val="16"/>
              <w:spacing w:before="6"/>
              <w:jc w:val="both"/>
              <w:rPr>
                <w:rFonts w:hint="eastAsia" w:ascii="黑体" w:hAnsi="黑体" w:eastAsia="黑体" w:cs="黑体"/>
                <w:b/>
                <w:color w:val="000000" w:themeColor="text1"/>
                <w:sz w:val="20"/>
                <w:szCs w:val="20"/>
                <w:lang w:eastAsia="en-US"/>
              </w:rPr>
            </w:pPr>
          </w:p>
          <w:p>
            <w:pPr>
              <w:pStyle w:val="16"/>
              <w:ind w:left="202"/>
              <w:jc w:val="both"/>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25</w:t>
            </w:r>
          </w:p>
        </w:tc>
        <w:tc>
          <w:tcPr>
            <w:tcW w:w="2695" w:type="dxa"/>
            <w:vMerge w:val="restart"/>
            <w:vAlign w:val="center"/>
          </w:tcPr>
          <w:p>
            <w:pPr>
              <w:pStyle w:val="16"/>
              <w:spacing w:before="13"/>
              <w:jc w:val="center"/>
              <w:rPr>
                <w:rFonts w:hint="eastAsia" w:ascii="黑体" w:hAnsi="黑体" w:eastAsia="黑体" w:cs="黑体"/>
                <w:b/>
                <w:color w:val="000000" w:themeColor="text1"/>
                <w:sz w:val="20"/>
                <w:szCs w:val="20"/>
                <w:lang w:eastAsia="en-US"/>
              </w:rPr>
            </w:pPr>
          </w:p>
          <w:p>
            <w:pPr>
              <w:pStyle w:val="16"/>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数量指标</w:t>
            </w: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任务1：审批通过城镇特困供养对象人数</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≥100人</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103人</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4</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4</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36" w:type="dxa"/>
            <w:vMerge w:val="continue"/>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任务2：实施临时救助因病因灾困难群众人次</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≥150人次</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407人次</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4</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4</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736" w:type="dxa"/>
            <w:vMerge w:val="continue"/>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Merge w:val="restart"/>
            <w:vAlign w:val="center"/>
          </w:tcPr>
          <w:p>
            <w:pPr>
              <w:pStyle w:val="16"/>
              <w:spacing w:before="14"/>
              <w:jc w:val="center"/>
              <w:rPr>
                <w:rFonts w:hint="eastAsia" w:ascii="黑体" w:hAnsi="黑体" w:eastAsia="黑体" w:cs="黑体"/>
                <w:b/>
                <w:color w:val="000000" w:themeColor="text1"/>
                <w:sz w:val="20"/>
                <w:szCs w:val="20"/>
                <w:lang w:eastAsia="en-US"/>
              </w:rPr>
            </w:pPr>
          </w:p>
          <w:p>
            <w:pPr>
              <w:pStyle w:val="16"/>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质量指标</w:t>
            </w: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任务1：基层建设和“三化”建设完成上级下达的该年任务</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4</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4</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36" w:type="dxa"/>
            <w:vMerge w:val="continue"/>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任务2：整治区内“三沿六区”整治率</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99%</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4</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4</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5" w:hRule="atLeast"/>
        </w:trPr>
        <w:tc>
          <w:tcPr>
            <w:tcW w:w="736" w:type="dxa"/>
            <w:vMerge w:val="continue"/>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Merge w:val="restart"/>
            <w:vAlign w:val="center"/>
          </w:tcPr>
          <w:p>
            <w:pPr>
              <w:pStyle w:val="16"/>
              <w:spacing w:before="13"/>
              <w:jc w:val="center"/>
              <w:rPr>
                <w:rFonts w:hint="eastAsia" w:ascii="黑体" w:hAnsi="黑体" w:eastAsia="黑体" w:cs="黑体"/>
                <w:b/>
                <w:color w:val="000000" w:themeColor="text1"/>
                <w:sz w:val="20"/>
                <w:szCs w:val="20"/>
                <w:lang w:eastAsia="en-US"/>
              </w:rPr>
            </w:pPr>
          </w:p>
          <w:p>
            <w:pPr>
              <w:pStyle w:val="16"/>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时效指标</w:t>
            </w: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任务1：各类救助资金当月审批发放，各项救助金准确及时发放到困难群众手中</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及时</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及时</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736" w:type="dxa"/>
            <w:vMerge w:val="continue"/>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Merge w:val="continue"/>
            <w:vAlign w:val="center"/>
          </w:tcPr>
          <w:p>
            <w:pPr>
              <w:pStyle w:val="16"/>
              <w:ind w:left="285" w:right="279"/>
              <w:jc w:val="center"/>
              <w:rPr>
                <w:rFonts w:hint="eastAsia" w:ascii="黑体" w:hAnsi="黑体" w:eastAsia="黑体" w:cs="黑体"/>
                <w:color w:val="000000" w:themeColor="text1"/>
                <w:sz w:val="20"/>
                <w:szCs w:val="20"/>
                <w:lang w:eastAsia="en-US"/>
              </w:rPr>
            </w:pP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任务2：临时救助更加救急化</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及时</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及时</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4</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4</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5" w:hRule="atLeast"/>
        </w:trPr>
        <w:tc>
          <w:tcPr>
            <w:tcW w:w="736" w:type="dxa"/>
            <w:vMerge w:val="restart"/>
            <w:vAlign w:val="center"/>
          </w:tcPr>
          <w:p>
            <w:pPr>
              <w:pStyle w:val="16"/>
              <w:spacing w:before="13"/>
              <w:jc w:val="center"/>
              <w:rPr>
                <w:rFonts w:hint="eastAsia" w:ascii="黑体" w:hAnsi="黑体" w:eastAsia="黑体" w:cs="黑体"/>
                <w:b/>
                <w:color w:val="000000" w:themeColor="text1"/>
                <w:sz w:val="20"/>
                <w:szCs w:val="20"/>
                <w:lang w:eastAsia="en-US"/>
              </w:rPr>
            </w:pPr>
          </w:p>
          <w:p>
            <w:pPr>
              <w:pStyle w:val="16"/>
              <w:spacing w:line="213" w:lineRule="auto"/>
              <w:ind w:left="160" w:right="1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效果指标</w:t>
            </w:r>
          </w:p>
        </w:tc>
        <w:tc>
          <w:tcPr>
            <w:tcW w:w="611" w:type="dxa"/>
            <w:gridSpan w:val="2"/>
            <w:vMerge w:val="restart"/>
            <w:vAlign w:val="center"/>
          </w:tcPr>
          <w:p>
            <w:pPr>
              <w:pStyle w:val="16"/>
              <w:spacing w:before="18"/>
              <w:jc w:val="both"/>
              <w:rPr>
                <w:rFonts w:hint="eastAsia" w:ascii="黑体" w:hAnsi="黑体" w:eastAsia="黑体" w:cs="黑体"/>
                <w:b/>
                <w:color w:val="000000" w:themeColor="text1"/>
                <w:sz w:val="20"/>
                <w:szCs w:val="20"/>
                <w:lang w:eastAsia="en-US"/>
              </w:rPr>
            </w:pPr>
          </w:p>
          <w:p>
            <w:pPr>
              <w:pStyle w:val="16"/>
              <w:ind w:left="202"/>
              <w:jc w:val="both"/>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35</w:t>
            </w:r>
          </w:p>
        </w:tc>
        <w:tc>
          <w:tcPr>
            <w:tcW w:w="2695" w:type="dxa"/>
            <w:vAlign w:val="center"/>
          </w:tcPr>
          <w:p>
            <w:pPr>
              <w:pStyle w:val="16"/>
              <w:spacing w:before="6" w:line="256" w:lineRule="exact"/>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经济效益指标</w:t>
            </w: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任务1：部门（单位）履行职责对经济发展所带来的直接或间接影响:</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是否带来经济效益</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否</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5</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0</w:t>
            </w:r>
          </w:p>
        </w:tc>
        <w:tc>
          <w:tcPr>
            <w:tcW w:w="1629" w:type="dxa"/>
            <w:vAlign w:val="center"/>
          </w:tcPr>
          <w:p>
            <w:pPr>
              <w:pStyle w:val="16"/>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不产生经济效益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Align w:val="center"/>
          </w:tcPr>
          <w:p>
            <w:pPr>
              <w:pStyle w:val="16"/>
              <w:spacing w:before="6" w:line="256" w:lineRule="exact"/>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社会效益指标</w:t>
            </w: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任务1：推进居家站点建设，提升养老服务水平:</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提升养老服务水平</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稳步提升</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w:t>
            </w:r>
          </w:p>
        </w:tc>
        <w:tc>
          <w:tcPr>
            <w:tcW w:w="1629" w:type="dxa"/>
            <w:vAlign w:val="center"/>
          </w:tcPr>
          <w:p>
            <w:pPr>
              <w:pStyle w:val="16"/>
              <w:jc w:val="both"/>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Align w:val="center"/>
          </w:tcPr>
          <w:p>
            <w:pPr>
              <w:pStyle w:val="16"/>
              <w:spacing w:before="23"/>
              <w:ind w:left="287"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生态效益指标</w:t>
            </w: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任务1：新增坟墓和骨灰装棺再葬现象</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无此现象</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无此现象</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36" w:type="dxa"/>
            <w:vMerge w:val="continue"/>
            <w:tcBorders>
              <w:top w:val="nil"/>
            </w:tcBorders>
            <w:vAlign w:val="center"/>
          </w:tcPr>
          <w:p>
            <w:pPr>
              <w:widowControl w:val="0"/>
              <w:autoSpaceDE w:val="0"/>
              <w:autoSpaceDN w:val="0"/>
              <w:spacing w:after="0"/>
              <w:jc w:val="center"/>
              <w:rPr>
                <w:rFonts w:hint="eastAsia" w:ascii="黑体" w:hAnsi="黑体" w:eastAsia="黑体" w:cs="黑体"/>
                <w:color w:val="000000" w:themeColor="text1"/>
                <w:sz w:val="20"/>
                <w:szCs w:val="20"/>
                <w:lang w:eastAsia="en-US"/>
              </w:rPr>
            </w:pPr>
          </w:p>
        </w:tc>
        <w:tc>
          <w:tcPr>
            <w:tcW w:w="611" w:type="dxa"/>
            <w:gridSpan w:val="2"/>
            <w:vMerge w:val="continue"/>
            <w:tcBorders>
              <w:top w:val="nil"/>
            </w:tcBorders>
            <w:vAlign w:val="center"/>
          </w:tcPr>
          <w:p>
            <w:pPr>
              <w:widowControl w:val="0"/>
              <w:autoSpaceDE w:val="0"/>
              <w:autoSpaceDN w:val="0"/>
              <w:spacing w:after="0"/>
              <w:jc w:val="both"/>
              <w:rPr>
                <w:rFonts w:hint="eastAsia" w:ascii="黑体" w:hAnsi="黑体" w:eastAsia="黑体" w:cs="黑体"/>
                <w:color w:val="000000" w:themeColor="text1"/>
                <w:sz w:val="20"/>
                <w:szCs w:val="20"/>
                <w:lang w:eastAsia="en-US"/>
              </w:rPr>
            </w:pPr>
          </w:p>
        </w:tc>
        <w:tc>
          <w:tcPr>
            <w:tcW w:w="2695"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可持续影响指标</w:t>
            </w: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任务1：工作的可持续性</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100%</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w:t>
            </w:r>
          </w:p>
        </w:tc>
        <w:tc>
          <w:tcPr>
            <w:tcW w:w="1629" w:type="dxa"/>
            <w:vAlign w:val="center"/>
          </w:tcPr>
          <w:p>
            <w:pPr>
              <w:pStyle w:val="16"/>
              <w:jc w:val="center"/>
              <w:rPr>
                <w:rFonts w:hint="eastAsia" w:ascii="黑体" w:hAnsi="黑体" w:eastAsia="黑体" w:cs="黑体"/>
                <w:color w:val="000000" w:themeColor="text1"/>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736" w:type="dxa"/>
            <w:vAlign w:val="center"/>
          </w:tcPr>
          <w:p>
            <w:pPr>
              <w:pStyle w:val="16"/>
              <w:spacing w:before="3" w:line="240" w:lineRule="exact"/>
              <w:ind w:left="160" w:right="152"/>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满意度指标</w:t>
            </w:r>
          </w:p>
        </w:tc>
        <w:tc>
          <w:tcPr>
            <w:tcW w:w="611" w:type="dxa"/>
            <w:gridSpan w:val="2"/>
            <w:vAlign w:val="center"/>
          </w:tcPr>
          <w:p>
            <w:pPr>
              <w:pStyle w:val="16"/>
              <w:spacing w:before="4"/>
              <w:jc w:val="both"/>
              <w:rPr>
                <w:rFonts w:hint="eastAsia" w:ascii="黑体" w:hAnsi="黑体" w:eastAsia="黑体" w:cs="黑体"/>
                <w:b/>
                <w:color w:val="000000" w:themeColor="text1"/>
                <w:sz w:val="20"/>
                <w:szCs w:val="20"/>
                <w:lang w:eastAsia="en-US"/>
              </w:rPr>
            </w:pPr>
          </w:p>
          <w:p>
            <w:pPr>
              <w:pStyle w:val="16"/>
              <w:ind w:left="202"/>
              <w:jc w:val="both"/>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10</w:t>
            </w:r>
          </w:p>
        </w:tc>
        <w:tc>
          <w:tcPr>
            <w:tcW w:w="2695" w:type="dxa"/>
            <w:vAlign w:val="center"/>
          </w:tcPr>
          <w:p>
            <w:pPr>
              <w:pStyle w:val="16"/>
              <w:spacing w:before="4"/>
              <w:jc w:val="center"/>
              <w:rPr>
                <w:rFonts w:hint="eastAsia" w:ascii="黑体" w:hAnsi="黑体" w:eastAsia="黑体" w:cs="黑体"/>
                <w:b/>
                <w:color w:val="000000" w:themeColor="text1"/>
                <w:sz w:val="20"/>
                <w:szCs w:val="20"/>
                <w:lang w:eastAsia="en-US"/>
              </w:rPr>
            </w:pPr>
          </w:p>
          <w:p>
            <w:pPr>
              <w:pStyle w:val="16"/>
              <w:ind w:left="285" w:right="279"/>
              <w:jc w:val="center"/>
              <w:rPr>
                <w:rFonts w:hint="eastAsia" w:ascii="黑体" w:hAnsi="黑体" w:eastAsia="黑体" w:cs="黑体"/>
                <w:color w:val="000000" w:themeColor="text1"/>
                <w:sz w:val="20"/>
                <w:szCs w:val="20"/>
                <w:lang w:eastAsia="en-US"/>
              </w:rPr>
            </w:pPr>
            <w:r>
              <w:rPr>
                <w:rFonts w:hint="eastAsia" w:ascii="黑体" w:hAnsi="黑体" w:eastAsia="黑体" w:cs="黑体"/>
                <w:color w:val="000000" w:themeColor="text1"/>
                <w:sz w:val="20"/>
                <w:szCs w:val="20"/>
                <w:lang w:eastAsia="en-US"/>
              </w:rPr>
              <w:t>满意度指标</w:t>
            </w:r>
          </w:p>
        </w:tc>
        <w:tc>
          <w:tcPr>
            <w:tcW w:w="1181" w:type="dxa"/>
            <w:gridSpan w:val="2"/>
            <w:vAlign w:val="center"/>
          </w:tcPr>
          <w:p>
            <w:pPr>
              <w:keepNext w:val="0"/>
              <w:keepLines w:val="0"/>
              <w:widowControl/>
              <w:suppressLineNumbers w:val="0"/>
              <w:autoSpaceDE w:val="0"/>
              <w:autoSpaceDN w:val="0"/>
              <w:jc w:val="both"/>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任务1：市民满意度</w:t>
            </w:r>
          </w:p>
        </w:tc>
        <w:tc>
          <w:tcPr>
            <w:tcW w:w="1057" w:type="dxa"/>
            <w:gridSpan w:val="3"/>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≥96%</w:t>
            </w:r>
          </w:p>
        </w:tc>
        <w:tc>
          <w:tcPr>
            <w:tcW w:w="1012"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95%</w:t>
            </w:r>
          </w:p>
        </w:tc>
        <w:tc>
          <w:tcPr>
            <w:tcW w:w="684" w:type="dxa"/>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10</w:t>
            </w:r>
          </w:p>
        </w:tc>
        <w:tc>
          <w:tcPr>
            <w:tcW w:w="735" w:type="dxa"/>
            <w:gridSpan w:val="2"/>
            <w:vAlign w:val="center"/>
          </w:tcPr>
          <w:p>
            <w:pPr>
              <w:keepNext w:val="0"/>
              <w:keepLines w:val="0"/>
              <w:widowControl/>
              <w:suppressLineNumbers w:val="0"/>
              <w:autoSpaceDE w:val="0"/>
              <w:autoSpaceDN w:val="0"/>
              <w:jc w:val="center"/>
              <w:textAlignment w:val="center"/>
              <w:rPr>
                <w:rFonts w:hint="eastAsia" w:ascii="黑体" w:hAnsi="黑体" w:eastAsia="黑体" w:cs="黑体"/>
                <w:color w:val="000000" w:themeColor="text1"/>
                <w:sz w:val="20"/>
                <w:szCs w:val="20"/>
                <w:lang w:eastAsia="en-US"/>
              </w:rPr>
            </w:pPr>
            <w:r>
              <w:rPr>
                <w:rFonts w:hint="eastAsia" w:ascii="黑体" w:hAnsi="黑体" w:eastAsia="黑体" w:cs="黑体"/>
                <w:i w:val="0"/>
                <w:color w:val="000000" w:themeColor="text1"/>
                <w:kern w:val="0"/>
                <w:sz w:val="20"/>
                <w:szCs w:val="20"/>
                <w:u w:val="none"/>
                <w:lang w:val="en-US" w:eastAsia="zh-CN" w:bidi="ar"/>
              </w:rPr>
              <w:t>9</w:t>
            </w:r>
          </w:p>
        </w:tc>
        <w:tc>
          <w:tcPr>
            <w:tcW w:w="1629" w:type="dxa"/>
            <w:vAlign w:val="center"/>
          </w:tcPr>
          <w:p>
            <w:pPr>
              <w:pStyle w:val="16"/>
              <w:tabs>
                <w:tab w:val="left" w:pos="541"/>
              </w:tabs>
              <w:jc w:val="left"/>
              <w:rPr>
                <w:rFonts w:hint="eastAsia" w:ascii="黑体" w:hAnsi="黑体" w:eastAsia="黑体" w:cs="黑体"/>
                <w:color w:val="000000" w:themeColor="text1"/>
                <w:sz w:val="20"/>
                <w:szCs w:val="20"/>
                <w:lang w:eastAsia="zh-CN"/>
              </w:rPr>
            </w:pPr>
            <w:r>
              <w:rPr>
                <w:rFonts w:hint="eastAsia" w:ascii="黑体" w:hAnsi="黑体" w:eastAsia="黑体" w:cs="黑体"/>
                <w:color w:val="000000" w:themeColor="text1"/>
                <w:sz w:val="20"/>
                <w:szCs w:val="20"/>
                <w:lang w:eastAsia="zh-CN"/>
              </w:rPr>
              <w:t>工作具有长期性、复杂性，加强宣传，尽力满足每位群众的要求。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292" w:type="dxa"/>
            <w:gridSpan w:val="10"/>
            <w:vAlign w:val="bottom"/>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总分</w:t>
            </w:r>
          </w:p>
        </w:tc>
        <w:tc>
          <w:tcPr>
            <w:tcW w:w="684" w:type="dxa"/>
            <w:vAlign w:val="bottom"/>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100</w:t>
            </w:r>
          </w:p>
        </w:tc>
        <w:tc>
          <w:tcPr>
            <w:tcW w:w="735" w:type="dxa"/>
            <w:gridSpan w:val="2"/>
            <w:vAlign w:val="bottom"/>
          </w:tcPr>
          <w:p>
            <w:pPr>
              <w:keepNext w:val="0"/>
              <w:keepLines w:val="0"/>
              <w:widowControl/>
              <w:suppressLineNumbers w:val="0"/>
              <w:autoSpaceDE w:val="0"/>
              <w:autoSpaceDN w:val="0"/>
              <w:jc w:val="center"/>
              <w:textAlignment w:val="center"/>
              <w:rPr>
                <w:rFonts w:hint="eastAsia" w:ascii="黑体" w:hAnsi="黑体" w:eastAsia="黑体" w:cs="黑体"/>
                <w:i w:val="0"/>
                <w:color w:val="000000" w:themeColor="text1"/>
                <w:kern w:val="0"/>
                <w:sz w:val="20"/>
                <w:szCs w:val="20"/>
                <w:u w:val="none"/>
                <w:lang w:val="en-US" w:eastAsia="zh-CN" w:bidi="ar"/>
              </w:rPr>
            </w:pPr>
            <w:r>
              <w:rPr>
                <w:rFonts w:hint="eastAsia" w:ascii="黑体" w:hAnsi="黑体" w:eastAsia="黑体" w:cs="黑体"/>
                <w:i w:val="0"/>
                <w:color w:val="000000" w:themeColor="text1"/>
                <w:kern w:val="0"/>
                <w:sz w:val="20"/>
                <w:szCs w:val="20"/>
                <w:u w:val="none"/>
                <w:lang w:val="en-US" w:eastAsia="zh-CN" w:bidi="ar"/>
              </w:rPr>
              <w:t>93</w:t>
            </w:r>
          </w:p>
        </w:tc>
        <w:tc>
          <w:tcPr>
            <w:tcW w:w="1629" w:type="dxa"/>
            <w:vAlign w:val="bottom"/>
          </w:tcPr>
          <w:p>
            <w:pPr>
              <w:pStyle w:val="16"/>
              <w:tabs>
                <w:tab w:val="left" w:pos="541"/>
              </w:tabs>
              <w:jc w:val="center"/>
              <w:rPr>
                <w:rFonts w:hint="eastAsia" w:ascii="黑体" w:hAnsi="黑体" w:eastAsia="黑体" w:cs="黑体"/>
                <w:color w:val="000000" w:themeColor="text1"/>
                <w:sz w:val="20"/>
                <w:szCs w:val="20"/>
                <w:lang w:eastAsia="zh-CN"/>
              </w:rPr>
            </w:pPr>
          </w:p>
        </w:tc>
      </w:tr>
    </w:tbl>
    <w:p>
      <w:pPr>
        <w:spacing w:before="22"/>
        <w:ind w:left="269"/>
        <w:rPr>
          <w:rFonts w:ascii="黑体" w:eastAsia="黑体"/>
          <w:color w:val="000000" w:themeColor="text1"/>
          <w:sz w:val="21"/>
        </w:rPr>
      </w:pPr>
      <w:r>
        <w:rPr>
          <w:rFonts w:hint="eastAsia" w:ascii="黑体" w:eastAsia="黑体"/>
          <w:color w:val="000000" w:themeColor="text1"/>
          <w:sz w:val="21"/>
        </w:rPr>
        <w:t>说明：1.部门（单位）按照附件 5《部门整体支出绩效评价指标体系框架》（参考）设置三级指标；</w:t>
      </w:r>
    </w:p>
    <w:p>
      <w:pPr>
        <w:spacing w:before="43" w:line="278" w:lineRule="auto"/>
        <w:ind w:left="1078" w:right="502" w:hanging="226"/>
        <w:rPr>
          <w:rFonts w:ascii="黑体" w:eastAsia="黑体"/>
          <w:color w:val="000000" w:themeColor="text1"/>
          <w:sz w:val="21"/>
        </w:rPr>
      </w:pPr>
      <w:r>
        <w:rPr>
          <w:rFonts w:hint="eastAsia" w:ascii="黑体" w:eastAsia="黑体"/>
          <w:color w:val="000000" w:themeColor="text1"/>
          <w:spacing w:val="-5"/>
          <w:w w:val="95"/>
          <w:sz w:val="21"/>
        </w:rPr>
        <w:t>2</w:t>
      </w:r>
      <w:r>
        <w:rPr>
          <w:rFonts w:hint="eastAsia" w:ascii="黑体" w:eastAsia="黑体"/>
          <w:color w:val="000000" w:themeColor="text1"/>
          <w:spacing w:val="-10"/>
          <w:w w:val="95"/>
          <w:sz w:val="21"/>
        </w:rPr>
        <w:t>.上述产出指标和效益指标根据年初设定的绩效目标既可以按照重点任务完成情况分别填列，也可以依据所有</w:t>
      </w:r>
      <w:r>
        <w:rPr>
          <w:rFonts w:hint="eastAsia" w:ascii="黑体" w:eastAsia="黑体"/>
          <w:color w:val="000000" w:themeColor="text1"/>
          <w:spacing w:val="-8"/>
          <w:sz w:val="21"/>
        </w:rPr>
        <w:t>重点任务归纳提炼综合指标。</w:t>
      </w:r>
    </w:p>
    <w:p>
      <w:pPr>
        <w:spacing w:line="278" w:lineRule="auto"/>
        <w:rPr>
          <w:rFonts w:ascii="黑体" w:eastAsia="黑体"/>
          <w:color w:val="000000" w:themeColor="text1"/>
          <w:sz w:val="21"/>
        </w:rPr>
        <w:sectPr>
          <w:type w:val="continuous"/>
          <w:pgSz w:w="11910" w:h="16840"/>
          <w:pgMar w:top="1580" w:right="340" w:bottom="280" w:left="580" w:header="720" w:footer="720" w:gutter="0"/>
          <w:cols w:space="720" w:num="1"/>
        </w:sectPr>
      </w:pPr>
    </w:p>
    <w:p>
      <w:pPr>
        <w:pStyle w:val="3"/>
        <w:spacing w:before="2"/>
        <w:rPr>
          <w:rFonts w:ascii="黑体"/>
          <w:color w:val="000000" w:themeColor="text1"/>
          <w:sz w:val="45"/>
        </w:rPr>
      </w:pPr>
      <w:bookmarkStart w:id="0" w:name="_GoBack"/>
      <w:bookmarkEnd w:id="0"/>
    </w:p>
    <w:p>
      <w:pPr>
        <w:keepNext w:val="0"/>
        <w:keepLines w:val="0"/>
        <w:pageBreakBefore w:val="0"/>
        <w:kinsoku/>
        <w:wordWrap/>
        <w:overflowPunct/>
        <w:topLinePunct w:val="0"/>
        <w:autoSpaceDE/>
        <w:autoSpaceDN/>
        <w:bidi w:val="0"/>
        <w:spacing w:after="200" w:line="580" w:lineRule="exact"/>
        <w:ind w:right="0" w:rightChars="0"/>
        <w:jc w:val="center"/>
        <w:textAlignment w:val="auto"/>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202</w:t>
      </w:r>
      <w:r>
        <w:rPr>
          <w:rFonts w:hint="eastAsia" w:asciiTheme="minorEastAsia" w:hAnsiTheme="minorEastAsia" w:eastAsiaTheme="minorEastAsia" w:cstheme="minorEastAsia"/>
          <w:b/>
          <w:bCs w:val="0"/>
          <w:sz w:val="44"/>
          <w:szCs w:val="44"/>
          <w:lang w:val="en-US" w:eastAsia="zh-CN"/>
        </w:rPr>
        <w:t>1</w:t>
      </w:r>
      <w:r>
        <w:rPr>
          <w:rFonts w:hint="eastAsia" w:asciiTheme="minorEastAsia" w:hAnsiTheme="minorEastAsia" w:eastAsiaTheme="minorEastAsia" w:cstheme="minorEastAsia"/>
          <w:b/>
          <w:bCs w:val="0"/>
          <w:sz w:val="44"/>
          <w:szCs w:val="44"/>
        </w:rPr>
        <w:t>年度青云谱区民政局整体支出</w:t>
      </w:r>
    </w:p>
    <w:p>
      <w:pPr>
        <w:keepNext w:val="0"/>
        <w:keepLines w:val="0"/>
        <w:pageBreakBefore w:val="0"/>
        <w:kinsoku/>
        <w:wordWrap/>
        <w:overflowPunct/>
        <w:topLinePunct w:val="0"/>
        <w:autoSpaceDE/>
        <w:autoSpaceDN/>
        <w:bidi w:val="0"/>
        <w:spacing w:after="200" w:line="580" w:lineRule="exact"/>
        <w:ind w:right="0" w:rightChars="0"/>
        <w:jc w:val="center"/>
        <w:textAlignment w:val="auto"/>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绩效</w:t>
      </w:r>
      <w:r>
        <w:rPr>
          <w:rFonts w:hint="eastAsia" w:asciiTheme="minorEastAsia" w:hAnsiTheme="minorEastAsia" w:eastAsiaTheme="minorEastAsia" w:cstheme="minorEastAsia"/>
          <w:b/>
          <w:bCs w:val="0"/>
          <w:sz w:val="44"/>
          <w:szCs w:val="44"/>
          <w:lang w:val="en-US" w:eastAsia="zh-CN"/>
        </w:rPr>
        <w:t>自评</w:t>
      </w:r>
      <w:r>
        <w:rPr>
          <w:rFonts w:hint="eastAsia" w:asciiTheme="minorEastAsia" w:hAnsiTheme="minorEastAsia" w:eastAsiaTheme="minorEastAsia" w:cstheme="minorEastAsia"/>
          <w:b/>
          <w:bCs w:val="0"/>
          <w:sz w:val="44"/>
          <w:szCs w:val="44"/>
        </w:rPr>
        <w:t>报告</w:t>
      </w:r>
    </w:p>
    <w:p>
      <w:pPr>
        <w:pStyle w:val="2"/>
        <w:rPr>
          <w:rFonts w:hint="eastAsia"/>
        </w:rPr>
      </w:pPr>
    </w:p>
    <w:p>
      <w:pPr>
        <w:keepNext w:val="0"/>
        <w:keepLines w:val="0"/>
        <w:pageBreakBefore w:val="0"/>
        <w:kinsoku/>
        <w:wordWrap/>
        <w:overflowPunct/>
        <w:topLinePunct w:val="0"/>
        <w:autoSpaceDE/>
        <w:autoSpaceDN/>
        <w:bidi w:val="0"/>
        <w:spacing w:after="200" w:line="580" w:lineRule="exact"/>
        <w:ind w:right="0" w:rightChars="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部门（单位）： （盖章）</w:t>
      </w:r>
    </w:p>
    <w:p>
      <w:pPr>
        <w:pStyle w:val="2"/>
        <w:rPr>
          <w:rFonts w:hint="eastAsia"/>
        </w:rPr>
      </w:pPr>
    </w:p>
    <w:p>
      <w:pPr>
        <w:keepNext w:val="0"/>
        <w:keepLines w:val="0"/>
        <w:pageBreakBefore w:val="0"/>
        <w:numPr>
          <w:ilvl w:val="0"/>
          <w:numId w:val="0"/>
        </w:numPr>
        <w:kinsoku/>
        <w:wordWrap/>
        <w:overflowPunct/>
        <w:topLinePunct w:val="0"/>
        <w:autoSpaceDE/>
        <w:autoSpaceDN/>
        <w:bidi w:val="0"/>
        <w:adjustRightInd/>
        <w:snapToGrid/>
        <w:spacing w:after="200" w:line="580" w:lineRule="exact"/>
        <w:ind w:right="0" w:rightChars="0"/>
        <w:textAlignment w:val="auto"/>
        <w:rPr>
          <w:rFonts w:hint="eastAsia" w:ascii="黑体" w:hAnsi="黑体" w:eastAsia="黑体" w:cs="黑体"/>
          <w:b/>
          <w:bCs w:val="0"/>
          <w:color w:val="000000"/>
          <w:sz w:val="32"/>
          <w:szCs w:val="32"/>
        </w:rPr>
      </w:pPr>
      <w:r>
        <w:rPr>
          <w:rFonts w:hint="eastAsia" w:ascii="黑体" w:hAnsi="黑体" w:eastAsia="黑体" w:cs="黑体"/>
          <w:b/>
          <w:bCs w:val="0"/>
          <w:color w:val="000000"/>
          <w:sz w:val="32"/>
          <w:szCs w:val="32"/>
          <w:lang w:val="en-US" w:eastAsia="zh-CN"/>
        </w:rPr>
        <w:t>一、</w:t>
      </w:r>
      <w:r>
        <w:rPr>
          <w:rFonts w:hint="eastAsia" w:ascii="黑体" w:hAnsi="黑体" w:eastAsia="黑体" w:cs="黑体"/>
          <w:b/>
          <w:bCs w:val="0"/>
          <w:color w:val="000000"/>
          <w:sz w:val="32"/>
          <w:szCs w:val="32"/>
        </w:rPr>
        <w:t>部门概况</w:t>
      </w:r>
    </w:p>
    <w:p>
      <w:pPr>
        <w:keepNext w:val="0"/>
        <w:keepLines w:val="0"/>
        <w:pageBreakBefore w:val="0"/>
        <w:widowControl w:val="0"/>
        <w:kinsoku/>
        <w:wordWrap/>
        <w:overflowPunct/>
        <w:topLinePunct w:val="0"/>
        <w:autoSpaceDE/>
        <w:autoSpaceDN/>
        <w:bidi w:val="0"/>
        <w:adjustRightInd/>
        <w:snapToGrid/>
        <w:spacing w:after="200" w:line="580" w:lineRule="exact"/>
        <w:ind w:left="0" w:leftChars="0" w:right="0" w:rightChars="0" w:firstLine="643" w:firstLineChars="200"/>
        <w:textAlignment w:val="auto"/>
        <w:outlineLvl w:val="9"/>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（一）部门（单位）主要职责职能，组织架构、人员及资产等基本情况</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南昌市青云谱区民政局基本情况</w:t>
      </w:r>
    </w:p>
    <w:p>
      <w:pPr>
        <w:keepNext w:val="0"/>
        <w:keepLines w:val="0"/>
        <w:pageBreakBefore w:val="0"/>
        <w:kinsoku/>
        <w:wordWrap/>
        <w:overflowPunct/>
        <w:topLinePunct w:val="0"/>
        <w:autoSpaceDE/>
        <w:autoSpaceDN/>
        <w:bidi w:val="0"/>
        <w:adjustRightInd/>
        <w:snapToGrid/>
        <w:spacing w:after="200" w:line="580" w:lineRule="exact"/>
        <w:ind w:right="0" w:rightChars="0" w:firstLine="630"/>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为城乡困难群众提供最低生活保障、临时救助、农村五保供养、困难群众生活救济、基层政权和社区建设、社会工作、村务公开民主管理、民间组织管理、社会福利、婚姻登记、收养登记、流浪乞讨人员救助、地名区划、婚丧改革等多项服务。</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rPr>
        <w:t>南昌市青云谱区社会福利院</w:t>
      </w:r>
    </w:p>
    <w:p>
      <w:pPr>
        <w:keepNext w:val="0"/>
        <w:keepLines w:val="0"/>
        <w:pageBreakBefore w:val="0"/>
        <w:kinsoku/>
        <w:wordWrap/>
        <w:overflowPunct/>
        <w:topLinePunct w:val="0"/>
        <w:autoSpaceDE/>
        <w:autoSpaceDN/>
        <w:bidi w:val="0"/>
        <w:adjustRightInd/>
        <w:snapToGrid/>
        <w:spacing w:after="200" w:line="580" w:lineRule="exact"/>
        <w:ind w:right="0" w:rightChars="0" w:firstLine="630"/>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提供收养服务，弘扬救助精神，受青云谱区民政局委托负责家庭无力照顾老人收养。</w:t>
      </w:r>
    </w:p>
    <w:p>
      <w:pPr>
        <w:keepNext w:val="0"/>
        <w:keepLines w:val="0"/>
        <w:pageBreakBefore w:val="0"/>
        <w:kinsoku/>
        <w:wordWrap/>
        <w:overflowPunct/>
        <w:topLinePunct w:val="0"/>
        <w:autoSpaceDE/>
        <w:autoSpaceDN/>
        <w:bidi w:val="0"/>
        <w:adjustRightInd/>
        <w:snapToGrid/>
        <w:spacing w:after="200" w:line="580" w:lineRule="exact"/>
        <w:ind w:right="0" w:rightChars="0" w:firstLine="630"/>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rPr>
        <w:t>纳入本套部门决算汇编范围的单位共7个，包括局本级和6个所属二级预算单位。包括青云谱区民政局婚姻登记处、青云谱区社会工作局、青云谱区社区建设服务中心、青云谱区慈善救助中心、青云谱区社会救助局（青云谱区城市居民家庭经济状况核对中心）、青云谱区社会组织管理局（青云谱区福利彩票有奖募捐办公室）。</w:t>
      </w:r>
    </w:p>
    <w:p>
      <w:pPr>
        <w:keepNext w:val="0"/>
        <w:keepLines w:val="0"/>
        <w:pageBreakBefore w:val="0"/>
        <w:kinsoku/>
        <w:wordWrap/>
        <w:overflowPunct/>
        <w:topLinePunct w:val="0"/>
        <w:autoSpaceDE/>
        <w:autoSpaceDN/>
        <w:bidi w:val="0"/>
        <w:adjustRightInd/>
        <w:snapToGrid/>
        <w:spacing w:after="200" w:line="580" w:lineRule="exact"/>
        <w:ind w:right="0" w:rightChars="0" w:firstLine="643" w:firstLineChars="200"/>
        <w:jc w:val="left"/>
        <w:textAlignment w:val="auto"/>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w:t>
      </w:r>
      <w:r>
        <w:rPr>
          <w:rFonts w:hint="eastAsia" w:ascii="仿宋" w:hAnsi="仿宋" w:eastAsia="仿宋" w:cs="仿宋"/>
          <w:b/>
          <w:bCs w:val="0"/>
          <w:color w:val="000000"/>
          <w:sz w:val="32"/>
          <w:szCs w:val="32"/>
          <w:lang w:val="en-US" w:eastAsia="zh-CN"/>
        </w:rPr>
        <w:t>二</w:t>
      </w:r>
      <w:r>
        <w:rPr>
          <w:rFonts w:hint="eastAsia" w:ascii="仿宋" w:hAnsi="仿宋" w:eastAsia="仿宋" w:cs="仿宋"/>
          <w:b/>
          <w:bCs w:val="0"/>
          <w:color w:val="000000"/>
          <w:sz w:val="32"/>
          <w:szCs w:val="32"/>
        </w:rPr>
        <w:t>）部门履职总体目标、工作任务</w:t>
      </w:r>
    </w:p>
    <w:p>
      <w:pPr>
        <w:keepNext w:val="0"/>
        <w:keepLines w:val="0"/>
        <w:pageBreakBefore w:val="0"/>
        <w:numPr>
          <w:ilvl w:val="0"/>
          <w:numId w:val="0"/>
        </w:numPr>
        <w:kinsoku/>
        <w:wordWrap/>
        <w:overflowPunct/>
        <w:topLinePunct w:val="0"/>
        <w:autoSpaceDE/>
        <w:autoSpaceDN/>
        <w:bidi w:val="0"/>
        <w:adjustRightInd/>
        <w:snapToGrid/>
        <w:spacing w:after="200" w:line="580" w:lineRule="exact"/>
        <w:ind w:right="0" w:rightChars="0" w:firstLine="960" w:firstLineChars="300"/>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年度总体目标</w:t>
      </w:r>
    </w:p>
    <w:p>
      <w:pPr>
        <w:keepNext w:val="0"/>
        <w:keepLines w:val="0"/>
        <w:pageBreakBefore w:val="0"/>
        <w:kinsoku/>
        <w:wordWrap/>
        <w:overflowPunct/>
        <w:topLinePunct w:val="0"/>
        <w:autoSpaceDE/>
        <w:autoSpaceDN/>
        <w:bidi w:val="0"/>
        <w:adjustRightInd/>
        <w:snapToGrid/>
        <w:spacing w:after="200" w:line="580" w:lineRule="exact"/>
        <w:ind w:left="160"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深入贯彻落实党的十九大、十九届六中全会精神，聚焦脱贫攻坚，聚焦特殊群体，聚焦群众关切，更好履行基本民生保障、基层社会治理、基本社会服务等职责，扎实推进社会救助、养老服务、社区建设、社会事务等工作，努力提升民政公共服务水平。</w:t>
      </w:r>
    </w:p>
    <w:p>
      <w:pPr>
        <w:keepNext w:val="0"/>
        <w:keepLines w:val="0"/>
        <w:pageBreakBefore w:val="0"/>
        <w:kinsoku/>
        <w:wordWrap/>
        <w:overflowPunct/>
        <w:topLinePunct w:val="0"/>
        <w:autoSpaceDE/>
        <w:autoSpaceDN/>
        <w:bidi w:val="0"/>
        <w:adjustRightInd/>
        <w:snapToGrid/>
        <w:spacing w:after="200" w:line="580" w:lineRule="exact"/>
        <w:ind w:left="160"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rPr>
        <w:t>年度工作任务</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社会救助工作。一是按时完成低保提标工作。根据南昌市民政局、南昌市财政局《关于提高我市城乡困难群众保障标准的通知》（洪民字〔2021〕21号）文件要求，从2021年1月起，城市最低生活保障标准由原来的735元提高到795元，每人每月提高60元。二是按时完成特困供养金提标和特困护理补助提标工作。三是发挥好临时救助的“基本生活保障”、“应急”和“化解矛盾”的功能。四是完善“七彩虹”帮扶长效机制。五是扎实开展服务类社会救助改革试点工作。建立了需求主动发现机制，完善了多项社会救助服务，整合各类社会救助资源，引导社会力量广泛参与。</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基层政权建设。</w:t>
      </w:r>
      <w:r>
        <w:rPr>
          <w:rFonts w:hint="eastAsia" w:ascii="仿宋" w:hAnsi="仿宋" w:eastAsia="仿宋" w:cs="仿宋"/>
          <w:b w:val="0"/>
          <w:bCs/>
          <w:color w:val="000000"/>
          <w:kern w:val="0"/>
          <w:sz w:val="32"/>
          <w:szCs w:val="32"/>
        </w:rPr>
        <w:t>一是</w:t>
      </w:r>
      <w:r>
        <w:rPr>
          <w:rFonts w:hint="eastAsia" w:ascii="仿宋" w:hAnsi="仿宋" w:eastAsia="仿宋" w:cs="仿宋"/>
          <w:b w:val="0"/>
          <w:bCs/>
          <w:color w:val="000000"/>
          <w:sz w:val="32"/>
          <w:szCs w:val="32"/>
          <w:shd w:val="clear" w:color="auto" w:fill="FFFFFF"/>
        </w:rPr>
        <w:t>社区邻里中心建设工程。</w:t>
      </w:r>
      <w:r>
        <w:rPr>
          <w:rFonts w:hint="eastAsia" w:ascii="仿宋" w:hAnsi="仿宋" w:eastAsia="仿宋" w:cs="仿宋"/>
          <w:b w:val="0"/>
          <w:bCs/>
          <w:color w:val="000000"/>
          <w:sz w:val="32"/>
          <w:szCs w:val="32"/>
        </w:rPr>
        <w:t>二是</w:t>
      </w:r>
      <w:r>
        <w:rPr>
          <w:rFonts w:hint="eastAsia" w:ascii="仿宋" w:hAnsi="仿宋" w:eastAsia="仿宋" w:cs="仿宋"/>
          <w:b w:val="0"/>
          <w:bCs/>
          <w:color w:val="000000"/>
          <w:sz w:val="32"/>
          <w:szCs w:val="32"/>
          <w:shd w:val="clear" w:color="auto" w:fill="FFFFFF"/>
        </w:rPr>
        <w:t>完成“两委”换届选举任务。</w:t>
      </w:r>
      <w:r>
        <w:rPr>
          <w:rFonts w:hint="eastAsia" w:ascii="仿宋" w:hAnsi="仿宋" w:eastAsia="仿宋" w:cs="仿宋"/>
          <w:b w:val="0"/>
          <w:bCs/>
          <w:color w:val="000000"/>
          <w:sz w:val="32"/>
          <w:szCs w:val="32"/>
        </w:rPr>
        <w:t>三是</w:t>
      </w:r>
      <w:r>
        <w:rPr>
          <w:rFonts w:hint="eastAsia" w:ascii="仿宋" w:hAnsi="仿宋" w:eastAsia="仿宋" w:cs="仿宋"/>
          <w:b w:val="0"/>
          <w:bCs/>
          <w:color w:val="000000"/>
          <w:spacing w:val="3"/>
          <w:sz w:val="32"/>
          <w:szCs w:val="32"/>
          <w:shd w:val="clear" w:color="auto" w:fill="FFFFFF"/>
        </w:rPr>
        <w:t>与区委组织部联合举办了2021年青云谱区新进村（社区）“两委”干部培训。</w:t>
      </w:r>
      <w:r>
        <w:rPr>
          <w:rFonts w:hint="eastAsia" w:ascii="仿宋" w:hAnsi="仿宋" w:eastAsia="仿宋" w:cs="仿宋"/>
          <w:b w:val="0"/>
          <w:bCs/>
          <w:color w:val="000000"/>
          <w:sz w:val="32"/>
          <w:szCs w:val="32"/>
        </w:rPr>
        <w:t>四是指导村规民约（居民公约）的制定。五是</w:t>
      </w:r>
      <w:r>
        <w:rPr>
          <w:rFonts w:hint="eastAsia" w:ascii="仿宋" w:hAnsi="仿宋" w:eastAsia="仿宋" w:cs="仿宋"/>
          <w:b w:val="0"/>
          <w:bCs/>
          <w:color w:val="000000"/>
          <w:sz w:val="32"/>
          <w:szCs w:val="32"/>
          <w:lang w:val="zh-TW"/>
        </w:rPr>
        <w:t>开展“江西最美城乡社区工作者”评选活动，推选1名优秀城乡社区工作者代表参加“江西最美城乡社区工作者”学习宣传活动。六是</w:t>
      </w:r>
      <w:r>
        <w:rPr>
          <w:rFonts w:hint="eastAsia" w:ascii="仿宋" w:hAnsi="仿宋" w:eastAsia="仿宋" w:cs="仿宋"/>
          <w:b w:val="0"/>
          <w:bCs/>
          <w:color w:val="000000"/>
          <w:spacing w:val="9"/>
          <w:sz w:val="32"/>
          <w:szCs w:val="32"/>
          <w:shd w:val="clear" w:color="auto" w:fill="FFFFFF"/>
        </w:rPr>
        <w:t>完成2021年省级“</w:t>
      </w:r>
      <w:r>
        <w:rPr>
          <w:rFonts w:hint="eastAsia" w:ascii="仿宋" w:hAnsi="仿宋" w:eastAsia="仿宋" w:cs="仿宋"/>
          <w:b w:val="0"/>
          <w:bCs/>
          <w:color w:val="000000"/>
          <w:kern w:val="0"/>
          <w:sz w:val="32"/>
          <w:szCs w:val="32"/>
        </w:rPr>
        <w:t>绿色社区 美丽家园”创建</w:t>
      </w:r>
      <w:r>
        <w:rPr>
          <w:rFonts w:hint="eastAsia" w:ascii="仿宋" w:hAnsi="仿宋" w:eastAsia="仿宋" w:cs="仿宋"/>
          <w:b w:val="0"/>
          <w:bCs/>
          <w:color w:val="000000"/>
          <w:spacing w:val="9"/>
          <w:sz w:val="32"/>
          <w:szCs w:val="32"/>
          <w:shd w:val="clear" w:color="auto" w:fill="FFFFFF"/>
        </w:rPr>
        <w:t>现场考核</w:t>
      </w:r>
      <w:r>
        <w:rPr>
          <w:rFonts w:hint="eastAsia" w:ascii="仿宋" w:hAnsi="仿宋" w:eastAsia="仿宋" w:cs="仿宋"/>
          <w:b w:val="0"/>
          <w:bCs/>
          <w:color w:val="000000"/>
          <w:kern w:val="0"/>
          <w:sz w:val="32"/>
          <w:szCs w:val="32"/>
        </w:rPr>
        <w:t>工作。</w:t>
      </w:r>
      <w:r>
        <w:rPr>
          <w:rFonts w:hint="eastAsia" w:ascii="仿宋" w:hAnsi="仿宋" w:eastAsia="仿宋" w:cs="仿宋"/>
          <w:b w:val="0"/>
          <w:bCs/>
          <w:color w:val="000000"/>
          <w:sz w:val="32"/>
          <w:szCs w:val="32"/>
          <w:lang w:val="zh-TW"/>
        </w:rPr>
        <w:t>七是</w:t>
      </w:r>
      <w:r>
        <w:rPr>
          <w:rFonts w:hint="eastAsia" w:ascii="仿宋" w:hAnsi="仿宋" w:eastAsia="仿宋" w:cs="仿宋"/>
          <w:b w:val="0"/>
          <w:bCs/>
          <w:color w:val="000000"/>
          <w:sz w:val="32"/>
          <w:szCs w:val="32"/>
        </w:rPr>
        <w:t>出台《青云谱区大力推动社区(村)民政服务元素融合提升社区(村)治理水平的实施意见》，规范社区(村)民政工作事项和服务项目。</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社会组织管理。一是指导社会组织党组织进行“三化”建设。二是开展打击非法社会组织宣传，提高社会公众风险防范意识。三是加大社区社会组织培育扶持力度</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四是通过党建引领，引导社工和社会组织全面渗透到文明创建、社会治理等中心工作。</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4</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养老福利工作。一是确保高龄老人、残疾人等优待政策落实到位。二是整合多方资源，加快推进居家养老站点和养老院建设。三是开展居家养老服务工作。四是开展了全市养老领域风险防范交叉排查工作。</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5</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社会事务工作。一是结合清明、中元等节日区殡改办联合区市管局、区城管局</w:t>
      </w:r>
      <w:r>
        <w:rPr>
          <w:rFonts w:hint="eastAsia" w:ascii="仿宋" w:hAnsi="仿宋" w:eastAsia="仿宋" w:cs="仿宋"/>
          <w:b w:val="0"/>
          <w:bCs/>
          <w:color w:val="000000"/>
          <w:sz w:val="32"/>
          <w:szCs w:val="32"/>
          <w:shd w:val="clear" w:color="auto" w:fill="FFFFFF"/>
        </w:rPr>
        <w:t>对城区范围内殡葬用品进行集中整治，对销售封建迷信等违规殡葬用品的商户进行宣传教育，对无照经营、占道经营等非法经营行为予以取缔。二是</w:t>
      </w:r>
      <w:r>
        <w:rPr>
          <w:rFonts w:hint="eastAsia" w:ascii="仿宋" w:hAnsi="仿宋" w:eastAsia="仿宋" w:cs="仿宋"/>
          <w:b w:val="0"/>
          <w:bCs/>
          <w:color w:val="000000"/>
          <w:sz w:val="32"/>
          <w:szCs w:val="32"/>
        </w:rPr>
        <w:t>办理结婚登记。三是举办未成年人保护服务专题培训班和</w:t>
      </w:r>
      <w:r>
        <w:rPr>
          <w:rFonts w:hint="eastAsia" w:ascii="仿宋" w:hAnsi="仿宋" w:eastAsia="仿宋" w:cs="仿宋"/>
          <w:b w:val="0"/>
          <w:bCs/>
          <w:color w:val="000000"/>
          <w:sz w:val="32"/>
          <w:szCs w:val="32"/>
          <w:shd w:val="clear" w:color="auto" w:fill="FFFFFF"/>
        </w:rPr>
        <w:t>“童心向党，礼赞百年”关爱困境儿童活动</w:t>
      </w:r>
      <w:r>
        <w:rPr>
          <w:rFonts w:hint="eastAsia" w:ascii="仿宋" w:hAnsi="仿宋" w:eastAsia="仿宋" w:cs="仿宋"/>
          <w:b w:val="0"/>
          <w:bCs/>
          <w:color w:val="000000"/>
          <w:sz w:val="32"/>
          <w:szCs w:val="32"/>
        </w:rPr>
        <w:t>。</w:t>
      </w:r>
    </w:p>
    <w:p>
      <w:pPr>
        <w:keepNext w:val="0"/>
        <w:keepLines w:val="0"/>
        <w:pageBreakBefore w:val="0"/>
        <w:kinsoku/>
        <w:wordWrap/>
        <w:overflowPunct/>
        <w:topLinePunct w:val="0"/>
        <w:autoSpaceDE/>
        <w:autoSpaceDN/>
        <w:bidi w:val="0"/>
        <w:adjustRightInd/>
        <w:snapToGrid/>
        <w:spacing w:after="200" w:line="580" w:lineRule="exact"/>
        <w:ind w:right="0" w:rightChars="0" w:firstLine="643" w:firstLineChars="200"/>
        <w:textAlignment w:val="auto"/>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lang w:eastAsia="zh-CN"/>
        </w:rPr>
        <w:t>（</w:t>
      </w:r>
      <w:r>
        <w:rPr>
          <w:rFonts w:hint="eastAsia" w:ascii="仿宋" w:hAnsi="仿宋" w:eastAsia="仿宋" w:cs="仿宋"/>
          <w:b/>
          <w:bCs w:val="0"/>
          <w:color w:val="000000"/>
          <w:sz w:val="32"/>
          <w:szCs w:val="32"/>
          <w:lang w:val="en-US" w:eastAsia="zh-CN"/>
        </w:rPr>
        <w:t>三</w:t>
      </w:r>
      <w:r>
        <w:rPr>
          <w:rFonts w:hint="eastAsia" w:ascii="仿宋" w:hAnsi="仿宋" w:eastAsia="仿宋" w:cs="仿宋"/>
          <w:b/>
          <w:bCs w:val="0"/>
          <w:color w:val="000000"/>
          <w:sz w:val="32"/>
          <w:szCs w:val="32"/>
          <w:lang w:eastAsia="zh-CN"/>
        </w:rPr>
        <w:t>）</w:t>
      </w:r>
      <w:r>
        <w:rPr>
          <w:rFonts w:hint="eastAsia" w:ascii="仿宋" w:hAnsi="仿宋" w:eastAsia="仿宋" w:cs="仿宋"/>
          <w:b/>
          <w:bCs w:val="0"/>
          <w:color w:val="000000"/>
          <w:sz w:val="32"/>
          <w:szCs w:val="32"/>
        </w:rPr>
        <w:t>部门年度整体支出绩效目标</w:t>
      </w:r>
    </w:p>
    <w:p>
      <w:pPr>
        <w:keepNext w:val="0"/>
        <w:keepLines w:val="0"/>
        <w:pageBreakBefore w:val="0"/>
        <w:kinsoku/>
        <w:wordWrap/>
        <w:overflowPunct/>
        <w:topLinePunct w:val="0"/>
        <w:autoSpaceDE/>
        <w:autoSpaceDN/>
        <w:bidi w:val="0"/>
        <w:adjustRightInd/>
        <w:snapToGrid/>
        <w:spacing w:after="200" w:line="580" w:lineRule="exact"/>
        <w:ind w:right="0" w:rightChars="0" w:firstLine="630"/>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202</w:t>
      </w: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年，我单位积极履行，强化管理，较好地完成了年度工作目标。通过加强预算收支管理，不断建立健全内部管理制度，梳理内部管理流程，部门整体支出管理水平得到提升。</w:t>
      </w:r>
    </w:p>
    <w:p>
      <w:pPr>
        <w:keepNext w:val="0"/>
        <w:keepLines w:val="0"/>
        <w:pageBreakBefore w:val="0"/>
        <w:widowControl/>
        <w:kinsoku/>
        <w:wordWrap/>
        <w:overflowPunct/>
        <w:topLinePunct w:val="0"/>
        <w:autoSpaceDE/>
        <w:autoSpaceDN/>
        <w:bidi w:val="0"/>
        <w:adjustRightInd/>
        <w:snapToGrid/>
        <w:spacing w:after="200" w:line="580" w:lineRule="exact"/>
        <w:ind w:right="0" w:rightChars="0" w:firstLine="643" w:firstLineChars="200"/>
        <w:jc w:val="left"/>
        <w:textAlignment w:val="auto"/>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lang w:eastAsia="zh-CN"/>
        </w:rPr>
        <w:t>（</w:t>
      </w:r>
      <w:r>
        <w:rPr>
          <w:rFonts w:hint="eastAsia" w:ascii="仿宋" w:hAnsi="仿宋" w:eastAsia="仿宋" w:cs="仿宋"/>
          <w:b/>
          <w:bCs w:val="0"/>
          <w:color w:val="000000"/>
          <w:kern w:val="0"/>
          <w:sz w:val="32"/>
          <w:szCs w:val="32"/>
          <w:lang w:val="en-US" w:eastAsia="zh-CN"/>
        </w:rPr>
        <w:t>四</w:t>
      </w:r>
      <w:r>
        <w:rPr>
          <w:rFonts w:hint="eastAsia" w:ascii="仿宋" w:hAnsi="仿宋" w:eastAsia="仿宋" w:cs="仿宋"/>
          <w:b/>
          <w:bCs w:val="0"/>
          <w:color w:val="000000"/>
          <w:kern w:val="0"/>
          <w:sz w:val="32"/>
          <w:szCs w:val="32"/>
          <w:lang w:eastAsia="zh-CN"/>
        </w:rPr>
        <w:t>）</w:t>
      </w:r>
      <w:r>
        <w:rPr>
          <w:rFonts w:hint="eastAsia" w:ascii="仿宋" w:hAnsi="仿宋" w:eastAsia="仿宋" w:cs="仿宋"/>
          <w:b/>
          <w:bCs w:val="0"/>
          <w:color w:val="000000"/>
          <w:kern w:val="0"/>
          <w:sz w:val="32"/>
          <w:szCs w:val="32"/>
        </w:rPr>
        <w:t>部门（单位）预算绩效管理开展情况</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绩效考核领导小组，学习了解评价工作内容和要求，根据绩效评价依据，结合项目绩效目标，制定本单位绩效考核工作方案。</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rPr>
        <w:t>根据绩效办要求制定课时费项目考核指标，分值设置合理，通过审查会计凭证及预决算、核对数据、勘察现场、询问查证、问卷调查等方式进行绩效自评。</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rPr>
        <w:t>分析复核评价资料、计算汇总数据、编写评价报告。</w:t>
      </w:r>
    </w:p>
    <w:p>
      <w:pPr>
        <w:keepNext w:val="0"/>
        <w:keepLines w:val="0"/>
        <w:pageBreakBefore w:val="0"/>
        <w:kinsoku/>
        <w:wordWrap/>
        <w:overflowPunct/>
        <w:topLinePunct w:val="0"/>
        <w:autoSpaceDE/>
        <w:autoSpaceDN/>
        <w:bidi w:val="0"/>
        <w:adjustRightInd/>
        <w:snapToGrid/>
        <w:spacing w:after="200" w:line="580" w:lineRule="exact"/>
        <w:ind w:right="0" w:rightChars="0" w:firstLine="643" w:firstLineChars="200"/>
        <w:textAlignment w:val="auto"/>
        <w:rPr>
          <w:rFonts w:hint="eastAsia" w:ascii="仿宋" w:hAnsi="仿宋" w:eastAsia="仿宋" w:cs="仿宋"/>
          <w:b/>
          <w:bCs w:val="0"/>
          <w:color w:val="000000"/>
          <w:sz w:val="32"/>
          <w:szCs w:val="32"/>
        </w:rPr>
      </w:pPr>
      <w:r>
        <w:rPr>
          <w:rFonts w:hint="eastAsia" w:ascii="仿宋" w:hAnsi="仿宋" w:eastAsia="仿宋" w:cs="仿宋"/>
          <w:b/>
          <w:bCs w:val="0"/>
          <w:color w:val="000000"/>
          <w:kern w:val="0"/>
          <w:sz w:val="32"/>
          <w:szCs w:val="32"/>
        </w:rPr>
        <w:t>（五）当年部门（单位）预算及执行情况</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202</w:t>
      </w: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年年初预算数8590.04万元，全年安排数10649.76万元，</w:t>
      </w:r>
      <w:r>
        <w:rPr>
          <w:rFonts w:hint="eastAsia" w:ascii="仿宋" w:hAnsi="仿宋" w:eastAsia="仿宋" w:cs="仿宋"/>
          <w:b w:val="0"/>
          <w:bCs/>
          <w:color w:val="000000"/>
          <w:sz w:val="32"/>
          <w:szCs w:val="32"/>
          <w:lang w:val="en-US" w:eastAsia="zh-CN"/>
        </w:rPr>
        <w:t>执行数为</w:t>
      </w:r>
      <w:r>
        <w:rPr>
          <w:rFonts w:hint="eastAsia" w:ascii="仿宋" w:hAnsi="仿宋" w:eastAsia="仿宋" w:cs="仿宋"/>
          <w:b w:val="0"/>
          <w:bCs/>
          <w:color w:val="000000"/>
          <w:sz w:val="32"/>
          <w:szCs w:val="32"/>
        </w:rPr>
        <w:t>10649.76</w:t>
      </w:r>
      <w:r>
        <w:rPr>
          <w:rFonts w:hint="eastAsia" w:ascii="仿宋" w:hAnsi="仿宋" w:eastAsia="仿宋" w:cs="仿宋"/>
          <w:b w:val="0"/>
          <w:bCs/>
          <w:color w:val="000000"/>
          <w:sz w:val="32"/>
          <w:szCs w:val="32"/>
          <w:lang w:val="en-US" w:eastAsia="zh-CN"/>
        </w:rPr>
        <w:t>万元，</w:t>
      </w:r>
      <w:r>
        <w:rPr>
          <w:rFonts w:hint="eastAsia" w:ascii="仿宋" w:hAnsi="仿宋" w:eastAsia="仿宋" w:cs="仿宋"/>
          <w:b w:val="0"/>
          <w:bCs/>
          <w:color w:val="000000"/>
          <w:sz w:val="32"/>
          <w:szCs w:val="32"/>
        </w:rPr>
        <w:t>结余0万元。</w:t>
      </w:r>
      <w:r>
        <w:rPr>
          <w:rFonts w:hint="eastAsia" w:ascii="仿宋" w:hAnsi="仿宋" w:eastAsia="仿宋" w:cs="仿宋"/>
          <w:b w:val="0"/>
          <w:bCs/>
          <w:color w:val="000000"/>
          <w:sz w:val="32"/>
          <w:szCs w:val="32"/>
          <w:lang w:val="en-US" w:eastAsia="zh-CN"/>
        </w:rPr>
        <w:t>我单位</w:t>
      </w:r>
      <w:r>
        <w:rPr>
          <w:rFonts w:hint="eastAsia" w:ascii="仿宋" w:hAnsi="仿宋" w:eastAsia="仿宋" w:cs="仿宋"/>
          <w:b w:val="0"/>
          <w:bCs/>
          <w:color w:val="000000"/>
          <w:sz w:val="32"/>
          <w:szCs w:val="32"/>
        </w:rPr>
        <w:t>严格按照财政要求，及时地完成单位会计核算并和财政对完账，认真地做好当年部门预算，严格按照资金性质、分功能科目类别、分经济科目、分项目填列，按实际工作开展需要，并经审核。通过对部门预算分析更可以清晰地看到单位资金使用情况，为单位作出决策提供更清晰的数据。</w:t>
      </w:r>
    </w:p>
    <w:p>
      <w:pPr>
        <w:keepNext w:val="0"/>
        <w:keepLines w:val="0"/>
        <w:pageBreakBefore w:val="0"/>
        <w:kinsoku/>
        <w:wordWrap/>
        <w:overflowPunct/>
        <w:topLinePunct w:val="0"/>
        <w:autoSpaceDE/>
        <w:autoSpaceDN/>
        <w:bidi w:val="0"/>
        <w:adjustRightInd/>
        <w:snapToGrid/>
        <w:spacing w:after="200" w:line="580" w:lineRule="exact"/>
        <w:ind w:right="0" w:rightChars="0"/>
        <w:jc w:val="both"/>
        <w:textAlignment w:val="auto"/>
        <w:rPr>
          <w:rFonts w:hint="eastAsia" w:ascii="黑体" w:hAnsi="黑体" w:eastAsia="黑体" w:cs="黑体"/>
          <w:b/>
          <w:bCs w:val="0"/>
          <w:color w:val="000000"/>
          <w:sz w:val="32"/>
          <w:szCs w:val="32"/>
        </w:rPr>
      </w:pPr>
      <w:r>
        <w:rPr>
          <w:rFonts w:hint="eastAsia" w:ascii="黑体" w:hAnsi="黑体" w:eastAsia="黑体" w:cs="黑体"/>
          <w:b/>
          <w:bCs w:val="0"/>
          <w:color w:val="000000"/>
          <w:sz w:val="32"/>
          <w:szCs w:val="32"/>
        </w:rPr>
        <w:t>二、部门（单位）整体支出绩效实现情况</w:t>
      </w:r>
    </w:p>
    <w:p>
      <w:pPr>
        <w:keepNext w:val="0"/>
        <w:keepLines w:val="0"/>
        <w:pageBreakBefore w:val="0"/>
        <w:kinsoku/>
        <w:wordWrap/>
        <w:overflowPunct/>
        <w:topLinePunct w:val="0"/>
        <w:autoSpaceDE/>
        <w:autoSpaceDN/>
        <w:bidi w:val="0"/>
        <w:adjustRightInd/>
        <w:snapToGrid/>
        <w:spacing w:after="200" w:line="580" w:lineRule="exact"/>
        <w:ind w:right="0" w:rightChars="0" w:firstLine="630" w:firstLineChars="196"/>
        <w:textAlignment w:val="auto"/>
        <w:rPr>
          <w:rFonts w:hint="eastAsia" w:ascii="仿宋" w:hAnsi="仿宋" w:eastAsia="仿宋" w:cs="仿宋"/>
          <w:b w:val="0"/>
          <w:bCs/>
          <w:color w:val="000000"/>
          <w:sz w:val="32"/>
          <w:szCs w:val="32"/>
        </w:rPr>
      </w:pPr>
      <w:r>
        <w:rPr>
          <w:rFonts w:hint="eastAsia" w:ascii="仿宋" w:hAnsi="仿宋" w:eastAsia="仿宋" w:cs="仿宋"/>
          <w:b/>
          <w:bCs w:val="0"/>
          <w:color w:val="000000"/>
          <w:sz w:val="32"/>
          <w:szCs w:val="32"/>
        </w:rPr>
        <w:t>（一）履职完成情况：从数量、质量、时效等方面归纳反映年度主要计划任务完成情况</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数量指标：</w:t>
      </w:r>
      <w:r>
        <w:rPr>
          <w:rFonts w:hint="eastAsia" w:ascii="仿宋" w:hAnsi="仿宋" w:eastAsia="仿宋" w:cs="仿宋"/>
          <w:b w:val="0"/>
          <w:bCs/>
          <w:color w:val="000000"/>
          <w:sz w:val="32"/>
          <w:szCs w:val="32"/>
          <w:lang w:val="en-US" w:eastAsia="zh-CN"/>
        </w:rPr>
        <w:t>对</w:t>
      </w:r>
      <w:r>
        <w:rPr>
          <w:rFonts w:hint="eastAsia" w:ascii="仿宋" w:hAnsi="仿宋" w:eastAsia="仿宋" w:cs="仿宋"/>
          <w:b w:val="0"/>
          <w:bCs/>
          <w:color w:val="000000"/>
          <w:sz w:val="32"/>
          <w:szCs w:val="32"/>
        </w:rPr>
        <w:t>城市低保对象1239户1840人</w:t>
      </w:r>
      <w:r>
        <w:rPr>
          <w:rFonts w:hint="eastAsia" w:ascii="仿宋" w:hAnsi="仿宋" w:eastAsia="仿宋" w:cs="仿宋"/>
          <w:b w:val="0"/>
          <w:bCs/>
          <w:color w:val="000000"/>
          <w:sz w:val="32"/>
          <w:szCs w:val="32"/>
          <w:lang w:val="en-US" w:eastAsia="zh-CN"/>
        </w:rPr>
        <w:t>发放低保金</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对</w:t>
      </w:r>
      <w:r>
        <w:rPr>
          <w:rFonts w:hint="eastAsia" w:ascii="仿宋" w:hAnsi="仿宋" w:eastAsia="仿宋" w:cs="仿宋"/>
          <w:b w:val="0"/>
          <w:bCs/>
          <w:color w:val="000000"/>
          <w:sz w:val="32"/>
          <w:szCs w:val="32"/>
        </w:rPr>
        <w:t>特困供养对象103人</w:t>
      </w:r>
      <w:r>
        <w:rPr>
          <w:rFonts w:hint="eastAsia" w:ascii="仿宋" w:hAnsi="仿宋" w:eastAsia="仿宋" w:cs="仿宋"/>
          <w:b w:val="0"/>
          <w:bCs/>
          <w:color w:val="000000"/>
          <w:sz w:val="32"/>
          <w:szCs w:val="32"/>
          <w:lang w:val="en-US" w:eastAsia="zh-CN"/>
        </w:rPr>
        <w:t>发放</w:t>
      </w:r>
      <w:r>
        <w:rPr>
          <w:rFonts w:hint="eastAsia" w:ascii="仿宋" w:hAnsi="仿宋" w:eastAsia="仿宋" w:cs="仿宋"/>
          <w:b w:val="0"/>
          <w:bCs/>
          <w:color w:val="000000"/>
          <w:sz w:val="32"/>
          <w:szCs w:val="32"/>
        </w:rPr>
        <w:t>特困供养金、特困人员护理补贴</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对</w:t>
      </w:r>
      <w:r>
        <w:rPr>
          <w:rFonts w:hint="eastAsia" w:ascii="仿宋" w:hAnsi="仿宋" w:eastAsia="仿宋" w:cs="仿宋"/>
          <w:b w:val="0"/>
          <w:bCs/>
          <w:color w:val="000000"/>
          <w:sz w:val="32"/>
          <w:szCs w:val="32"/>
        </w:rPr>
        <w:t>407人次纳入临时救助</w:t>
      </w:r>
      <w:r>
        <w:rPr>
          <w:rFonts w:hint="eastAsia" w:ascii="仿宋" w:hAnsi="仿宋" w:eastAsia="仿宋" w:cs="仿宋"/>
          <w:b w:val="0"/>
          <w:bCs/>
          <w:color w:val="000000"/>
          <w:sz w:val="32"/>
          <w:szCs w:val="32"/>
          <w:lang w:eastAsia="zh-CN"/>
        </w:rPr>
        <w:t>。</w:t>
      </w:r>
    </w:p>
    <w:p>
      <w:pPr>
        <w:keepNext w:val="0"/>
        <w:keepLines w:val="0"/>
        <w:pageBreakBefore w:val="0"/>
        <w:widowControl/>
        <w:tabs>
          <w:tab w:val="left" w:pos="312"/>
        </w:tabs>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rPr>
        <w:t>质量指标：</w:t>
      </w:r>
      <w:r>
        <w:rPr>
          <w:rFonts w:hint="eastAsia" w:ascii="仿宋" w:hAnsi="仿宋" w:eastAsia="仿宋" w:cs="仿宋"/>
          <w:b w:val="0"/>
          <w:bCs/>
          <w:color w:val="000000"/>
          <w:sz w:val="32"/>
          <w:szCs w:val="32"/>
          <w:shd w:val="clear" w:color="auto" w:fill="FFFFFF"/>
        </w:rPr>
        <w:t>社区邻里中心建设工程</w:t>
      </w:r>
      <w:r>
        <w:rPr>
          <w:rFonts w:hint="eastAsia" w:ascii="仿宋" w:hAnsi="仿宋" w:eastAsia="仿宋" w:cs="仿宋"/>
          <w:b w:val="0"/>
          <w:bCs/>
          <w:color w:val="000000"/>
          <w:sz w:val="32"/>
          <w:szCs w:val="32"/>
          <w:shd w:val="clear" w:color="auto" w:fill="FFFFFF"/>
          <w:lang w:eastAsia="zh-CN"/>
        </w:rPr>
        <w:t>、</w:t>
      </w:r>
      <w:r>
        <w:rPr>
          <w:rFonts w:hint="eastAsia" w:ascii="仿宋" w:hAnsi="仿宋" w:eastAsia="仿宋" w:cs="仿宋"/>
          <w:b w:val="0"/>
          <w:bCs/>
          <w:color w:val="000000"/>
          <w:sz w:val="32"/>
          <w:szCs w:val="32"/>
          <w:shd w:val="clear" w:color="auto" w:fill="FFFFFF"/>
        </w:rPr>
        <w:t>“两委”换届选举</w:t>
      </w:r>
      <w:r>
        <w:rPr>
          <w:rFonts w:hint="eastAsia" w:ascii="仿宋" w:hAnsi="仿宋" w:eastAsia="仿宋" w:cs="仿宋"/>
          <w:b w:val="0"/>
          <w:bCs/>
          <w:color w:val="000000"/>
          <w:sz w:val="32"/>
          <w:szCs w:val="32"/>
          <w:shd w:val="clear" w:color="auto" w:fill="FFFFFF"/>
          <w:lang w:eastAsia="zh-CN"/>
        </w:rPr>
        <w:t>、</w:t>
      </w:r>
      <w:r>
        <w:rPr>
          <w:rFonts w:hint="eastAsia" w:ascii="仿宋" w:hAnsi="仿宋" w:eastAsia="仿宋" w:cs="仿宋"/>
          <w:b w:val="0"/>
          <w:bCs/>
          <w:color w:val="000000"/>
          <w:spacing w:val="3"/>
          <w:sz w:val="32"/>
          <w:szCs w:val="32"/>
          <w:shd w:val="clear" w:color="auto" w:fill="FFFFFF"/>
        </w:rPr>
        <w:t>“两委”干部培训</w:t>
      </w:r>
      <w:r>
        <w:rPr>
          <w:rFonts w:hint="eastAsia" w:ascii="仿宋" w:hAnsi="仿宋" w:eastAsia="仿宋" w:cs="仿宋"/>
          <w:b w:val="0"/>
          <w:bCs/>
          <w:color w:val="000000"/>
          <w:spacing w:val="3"/>
          <w:sz w:val="32"/>
          <w:szCs w:val="32"/>
          <w:shd w:val="clear" w:color="auto" w:fill="FFFFFF"/>
          <w:lang w:eastAsia="zh-CN"/>
        </w:rPr>
        <w:t>、</w:t>
      </w:r>
      <w:r>
        <w:rPr>
          <w:rFonts w:hint="eastAsia" w:ascii="仿宋" w:hAnsi="仿宋" w:eastAsia="仿宋" w:cs="仿宋"/>
          <w:b w:val="0"/>
          <w:bCs/>
          <w:color w:val="000000"/>
          <w:sz w:val="32"/>
          <w:szCs w:val="32"/>
          <w:lang w:val="zh-TW"/>
        </w:rPr>
        <w:t>“江西最美城乡社区工作者”评选活动</w:t>
      </w:r>
      <w:r>
        <w:rPr>
          <w:rFonts w:hint="eastAsia" w:ascii="仿宋" w:hAnsi="仿宋" w:eastAsia="仿宋" w:cs="仿宋"/>
          <w:b w:val="0"/>
          <w:bCs/>
          <w:color w:val="000000"/>
          <w:sz w:val="32"/>
          <w:szCs w:val="32"/>
          <w:lang w:val="zh-TW" w:eastAsia="zh-CN"/>
        </w:rPr>
        <w:t>、</w:t>
      </w:r>
      <w:r>
        <w:rPr>
          <w:rFonts w:hint="eastAsia" w:ascii="仿宋" w:hAnsi="仿宋" w:eastAsia="仿宋" w:cs="仿宋"/>
          <w:b w:val="0"/>
          <w:bCs/>
          <w:color w:val="000000"/>
          <w:spacing w:val="9"/>
          <w:sz w:val="32"/>
          <w:szCs w:val="32"/>
          <w:shd w:val="clear" w:color="auto" w:fill="FFFFFF"/>
        </w:rPr>
        <w:t>“</w:t>
      </w:r>
      <w:r>
        <w:rPr>
          <w:rFonts w:hint="eastAsia" w:ascii="仿宋" w:hAnsi="仿宋" w:eastAsia="仿宋" w:cs="仿宋"/>
          <w:b w:val="0"/>
          <w:bCs/>
          <w:color w:val="000000"/>
          <w:kern w:val="0"/>
          <w:sz w:val="32"/>
          <w:szCs w:val="32"/>
        </w:rPr>
        <w:t>绿色社区 美丽家园”创建</w:t>
      </w:r>
      <w:r>
        <w:rPr>
          <w:rFonts w:hint="eastAsia" w:ascii="仿宋" w:hAnsi="仿宋" w:eastAsia="仿宋" w:cs="仿宋"/>
          <w:b w:val="0"/>
          <w:bCs/>
          <w:color w:val="000000"/>
          <w:spacing w:val="9"/>
          <w:sz w:val="32"/>
          <w:szCs w:val="32"/>
          <w:shd w:val="clear" w:color="auto" w:fill="FFFFFF"/>
        </w:rPr>
        <w:t>现场考核</w:t>
      </w:r>
      <w:r>
        <w:rPr>
          <w:rFonts w:hint="eastAsia" w:ascii="仿宋" w:hAnsi="仿宋" w:eastAsia="仿宋" w:cs="仿宋"/>
          <w:b w:val="0"/>
          <w:bCs/>
          <w:color w:val="000000"/>
          <w:spacing w:val="9"/>
          <w:sz w:val="32"/>
          <w:szCs w:val="32"/>
          <w:shd w:val="clear" w:color="auto" w:fill="FFFFFF"/>
          <w:lang w:eastAsia="zh-CN"/>
        </w:rPr>
        <w:t>，</w:t>
      </w:r>
      <w:r>
        <w:rPr>
          <w:rFonts w:hint="eastAsia" w:ascii="仿宋" w:hAnsi="仿宋" w:eastAsia="仿宋" w:cs="仿宋"/>
          <w:b w:val="0"/>
          <w:bCs/>
          <w:color w:val="000000"/>
          <w:spacing w:val="9"/>
          <w:sz w:val="32"/>
          <w:szCs w:val="32"/>
          <w:shd w:val="clear" w:color="auto" w:fill="FFFFFF"/>
          <w:lang w:val="en-US" w:eastAsia="zh-CN"/>
        </w:rPr>
        <w:t>及</w:t>
      </w:r>
      <w:r>
        <w:rPr>
          <w:rFonts w:hint="eastAsia" w:ascii="仿宋" w:hAnsi="仿宋" w:eastAsia="仿宋" w:cs="仿宋"/>
          <w:b w:val="0"/>
          <w:bCs/>
          <w:color w:val="000000"/>
          <w:sz w:val="32"/>
          <w:szCs w:val="32"/>
        </w:rPr>
        <w:t>“三化”建设</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打击非法社会组织</w:t>
      </w:r>
      <w:r>
        <w:rPr>
          <w:rFonts w:hint="eastAsia" w:ascii="仿宋" w:hAnsi="仿宋" w:eastAsia="仿宋" w:cs="仿宋"/>
          <w:b w:val="0"/>
          <w:bCs/>
          <w:color w:val="000000"/>
          <w:sz w:val="32"/>
          <w:szCs w:val="32"/>
          <w:lang w:val="en-US" w:eastAsia="zh-CN"/>
        </w:rPr>
        <w:t>等均取得成效，完成了上级下达的指标任务。</w:t>
      </w:r>
    </w:p>
    <w:p>
      <w:pPr>
        <w:keepNext w:val="0"/>
        <w:keepLines w:val="0"/>
        <w:pageBreakBefore w:val="0"/>
        <w:kinsoku/>
        <w:wordWrap/>
        <w:overflowPunct/>
        <w:topLinePunct w:val="0"/>
        <w:autoSpaceDE/>
        <w:autoSpaceDN/>
        <w:bidi w:val="0"/>
        <w:adjustRightInd/>
        <w:snapToGrid/>
        <w:spacing w:after="200" w:line="580" w:lineRule="exact"/>
        <w:ind w:right="0" w:rightChars="0" w:firstLine="627" w:firstLineChars="196"/>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rPr>
        <w:t>时效指标：各类救助资金当月审批发放，各项救助金准确及时发放到困难群众手中。临时救助更加救急化。</w:t>
      </w:r>
    </w:p>
    <w:p>
      <w:pPr>
        <w:keepNext w:val="0"/>
        <w:keepLines w:val="0"/>
        <w:pageBreakBefore w:val="0"/>
        <w:kinsoku/>
        <w:wordWrap/>
        <w:overflowPunct/>
        <w:topLinePunct w:val="0"/>
        <w:autoSpaceDE/>
        <w:autoSpaceDN/>
        <w:bidi w:val="0"/>
        <w:adjustRightInd/>
        <w:snapToGrid/>
        <w:spacing w:after="200" w:line="580" w:lineRule="exact"/>
        <w:ind w:right="0" w:rightChars="0" w:firstLine="630" w:firstLineChars="196"/>
        <w:textAlignment w:val="auto"/>
        <w:rPr>
          <w:rFonts w:hint="eastAsia" w:ascii="仿宋" w:hAnsi="仿宋" w:eastAsia="仿宋" w:cs="仿宋"/>
          <w:b w:val="0"/>
          <w:bCs/>
          <w:color w:val="000000"/>
          <w:sz w:val="32"/>
          <w:szCs w:val="32"/>
        </w:rPr>
      </w:pPr>
      <w:r>
        <w:rPr>
          <w:rFonts w:hint="eastAsia" w:ascii="仿宋" w:hAnsi="仿宋" w:eastAsia="仿宋" w:cs="仿宋"/>
          <w:b/>
          <w:bCs w:val="0"/>
          <w:color w:val="000000"/>
          <w:sz w:val="32"/>
          <w:szCs w:val="32"/>
        </w:rPr>
        <w:t>（二）履职效果情况：从社会效益、经济效益（如有）、生态效益（如有）等方面反映部门（单位）履职效果的现情况</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经济效益：</w:t>
      </w:r>
      <w:r>
        <w:rPr>
          <w:rFonts w:hint="eastAsia" w:ascii="仿宋" w:hAnsi="仿宋" w:eastAsia="仿宋" w:cs="仿宋"/>
          <w:b w:val="0"/>
          <w:bCs/>
          <w:color w:val="000000"/>
          <w:sz w:val="32"/>
          <w:szCs w:val="32"/>
          <w:lang w:val="en-US" w:eastAsia="zh-CN"/>
        </w:rPr>
        <w:t>无经济效益。安排</w:t>
      </w:r>
      <w:r>
        <w:rPr>
          <w:rFonts w:hint="eastAsia" w:ascii="仿宋" w:hAnsi="仿宋" w:eastAsia="仿宋" w:cs="仿宋"/>
          <w:b w:val="0"/>
          <w:bCs/>
          <w:color w:val="000000"/>
          <w:sz w:val="32"/>
          <w:szCs w:val="32"/>
        </w:rPr>
        <w:t>资金执行率达100%。</w:t>
      </w:r>
    </w:p>
    <w:p>
      <w:pPr>
        <w:keepNext w:val="0"/>
        <w:keepLines w:val="0"/>
        <w:pageBreakBefore w:val="0"/>
        <w:kinsoku/>
        <w:wordWrap/>
        <w:overflowPunct/>
        <w:topLinePunct w:val="0"/>
        <w:autoSpaceDE/>
        <w:autoSpaceDN/>
        <w:bidi w:val="0"/>
        <w:adjustRightInd/>
        <w:snapToGrid/>
        <w:spacing w:after="200" w:line="580" w:lineRule="exact"/>
        <w:ind w:right="0" w:rightChars="0" w:firstLine="627" w:firstLineChars="196"/>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rPr>
        <w:t>社会效益：推进居家站点建设，提升养老服务水平。</w:t>
      </w:r>
    </w:p>
    <w:p>
      <w:pPr>
        <w:keepNext w:val="0"/>
        <w:keepLines w:val="0"/>
        <w:pageBreakBefore w:val="0"/>
        <w:kinsoku/>
        <w:wordWrap/>
        <w:overflowPunct/>
        <w:topLinePunct w:val="0"/>
        <w:autoSpaceDE/>
        <w:autoSpaceDN/>
        <w:bidi w:val="0"/>
        <w:adjustRightInd/>
        <w:snapToGrid/>
        <w:spacing w:after="200" w:line="580" w:lineRule="exact"/>
        <w:ind w:right="0" w:rightChars="0" w:firstLine="627" w:firstLineChars="196"/>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rPr>
        <w:t>生态效益：无新增坟墓和骨灰装棺再葬现象。</w:t>
      </w:r>
    </w:p>
    <w:p>
      <w:pPr>
        <w:keepNext w:val="0"/>
        <w:keepLines w:val="0"/>
        <w:pageBreakBefore w:val="0"/>
        <w:kinsoku/>
        <w:wordWrap/>
        <w:overflowPunct/>
        <w:topLinePunct w:val="0"/>
        <w:autoSpaceDE/>
        <w:autoSpaceDN/>
        <w:bidi w:val="0"/>
        <w:adjustRightInd/>
        <w:snapToGrid/>
        <w:spacing w:after="200" w:line="580" w:lineRule="exact"/>
        <w:ind w:right="0" w:rightChars="0" w:firstLine="630" w:firstLineChars="196"/>
        <w:textAlignment w:val="auto"/>
        <w:rPr>
          <w:rFonts w:hint="eastAsia" w:ascii="仿宋" w:hAnsi="仿宋" w:eastAsia="仿宋" w:cs="仿宋"/>
          <w:b w:val="0"/>
          <w:bCs/>
          <w:color w:val="000000"/>
          <w:sz w:val="32"/>
          <w:szCs w:val="32"/>
        </w:rPr>
      </w:pPr>
      <w:r>
        <w:rPr>
          <w:rFonts w:hint="eastAsia" w:ascii="仿宋" w:hAnsi="仿宋" w:eastAsia="仿宋" w:cs="仿宋"/>
          <w:b/>
          <w:bCs w:val="0"/>
          <w:color w:val="000000"/>
          <w:sz w:val="32"/>
          <w:szCs w:val="32"/>
        </w:rPr>
        <w:t>（三）社会满意度及可持续性影响（如有）</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服务对象满意度高。</w:t>
      </w:r>
    </w:p>
    <w:p>
      <w:pPr>
        <w:keepNext w:val="0"/>
        <w:keepLines w:val="0"/>
        <w:pageBreakBefore w:val="0"/>
        <w:kinsoku/>
        <w:wordWrap/>
        <w:overflowPunct/>
        <w:topLinePunct w:val="0"/>
        <w:autoSpaceDE/>
        <w:autoSpaceDN/>
        <w:bidi w:val="0"/>
        <w:adjustRightInd/>
        <w:snapToGrid/>
        <w:spacing w:after="200" w:line="580" w:lineRule="exact"/>
        <w:ind w:right="0" w:rightChars="0"/>
        <w:textAlignment w:val="auto"/>
        <w:rPr>
          <w:rFonts w:hint="eastAsia" w:ascii="黑体" w:hAnsi="黑体" w:eastAsia="黑体" w:cs="黑体"/>
          <w:b/>
          <w:bCs w:val="0"/>
          <w:color w:val="000000"/>
          <w:sz w:val="32"/>
          <w:szCs w:val="32"/>
        </w:rPr>
      </w:pPr>
      <w:r>
        <w:rPr>
          <w:rFonts w:hint="eastAsia" w:ascii="黑体" w:hAnsi="黑体" w:eastAsia="黑体" w:cs="黑体"/>
          <w:b/>
          <w:bCs w:val="0"/>
          <w:color w:val="000000"/>
          <w:sz w:val="32"/>
          <w:szCs w:val="32"/>
        </w:rPr>
        <w:t>三、部门整体支出绩效中存在问题及改进措施</w:t>
      </w:r>
    </w:p>
    <w:p>
      <w:pPr>
        <w:keepNext w:val="0"/>
        <w:keepLines w:val="0"/>
        <w:pageBreakBefore w:val="0"/>
        <w:kinsoku/>
        <w:wordWrap/>
        <w:overflowPunct/>
        <w:topLinePunct w:val="0"/>
        <w:autoSpaceDE/>
        <w:autoSpaceDN/>
        <w:bidi w:val="0"/>
        <w:adjustRightInd/>
        <w:snapToGrid/>
        <w:spacing w:after="200" w:line="580" w:lineRule="exact"/>
        <w:ind w:right="0" w:rightChars="0" w:firstLine="630" w:firstLineChars="196"/>
        <w:textAlignment w:val="auto"/>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（一）主要问题及原因分析</w:t>
      </w:r>
    </w:p>
    <w:p>
      <w:pPr>
        <w:keepNext w:val="0"/>
        <w:keepLines w:val="0"/>
        <w:pageBreakBefore w:val="0"/>
        <w:kinsoku/>
        <w:wordWrap/>
        <w:overflowPunct/>
        <w:topLinePunct w:val="0"/>
        <w:autoSpaceDE/>
        <w:autoSpaceDN/>
        <w:bidi w:val="0"/>
        <w:adjustRightInd/>
        <w:snapToGrid/>
        <w:spacing w:after="200" w:line="580" w:lineRule="exact"/>
        <w:ind w:right="0" w:rightChars="0" w:firstLine="627" w:firstLineChars="196"/>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1.预算编制工作有待细化。预算编制不够明确和细化，预算编制的合理性需要提高。预算执行力度还要进一步加强。</w:t>
      </w:r>
    </w:p>
    <w:p>
      <w:pPr>
        <w:keepNext w:val="0"/>
        <w:keepLines w:val="0"/>
        <w:pageBreakBefore w:val="0"/>
        <w:kinsoku/>
        <w:wordWrap/>
        <w:overflowPunct/>
        <w:topLinePunct w:val="0"/>
        <w:autoSpaceDE/>
        <w:autoSpaceDN/>
        <w:bidi w:val="0"/>
        <w:adjustRightInd/>
        <w:snapToGrid/>
        <w:spacing w:after="200" w:line="580" w:lineRule="exact"/>
        <w:ind w:right="0" w:rightChars="0" w:firstLine="627" w:firstLineChars="196"/>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2.公用经费预算不够合理，要进一步加强预算的精准性。</w:t>
      </w:r>
    </w:p>
    <w:p>
      <w:pPr>
        <w:keepNext w:val="0"/>
        <w:keepLines w:val="0"/>
        <w:pageBreakBefore w:val="0"/>
        <w:kinsoku/>
        <w:wordWrap/>
        <w:overflowPunct/>
        <w:topLinePunct w:val="0"/>
        <w:autoSpaceDE/>
        <w:autoSpaceDN/>
        <w:bidi w:val="0"/>
        <w:adjustRightInd/>
        <w:snapToGrid/>
        <w:spacing w:after="200" w:line="580" w:lineRule="exact"/>
        <w:ind w:right="0" w:rightChars="0" w:firstLine="630" w:firstLineChars="196"/>
        <w:textAlignment w:val="auto"/>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（二）改进的方向和具体措施</w:t>
      </w:r>
    </w:p>
    <w:p>
      <w:pPr>
        <w:keepNext w:val="0"/>
        <w:keepLines w:val="0"/>
        <w:pageBreakBefore w:val="0"/>
        <w:kinsoku/>
        <w:wordWrap/>
        <w:overflowPunct/>
        <w:topLinePunct w:val="0"/>
        <w:autoSpaceDE/>
        <w:autoSpaceDN/>
        <w:bidi w:val="0"/>
        <w:adjustRightInd/>
        <w:snapToGrid/>
        <w:spacing w:after="200" w:line="580" w:lineRule="exact"/>
        <w:ind w:right="0" w:rightChars="0" w:firstLine="627" w:firstLineChars="196"/>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1.细化预算编制，严格预算执行。进一步加强单位内部机构各科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严格预算执行，提高预算执行率。</w:t>
      </w:r>
    </w:p>
    <w:p>
      <w:pPr>
        <w:keepNext w:val="0"/>
        <w:keepLines w:val="0"/>
        <w:pageBreakBefore w:val="0"/>
        <w:kinsoku/>
        <w:wordWrap/>
        <w:overflowPunct/>
        <w:topLinePunct w:val="0"/>
        <w:autoSpaceDE/>
        <w:autoSpaceDN/>
        <w:bidi w:val="0"/>
        <w:adjustRightInd/>
        <w:snapToGrid/>
        <w:spacing w:after="200" w:line="580" w:lineRule="exact"/>
        <w:ind w:right="0" w:rightChars="0" w:firstLine="627" w:firstLineChars="196"/>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2.提高预算执行率。加快基建项目工程进度，合理规划，及时支付结算相关单位的往来资金。</w:t>
      </w:r>
    </w:p>
    <w:p>
      <w:pPr>
        <w:keepNext w:val="0"/>
        <w:keepLines w:val="0"/>
        <w:pageBreakBefore w:val="0"/>
        <w:kinsoku/>
        <w:wordWrap/>
        <w:overflowPunct/>
        <w:topLinePunct w:val="0"/>
        <w:autoSpaceDE/>
        <w:autoSpaceDN/>
        <w:bidi w:val="0"/>
        <w:adjustRightInd/>
        <w:snapToGrid/>
        <w:spacing w:after="200" w:line="580" w:lineRule="exact"/>
        <w:ind w:right="0" w:rightChars="0"/>
        <w:jc w:val="left"/>
        <w:textAlignment w:val="auto"/>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四、绩效自评结果拟应用和公开情况</w:t>
      </w:r>
    </w:p>
    <w:p>
      <w:pPr>
        <w:keepNext w:val="0"/>
        <w:keepLines w:val="0"/>
        <w:pageBreakBefore w:val="0"/>
        <w:kinsoku/>
        <w:wordWrap/>
        <w:overflowPunct/>
        <w:topLinePunct w:val="0"/>
        <w:autoSpaceDE/>
        <w:autoSpaceDN/>
        <w:bidi w:val="0"/>
        <w:adjustRightInd/>
        <w:snapToGrid/>
        <w:spacing w:after="200" w:line="580" w:lineRule="exact"/>
        <w:ind w:right="0" w:rightChars="0" w:firstLine="640" w:firstLineChars="20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绩效自评结果列入部门人员绩效考核标准，将按照财政规定公开</w:t>
      </w:r>
    </w:p>
    <w:p>
      <w:pPr>
        <w:keepNext w:val="0"/>
        <w:keepLines w:val="0"/>
        <w:pageBreakBefore w:val="0"/>
        <w:kinsoku/>
        <w:wordWrap/>
        <w:overflowPunct/>
        <w:topLinePunct w:val="0"/>
        <w:autoSpaceDE/>
        <w:autoSpaceDN/>
        <w:bidi w:val="0"/>
        <w:spacing w:after="200" w:line="580" w:lineRule="exact"/>
        <w:ind w:right="0" w:rightChars="0"/>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after="200" w:line="580" w:lineRule="exact"/>
        <w:ind w:right="0" w:rightChars="0" w:firstLine="640" w:firstLineChars="200"/>
        <w:jc w:val="left"/>
        <w:textAlignment w:val="auto"/>
        <w:outlineLvl w:val="9"/>
        <w:rPr>
          <w:rFonts w:hint="eastAsia" w:ascii="仿宋_GB2312" w:hAnsi="仿宋_GB2312" w:eastAsia="仿宋_GB2312" w:cs="仿宋_GB2312"/>
          <w:color w:val="000000" w:themeColor="text1"/>
          <w:sz w:val="32"/>
          <w:szCs w:val="32"/>
        </w:rPr>
      </w:pPr>
    </w:p>
    <w:sectPr>
      <w:footerReference r:id="rId6" w:type="default"/>
      <w:footerReference r:id="rId7" w:type="even"/>
      <w:pgSz w:w="11850" w:h="16783"/>
      <w:pgMar w:top="1701" w:right="1417" w:bottom="1417" w:left="1417"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5121" o:spid="_x0000_s5121" o:spt="202" type="#_x0000_t202" style="position:absolute;left:0pt;margin-left:467.3pt;margin-top:779.2pt;height:15.3pt;width:44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18</w:t>
                </w:r>
                <w:r>
                  <w:fldChar w:fldCharType="end"/>
                </w:r>
                <w:r>
                  <w:rPr>
                    <w:rFonts w:ascii="Times New Roman" w:hAnsi="Times New Roman"/>
                    <w:sz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5123" o:spid="_x0000_s5123" o:spt="202" type="#_x0000_t202" style="position:absolute;left:0pt;margin-left:467.3pt;margin-top:779.2pt;height:15.3pt;width:44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5"/>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WE4MzBjZDRmZTQyOGM2MThmM2E3YWMwMzE1Y2UxNzAifQ=="/>
  </w:docVars>
  <w:rsids>
    <w:rsidRoot w:val="00D31D50"/>
    <w:rsid w:val="00021171"/>
    <w:rsid w:val="00251412"/>
    <w:rsid w:val="00323B43"/>
    <w:rsid w:val="003738F1"/>
    <w:rsid w:val="003D37D8"/>
    <w:rsid w:val="00425B56"/>
    <w:rsid w:val="00426133"/>
    <w:rsid w:val="004358AB"/>
    <w:rsid w:val="005E3E79"/>
    <w:rsid w:val="008B7726"/>
    <w:rsid w:val="00991CA5"/>
    <w:rsid w:val="00A02761"/>
    <w:rsid w:val="00BD0F41"/>
    <w:rsid w:val="00BE2874"/>
    <w:rsid w:val="00D31D50"/>
    <w:rsid w:val="00DC6825"/>
    <w:rsid w:val="00DE428A"/>
    <w:rsid w:val="00DF1BA6"/>
    <w:rsid w:val="00E80D9E"/>
    <w:rsid w:val="011A5209"/>
    <w:rsid w:val="01240C4B"/>
    <w:rsid w:val="018A1D27"/>
    <w:rsid w:val="024655BD"/>
    <w:rsid w:val="033C5415"/>
    <w:rsid w:val="03BB1CA3"/>
    <w:rsid w:val="078A4856"/>
    <w:rsid w:val="09544990"/>
    <w:rsid w:val="095A364F"/>
    <w:rsid w:val="0A363A0D"/>
    <w:rsid w:val="0E7B2695"/>
    <w:rsid w:val="10352D96"/>
    <w:rsid w:val="10384F69"/>
    <w:rsid w:val="105F1A0E"/>
    <w:rsid w:val="15EF6BAD"/>
    <w:rsid w:val="16223AD6"/>
    <w:rsid w:val="18194843"/>
    <w:rsid w:val="18B35BFD"/>
    <w:rsid w:val="19D210C7"/>
    <w:rsid w:val="1B425E5C"/>
    <w:rsid w:val="1DDC45DC"/>
    <w:rsid w:val="1FF62E4C"/>
    <w:rsid w:val="22BE72F7"/>
    <w:rsid w:val="231C116D"/>
    <w:rsid w:val="23685584"/>
    <w:rsid w:val="23D06BF7"/>
    <w:rsid w:val="25D16BAB"/>
    <w:rsid w:val="284A3BEC"/>
    <w:rsid w:val="29DE55C8"/>
    <w:rsid w:val="2AA6228E"/>
    <w:rsid w:val="2B735B62"/>
    <w:rsid w:val="2EAA36D4"/>
    <w:rsid w:val="2F793A6D"/>
    <w:rsid w:val="2FE7338B"/>
    <w:rsid w:val="30EE5707"/>
    <w:rsid w:val="33C630FC"/>
    <w:rsid w:val="34B74459"/>
    <w:rsid w:val="358C524C"/>
    <w:rsid w:val="37B25B24"/>
    <w:rsid w:val="380E6878"/>
    <w:rsid w:val="390716C9"/>
    <w:rsid w:val="39310BBD"/>
    <w:rsid w:val="3B154312"/>
    <w:rsid w:val="3CF309F4"/>
    <w:rsid w:val="3DD20AB4"/>
    <w:rsid w:val="3DF13235"/>
    <w:rsid w:val="4057119A"/>
    <w:rsid w:val="41C153D9"/>
    <w:rsid w:val="43F252F7"/>
    <w:rsid w:val="464B0D84"/>
    <w:rsid w:val="480C5F8D"/>
    <w:rsid w:val="483B64A9"/>
    <w:rsid w:val="4B687853"/>
    <w:rsid w:val="4CE35584"/>
    <w:rsid w:val="525C147A"/>
    <w:rsid w:val="553C0627"/>
    <w:rsid w:val="591434AF"/>
    <w:rsid w:val="59B8119A"/>
    <w:rsid w:val="5A256AE6"/>
    <w:rsid w:val="5A7339B5"/>
    <w:rsid w:val="5A9647E3"/>
    <w:rsid w:val="5B787EC1"/>
    <w:rsid w:val="5BBF59AD"/>
    <w:rsid w:val="5BC7472C"/>
    <w:rsid w:val="60135474"/>
    <w:rsid w:val="61532889"/>
    <w:rsid w:val="62AB61B1"/>
    <w:rsid w:val="62ED0A06"/>
    <w:rsid w:val="642D71AC"/>
    <w:rsid w:val="64356B1D"/>
    <w:rsid w:val="64FF7505"/>
    <w:rsid w:val="692F5018"/>
    <w:rsid w:val="6BF45887"/>
    <w:rsid w:val="6C443EFA"/>
    <w:rsid w:val="6CA517A7"/>
    <w:rsid w:val="6DA95339"/>
    <w:rsid w:val="6E4B5EF5"/>
    <w:rsid w:val="701B790D"/>
    <w:rsid w:val="71251B24"/>
    <w:rsid w:val="76332F7F"/>
    <w:rsid w:val="76FB6DB3"/>
    <w:rsid w:val="78CE4F69"/>
    <w:rsid w:val="79973A09"/>
    <w:rsid w:val="7A7810DF"/>
    <w:rsid w:val="7BC33B14"/>
    <w:rsid w:val="7BF4239B"/>
    <w:rsid w:val="7DF6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unhideWhenUsed/>
    <w:uiPriority w:val="99"/>
    <w:pPr>
      <w:ind w:left="420" w:leftChars="200"/>
    </w:pPr>
  </w:style>
  <w:style w:type="paragraph" w:styleId="3">
    <w:name w:val="Body Text"/>
    <w:basedOn w:val="1"/>
    <w:link w:val="12"/>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4">
    <w:name w:val="Balloon Text"/>
    <w:basedOn w:val="1"/>
    <w:link w:val="17"/>
    <w:unhideWhenUsed/>
    <w:qFormat/>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5">
    <w:name w:val="footer"/>
    <w:basedOn w:val="1"/>
    <w:link w:val="10"/>
    <w:unhideWhenUsed/>
    <w:uiPriority w:val="99"/>
    <w:pPr>
      <w:tabs>
        <w:tab w:val="center" w:pos="4153"/>
        <w:tab w:val="right" w:pos="8306"/>
      </w:tabs>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qFormat/>
    <w:uiPriority w:val="99"/>
    <w:rPr>
      <w:rFonts w:ascii="Tahoma" w:hAnsi="Tahoma"/>
      <w:sz w:val="18"/>
      <w:szCs w:val="18"/>
    </w:rPr>
  </w:style>
  <w:style w:type="character" w:customStyle="1" w:styleId="10">
    <w:name w:val="页脚 Char"/>
    <w:basedOn w:val="8"/>
    <w:link w:val="5"/>
    <w:semiHidden/>
    <w:uiPriority w:val="99"/>
    <w:rPr>
      <w:rFonts w:ascii="Tahoma" w:hAnsi="Tahoma"/>
      <w:sz w:val="18"/>
      <w:szCs w:val="18"/>
    </w:rPr>
  </w:style>
  <w:style w:type="table" w:customStyle="1" w:styleId="11">
    <w:name w:val="Table Normal"/>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2">
    <w:name w:val="正文文本 Char"/>
    <w:basedOn w:val="8"/>
    <w:link w:val="3"/>
    <w:uiPriority w:val="1"/>
    <w:rPr>
      <w:rFonts w:ascii="宋体" w:hAnsi="宋体" w:eastAsia="宋体" w:cs="宋体"/>
      <w:sz w:val="32"/>
      <w:szCs w:val="32"/>
      <w:lang w:val="zh-CN" w:bidi="zh-CN"/>
    </w:rPr>
  </w:style>
  <w:style w:type="paragraph" w:customStyle="1" w:styleId="13">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4">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customStyle="1" w:styleId="15">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6">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7">
    <w:name w:val="批注框文本 Char"/>
    <w:basedOn w:val="8"/>
    <w:link w:val="4"/>
    <w:semiHidden/>
    <w:qFormat/>
    <w:uiPriority w:val="99"/>
    <w:rPr>
      <w:rFonts w:ascii="宋体" w:hAnsi="宋体" w:eastAsia="宋体" w:cs="宋体"/>
      <w:sz w:val="18"/>
      <w:szCs w:val="18"/>
      <w:lang w:val="zh-CN" w:bidi="zh-CN"/>
    </w:rPr>
  </w:style>
  <w:style w:type="character" w:customStyle="1" w:styleId="18">
    <w:name w:val="font01"/>
    <w:basedOn w:val="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5121"/>
    <customShpInfo spid="_x0000_s512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7906</Words>
  <Characters>8272</Characters>
  <Lines>53</Lines>
  <Paragraphs>15</Paragraphs>
  <TotalTime>0</TotalTime>
  <ScaleCrop>false</ScaleCrop>
  <LinksUpToDate>false</LinksUpToDate>
  <CharactersWithSpaces>8336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48610</dc:creator>
  <cp:lastModifiedBy>Administrator</cp:lastModifiedBy>
  <dcterms:modified xsi:type="dcterms:W3CDTF">2022-10-21T07:01:54Z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C877882733554CD89ABBF92F47F4DC20</vt:lpwstr>
  </property>
</Properties>
</file>