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南昌市青云谱区科技和工业信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息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化</w:t>
      </w:r>
      <w:r>
        <w:rPr>
          <w:rFonts w:hint="eastAsia" w:ascii="宋体" w:hAnsi="宋体" w:eastAsia="宋体" w:cs="宋体"/>
          <w:b/>
          <w:bCs/>
          <w:color w:val="000000"/>
          <w:spacing w:val="-17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年度部门决算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color w:val="000000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0"/>
          <w:szCs w:val="36"/>
        </w:rPr>
      </w:pPr>
      <w:r>
        <w:rPr>
          <w:rFonts w:hint="eastAsia" w:ascii="宋体" w:hAnsi="宋体" w:cs="宋体"/>
          <w:b/>
          <w:bCs/>
          <w:color w:val="000000"/>
          <w:sz w:val="40"/>
          <w:szCs w:val="36"/>
        </w:rPr>
        <w:t>目   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第一部分  南昌市青云谱区科技和工业信息化局概况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0"/>
        </w:rPr>
        <w:t>一、部门主要职责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二、部门基本情况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第二部分  202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七、一般公共预算财政拨款“三公”经费支出决算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政府性基金预算财政拨款收入支出决算表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国有资本经营预算财政拨款支出决算表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十、国有资产占用情况表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一、收入决算情况说明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二、支出决算情况说明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五、一般公共预算财政拨款“三公”经费支出决算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 xml:space="preserve">    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>六、机关运行经费支出情况说明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 xml:space="preserve">    七、政府采购支出情况说明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 xml:space="preserve">    八、国有资产占用情况说明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0"/>
        </w:rPr>
        <w:t xml:space="preserve">    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/>
          <w:b/>
          <w:bCs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0"/>
        <w:jc w:val="center"/>
        <w:textAlignment w:val="auto"/>
        <w:outlineLvl w:val="9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ind w:firstLine="63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 xml:space="preserve">第一部分  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sz w:val="32"/>
          <w:szCs w:val="32"/>
        </w:rPr>
        <w:t>南昌市青云谱区科技和工业信息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sz w:val="32"/>
          <w:szCs w:val="32"/>
          <w:lang w:val="en-US" w:eastAsia="zh-CN"/>
        </w:rPr>
        <w:t>化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sz w:val="32"/>
          <w:szCs w:val="32"/>
        </w:rPr>
        <w:t>局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0"/>
        <w:jc w:val="center"/>
        <w:textAlignment w:val="auto"/>
        <w:outlineLvl w:val="9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一、部门主要职能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02" w:firstLine="672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lang w:val="en-US" w:eastAsia="zh-CN"/>
        </w:rPr>
        <w:t>（一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依据全区经济社会发展总体规划，拟订并组织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施工业发展规划，在工业和信息化的融合进程中推进产业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结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构战略性调整和优化升级；负责协调服务全区工业经济运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行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6" w:firstLine="646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承担全区节能管理和监察工作，负责节能减排的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综合协调工作，组织拟订发展循环经济、能源资源节约和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综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合利用规划及清洁生产促进政策措施并协调实施，参与编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制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生态建设、环境保护规划，协调生态建设、能源资源节约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综合利用的重大问题，综合协调推进环保产业和清洁生产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促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进有关工作；协调推进全区低碳经济发展和低碳城区建设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工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</w:rPr>
        <w:t>作；组织协调相关重大示范工程和新产品、新技术、新设备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新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材料的推广应用。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7" w:right="102" w:firstLine="645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宣传贯彻国家和省市区有关发展中小企业和个私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民营经济的方针政策和法律法规，研究提出全区中小企业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pacing w:val="3"/>
          <w:sz w:val="32"/>
          <w:szCs w:val="32"/>
        </w:rPr>
        <w:t>个私民营经济的发展战略、中长期发展规划、年度发展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标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建议；参与拟订发展个私民营经济的地方性政策，依法对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全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区中小企业和个私民营经济的发展进行宏观调控、指导、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协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调、服务；负责对区工业园区和专业市场建设的指导、协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调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和服务。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72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负责全区中小企业和个私民营经济的综合统计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运行态势的监测、分析；协调指导中小企业和个私民营企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业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的改制、转制，建立现代企业制度；帮助中小企业和个私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民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营企业创造条件上市；指导中小企业和个私民营企业以各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种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方式参与竞争性及公益性项目建设；指导、规范为中小企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业</w:t>
      </w:r>
      <w:r>
        <w:rPr>
          <w:rFonts w:hint="eastAsia" w:ascii="仿宋" w:hAnsi="仿宋" w:eastAsia="仿宋" w:cs="仿宋"/>
          <w:color w:val="000000"/>
          <w:spacing w:val="28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>个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私民营企业提供服务的中介组织和协会工作；负责协</w:t>
      </w:r>
      <w:r>
        <w:rPr>
          <w:rFonts w:hint="eastAsia" w:ascii="仿宋" w:hAnsi="仿宋" w:eastAsia="仿宋" w:cs="仿宋"/>
          <w:color w:val="000000"/>
          <w:spacing w:val="16"/>
          <w:sz w:val="32"/>
          <w:szCs w:val="32"/>
        </w:rPr>
        <w:t>调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指导、服务和推动全民创业和非公经济发展工作。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7" w:right="102" w:firstLine="645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调指导中小企业和个私民营企业加强基础管理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和企业信息化工作；引导中小企业和个私民营企业开展体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创新、制度创新、科技创新、管理创新工作，为中小企业</w:t>
      </w:r>
      <w:r>
        <w:rPr>
          <w:rFonts w:hint="eastAsia" w:ascii="仿宋" w:hAnsi="仿宋" w:eastAsia="仿宋" w:cs="仿宋"/>
          <w:color w:val="000000"/>
          <w:spacing w:val="7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个私民营企业提供信息传递、创业指导、技术咨询、人才</w:t>
      </w:r>
      <w:r>
        <w:rPr>
          <w:rFonts w:hint="eastAsia" w:ascii="仿宋" w:hAnsi="仿宋" w:eastAsia="仿宋" w:cs="仿宋"/>
          <w:color w:val="000000"/>
          <w:spacing w:val="7"/>
          <w:sz w:val="32"/>
          <w:szCs w:val="32"/>
        </w:rPr>
        <w:t>开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发培训、市场、拓宽融资渠道等方面的服务，并为重点民</w:t>
      </w:r>
      <w:r>
        <w:rPr>
          <w:rFonts w:hint="eastAsia" w:ascii="仿宋" w:hAnsi="仿宋" w:eastAsia="仿宋" w:cs="仿宋"/>
          <w:color w:val="000000"/>
          <w:spacing w:val="7"/>
          <w:sz w:val="32"/>
          <w:szCs w:val="32"/>
        </w:rPr>
        <w:t>营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企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业进行跟踪服务。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7" w:right="14" w:firstLine="645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管理中小企业和个私民营企业的相关投诉、举报，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并调查核实和协调、督促有关部门进行整改，切实保护中</w:t>
      </w:r>
      <w:r>
        <w:rPr>
          <w:rFonts w:hint="eastAsia" w:ascii="仿宋" w:hAnsi="仿宋" w:eastAsia="仿宋" w:cs="仿宋"/>
          <w:color w:val="000000"/>
          <w:spacing w:val="7"/>
          <w:sz w:val="32"/>
          <w:szCs w:val="32"/>
        </w:rPr>
        <w:t>小</w:t>
      </w:r>
      <w:r>
        <w:rPr>
          <w:rFonts w:hint="eastAsia" w:ascii="仿宋" w:hAnsi="仿宋" w:eastAsia="仿宋" w:cs="仿宋"/>
          <w:color w:val="000000"/>
          <w:spacing w:val="9"/>
          <w:sz w:val="32"/>
          <w:szCs w:val="32"/>
        </w:rPr>
        <w:t>企业和个私民营企业的合法权益，为中小企业和个私民营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</w:rPr>
        <w:t>企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业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的发展营造一个公平竞争的良好环境。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35" w:right="105" w:firstLine="645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研究确定全区科技发展的布局和优先领域；负责</w:t>
      </w:r>
      <w:r>
        <w:rPr>
          <w:rFonts w:hint="eastAsia" w:ascii="仿宋" w:hAnsi="仿宋" w:eastAsia="仿宋" w:cs="仿宋"/>
          <w:color w:val="000000"/>
          <w:spacing w:val="16"/>
          <w:sz w:val="32"/>
          <w:szCs w:val="32"/>
        </w:rPr>
        <w:t>全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科技型中小企业技术创新工作，推动全区科技创新体系</w:t>
      </w:r>
      <w:r>
        <w:rPr>
          <w:rFonts w:hint="eastAsia" w:ascii="仿宋" w:hAnsi="仿宋" w:eastAsia="仿宋" w:cs="仿宋"/>
          <w:color w:val="000000"/>
          <w:spacing w:val="16"/>
          <w:sz w:val="32"/>
          <w:szCs w:val="32"/>
        </w:rPr>
        <w:t>建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设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，提高全区科技创新能力，培育科技型中小企业。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35" w:right="102" w:firstLine="645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研究多渠道增加科技投入的措施，优化科技资源</w:t>
      </w:r>
      <w:r>
        <w:rPr>
          <w:rFonts w:hint="eastAsia" w:ascii="仿宋" w:hAnsi="仿宋" w:eastAsia="仿宋" w:cs="仿宋"/>
          <w:color w:val="000000"/>
          <w:spacing w:val="16"/>
          <w:sz w:val="32"/>
          <w:szCs w:val="32"/>
        </w:rPr>
        <w:t>配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置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；负责归口管理科技事业费、科技三项经费和科技创新基金经费等有关费用的预、决算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40" w:firstLine="64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14"/>
          <w:sz w:val="32"/>
          <w:szCs w:val="32"/>
        </w:rPr>
        <w:t>强化高新技术产业化及应用技术的开发与推广工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</w:rPr>
        <w:t>作，组织实施全区科技攻关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计划、星火计划、成果推广计划、</w:t>
      </w:r>
      <w:r>
        <w:rPr>
          <w:rFonts w:hint="eastAsia" w:ascii="仿宋" w:hAnsi="仿宋" w:eastAsia="仿宋" w:cs="仿宋"/>
          <w:color w:val="000000"/>
          <w:spacing w:val="16"/>
          <w:sz w:val="32"/>
          <w:szCs w:val="32"/>
        </w:rPr>
        <w:t>重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点新产品计划和科技型中小企业技术创新等科技计划。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二、部门基本情况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纳入本套部门决算汇编范围的单位共1个，即南昌市青云谱区科技和工业信息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局本级单位，无下属单位。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年年末实有人数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行政人员4人、全部补助事业人员4人，退休人员0人。</w:t>
      </w: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第二部分  202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32"/>
          <w:szCs w:val="32"/>
        </w:rPr>
        <w:t>年度部门决算表</w:t>
      </w:r>
    </w:p>
    <w:p>
      <w:pPr>
        <w:widowControl/>
        <w:jc w:val="both"/>
        <w:rPr>
          <w:rFonts w:hint="eastAsia" w:eastAsia="宋体"/>
          <w:color w:val="000000"/>
          <w:lang w:eastAsia="zh-CN"/>
        </w:rPr>
      </w:pPr>
    </w:p>
    <w:p>
      <w:pPr>
        <w:widowControl/>
        <w:jc w:val="center"/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5269230" cy="5241925"/>
            <wp:effectExtent l="0" t="0" r="7620" b="15875"/>
            <wp:docPr id="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5274310" cy="2670810"/>
            <wp:effectExtent l="0" t="0" r="2540" b="15240"/>
            <wp:docPr id="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5270500" cy="3484880"/>
            <wp:effectExtent l="0" t="0" r="6350" b="1270"/>
            <wp:docPr id="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5271135" cy="3702685"/>
            <wp:effectExtent l="0" t="0" r="5715" b="12065"/>
            <wp:docPr id="4" name="图片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5271135" cy="4895215"/>
            <wp:effectExtent l="0" t="0" r="5715" b="635"/>
            <wp:docPr id="5" name="图片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rPr>
          <w:rFonts w:hint="eastAsia" w:eastAsia="宋体"/>
          <w:color w:val="000000"/>
          <w:lang w:eastAsia="zh-CN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idowControl/>
        <w:spacing w:line="240" w:lineRule="auto"/>
        <w:ind w:firstLine="640"/>
        <w:jc w:val="center"/>
        <w:rPr>
          <w:rFonts w:hint="eastAsia" w:ascii="宋体" w:hAnsi="宋体" w:eastAsia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eastAsia="zh-CN"/>
        </w:rPr>
        <w:drawing>
          <wp:inline distT="0" distB="0" distL="114300" distR="114300">
            <wp:extent cx="5271135" cy="5338445"/>
            <wp:effectExtent l="0" t="0" r="5715" b="14605"/>
            <wp:docPr id="6" name="图片 16" descr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6.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5" w:line="225" w:lineRule="auto"/>
        <w:jc w:val="left"/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  <w:drawing>
          <wp:inline distT="0" distB="0" distL="114300" distR="114300">
            <wp:extent cx="5298440" cy="1985010"/>
            <wp:effectExtent l="0" t="0" r="16510" b="15240"/>
            <wp:docPr id="7" name="图片 31" descr="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6.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5" w:line="225" w:lineRule="auto"/>
        <w:jc w:val="left"/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  <w:drawing>
          <wp:inline distT="0" distB="0" distL="114300" distR="114300">
            <wp:extent cx="5272405" cy="4676775"/>
            <wp:effectExtent l="0" t="0" r="4445" b="9525"/>
            <wp:docPr id="8" name="图片 3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5" w:line="225" w:lineRule="auto"/>
        <w:jc w:val="left"/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sz w:val="32"/>
          <w:szCs w:val="32"/>
          <w:lang w:eastAsia="zh-CN"/>
        </w:rPr>
        <w:drawing>
          <wp:inline distT="0" distB="0" distL="114300" distR="114300">
            <wp:extent cx="5265420" cy="1625600"/>
            <wp:effectExtent l="0" t="0" r="11430" b="12700"/>
            <wp:docPr id="9" name="图片 3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215" w:line="225" w:lineRule="auto"/>
        <w:jc w:val="both"/>
        <w:rPr>
          <w:rFonts w:ascii="宋体" w:hAnsi="宋体" w:eastAsia="宋体" w:cs="宋体"/>
          <w:b/>
          <w:bCs/>
          <w:color w:val="000000"/>
          <w:spacing w:val="3"/>
          <w:sz w:val="32"/>
          <w:szCs w:val="32"/>
        </w:rPr>
      </w:pPr>
    </w:p>
    <w:p>
      <w:pPr>
        <w:numPr>
          <w:ilvl w:val="0"/>
          <w:numId w:val="0"/>
        </w:numPr>
        <w:spacing w:before="215" w:line="225" w:lineRule="auto"/>
        <w:jc w:val="both"/>
        <w:rPr>
          <w:rFonts w:hint="eastAsia" w:ascii="宋体" w:hAnsi="宋体" w:eastAsia="宋体" w:cs="宋体"/>
          <w:b/>
          <w:bCs/>
          <w:color w:val="000000"/>
          <w:spacing w:val="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3"/>
          <w:sz w:val="32"/>
          <w:szCs w:val="32"/>
          <w:lang w:eastAsia="zh-CN"/>
        </w:rPr>
        <w:drawing>
          <wp:inline distT="0" distB="0" distL="114300" distR="114300">
            <wp:extent cx="5274310" cy="2419985"/>
            <wp:effectExtent l="0" t="0" r="2540" b="18415"/>
            <wp:docPr id="10" name="图片 3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6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215" w:line="225" w:lineRule="auto"/>
        <w:jc w:val="both"/>
        <w:rPr>
          <w:rFonts w:ascii="宋体" w:hAnsi="宋体" w:eastAsia="宋体" w:cs="宋体"/>
          <w:b/>
          <w:bCs/>
          <w:color w:val="000000"/>
          <w:spacing w:val="3"/>
          <w:sz w:val="32"/>
          <w:szCs w:val="32"/>
        </w:rPr>
      </w:pPr>
    </w:p>
    <w:p>
      <w:pPr>
        <w:spacing w:line="352" w:lineRule="auto"/>
        <w:rPr>
          <w:rFonts w:hint="eastAsia" w:ascii="Arial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Arial" w:eastAsia="宋体"/>
          <w:b/>
          <w:bCs/>
          <w:color w:val="000000"/>
          <w:sz w:val="32"/>
          <w:szCs w:val="32"/>
          <w:lang w:eastAsia="zh-CN"/>
        </w:rPr>
        <w:drawing>
          <wp:inline distT="0" distB="0" distL="114300" distR="114300">
            <wp:extent cx="5273675" cy="2850515"/>
            <wp:effectExtent l="0" t="0" r="3175" b="6985"/>
            <wp:docPr id="11" name="图片 3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7" descr="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snapToGrid/>
          <w:kern w:val="2"/>
          <w:sz w:val="32"/>
          <w:szCs w:val="30"/>
          <w:lang w:val="en-US" w:eastAsia="zh-CN" w:bidi="ar-SA"/>
        </w:rPr>
        <w:t>第三部分    2021年度部门决算情况说明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1"/>
          <w:position w:val="4"/>
          <w:sz w:val="30"/>
          <w:szCs w:val="30"/>
        </w:rPr>
        <w:t>一</w:t>
      </w:r>
      <w:r>
        <w:rPr>
          <w:rFonts w:hint="eastAsia" w:ascii="黑体" w:hAnsi="黑体" w:eastAsia="黑体" w:cs="黑体"/>
          <w:b/>
          <w:bCs/>
          <w:color w:val="000000"/>
          <w:spacing w:val="8"/>
          <w:position w:val="4"/>
          <w:sz w:val="30"/>
          <w:szCs w:val="30"/>
        </w:rPr>
        <w:t>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left"/>
        <w:textAlignment w:val="auto"/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 xml:space="preserve">本部门2021年度收入总计 6238.92万元，本年收入合计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4889.62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万元，年初结转 1349.3万元，较2020年减少2051.91万元，减少24.75%，主要原因是：科学技术的支出减少。本年收入的具体构成为：财政拨款收入 6238.92万元，占100%；事业收入0万元，占0 %；经营收入0万元，占0%；其他收入0万元，占0%。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1"/>
          <w:position w:val="2"/>
          <w:sz w:val="30"/>
          <w:szCs w:val="30"/>
        </w:rPr>
        <w:t>二</w:t>
      </w:r>
      <w:r>
        <w:rPr>
          <w:rFonts w:hint="eastAsia" w:ascii="黑体" w:hAnsi="黑体" w:eastAsia="黑体" w:cs="黑体"/>
          <w:b/>
          <w:bCs/>
          <w:color w:val="000000"/>
          <w:spacing w:val="8"/>
          <w:position w:val="2"/>
          <w:sz w:val="30"/>
          <w:szCs w:val="30"/>
        </w:rPr>
        <w:t>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42" w:right="130" w:firstLine="621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</w:rPr>
        <w:t>本部门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</w:rPr>
        <w:t>年度支出总计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6238.92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较2020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减少702.61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减少10.12%，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</w:rPr>
        <w:t>主要原因是：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减少科技专项补助支出；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年末结转和结余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zh-CN"/>
        </w:rPr>
        <w:t>1349.30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zh-CN"/>
        </w:rPr>
        <w:t>较2020年减少1467.27万元，下降52.09%，主要原因是：加强了资金预算执行管理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35" w:firstLine="628"/>
        <w:textAlignment w:val="auto"/>
        <w:rPr>
          <w:rFonts w:hint="eastAsia" w:ascii="仿宋" w:hAnsi="仿宋" w:eastAsia="仿宋" w:cs="仿宋"/>
          <w:color w:val="000000"/>
          <w:spacing w:val="-5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1"/>
          <w:sz w:val="32"/>
          <w:szCs w:val="32"/>
        </w:rPr>
        <w:t>本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年支出的具体构成为：基本支出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162.85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2.61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2"/>
        </w:rPr>
        <w:t>支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</w:rPr>
        <w:t>出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  <w:lang w:val="en-US" w:eastAsia="zh-CN"/>
        </w:rPr>
        <w:t>6076.06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  <w:lang w:val="en-US" w:eastAsia="zh-CN"/>
        </w:rPr>
        <w:t>97.39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</w:rPr>
        <w:t>%；经营支出0万元，</w:t>
      </w:r>
      <w:r>
        <w:rPr>
          <w:rFonts w:hint="eastAsia" w:ascii="仿宋" w:hAnsi="仿宋" w:eastAsia="仿宋" w:cs="仿宋"/>
          <w:color w:val="000000"/>
          <w:spacing w:val="-9"/>
          <w:sz w:val="32"/>
          <w:szCs w:val="32"/>
        </w:rPr>
        <w:t>其他支出 (对附属单位补助支出、上缴上级支出)0万元</w:t>
      </w:r>
      <w:r>
        <w:rPr>
          <w:rFonts w:hint="eastAsia" w:ascii="仿宋" w:hAnsi="仿宋" w:eastAsia="仿宋" w:cs="仿宋"/>
          <w:color w:val="000000"/>
          <w:spacing w:val="-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6"/>
          <w:sz w:val="30"/>
          <w:szCs w:val="30"/>
        </w:rPr>
        <w:t>三</w:t>
      </w:r>
      <w:r>
        <w:rPr>
          <w:rFonts w:hint="eastAsia" w:ascii="黑体" w:hAnsi="黑体" w:eastAsia="黑体" w:cs="黑体"/>
          <w:b/>
          <w:bCs/>
          <w:color w:val="000000"/>
          <w:spacing w:val="10"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年度财政拨款本年支出年初预算数为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751.64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/>
        </w:rPr>
        <w:t>6238.92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万元，完成年初预算的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科学技术支出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年初预算数为746.27万元，决算数为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5048.99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万元，完成年初预算的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政府加大了科技专项补助支出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节能环保支出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比往年陆续新增加了节能环保工作内容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资源勘探工业信息等支出年初预算数为0万元，决算数为372.5万元，主要原因是：比往年陆续新增加了资源勘探工业信息等工作内容。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（四）住房保障支出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完成年初预算100%，主要原因是：对住房保障支出给予了资金保障。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（五）其他支出年初预算为0万元，决算数为12.01万元，主要原因是：各项新增工作的开展和抗击疫情工作形势的发展进行了列支。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6"/>
          <w:sz w:val="30"/>
          <w:szCs w:val="30"/>
        </w:rPr>
        <w:t>四</w:t>
      </w:r>
      <w:r>
        <w:rPr>
          <w:rFonts w:hint="eastAsia" w:ascii="黑体" w:hAnsi="黑体" w:eastAsia="黑体" w:cs="黑体"/>
          <w:b/>
          <w:bCs/>
          <w:color w:val="000000"/>
          <w:spacing w:val="14"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年度一般公共预算财政拨款基本支出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162.85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（一）工资福利支出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145.19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82.1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130.13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加强了力量，与往年相比增加了人员，在工资、奖金、福利都有所增加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585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（二）商品和服务支出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17.214.47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增加2.74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增长18.94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随着在工作内容、人员都有所增加，日常办公、宣传、培训等内容的开销都有所增加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（三）对个人和家庭补助支出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减少0.11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降低100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无此项支出。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（四）资本性支出0.45万元，较2020年减少12.62万元，减少96.56%，主要原因是：减少支出等。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五、一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0"/>
          <w:szCs w:val="30"/>
        </w:rPr>
        <w:t>般</w:t>
      </w:r>
      <w:r>
        <w:rPr>
          <w:rFonts w:hint="eastAsia" w:ascii="黑体" w:hAnsi="黑体" w:eastAsia="黑体" w:cs="黑体"/>
          <w:b/>
          <w:bCs/>
          <w:color w:val="000000"/>
          <w:spacing w:val="4"/>
          <w:sz w:val="30"/>
          <w:szCs w:val="30"/>
        </w:rPr>
        <w:t>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年度一般公共预算财政拨款“三公”经费支出年初预算数为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减少0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因公出国（境）支出年初预算数为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年增加（减少）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万元，增长（下降）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未安排经费支出。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公务接待费支出年初预算数为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万元，增长（下降）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未实际发生接待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（三）公务用车购置及运行维护费支出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万元，其中公务用车购置年初预算数为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年增加（减少）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万元，增长（下降）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未安排支出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。公务用车运行维护费支出年初预算数为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万元，决算数较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年增加（减少）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万元，增长（下降）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未安排支出。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4"/>
          <w:sz w:val="30"/>
          <w:szCs w:val="30"/>
        </w:rPr>
        <w:t>六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、机关运行经费支出情况说明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年度机关运行经费支出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17.66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年决算数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增加0.12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增长0.68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随着在工作内容、人员都有所增加，日常办公、宣传、培训等内容的开销都有所增加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10"/>
          <w:sz w:val="30"/>
          <w:szCs w:val="30"/>
        </w:rPr>
        <w:t>七</w:t>
      </w:r>
      <w:r>
        <w:rPr>
          <w:rFonts w:hint="eastAsia" w:ascii="黑体" w:hAnsi="黑体" w:eastAsia="黑体" w:cs="黑体"/>
          <w:b/>
          <w:bCs/>
          <w:color w:val="000000"/>
          <w:spacing w:val="9"/>
          <w:sz w:val="30"/>
          <w:szCs w:val="30"/>
        </w:rPr>
        <w:t>、政府采购支出情况说明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33" w:right="13" w:firstLine="601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"/>
          <w:sz w:val="32"/>
          <w:szCs w:val="32"/>
        </w:rPr>
        <w:t>本部门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年度政府采购支出总额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2.52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万元，其中：政府采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购货物支出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2.52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万元、政府采购工程支出0万元、政府采购服务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截止202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年12月31日，本部门（单位）国有资产占用情况见公开10表《国有资产占用情况表》。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pacing w:val="9"/>
          <w:sz w:val="30"/>
          <w:szCs w:val="30"/>
        </w:rPr>
        <w:t>九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0"/>
          <w:szCs w:val="30"/>
        </w:rPr>
        <w:t>、预算绩效情况说明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（一）绩效管理工作开展情况。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根据预算绩效管理要求，我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组织对202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年度一般公共预算项目支出所有二级项目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个全面开展绩效自评，共涉及资金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573万元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组织对“科技三项费”、“03专项和5G产业工作经费”等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个项目开展了单位评价，涉及一般公共预算支出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573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万元，从评价情况来看，科技三项费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项目绩效评分94元，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03专项和5G产业工作经费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项目绩效评分94分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从项目决策、项目管理、项目完成和项目效果来看，都较好地达到了预期的效果。绩效评价结果可以作为我局以后年度专项工作经费的重要依据，亦可作为我局内部管理参考使用。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8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（二）部门决算中项目绩效自评结果。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今年在区级部门决算中反映科技三项费及03专项和5G产业工作经费项目绩效自评结果。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项目绩效自评总体综述：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根据年初设定的绩效目标，科技三项费项目绩效自评得分为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分。项目全年预算数为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万元，执行数为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%。项目绩效目标完成情况：</w:t>
      </w:r>
      <w:r>
        <w:rPr>
          <w:rFonts w:hint="eastAsia" w:ascii="仿宋" w:hAnsi="仿宋" w:eastAsia="仿宋" w:cs="仿宋"/>
          <w:b w:val="0"/>
          <w:snapToGrid w:val="0"/>
          <w:color w:val="000000"/>
          <w:sz w:val="32"/>
          <w:szCs w:val="32"/>
          <w:shd w:val="clear" w:color="auto" w:fill="FFFFFF"/>
        </w:rPr>
        <w:t>推动</w:t>
      </w:r>
      <w:r>
        <w:rPr>
          <w:rFonts w:hint="eastAsia" w:ascii="仿宋" w:hAnsi="仿宋" w:eastAsia="仿宋" w:cs="仿宋"/>
          <w:b w:val="0"/>
          <w:snapToGrid w:val="0"/>
          <w:color w:val="000000"/>
          <w:sz w:val="32"/>
          <w:szCs w:val="32"/>
          <w:shd w:val="clear" w:color="auto" w:fill="FFFFFF"/>
          <w:lang w:val="en-US" w:eastAsia="zh-CN"/>
        </w:rPr>
        <w:t>了</w:t>
      </w:r>
      <w:r>
        <w:rPr>
          <w:rFonts w:hint="eastAsia" w:ascii="仿宋" w:hAnsi="仿宋" w:eastAsia="仿宋" w:cs="仿宋"/>
          <w:b w:val="0"/>
          <w:snapToGrid w:val="0"/>
          <w:color w:val="000000"/>
          <w:sz w:val="32"/>
          <w:szCs w:val="32"/>
          <w:shd w:val="clear" w:color="auto" w:fill="FFFFFF"/>
        </w:rPr>
        <w:t>青云谱区科技创新发展，促进科技成果转化，产业转型升级，结合区内经济、产业发展及创新资源。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发现的问题及原因：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高新技术企业较少，企业对优惠政策理解不透彻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。下一步改进措施：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为大力培育高新技术企业，做好技术合同登记工作，派出业务骨干多次深入企业开展政策宣传、上门辅导、专题培训等多种方式，对高新技术企业认定和技术合同登记的意义、程序和税收优惠政策等进行宣传，帮助指导企业知晓政策、用好政策、用足政策，激发企业申报热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根据年初设定的绩效目标，03专项和5G产业工作经费项目绩效自评得分为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分。项目全年预算数为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万元，执行数为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%。项目绩效目标完成情况：深化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5G在经济社会各领域的应用，培育壮大战略性新兴产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业</w:t>
      </w:r>
      <w:r>
        <w:rPr>
          <w:rFonts w:hint="eastAsia" w:ascii="仿宋" w:hAnsi="仿宋" w:eastAsia="仿宋" w:cs="仿宋"/>
          <w:b w:val="0"/>
          <w:snapToGrid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发现的问题及原因：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5G站的建设需加强，并需与互联网相结合，大力推动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（三）单位评价项目绩效评价结果。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5229225" cy="6743700"/>
            <wp:effectExtent l="0" t="0" r="9525" b="0"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40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eastAsia="zh-CN"/>
        </w:rPr>
        <w:drawing>
          <wp:inline distT="0" distB="0" distL="114300" distR="114300">
            <wp:extent cx="5271135" cy="6479540"/>
            <wp:effectExtent l="0" t="0" r="5715" b="16510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第四部分  名词解释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 xml:space="preserve"> 一、收入科目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" w:firstLineChars="139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一）财政拨款：指财政当年拨付的资金。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（二）事业收入：指事业单位开展专业业务活动及辅助活动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（三）事业单位经营收入：指事业单位在专业业务活动及辅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助活动之外开展非独立核算经营活动取得的收入。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（四）其他收入：指除财政拨款、事业收入、事业单位经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营收入等以外的各项收入。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（五）附属单位上缴收入：反映事业单位附属的独立核算单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位按规定标准或比例缴纳的各项收入。包括附属的事业单位上缴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的收入和附属的企业上缴的利润等。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（六）上级补助收入：反映事业单位从主管部门和上级单位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取得的非财政补助收入。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（七）用事业基金弥补收支差额：填列事业单位用事业基金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弥补2020 年收支差额的数额。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（八）上年结转和结余：填列2020年全部结转和结余的资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金数，包括当年结转结余资金和历年滚存结转结余资金。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3" w:firstLineChars="94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  <w:t>二、支出科目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（一）教育支出（类）普通教育（款）其他普通教育支出（项）：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反映除上述项目以外其他用于普通教育方面的支出；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（二）教育支出（类）职业教育（款）中等职业教育（项）：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反映各部门（不含人力资源社会保障部门）举办的中等职业教育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学校支出；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（三）教育支出（类）职业教育（款）技校教育（项）：反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映人力资源社会保障部门举办的技工学校的支出；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（四）教育支出（类）职业教育（款）其他职业教育支出（项）：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反映除上述项目以外其他用于职业教育方面的支出；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（五）科学技术支出（类）技术研究与开发（款）机构运行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（项）：反映行政单位（包括实行公务员管理的事业单位）的基本支出；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（六）社会保障和就业支出（类）行政事业单位养老支出（款）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行政单位离退休（项）：反映行政单位（包括实行公务员管理的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事业单位）开支的离退休经费。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(七）社会保障和就业支出（类）行政事业单位养老支出（款）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事业单位离退休（项）：反映事业单位开支的离退休经费；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（八）社会保障和就业支出（类）行政事业单位养老支出（款）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机关事业单位基本养老保险缴费支出（项）：反映机关事业单位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实施养老保险制度由单位缴纳的基本养老保险费支出。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（九）社会保障和就业支出（类）行政事业单位养老支出（款）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机关事业单位职业年金缴费支出（项）：反映机关事业单位实施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养老保险制度由单位实际缴纳的职业年金支出。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（十）社会节能环保支出（类）能源节约利用（款）能源节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约利用（项）：反映用于能源节约利用方面的支出；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（十一）资源勘探工业信息等支出（类）制造业（款）通信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设备、计算机及其他电子设备制造业（项）：反映用于通信设备、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计算机及其他电子设备制造业方面的支出。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（十二）资源勘探工业信息等支出（类）制造业（款）其他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制造业支出（项）：反映除上述项目以外其他用于制造业方面的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（十三）资源勘探工业信息等支出（类）建筑业（款）其他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建筑业支出（项）：反映除上述项目以外其他用于建筑业方面的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（十四）资源勘探工业信息等支出（类）工业和信息产业监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管（款）行政运行（项）：反映行政单位（包括实行公务员管理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的事业单位）的基本支出；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（十五）资源勘探工业信息等支出（类）工业和信息产业监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管（款）其他工业和信息产业监管支出（项）：反映除上述项目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以外其他用于工业和信息产业监管方面的支出。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（十六）资源勘探工业信息等支出（类）其他资源勘探信息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等支出（款）其他资源勘探信息等支出（项）：反映除上述项目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以外其他用于工业和信息产业监管方面的支出；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（十七）住房保障支出（类）住房改革支出（款）住房公积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金（项）：反映行政事业单位按人力资源和社会保障部、财政部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规定的基本工资和津贴补贴以及规定比例为职工缴纳的住房公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积金。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（十八）住房保障支出（类）住房改革支出（款）购房补贴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（项）：反映按房改政策规定，行政事业单位向符合条件职工（含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离退休人员）、军队（含武警）向转役复员离退休人员发放的用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于购买住房的补贴。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（十九）“三公”经费支出：反映行政事业单位的因公出国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（境）费、公务用车购置及运行维护费、公务接待费。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1" w:leftChars="48" w:right="0" w:rightChars="0" w:firstLine="282" w:firstLineChars="94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（二十）机关运行经费支出：反映行政单位和参照公务员法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en-US" w:eastAsia="zh-CN"/>
        </w:rPr>
        <w:t>管理事业单位一般公共预算财政拨款基本支出中公用经费之和。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2" w:leftChars="-94" w:right="0" w:rightChars="0" w:hanging="15" w:hangingChars="5"/>
        <w:textAlignment w:val="auto"/>
        <w:outlineLvl w:val="9"/>
        <w:rPr>
          <w:rFonts w:hint="eastAsia" w:ascii="仿宋" w:hAnsi="仿宋" w:eastAsia="仿宋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39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- 13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1AB64"/>
    <w:multiLevelType w:val="singleLevel"/>
    <w:tmpl w:val="CEF1AB64"/>
    <w:lvl w:ilvl="0" w:tentative="0">
      <w:start w:val="8"/>
      <w:numFmt w:val="chineseCounting"/>
      <w:suff w:val="nothing"/>
      <w:lvlText w:val="%1、"/>
      <w:lvlJc w:val="left"/>
      <w:pPr>
        <w:ind w:left="1280" w:firstLine="0"/>
      </w:pPr>
      <w:rPr>
        <w:rFonts w:hint="eastAsia"/>
      </w:rPr>
    </w:lvl>
  </w:abstractNum>
  <w:abstractNum w:abstractNumId="1">
    <w:nsid w:val="630F50A5"/>
    <w:multiLevelType w:val="singleLevel"/>
    <w:tmpl w:val="630F50A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3106D9C"/>
    <w:multiLevelType w:val="singleLevel"/>
    <w:tmpl w:val="63106D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NjcwZGNjZWQwODMxOGE1ODUzZjFlZTcwOWY4YWMifQ=="/>
  </w:docVars>
  <w:rsids>
    <w:rsidRoot w:val="00172A27"/>
    <w:rsid w:val="000F6EBD"/>
    <w:rsid w:val="005A5EE1"/>
    <w:rsid w:val="006065F2"/>
    <w:rsid w:val="0072161A"/>
    <w:rsid w:val="00903CA6"/>
    <w:rsid w:val="00B115C5"/>
    <w:rsid w:val="00FF32E1"/>
    <w:rsid w:val="034D3E02"/>
    <w:rsid w:val="04F37792"/>
    <w:rsid w:val="055937F8"/>
    <w:rsid w:val="076D374E"/>
    <w:rsid w:val="0C3D458A"/>
    <w:rsid w:val="0C7C3101"/>
    <w:rsid w:val="0EBA7920"/>
    <w:rsid w:val="0F4A37AD"/>
    <w:rsid w:val="0FBA69F4"/>
    <w:rsid w:val="15787868"/>
    <w:rsid w:val="16FC47B8"/>
    <w:rsid w:val="17636C08"/>
    <w:rsid w:val="186C0997"/>
    <w:rsid w:val="19003C49"/>
    <w:rsid w:val="193A3F06"/>
    <w:rsid w:val="195A6CF6"/>
    <w:rsid w:val="1A465A74"/>
    <w:rsid w:val="1B562253"/>
    <w:rsid w:val="1C9F6334"/>
    <w:rsid w:val="1D1977FD"/>
    <w:rsid w:val="1D446651"/>
    <w:rsid w:val="1EFF03B3"/>
    <w:rsid w:val="1F9A02D7"/>
    <w:rsid w:val="215E1B87"/>
    <w:rsid w:val="223861C9"/>
    <w:rsid w:val="23CD44DB"/>
    <w:rsid w:val="24201257"/>
    <w:rsid w:val="26CA192A"/>
    <w:rsid w:val="2D6E6D6E"/>
    <w:rsid w:val="2D702ED6"/>
    <w:rsid w:val="2D9519C3"/>
    <w:rsid w:val="36716B17"/>
    <w:rsid w:val="3D0F50C1"/>
    <w:rsid w:val="41032821"/>
    <w:rsid w:val="41861485"/>
    <w:rsid w:val="447C6EAA"/>
    <w:rsid w:val="47D56E31"/>
    <w:rsid w:val="4C47277C"/>
    <w:rsid w:val="4EED34E2"/>
    <w:rsid w:val="502F34AA"/>
    <w:rsid w:val="508634C3"/>
    <w:rsid w:val="547902B7"/>
    <w:rsid w:val="5519367B"/>
    <w:rsid w:val="56294A0F"/>
    <w:rsid w:val="57C35C95"/>
    <w:rsid w:val="588D548F"/>
    <w:rsid w:val="589B7671"/>
    <w:rsid w:val="60C9127C"/>
    <w:rsid w:val="618E7F1B"/>
    <w:rsid w:val="64911EDA"/>
    <w:rsid w:val="66433CD6"/>
    <w:rsid w:val="673C5F4B"/>
    <w:rsid w:val="67874F61"/>
    <w:rsid w:val="6E27474C"/>
    <w:rsid w:val="6F73547E"/>
    <w:rsid w:val="733F3BD4"/>
    <w:rsid w:val="734A7690"/>
    <w:rsid w:val="779E0E8A"/>
    <w:rsid w:val="784E0692"/>
    <w:rsid w:val="7B9D7B10"/>
    <w:rsid w:val="7DD41ECA"/>
    <w:rsid w:val="7FF15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eastAsia="微软雅黑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sz w:val="18"/>
      <w:szCs w:val="18"/>
    </w:rPr>
  </w:style>
  <w:style w:type="character" w:customStyle="1" w:styleId="9">
    <w:name w:val="批注框文本 Char"/>
    <w:link w:val="3"/>
    <w:uiPriority w:val="0"/>
    <w:rPr>
      <w:sz w:val="18"/>
      <w:szCs w:val="18"/>
    </w:rPr>
  </w:style>
  <w:style w:type="character" w:customStyle="1" w:styleId="10">
    <w:name w:val="页脚 Char"/>
    <w:link w:val="4"/>
    <w:uiPriority w:val="0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5413</Words>
  <Characters>5750</Characters>
  <Lines>25</Lines>
  <Paragraphs>7</Paragraphs>
  <TotalTime>63</TotalTime>
  <ScaleCrop>false</ScaleCrop>
  <LinksUpToDate>false</LinksUpToDate>
  <CharactersWithSpaces>5843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2022-07-20T01:52:00Z</dcterms:created>
  <dc:creator>李嘉玉</dc:creator>
  <cp:lastModifiedBy>cc</cp:lastModifiedBy>
  <cp:lastPrinted>2021-07-30T09:51:00Z</cp:lastPrinted>
  <dcterms:modified xsi:type="dcterms:W3CDTF">2022-11-09T06:35:49Z</dcterms:modified>
  <dc:title>李嘉玉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2E7653DE81B34B759551A6F0A7B57C39</vt:lpwstr>
  </property>
</Properties>
</file>