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sz w:val="21"/>
          <w:szCs w:val="21"/>
        </w:rPr>
        <w:sectPr>
          <w:footerReference r:id="rId5" w:type="default"/>
          <w:pgSz w:w="11910" w:h="16840"/>
          <w:pgMar w:top="1080" w:right="340" w:bottom="1140" w:left="580" w:header="0" w:footer="1034" w:gutter="0"/>
          <w:cols w:space="720" w:num="1"/>
        </w:sectPr>
      </w:pPr>
      <w:bookmarkStart w:id="0" w:name="_GoBack"/>
      <w:bookmarkEnd w:id="0"/>
    </w:p>
    <w:p>
      <w:pPr>
        <w:pStyle w:val="3"/>
        <w:spacing w:before="32"/>
        <w:rPr>
          <w:rFonts w:ascii="黑体" w:eastAsia="黑体"/>
        </w:rPr>
      </w:pPr>
      <w:r>
        <w:rPr>
          <w:rFonts w:hint="eastAsia" w:ascii="黑体" w:eastAsia="黑体"/>
          <w:spacing w:val="-27"/>
        </w:rPr>
        <w:t xml:space="preserve">附件 </w:t>
      </w:r>
      <w:r>
        <w:rPr>
          <w:rFonts w:hint="eastAsia" w:ascii="黑体" w:eastAsia="黑体"/>
        </w:rPr>
        <w:t>6：</w:t>
      </w:r>
    </w:p>
    <w:p>
      <w:pPr>
        <w:pStyle w:val="3"/>
        <w:spacing w:before="4"/>
        <w:rPr>
          <w:rFonts w:ascii="黑体"/>
          <w:sz w:val="55"/>
        </w:rPr>
      </w:pPr>
      <w:r>
        <w:br w:type="column"/>
      </w:r>
    </w:p>
    <w:p>
      <w:pPr>
        <w:pStyle w:val="13"/>
        <w:ind w:left="253" w:right="2295"/>
      </w:pPr>
      <w:r>
        <w:t>部门（单位）整体支出绩效自评表</w:t>
      </w:r>
    </w:p>
    <w:p>
      <w:pPr>
        <w:spacing w:before="253"/>
        <w:ind w:left="253" w:right="2295"/>
        <w:jc w:val="center"/>
        <w:rPr>
          <w:rFonts w:ascii="Microsoft JhengHei" w:eastAsia="Microsoft JhengHei"/>
          <w:b/>
          <w:sz w:val="28"/>
        </w:rPr>
      </w:pPr>
      <w:r>
        <w:rPr>
          <w:rFonts w:hint="eastAsia" w:ascii="Microsoft JhengHei" w:eastAsia="Microsoft JhengHei"/>
          <w:b/>
          <w:sz w:val="28"/>
        </w:rPr>
        <w:t>（2021 年度）</w:t>
      </w:r>
    </w:p>
    <w:p>
      <w:pPr>
        <w:jc w:val="center"/>
        <w:rPr>
          <w:rFonts w:ascii="Microsoft JhengHei" w:eastAsia="Microsoft JhengHei"/>
          <w:sz w:val="28"/>
        </w:rPr>
        <w:sectPr>
          <w:pgSz w:w="11910" w:h="16840"/>
          <w:pgMar w:top="1260" w:right="340" w:bottom="1140" w:left="580" w:header="0" w:footer="1034" w:gutter="0"/>
          <w:cols w:equalWidth="0" w:num="2">
            <w:col w:w="1510" w:space="292"/>
            <w:col w:w="9188"/>
          </w:cols>
        </w:sectPr>
      </w:pPr>
    </w:p>
    <w:p>
      <w:pPr>
        <w:pStyle w:val="3"/>
        <w:spacing w:before="14"/>
        <w:rPr>
          <w:rFonts w:ascii="Microsoft JhengHei"/>
          <w:b/>
          <w:sz w:val="3"/>
        </w:rPr>
      </w:pPr>
    </w:p>
    <w:tbl>
      <w:tblPr>
        <w:tblStyle w:val="11"/>
        <w:tblW w:w="10340" w:type="dxa"/>
        <w:tblInd w:w="1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6"/>
        <w:gridCol w:w="292"/>
        <w:gridCol w:w="319"/>
        <w:gridCol w:w="2696"/>
        <w:gridCol w:w="333"/>
        <w:gridCol w:w="847"/>
        <w:gridCol w:w="265"/>
        <w:gridCol w:w="553"/>
        <w:gridCol w:w="239"/>
        <w:gridCol w:w="1012"/>
        <w:gridCol w:w="799"/>
        <w:gridCol w:w="757"/>
        <w:gridCol w:w="14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1347" w:type="dxa"/>
            <w:gridSpan w:val="3"/>
            <w:vAlign w:val="center"/>
          </w:tcPr>
          <w:p>
            <w:pPr>
              <w:pStyle w:val="16"/>
              <w:spacing w:before="4" w:line="240" w:lineRule="exact"/>
              <w:ind w:left="469" w:right="250" w:hanging="212"/>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评价部门名称</w:t>
            </w:r>
          </w:p>
        </w:tc>
        <w:tc>
          <w:tcPr>
            <w:tcW w:w="4141" w:type="dxa"/>
            <w:gridSpan w:val="4"/>
            <w:vAlign w:val="center"/>
          </w:tcPr>
          <w:p>
            <w:pPr>
              <w:pStyle w:val="16"/>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南昌市青云谱区退役军人事务局</w:t>
            </w:r>
          </w:p>
        </w:tc>
        <w:tc>
          <w:tcPr>
            <w:tcW w:w="2603" w:type="dxa"/>
            <w:gridSpan w:val="4"/>
            <w:vAlign w:val="center"/>
          </w:tcPr>
          <w:p>
            <w:pPr>
              <w:pStyle w:val="16"/>
              <w:spacing w:before="106"/>
              <w:ind w:left="680"/>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下属单位个数</w:t>
            </w:r>
          </w:p>
        </w:tc>
        <w:tc>
          <w:tcPr>
            <w:tcW w:w="2249" w:type="dxa"/>
            <w:gridSpan w:val="2"/>
            <w:vAlign w:val="center"/>
          </w:tcPr>
          <w:p>
            <w:pPr>
              <w:pStyle w:val="16"/>
              <w:jc w:val="center"/>
              <w:rPr>
                <w:rFonts w:hint="eastAsia" w:ascii="黑体" w:hAnsi="黑体" w:eastAsia="黑体" w:cs="黑体"/>
                <w:color w:val="000000" w:themeColor="text1"/>
                <w:sz w:val="20"/>
                <w:szCs w:val="20"/>
                <w:lang w:val="en-US" w:eastAsia="zh-CN"/>
              </w:rPr>
            </w:pPr>
            <w:r>
              <w:rPr>
                <w:rFonts w:hint="eastAsia" w:ascii="黑体" w:hAnsi="黑体" w:eastAsia="黑体" w:cs="黑体"/>
                <w:color w:val="000000" w:themeColor="text1"/>
                <w:sz w:val="20"/>
                <w:szCs w:val="2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1347" w:type="dxa"/>
            <w:gridSpan w:val="3"/>
            <w:vMerge w:val="restart"/>
            <w:vAlign w:val="center"/>
          </w:tcPr>
          <w:p>
            <w:pPr>
              <w:pStyle w:val="16"/>
              <w:spacing w:before="4"/>
              <w:jc w:val="center"/>
              <w:rPr>
                <w:rFonts w:hint="eastAsia" w:ascii="黑体" w:hAnsi="黑体" w:eastAsia="黑体" w:cs="黑体"/>
                <w:b/>
                <w:color w:val="000000" w:themeColor="text1"/>
                <w:sz w:val="20"/>
                <w:szCs w:val="20"/>
                <w:lang w:eastAsia="en-US"/>
              </w:rPr>
            </w:pPr>
          </w:p>
          <w:p>
            <w:pPr>
              <w:pStyle w:val="16"/>
              <w:spacing w:line="213" w:lineRule="auto"/>
              <w:ind w:left="469" w:right="250" w:hanging="212"/>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整体支出规模</w:t>
            </w:r>
          </w:p>
        </w:tc>
        <w:tc>
          <w:tcPr>
            <w:tcW w:w="3029" w:type="dxa"/>
            <w:gridSpan w:val="2"/>
            <w:vAlign w:val="center"/>
          </w:tcPr>
          <w:p>
            <w:pPr>
              <w:pStyle w:val="16"/>
              <w:jc w:val="center"/>
              <w:rPr>
                <w:rFonts w:hint="eastAsia" w:ascii="黑体" w:hAnsi="黑体" w:eastAsia="黑体" w:cs="黑体"/>
                <w:color w:val="000000" w:themeColor="text1"/>
                <w:sz w:val="20"/>
                <w:szCs w:val="20"/>
                <w:lang w:eastAsia="en-US"/>
              </w:rPr>
            </w:pPr>
          </w:p>
        </w:tc>
        <w:tc>
          <w:tcPr>
            <w:tcW w:w="1665" w:type="dxa"/>
            <w:gridSpan w:val="3"/>
            <w:vAlign w:val="center"/>
          </w:tcPr>
          <w:p>
            <w:pPr>
              <w:pStyle w:val="16"/>
              <w:spacing w:line="216" w:lineRule="exact"/>
              <w:ind w:left="313"/>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全年预算数</w:t>
            </w:r>
          </w:p>
        </w:tc>
        <w:tc>
          <w:tcPr>
            <w:tcW w:w="2050" w:type="dxa"/>
            <w:gridSpan w:val="3"/>
            <w:vAlign w:val="center"/>
          </w:tcPr>
          <w:p>
            <w:pPr>
              <w:pStyle w:val="16"/>
              <w:spacing w:line="216" w:lineRule="exact"/>
              <w:ind w:left="507"/>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全年执行数</w:t>
            </w:r>
          </w:p>
        </w:tc>
        <w:tc>
          <w:tcPr>
            <w:tcW w:w="2249" w:type="dxa"/>
            <w:gridSpan w:val="2"/>
            <w:vAlign w:val="center"/>
          </w:tcPr>
          <w:p>
            <w:pPr>
              <w:pStyle w:val="16"/>
              <w:spacing w:line="216" w:lineRule="exact"/>
              <w:ind w:left="796" w:right="790"/>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执行率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1347" w:type="dxa"/>
            <w:gridSpan w:val="3"/>
            <w:vMerge w:val="continue"/>
            <w:tcBorders>
              <w:top w:val="nil"/>
            </w:tcBorders>
            <w:vAlign w:val="center"/>
          </w:tcPr>
          <w:p>
            <w:pPr>
              <w:widowControl w:val="0"/>
              <w:autoSpaceDE w:val="0"/>
              <w:autoSpaceDN w:val="0"/>
              <w:spacing w:after="0"/>
              <w:jc w:val="center"/>
              <w:rPr>
                <w:rFonts w:hint="eastAsia" w:ascii="黑体" w:hAnsi="黑体" w:eastAsia="黑体" w:cs="黑体"/>
                <w:color w:val="000000" w:themeColor="text1"/>
                <w:sz w:val="20"/>
                <w:szCs w:val="20"/>
                <w:lang w:eastAsia="en-US"/>
              </w:rPr>
            </w:pPr>
          </w:p>
        </w:tc>
        <w:tc>
          <w:tcPr>
            <w:tcW w:w="3029" w:type="dxa"/>
            <w:gridSpan w:val="2"/>
            <w:vAlign w:val="center"/>
          </w:tcPr>
          <w:p>
            <w:pPr>
              <w:pStyle w:val="16"/>
              <w:spacing w:before="21"/>
              <w:ind w:left="317"/>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资金来源：（1）财政拨款</w:t>
            </w:r>
          </w:p>
        </w:tc>
        <w:tc>
          <w:tcPr>
            <w:tcW w:w="1665" w:type="dxa"/>
            <w:gridSpan w:val="3"/>
            <w:vAlign w:val="bottom"/>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2292.45</w:t>
            </w:r>
          </w:p>
        </w:tc>
        <w:tc>
          <w:tcPr>
            <w:tcW w:w="2050" w:type="dxa"/>
            <w:gridSpan w:val="3"/>
            <w:vAlign w:val="bottom"/>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1992.85</w:t>
            </w:r>
          </w:p>
        </w:tc>
        <w:tc>
          <w:tcPr>
            <w:tcW w:w="2249" w:type="dxa"/>
            <w:gridSpan w:val="2"/>
            <w:vAlign w:val="bottom"/>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86.93%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1347" w:type="dxa"/>
            <w:gridSpan w:val="3"/>
            <w:vMerge w:val="continue"/>
            <w:tcBorders>
              <w:top w:val="nil"/>
            </w:tcBorders>
            <w:vAlign w:val="center"/>
          </w:tcPr>
          <w:p>
            <w:pPr>
              <w:widowControl w:val="0"/>
              <w:autoSpaceDE w:val="0"/>
              <w:autoSpaceDN w:val="0"/>
              <w:spacing w:after="0"/>
              <w:jc w:val="center"/>
              <w:rPr>
                <w:rFonts w:hint="eastAsia" w:ascii="黑体" w:hAnsi="黑体" w:eastAsia="黑体" w:cs="黑体"/>
                <w:color w:val="000000" w:themeColor="text1"/>
                <w:sz w:val="20"/>
                <w:szCs w:val="20"/>
                <w:lang w:eastAsia="en-US"/>
              </w:rPr>
            </w:pPr>
          </w:p>
        </w:tc>
        <w:tc>
          <w:tcPr>
            <w:tcW w:w="3029" w:type="dxa"/>
            <w:gridSpan w:val="2"/>
            <w:vAlign w:val="center"/>
          </w:tcPr>
          <w:p>
            <w:pPr>
              <w:pStyle w:val="16"/>
              <w:spacing w:line="220" w:lineRule="exact"/>
              <w:ind w:left="843"/>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（2）其他资金</w:t>
            </w:r>
          </w:p>
        </w:tc>
        <w:tc>
          <w:tcPr>
            <w:tcW w:w="1665" w:type="dxa"/>
            <w:gridSpan w:val="3"/>
            <w:vAlign w:val="bottom"/>
          </w:tcPr>
          <w:p>
            <w:pPr>
              <w:widowControl w:val="0"/>
              <w:autoSpaceDE w:val="0"/>
              <w:autoSpaceDN w:val="0"/>
              <w:jc w:val="center"/>
              <w:rPr>
                <w:rFonts w:hint="eastAsia" w:ascii="黑体" w:hAnsi="黑体" w:eastAsia="黑体" w:cs="黑体"/>
                <w:color w:val="000000" w:themeColor="text1"/>
                <w:sz w:val="20"/>
                <w:szCs w:val="20"/>
                <w:lang w:eastAsia="en-US"/>
              </w:rPr>
            </w:pPr>
          </w:p>
        </w:tc>
        <w:tc>
          <w:tcPr>
            <w:tcW w:w="2050" w:type="dxa"/>
            <w:gridSpan w:val="3"/>
            <w:vAlign w:val="bottom"/>
          </w:tcPr>
          <w:p>
            <w:pPr>
              <w:widowControl w:val="0"/>
              <w:autoSpaceDE w:val="0"/>
              <w:autoSpaceDN w:val="0"/>
              <w:jc w:val="center"/>
              <w:rPr>
                <w:rFonts w:hint="eastAsia" w:ascii="黑体" w:hAnsi="黑体" w:eastAsia="黑体" w:cs="黑体"/>
                <w:color w:val="000000" w:themeColor="text1"/>
                <w:sz w:val="20"/>
                <w:szCs w:val="20"/>
                <w:lang w:eastAsia="en-US"/>
              </w:rPr>
            </w:pPr>
          </w:p>
        </w:tc>
        <w:tc>
          <w:tcPr>
            <w:tcW w:w="2249" w:type="dxa"/>
            <w:gridSpan w:val="2"/>
            <w:vAlign w:val="bottom"/>
          </w:tcPr>
          <w:p>
            <w:pPr>
              <w:widowControl w:val="0"/>
              <w:autoSpaceDE w:val="0"/>
              <w:autoSpaceDN w:val="0"/>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1347" w:type="dxa"/>
            <w:gridSpan w:val="3"/>
            <w:vMerge w:val="continue"/>
            <w:tcBorders>
              <w:top w:val="nil"/>
            </w:tcBorders>
            <w:vAlign w:val="center"/>
          </w:tcPr>
          <w:p>
            <w:pPr>
              <w:widowControl w:val="0"/>
              <w:autoSpaceDE w:val="0"/>
              <w:autoSpaceDN w:val="0"/>
              <w:spacing w:after="0"/>
              <w:jc w:val="center"/>
              <w:rPr>
                <w:rFonts w:hint="eastAsia" w:ascii="黑体" w:hAnsi="黑体" w:eastAsia="黑体" w:cs="黑体"/>
                <w:color w:val="000000" w:themeColor="text1"/>
                <w:sz w:val="20"/>
                <w:szCs w:val="20"/>
                <w:lang w:eastAsia="en-US"/>
              </w:rPr>
            </w:pPr>
          </w:p>
        </w:tc>
        <w:tc>
          <w:tcPr>
            <w:tcW w:w="3029" w:type="dxa"/>
            <w:gridSpan w:val="2"/>
            <w:vAlign w:val="center"/>
          </w:tcPr>
          <w:p>
            <w:pPr>
              <w:pStyle w:val="16"/>
              <w:spacing w:line="234" w:lineRule="exact"/>
              <w:ind w:left="317"/>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资金结构：（1）基本支出</w:t>
            </w:r>
          </w:p>
        </w:tc>
        <w:tc>
          <w:tcPr>
            <w:tcW w:w="1665" w:type="dxa"/>
            <w:gridSpan w:val="3"/>
            <w:vAlign w:val="bottom"/>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644.65</w:t>
            </w:r>
          </w:p>
        </w:tc>
        <w:tc>
          <w:tcPr>
            <w:tcW w:w="2050" w:type="dxa"/>
            <w:gridSpan w:val="3"/>
            <w:vAlign w:val="bottom"/>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736.98</w:t>
            </w:r>
          </w:p>
        </w:tc>
        <w:tc>
          <w:tcPr>
            <w:tcW w:w="2249" w:type="dxa"/>
            <w:gridSpan w:val="2"/>
            <w:vAlign w:val="bottom"/>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114.32%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1347" w:type="dxa"/>
            <w:gridSpan w:val="3"/>
            <w:vMerge w:val="continue"/>
            <w:tcBorders>
              <w:top w:val="nil"/>
            </w:tcBorders>
            <w:vAlign w:val="center"/>
          </w:tcPr>
          <w:p>
            <w:pPr>
              <w:widowControl w:val="0"/>
              <w:autoSpaceDE w:val="0"/>
              <w:autoSpaceDN w:val="0"/>
              <w:spacing w:after="0"/>
              <w:jc w:val="center"/>
              <w:rPr>
                <w:rFonts w:hint="eastAsia" w:ascii="黑体" w:hAnsi="黑体" w:eastAsia="黑体" w:cs="黑体"/>
                <w:color w:val="000000" w:themeColor="text1"/>
                <w:sz w:val="20"/>
                <w:szCs w:val="20"/>
                <w:lang w:eastAsia="en-US"/>
              </w:rPr>
            </w:pPr>
          </w:p>
        </w:tc>
        <w:tc>
          <w:tcPr>
            <w:tcW w:w="3029" w:type="dxa"/>
            <w:gridSpan w:val="2"/>
            <w:vAlign w:val="center"/>
          </w:tcPr>
          <w:p>
            <w:pPr>
              <w:pStyle w:val="16"/>
              <w:spacing w:line="220" w:lineRule="exact"/>
              <w:ind w:left="843"/>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（2）项目支出</w:t>
            </w:r>
          </w:p>
        </w:tc>
        <w:tc>
          <w:tcPr>
            <w:tcW w:w="1665" w:type="dxa"/>
            <w:gridSpan w:val="3"/>
            <w:vAlign w:val="bottom"/>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1647.8</w:t>
            </w:r>
          </w:p>
        </w:tc>
        <w:tc>
          <w:tcPr>
            <w:tcW w:w="2050" w:type="dxa"/>
            <w:gridSpan w:val="3"/>
            <w:vAlign w:val="bottom"/>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1255.87</w:t>
            </w:r>
          </w:p>
        </w:tc>
        <w:tc>
          <w:tcPr>
            <w:tcW w:w="2249" w:type="dxa"/>
            <w:gridSpan w:val="2"/>
            <w:vAlign w:val="bottom"/>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76.21%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trPr>
        <w:tc>
          <w:tcPr>
            <w:tcW w:w="1028" w:type="dxa"/>
            <w:gridSpan w:val="2"/>
            <w:vMerge w:val="restart"/>
            <w:vAlign w:val="center"/>
          </w:tcPr>
          <w:p>
            <w:pPr>
              <w:pStyle w:val="16"/>
              <w:spacing w:before="7" w:line="240" w:lineRule="exact"/>
              <w:ind w:left="203" w:right="191"/>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年度总体目标</w:t>
            </w:r>
          </w:p>
        </w:tc>
        <w:tc>
          <w:tcPr>
            <w:tcW w:w="4460" w:type="dxa"/>
            <w:gridSpan w:val="5"/>
            <w:vAlign w:val="center"/>
          </w:tcPr>
          <w:p>
            <w:pPr>
              <w:pStyle w:val="16"/>
              <w:spacing w:line="220" w:lineRule="exact"/>
              <w:ind w:left="1596" w:right="1589"/>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年初设定目标</w:t>
            </w:r>
          </w:p>
        </w:tc>
        <w:tc>
          <w:tcPr>
            <w:tcW w:w="4852" w:type="dxa"/>
            <w:gridSpan w:val="6"/>
            <w:vAlign w:val="center"/>
          </w:tcPr>
          <w:p>
            <w:pPr>
              <w:pStyle w:val="16"/>
              <w:spacing w:line="220" w:lineRule="exact"/>
              <w:ind w:left="1792" w:right="1787"/>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全年完成情况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29" w:hRule="atLeast"/>
        </w:trPr>
        <w:tc>
          <w:tcPr>
            <w:tcW w:w="1028" w:type="dxa"/>
            <w:gridSpan w:val="2"/>
            <w:vMerge w:val="continue"/>
            <w:tcBorders>
              <w:top w:val="nil"/>
            </w:tcBorders>
          </w:tcPr>
          <w:p>
            <w:pPr>
              <w:widowControl w:val="0"/>
              <w:autoSpaceDE w:val="0"/>
              <w:autoSpaceDN w:val="0"/>
              <w:spacing w:after="0"/>
              <w:rPr>
                <w:rFonts w:hint="eastAsia" w:ascii="黑体" w:hAnsi="黑体" w:eastAsia="黑体" w:cs="黑体"/>
                <w:color w:val="000000" w:themeColor="text1"/>
                <w:sz w:val="20"/>
                <w:szCs w:val="20"/>
                <w:lang w:eastAsia="en-US"/>
              </w:rPr>
            </w:pPr>
          </w:p>
        </w:tc>
        <w:tc>
          <w:tcPr>
            <w:tcW w:w="4460" w:type="dxa"/>
            <w:gridSpan w:val="5"/>
          </w:tcPr>
          <w:p>
            <w:pPr>
              <w:pStyle w:val="16"/>
              <w:ind w:firstLine="400" w:firstLineChars="200"/>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以习近平新时代中国特色社会主义思想为指导，深入贯彻习近平总书记关于退役军人工作重要论述和视察江西重要讲话精神，认真贯彻落实上级决策部署，提升全区退役军人服务保障体系建设，优抚对象补助资金发放、褒扬纪念活动、来信来访处理、移交安置等工作及时完成，创业就业、双拥创建稳步推行，切实提升广大退役军人及优抚对象的幸福感、荣誉感和获得感。</w:t>
            </w:r>
          </w:p>
        </w:tc>
        <w:tc>
          <w:tcPr>
            <w:tcW w:w="4852" w:type="dxa"/>
            <w:gridSpan w:val="6"/>
          </w:tcPr>
          <w:p>
            <w:pPr>
              <w:pStyle w:val="16"/>
              <w:jc w:val="center"/>
              <w:rPr>
                <w:rFonts w:hint="eastAsia" w:ascii="黑体" w:hAnsi="黑体" w:eastAsia="黑体" w:cs="黑体"/>
                <w:color w:val="000000" w:themeColor="text1"/>
                <w:sz w:val="20"/>
                <w:szCs w:val="20"/>
                <w:lang w:eastAsia="en-US"/>
              </w:rPr>
            </w:pPr>
          </w:p>
          <w:p>
            <w:pPr>
              <w:pStyle w:val="16"/>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（一）提高站位，服务退役军人获好评；</w:t>
            </w:r>
          </w:p>
          <w:p>
            <w:pPr>
              <w:pStyle w:val="16"/>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（二）构筑体系，服务退役军人保障好；</w:t>
            </w:r>
          </w:p>
          <w:p>
            <w:pPr>
              <w:pStyle w:val="16"/>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（三）上下齐心，服务退役军人结硕果；</w:t>
            </w:r>
          </w:p>
          <w:p>
            <w:pPr>
              <w:pStyle w:val="16"/>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（四）领导关怀，服务退役军人暖人心；</w:t>
            </w:r>
          </w:p>
          <w:p>
            <w:pPr>
              <w:pStyle w:val="16"/>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val="en-US" w:eastAsia="zh-CN"/>
              </w:rPr>
              <w:t xml:space="preserve">  </w:t>
            </w:r>
            <w:r>
              <w:rPr>
                <w:rFonts w:hint="eastAsia" w:ascii="黑体" w:hAnsi="黑体" w:eastAsia="黑体" w:cs="黑体"/>
                <w:color w:val="000000" w:themeColor="text1"/>
                <w:sz w:val="20"/>
                <w:szCs w:val="20"/>
                <w:lang w:eastAsia="en-US"/>
              </w:rPr>
              <w:t>（五）特色亮点，引领退役军人奉献社会。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0340" w:type="dxa"/>
            <w:gridSpan w:val="13"/>
          </w:tcPr>
          <w:p>
            <w:pPr>
              <w:pStyle w:val="16"/>
              <w:spacing w:line="220" w:lineRule="exact"/>
              <w:ind w:left="4559" w:right="4552"/>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分解目标自评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36" w:type="dxa"/>
            <w:vAlign w:val="center"/>
          </w:tcPr>
          <w:p>
            <w:pPr>
              <w:pStyle w:val="16"/>
              <w:spacing w:before="8" w:line="240" w:lineRule="exact"/>
              <w:ind w:left="160" w:right="152"/>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一级指标</w:t>
            </w:r>
          </w:p>
        </w:tc>
        <w:tc>
          <w:tcPr>
            <w:tcW w:w="611" w:type="dxa"/>
            <w:gridSpan w:val="2"/>
            <w:vAlign w:val="center"/>
          </w:tcPr>
          <w:p>
            <w:pPr>
              <w:pStyle w:val="16"/>
              <w:spacing w:before="8" w:line="240" w:lineRule="exact"/>
              <w:ind w:left="202" w:right="193"/>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权重</w:t>
            </w:r>
          </w:p>
        </w:tc>
        <w:tc>
          <w:tcPr>
            <w:tcW w:w="2696" w:type="dxa"/>
            <w:vAlign w:val="center"/>
          </w:tcPr>
          <w:p>
            <w:pPr>
              <w:pStyle w:val="16"/>
              <w:spacing w:before="110"/>
              <w:ind w:left="285" w:right="279"/>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二级指标</w:t>
            </w:r>
          </w:p>
        </w:tc>
        <w:tc>
          <w:tcPr>
            <w:tcW w:w="1180" w:type="dxa"/>
            <w:gridSpan w:val="2"/>
            <w:vAlign w:val="center"/>
          </w:tcPr>
          <w:p>
            <w:pPr>
              <w:pStyle w:val="16"/>
              <w:spacing w:before="110"/>
              <w:ind w:left="174"/>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三级指标</w:t>
            </w:r>
          </w:p>
        </w:tc>
        <w:tc>
          <w:tcPr>
            <w:tcW w:w="1057" w:type="dxa"/>
            <w:gridSpan w:val="3"/>
            <w:vAlign w:val="center"/>
          </w:tcPr>
          <w:p>
            <w:pPr>
              <w:pStyle w:val="16"/>
              <w:spacing w:before="8" w:line="240" w:lineRule="exact"/>
              <w:ind w:left="427" w:right="102" w:hanging="315"/>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年度指标值</w:t>
            </w:r>
          </w:p>
        </w:tc>
        <w:tc>
          <w:tcPr>
            <w:tcW w:w="1012" w:type="dxa"/>
            <w:vAlign w:val="center"/>
          </w:tcPr>
          <w:p>
            <w:pPr>
              <w:pStyle w:val="16"/>
              <w:spacing w:before="8" w:line="240" w:lineRule="exact"/>
              <w:ind w:left="300" w:right="185" w:hanging="106"/>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全年完成值</w:t>
            </w:r>
          </w:p>
        </w:tc>
        <w:tc>
          <w:tcPr>
            <w:tcW w:w="799" w:type="dxa"/>
            <w:vAlign w:val="center"/>
          </w:tcPr>
          <w:p>
            <w:pPr>
              <w:pStyle w:val="16"/>
              <w:spacing w:before="110"/>
              <w:ind w:left="170" w:right="165"/>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分值</w:t>
            </w:r>
          </w:p>
        </w:tc>
        <w:tc>
          <w:tcPr>
            <w:tcW w:w="757" w:type="dxa"/>
            <w:vAlign w:val="center"/>
          </w:tcPr>
          <w:p>
            <w:pPr>
              <w:pStyle w:val="16"/>
              <w:spacing w:before="110"/>
              <w:ind w:left="171"/>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得分</w:t>
            </w:r>
          </w:p>
        </w:tc>
        <w:tc>
          <w:tcPr>
            <w:tcW w:w="1492" w:type="dxa"/>
            <w:vAlign w:val="center"/>
          </w:tcPr>
          <w:p>
            <w:pPr>
              <w:pStyle w:val="16"/>
              <w:spacing w:before="8" w:line="240" w:lineRule="exact"/>
              <w:ind w:left="646" w:right="112" w:hanging="526"/>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偏差及原因分析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8" w:hRule="atLeast"/>
        </w:trPr>
        <w:tc>
          <w:tcPr>
            <w:tcW w:w="736" w:type="dxa"/>
            <w:vMerge w:val="restart"/>
            <w:vAlign w:val="center"/>
          </w:tcPr>
          <w:p>
            <w:pPr>
              <w:pStyle w:val="16"/>
              <w:jc w:val="center"/>
              <w:rPr>
                <w:rFonts w:hint="eastAsia" w:ascii="黑体" w:hAnsi="黑体" w:eastAsia="黑体" w:cs="黑体"/>
                <w:b/>
                <w:color w:val="000000" w:themeColor="text1"/>
                <w:sz w:val="20"/>
                <w:szCs w:val="20"/>
                <w:lang w:eastAsia="en-US"/>
              </w:rPr>
            </w:pPr>
          </w:p>
          <w:p>
            <w:pPr>
              <w:pStyle w:val="16"/>
              <w:jc w:val="center"/>
              <w:rPr>
                <w:rFonts w:hint="eastAsia" w:ascii="黑体" w:hAnsi="黑体" w:eastAsia="黑体" w:cs="黑体"/>
                <w:b/>
                <w:color w:val="000000" w:themeColor="text1"/>
                <w:sz w:val="20"/>
                <w:szCs w:val="20"/>
                <w:lang w:eastAsia="en-US"/>
              </w:rPr>
            </w:pPr>
          </w:p>
          <w:p>
            <w:pPr>
              <w:pStyle w:val="16"/>
              <w:spacing w:before="10"/>
              <w:jc w:val="center"/>
              <w:rPr>
                <w:rFonts w:hint="eastAsia" w:ascii="黑体" w:hAnsi="黑体" w:eastAsia="黑体" w:cs="黑体"/>
                <w:b/>
                <w:color w:val="000000" w:themeColor="text1"/>
                <w:sz w:val="20"/>
                <w:szCs w:val="20"/>
                <w:lang w:eastAsia="en-US"/>
              </w:rPr>
            </w:pPr>
          </w:p>
          <w:p>
            <w:pPr>
              <w:pStyle w:val="16"/>
              <w:spacing w:before="1" w:line="213" w:lineRule="auto"/>
              <w:ind w:left="160" w:right="152"/>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管理指标</w:t>
            </w:r>
          </w:p>
        </w:tc>
        <w:tc>
          <w:tcPr>
            <w:tcW w:w="611" w:type="dxa"/>
            <w:gridSpan w:val="2"/>
            <w:vMerge w:val="restart"/>
            <w:vAlign w:val="center"/>
          </w:tcPr>
          <w:p>
            <w:pPr>
              <w:pStyle w:val="16"/>
              <w:jc w:val="both"/>
              <w:rPr>
                <w:rFonts w:hint="eastAsia" w:ascii="黑体" w:hAnsi="黑体" w:eastAsia="黑体" w:cs="黑体"/>
                <w:b/>
                <w:color w:val="000000" w:themeColor="text1"/>
                <w:sz w:val="20"/>
                <w:szCs w:val="20"/>
                <w:lang w:eastAsia="en-US"/>
              </w:rPr>
            </w:pPr>
          </w:p>
          <w:p>
            <w:pPr>
              <w:pStyle w:val="16"/>
              <w:jc w:val="both"/>
              <w:rPr>
                <w:rFonts w:hint="eastAsia" w:ascii="黑体" w:hAnsi="黑体" w:eastAsia="黑体" w:cs="黑体"/>
                <w:b/>
                <w:color w:val="000000" w:themeColor="text1"/>
                <w:sz w:val="20"/>
                <w:szCs w:val="20"/>
                <w:lang w:eastAsia="en-US"/>
              </w:rPr>
            </w:pPr>
          </w:p>
          <w:p>
            <w:pPr>
              <w:pStyle w:val="16"/>
              <w:spacing w:before="15"/>
              <w:jc w:val="both"/>
              <w:rPr>
                <w:rFonts w:hint="eastAsia" w:ascii="黑体" w:hAnsi="黑体" w:eastAsia="黑体" w:cs="黑体"/>
                <w:b/>
                <w:color w:val="000000" w:themeColor="text1"/>
                <w:sz w:val="20"/>
                <w:szCs w:val="20"/>
                <w:lang w:eastAsia="en-US"/>
              </w:rPr>
            </w:pPr>
          </w:p>
          <w:p>
            <w:pPr>
              <w:pStyle w:val="16"/>
              <w:spacing w:before="1"/>
              <w:ind w:left="202"/>
              <w:jc w:val="both"/>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30</w:t>
            </w:r>
          </w:p>
        </w:tc>
        <w:tc>
          <w:tcPr>
            <w:tcW w:w="2696" w:type="dxa"/>
            <w:vMerge w:val="restart"/>
            <w:vAlign w:val="center"/>
          </w:tcPr>
          <w:p>
            <w:pPr>
              <w:pStyle w:val="16"/>
              <w:spacing w:before="45"/>
              <w:ind w:left="287" w:right="279"/>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预算编审管理</w:t>
            </w:r>
          </w:p>
        </w:tc>
        <w:tc>
          <w:tcPr>
            <w:tcW w:w="1180" w:type="dxa"/>
            <w:gridSpan w:val="2"/>
            <w:vAlign w:val="center"/>
          </w:tcPr>
          <w:p>
            <w:pPr>
              <w:pStyle w:val="16"/>
              <w:spacing w:line="220" w:lineRule="exact"/>
              <w:jc w:val="left"/>
              <w:rPr>
                <w:rFonts w:hint="eastAsia" w:ascii="黑体" w:hAnsi="黑体" w:eastAsia="黑体" w:cs="黑体"/>
                <w:color w:val="000000" w:themeColor="text1"/>
                <w:sz w:val="20"/>
                <w:szCs w:val="20"/>
                <w:lang w:val="en-US" w:eastAsia="zh-CN"/>
              </w:rPr>
            </w:pPr>
            <w:r>
              <w:rPr>
                <w:rFonts w:hint="eastAsia" w:ascii="黑体" w:hAnsi="黑体" w:eastAsia="黑体" w:cs="黑体"/>
                <w:color w:val="000000" w:themeColor="text1"/>
                <w:sz w:val="20"/>
                <w:szCs w:val="20"/>
                <w:lang w:val="en-US" w:eastAsia="zh-CN"/>
              </w:rPr>
              <w:t>任务1：预算编制完整性</w:t>
            </w:r>
          </w:p>
        </w:tc>
        <w:tc>
          <w:tcPr>
            <w:tcW w:w="1057" w:type="dxa"/>
            <w:gridSpan w:val="3"/>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预算编制是否完整、齐全，数据是否有错</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预算编制完整、齐全，数据无误</w:t>
            </w:r>
          </w:p>
        </w:tc>
        <w:tc>
          <w:tcPr>
            <w:tcW w:w="799"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757"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1492"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7" w:hRule="atLeast"/>
        </w:trPr>
        <w:tc>
          <w:tcPr>
            <w:tcW w:w="736" w:type="dxa"/>
            <w:vMerge w:val="continue"/>
            <w:vAlign w:val="center"/>
          </w:tcPr>
          <w:p>
            <w:pPr>
              <w:pStyle w:val="16"/>
              <w:jc w:val="center"/>
              <w:rPr>
                <w:rFonts w:hint="eastAsia" w:ascii="黑体" w:hAnsi="黑体" w:eastAsia="黑体" w:cs="黑体"/>
                <w:color w:val="000000" w:themeColor="text1"/>
                <w:sz w:val="20"/>
                <w:szCs w:val="20"/>
              </w:rPr>
            </w:pPr>
          </w:p>
        </w:tc>
        <w:tc>
          <w:tcPr>
            <w:tcW w:w="611" w:type="dxa"/>
            <w:gridSpan w:val="2"/>
            <w:vMerge w:val="continue"/>
            <w:vAlign w:val="center"/>
          </w:tcPr>
          <w:p>
            <w:pPr>
              <w:pStyle w:val="16"/>
              <w:jc w:val="both"/>
              <w:rPr>
                <w:rFonts w:hint="eastAsia" w:ascii="黑体" w:hAnsi="黑体" w:eastAsia="黑体" w:cs="黑体"/>
                <w:color w:val="000000" w:themeColor="text1"/>
                <w:sz w:val="20"/>
                <w:szCs w:val="20"/>
              </w:rPr>
            </w:pPr>
          </w:p>
        </w:tc>
        <w:tc>
          <w:tcPr>
            <w:tcW w:w="2696" w:type="dxa"/>
            <w:vMerge w:val="continue"/>
            <w:vAlign w:val="center"/>
          </w:tcPr>
          <w:p>
            <w:pPr>
              <w:pStyle w:val="16"/>
              <w:jc w:val="center"/>
              <w:rPr>
                <w:rFonts w:hint="eastAsia" w:ascii="黑体" w:hAnsi="黑体" w:eastAsia="黑体" w:cs="黑体"/>
                <w:color w:val="000000" w:themeColor="text1"/>
                <w:sz w:val="20"/>
                <w:szCs w:val="20"/>
              </w:rPr>
            </w:pPr>
          </w:p>
        </w:tc>
        <w:tc>
          <w:tcPr>
            <w:tcW w:w="1180" w:type="dxa"/>
            <w:gridSpan w:val="2"/>
            <w:vAlign w:val="center"/>
          </w:tcPr>
          <w:p>
            <w:pPr>
              <w:pStyle w:val="16"/>
              <w:jc w:val="left"/>
              <w:rPr>
                <w:rFonts w:hint="eastAsia" w:ascii="黑体" w:hAnsi="黑体" w:eastAsia="黑体" w:cs="黑体"/>
                <w:color w:val="000000" w:themeColor="text1"/>
                <w:sz w:val="20"/>
                <w:szCs w:val="20"/>
                <w:lang w:val="en-US" w:eastAsia="zh-CN"/>
              </w:rPr>
            </w:pPr>
            <w:r>
              <w:rPr>
                <w:rFonts w:hint="eastAsia" w:ascii="黑体" w:hAnsi="黑体" w:eastAsia="黑体" w:cs="黑体"/>
                <w:color w:val="000000" w:themeColor="text1"/>
                <w:sz w:val="20"/>
                <w:szCs w:val="20"/>
                <w:lang w:val="en-US" w:eastAsia="zh-CN"/>
              </w:rPr>
              <w:t>任务2：预算编制准确性</w:t>
            </w:r>
          </w:p>
        </w:tc>
        <w:tc>
          <w:tcPr>
            <w:tcW w:w="1057" w:type="dxa"/>
            <w:gridSpan w:val="3"/>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预算编列预算科目是否准确、细化</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预算编列预算科目准确、细化</w:t>
            </w:r>
          </w:p>
        </w:tc>
        <w:tc>
          <w:tcPr>
            <w:tcW w:w="799"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757"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1492"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0" w:hRule="atLeast"/>
        </w:trPr>
        <w:tc>
          <w:tcPr>
            <w:tcW w:w="736" w:type="dxa"/>
            <w:vMerge w:val="continue"/>
            <w:vAlign w:val="center"/>
          </w:tcPr>
          <w:p>
            <w:pPr>
              <w:pStyle w:val="16"/>
              <w:jc w:val="center"/>
              <w:rPr>
                <w:rFonts w:hint="eastAsia" w:ascii="黑体" w:hAnsi="黑体" w:eastAsia="黑体" w:cs="黑体"/>
                <w:color w:val="000000" w:themeColor="text1"/>
                <w:sz w:val="20"/>
                <w:szCs w:val="20"/>
                <w:lang w:eastAsia="en-US"/>
              </w:rPr>
            </w:pPr>
          </w:p>
        </w:tc>
        <w:tc>
          <w:tcPr>
            <w:tcW w:w="611" w:type="dxa"/>
            <w:gridSpan w:val="2"/>
            <w:vMerge w:val="continue"/>
            <w:vAlign w:val="center"/>
          </w:tcPr>
          <w:p>
            <w:pPr>
              <w:pStyle w:val="16"/>
              <w:jc w:val="both"/>
              <w:rPr>
                <w:rFonts w:hint="eastAsia" w:ascii="黑体" w:hAnsi="黑体" w:eastAsia="黑体" w:cs="黑体"/>
                <w:color w:val="000000" w:themeColor="text1"/>
                <w:sz w:val="20"/>
                <w:szCs w:val="20"/>
                <w:lang w:eastAsia="en-US"/>
              </w:rPr>
            </w:pPr>
          </w:p>
        </w:tc>
        <w:tc>
          <w:tcPr>
            <w:tcW w:w="2696" w:type="dxa"/>
            <w:vMerge w:val="continue"/>
            <w:vAlign w:val="center"/>
          </w:tcPr>
          <w:p>
            <w:pPr>
              <w:pStyle w:val="16"/>
              <w:jc w:val="center"/>
              <w:rPr>
                <w:rFonts w:hint="eastAsia" w:ascii="黑体" w:hAnsi="黑体" w:eastAsia="黑体" w:cs="黑体"/>
                <w:color w:val="000000" w:themeColor="text1"/>
                <w:sz w:val="20"/>
                <w:szCs w:val="20"/>
                <w:lang w:eastAsia="en-US"/>
              </w:rPr>
            </w:pPr>
          </w:p>
        </w:tc>
        <w:tc>
          <w:tcPr>
            <w:tcW w:w="1180" w:type="dxa"/>
            <w:gridSpan w:val="2"/>
            <w:vAlign w:val="center"/>
          </w:tcPr>
          <w:p>
            <w:pPr>
              <w:pStyle w:val="16"/>
              <w:jc w:val="left"/>
              <w:rPr>
                <w:rFonts w:hint="eastAsia" w:ascii="黑体" w:hAnsi="黑体" w:eastAsia="黑体" w:cs="黑体"/>
                <w:color w:val="000000" w:themeColor="text1"/>
                <w:sz w:val="20"/>
                <w:szCs w:val="20"/>
                <w:lang w:val="en-US" w:eastAsia="zh-CN"/>
              </w:rPr>
            </w:pPr>
            <w:r>
              <w:rPr>
                <w:rFonts w:hint="eastAsia" w:ascii="黑体" w:hAnsi="黑体" w:eastAsia="黑体" w:cs="黑体"/>
                <w:color w:val="000000" w:themeColor="text1"/>
                <w:sz w:val="20"/>
                <w:szCs w:val="20"/>
                <w:lang w:val="en-US" w:eastAsia="zh-CN"/>
              </w:rPr>
              <w:t>任务3：绩效目标管理</w:t>
            </w:r>
          </w:p>
        </w:tc>
        <w:tc>
          <w:tcPr>
            <w:tcW w:w="1057" w:type="dxa"/>
            <w:gridSpan w:val="3"/>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预算绩效目标编制的规范性、合理性，以及覆盖率</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预算绩效目标编制规范合理，全面覆盖</w:t>
            </w:r>
          </w:p>
        </w:tc>
        <w:tc>
          <w:tcPr>
            <w:tcW w:w="799"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757"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1492"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736" w:type="dxa"/>
            <w:vMerge w:val="continue"/>
            <w:tcBorders>
              <w:top w:val="nil"/>
            </w:tcBorders>
            <w:vAlign w:val="center"/>
          </w:tcPr>
          <w:p>
            <w:pPr>
              <w:widowControl w:val="0"/>
              <w:autoSpaceDE w:val="0"/>
              <w:autoSpaceDN w:val="0"/>
              <w:spacing w:after="0"/>
              <w:jc w:val="center"/>
              <w:rPr>
                <w:rFonts w:hint="eastAsia" w:ascii="黑体" w:hAnsi="黑体" w:eastAsia="黑体" w:cs="黑体"/>
                <w:color w:val="000000" w:themeColor="text1"/>
                <w:sz w:val="20"/>
                <w:szCs w:val="20"/>
                <w:lang w:eastAsia="en-US"/>
              </w:rPr>
            </w:pPr>
          </w:p>
        </w:tc>
        <w:tc>
          <w:tcPr>
            <w:tcW w:w="611" w:type="dxa"/>
            <w:gridSpan w:val="2"/>
            <w:vMerge w:val="continue"/>
            <w:tcBorders>
              <w:top w:val="nil"/>
            </w:tcBorders>
            <w:vAlign w:val="center"/>
          </w:tcPr>
          <w:p>
            <w:pPr>
              <w:widowControl w:val="0"/>
              <w:autoSpaceDE w:val="0"/>
              <w:autoSpaceDN w:val="0"/>
              <w:spacing w:after="0"/>
              <w:jc w:val="both"/>
              <w:rPr>
                <w:rFonts w:hint="eastAsia" w:ascii="黑体" w:hAnsi="黑体" w:eastAsia="黑体" w:cs="黑体"/>
                <w:color w:val="000000" w:themeColor="text1"/>
                <w:sz w:val="20"/>
                <w:szCs w:val="20"/>
                <w:lang w:eastAsia="en-US"/>
              </w:rPr>
            </w:pPr>
          </w:p>
        </w:tc>
        <w:tc>
          <w:tcPr>
            <w:tcW w:w="2696" w:type="dxa"/>
            <w:vMerge w:val="restart"/>
            <w:vAlign w:val="center"/>
          </w:tcPr>
          <w:p>
            <w:pPr>
              <w:pStyle w:val="16"/>
              <w:spacing w:before="44"/>
              <w:ind w:left="287" w:right="279"/>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预算执行管理</w:t>
            </w:r>
          </w:p>
        </w:tc>
        <w:tc>
          <w:tcPr>
            <w:tcW w:w="1180" w:type="dxa"/>
            <w:gridSpan w:val="2"/>
            <w:tcBorders>
              <w:top w:val="nil"/>
            </w:tcBorders>
            <w:vAlign w:val="center"/>
          </w:tcPr>
          <w:p>
            <w:pPr>
              <w:pStyle w:val="16"/>
              <w:spacing w:line="220" w:lineRule="exact"/>
              <w:jc w:val="left"/>
              <w:rPr>
                <w:rFonts w:hint="eastAsia" w:ascii="黑体" w:hAnsi="黑体" w:eastAsia="黑体" w:cs="黑体"/>
                <w:color w:val="000000" w:themeColor="text1"/>
                <w:sz w:val="20"/>
                <w:szCs w:val="20"/>
                <w:lang w:val="en-US" w:eastAsia="zh-CN"/>
              </w:rPr>
            </w:pPr>
            <w:r>
              <w:rPr>
                <w:rFonts w:hint="eastAsia" w:ascii="黑体" w:hAnsi="黑体" w:eastAsia="黑体" w:cs="黑体"/>
                <w:color w:val="000000" w:themeColor="text1"/>
                <w:sz w:val="20"/>
                <w:szCs w:val="20"/>
                <w:lang w:val="en-US" w:eastAsia="zh-CN"/>
              </w:rPr>
              <w:t>任务1：预算完成率</w:t>
            </w:r>
          </w:p>
        </w:tc>
        <w:tc>
          <w:tcPr>
            <w:tcW w:w="1057" w:type="dxa"/>
            <w:gridSpan w:val="3"/>
            <w:tcBorders>
              <w:top w:val="nil"/>
            </w:tcBorders>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w:t>
            </w:r>
            <w:r>
              <w:rPr>
                <w:rStyle w:val="18"/>
                <w:rFonts w:hint="eastAsia" w:ascii="黑体" w:hAnsi="黑体" w:eastAsia="黑体" w:cs="黑体"/>
                <w:color w:val="000000" w:themeColor="text1"/>
                <w:sz w:val="20"/>
                <w:szCs w:val="20"/>
                <w:lang w:val="en-US" w:eastAsia="zh-CN" w:bidi="ar"/>
              </w:rPr>
              <w:t>95%</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86.93%</w:t>
            </w:r>
          </w:p>
        </w:tc>
        <w:tc>
          <w:tcPr>
            <w:tcW w:w="799"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757"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w:t>
            </w:r>
          </w:p>
        </w:tc>
        <w:tc>
          <w:tcPr>
            <w:tcW w:w="1492" w:type="dxa"/>
            <w:vAlign w:val="center"/>
          </w:tcPr>
          <w:p>
            <w:pPr>
              <w:pStyle w:val="16"/>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厉行节约、缩减开支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736" w:type="dxa"/>
            <w:vMerge w:val="continue"/>
            <w:tcBorders>
              <w:top w:val="nil"/>
            </w:tcBorders>
            <w:vAlign w:val="center"/>
          </w:tcPr>
          <w:p>
            <w:pPr>
              <w:pStyle w:val="16"/>
              <w:jc w:val="center"/>
              <w:rPr>
                <w:rFonts w:hint="eastAsia" w:ascii="黑体" w:hAnsi="黑体" w:eastAsia="黑体" w:cs="黑体"/>
                <w:color w:val="000000" w:themeColor="text1"/>
                <w:sz w:val="20"/>
                <w:szCs w:val="20"/>
              </w:rPr>
            </w:pPr>
          </w:p>
        </w:tc>
        <w:tc>
          <w:tcPr>
            <w:tcW w:w="611" w:type="dxa"/>
            <w:gridSpan w:val="2"/>
            <w:vMerge w:val="continue"/>
            <w:tcBorders>
              <w:top w:val="nil"/>
            </w:tcBorders>
            <w:vAlign w:val="center"/>
          </w:tcPr>
          <w:p>
            <w:pPr>
              <w:pStyle w:val="16"/>
              <w:jc w:val="both"/>
              <w:rPr>
                <w:rFonts w:hint="eastAsia" w:ascii="黑体" w:hAnsi="黑体" w:eastAsia="黑体" w:cs="黑体"/>
                <w:color w:val="000000" w:themeColor="text1"/>
                <w:sz w:val="20"/>
                <w:szCs w:val="20"/>
              </w:rPr>
            </w:pPr>
          </w:p>
        </w:tc>
        <w:tc>
          <w:tcPr>
            <w:tcW w:w="2696" w:type="dxa"/>
            <w:vMerge w:val="continue"/>
            <w:vAlign w:val="center"/>
          </w:tcPr>
          <w:p>
            <w:pPr>
              <w:pStyle w:val="16"/>
              <w:jc w:val="center"/>
              <w:rPr>
                <w:rFonts w:hint="eastAsia" w:ascii="黑体" w:hAnsi="黑体" w:eastAsia="黑体" w:cs="黑体"/>
                <w:color w:val="000000" w:themeColor="text1"/>
                <w:sz w:val="20"/>
                <w:szCs w:val="20"/>
              </w:rPr>
            </w:pPr>
          </w:p>
        </w:tc>
        <w:tc>
          <w:tcPr>
            <w:tcW w:w="1180" w:type="dxa"/>
            <w:gridSpan w:val="2"/>
            <w:tcBorders>
              <w:top w:val="nil"/>
            </w:tcBorders>
            <w:vAlign w:val="center"/>
          </w:tcPr>
          <w:p>
            <w:pPr>
              <w:pStyle w:val="16"/>
              <w:jc w:val="left"/>
              <w:rPr>
                <w:rFonts w:hint="eastAsia" w:ascii="黑体" w:hAnsi="黑体" w:eastAsia="黑体" w:cs="黑体"/>
                <w:color w:val="000000" w:themeColor="text1"/>
                <w:sz w:val="20"/>
                <w:szCs w:val="20"/>
                <w:lang w:val="en-US" w:eastAsia="zh-CN"/>
              </w:rPr>
            </w:pPr>
            <w:r>
              <w:rPr>
                <w:rFonts w:hint="eastAsia" w:ascii="黑体" w:hAnsi="黑体" w:eastAsia="黑体" w:cs="黑体"/>
                <w:color w:val="000000" w:themeColor="text1"/>
                <w:sz w:val="20"/>
                <w:szCs w:val="20"/>
                <w:lang w:val="en-US" w:eastAsia="zh-CN"/>
              </w:rPr>
              <w:t>任务2：支付进度率</w:t>
            </w:r>
          </w:p>
        </w:tc>
        <w:tc>
          <w:tcPr>
            <w:tcW w:w="1057" w:type="dxa"/>
            <w:gridSpan w:val="3"/>
            <w:tcBorders>
              <w:top w:val="nil"/>
            </w:tcBorders>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≥95%</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100.00%</w:t>
            </w:r>
          </w:p>
        </w:tc>
        <w:tc>
          <w:tcPr>
            <w:tcW w:w="799"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757"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1492"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736" w:type="dxa"/>
            <w:vMerge w:val="continue"/>
            <w:tcBorders>
              <w:top w:val="nil"/>
            </w:tcBorders>
            <w:vAlign w:val="center"/>
          </w:tcPr>
          <w:p>
            <w:pPr>
              <w:pStyle w:val="16"/>
              <w:jc w:val="center"/>
              <w:rPr>
                <w:rFonts w:hint="eastAsia" w:ascii="黑体" w:hAnsi="黑体" w:eastAsia="黑体" w:cs="黑体"/>
                <w:color w:val="000000" w:themeColor="text1"/>
                <w:sz w:val="20"/>
                <w:szCs w:val="20"/>
                <w:lang w:eastAsia="en-US"/>
              </w:rPr>
            </w:pPr>
          </w:p>
        </w:tc>
        <w:tc>
          <w:tcPr>
            <w:tcW w:w="611" w:type="dxa"/>
            <w:gridSpan w:val="2"/>
            <w:vMerge w:val="continue"/>
            <w:tcBorders>
              <w:top w:val="nil"/>
            </w:tcBorders>
            <w:vAlign w:val="center"/>
          </w:tcPr>
          <w:p>
            <w:pPr>
              <w:pStyle w:val="16"/>
              <w:jc w:val="both"/>
              <w:rPr>
                <w:rFonts w:hint="eastAsia" w:ascii="黑体" w:hAnsi="黑体" w:eastAsia="黑体" w:cs="黑体"/>
                <w:color w:val="000000" w:themeColor="text1"/>
                <w:sz w:val="20"/>
                <w:szCs w:val="20"/>
                <w:lang w:eastAsia="en-US"/>
              </w:rPr>
            </w:pPr>
          </w:p>
        </w:tc>
        <w:tc>
          <w:tcPr>
            <w:tcW w:w="2696" w:type="dxa"/>
            <w:vMerge w:val="continue"/>
            <w:vAlign w:val="center"/>
          </w:tcPr>
          <w:p>
            <w:pPr>
              <w:pStyle w:val="16"/>
              <w:jc w:val="center"/>
              <w:rPr>
                <w:rFonts w:hint="eastAsia" w:ascii="黑体" w:hAnsi="黑体" w:eastAsia="黑体" w:cs="黑体"/>
                <w:color w:val="000000" w:themeColor="text1"/>
                <w:sz w:val="20"/>
                <w:szCs w:val="20"/>
                <w:lang w:eastAsia="en-US"/>
              </w:rPr>
            </w:pPr>
          </w:p>
        </w:tc>
        <w:tc>
          <w:tcPr>
            <w:tcW w:w="1180" w:type="dxa"/>
            <w:gridSpan w:val="2"/>
            <w:tcBorders>
              <w:top w:val="nil"/>
            </w:tcBorders>
            <w:vAlign w:val="center"/>
          </w:tcPr>
          <w:p>
            <w:pPr>
              <w:pStyle w:val="16"/>
              <w:jc w:val="left"/>
              <w:rPr>
                <w:rFonts w:hint="eastAsia" w:ascii="黑体" w:hAnsi="黑体" w:eastAsia="黑体" w:cs="黑体"/>
                <w:color w:val="000000" w:themeColor="text1"/>
                <w:sz w:val="20"/>
                <w:szCs w:val="20"/>
                <w:lang w:val="en-US" w:eastAsia="zh-CN"/>
              </w:rPr>
            </w:pPr>
            <w:r>
              <w:rPr>
                <w:rFonts w:hint="eastAsia" w:ascii="黑体" w:hAnsi="黑体" w:eastAsia="黑体" w:cs="黑体"/>
                <w:color w:val="000000" w:themeColor="text1"/>
                <w:sz w:val="20"/>
                <w:szCs w:val="20"/>
                <w:lang w:val="en-US" w:eastAsia="zh-CN"/>
              </w:rPr>
              <w:t>任务3：公用经费控制率</w:t>
            </w:r>
          </w:p>
        </w:tc>
        <w:tc>
          <w:tcPr>
            <w:tcW w:w="1057" w:type="dxa"/>
            <w:gridSpan w:val="3"/>
            <w:tcBorders>
              <w:top w:val="nil"/>
            </w:tcBorders>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≤100%</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144.07%</w:t>
            </w:r>
          </w:p>
        </w:tc>
        <w:tc>
          <w:tcPr>
            <w:tcW w:w="799"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757"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w:t>
            </w:r>
          </w:p>
        </w:tc>
        <w:tc>
          <w:tcPr>
            <w:tcW w:w="1492" w:type="dxa"/>
            <w:vAlign w:val="center"/>
          </w:tcPr>
          <w:p>
            <w:pPr>
              <w:pStyle w:val="16"/>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为做好工作，</w:t>
            </w:r>
            <w:r>
              <w:rPr>
                <w:rFonts w:hint="eastAsia" w:ascii="黑体" w:hAnsi="黑体" w:eastAsia="黑体" w:cs="黑体"/>
                <w:color w:val="000000" w:themeColor="text1"/>
                <w:sz w:val="20"/>
                <w:szCs w:val="20"/>
                <w:lang w:val="en-US" w:eastAsia="zh-CN"/>
              </w:rPr>
              <w:t>加强了</w:t>
            </w:r>
            <w:r>
              <w:rPr>
                <w:rFonts w:hint="eastAsia" w:ascii="黑体" w:hAnsi="黑体" w:eastAsia="黑体" w:cs="黑体"/>
                <w:color w:val="000000" w:themeColor="text1"/>
                <w:sz w:val="20"/>
                <w:szCs w:val="20"/>
                <w:lang w:eastAsia="en-US"/>
              </w:rPr>
              <w:t>日常宣传活动开展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736" w:type="dxa"/>
            <w:vMerge w:val="continue"/>
            <w:tcBorders>
              <w:top w:val="nil"/>
            </w:tcBorders>
            <w:vAlign w:val="center"/>
          </w:tcPr>
          <w:p>
            <w:pPr>
              <w:widowControl w:val="0"/>
              <w:autoSpaceDE w:val="0"/>
              <w:autoSpaceDN w:val="0"/>
              <w:spacing w:after="0"/>
              <w:jc w:val="center"/>
              <w:rPr>
                <w:rFonts w:hint="eastAsia" w:ascii="黑体" w:hAnsi="黑体" w:eastAsia="黑体" w:cs="黑体"/>
                <w:color w:val="000000" w:themeColor="text1"/>
                <w:sz w:val="20"/>
                <w:szCs w:val="20"/>
                <w:lang w:eastAsia="en-US"/>
              </w:rPr>
            </w:pPr>
          </w:p>
        </w:tc>
        <w:tc>
          <w:tcPr>
            <w:tcW w:w="611" w:type="dxa"/>
            <w:gridSpan w:val="2"/>
            <w:vMerge w:val="continue"/>
            <w:tcBorders>
              <w:top w:val="nil"/>
            </w:tcBorders>
            <w:vAlign w:val="center"/>
          </w:tcPr>
          <w:p>
            <w:pPr>
              <w:widowControl w:val="0"/>
              <w:autoSpaceDE w:val="0"/>
              <w:autoSpaceDN w:val="0"/>
              <w:spacing w:after="0"/>
              <w:jc w:val="both"/>
              <w:rPr>
                <w:rFonts w:hint="eastAsia" w:ascii="黑体" w:hAnsi="黑体" w:eastAsia="黑体" w:cs="黑体"/>
                <w:color w:val="000000" w:themeColor="text1"/>
                <w:sz w:val="20"/>
                <w:szCs w:val="20"/>
                <w:lang w:eastAsia="en-US"/>
              </w:rPr>
            </w:pPr>
          </w:p>
        </w:tc>
        <w:tc>
          <w:tcPr>
            <w:tcW w:w="2696" w:type="dxa"/>
            <w:vAlign w:val="center"/>
          </w:tcPr>
          <w:p>
            <w:pPr>
              <w:pStyle w:val="16"/>
              <w:spacing w:before="44"/>
              <w:ind w:left="287" w:right="279"/>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部门结转结余资金管理</w:t>
            </w:r>
          </w:p>
        </w:tc>
        <w:tc>
          <w:tcPr>
            <w:tcW w:w="1180" w:type="dxa"/>
            <w:gridSpan w:val="2"/>
            <w:tcBorders>
              <w:top w:val="nil"/>
            </w:tcBorders>
            <w:vAlign w:val="center"/>
          </w:tcPr>
          <w:p>
            <w:pPr>
              <w:pStyle w:val="16"/>
              <w:spacing w:line="220" w:lineRule="exact"/>
              <w:jc w:val="left"/>
              <w:rPr>
                <w:rFonts w:hint="eastAsia" w:ascii="黑体" w:hAnsi="黑体" w:eastAsia="黑体" w:cs="黑体"/>
                <w:color w:val="000000" w:themeColor="text1"/>
                <w:sz w:val="20"/>
                <w:szCs w:val="20"/>
                <w:lang w:eastAsia="zh-CN"/>
              </w:rPr>
            </w:pPr>
            <w:r>
              <w:rPr>
                <w:rFonts w:hint="eastAsia" w:ascii="黑体" w:hAnsi="黑体" w:eastAsia="黑体" w:cs="黑体"/>
                <w:color w:val="000000" w:themeColor="text1"/>
                <w:sz w:val="20"/>
                <w:szCs w:val="20"/>
                <w:lang w:val="en-US" w:eastAsia="zh-CN"/>
              </w:rPr>
              <w:t>任务1：结转结余率</w:t>
            </w:r>
          </w:p>
        </w:tc>
        <w:tc>
          <w:tcPr>
            <w:tcW w:w="1057" w:type="dxa"/>
            <w:gridSpan w:val="3"/>
            <w:tcBorders>
              <w:top w:val="nil"/>
            </w:tcBorders>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≤5%</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0.00%</w:t>
            </w:r>
          </w:p>
        </w:tc>
        <w:tc>
          <w:tcPr>
            <w:tcW w:w="799"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757"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1492"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8" w:hRule="atLeast"/>
        </w:trPr>
        <w:tc>
          <w:tcPr>
            <w:tcW w:w="736" w:type="dxa"/>
            <w:vMerge w:val="continue"/>
            <w:tcBorders>
              <w:top w:val="nil"/>
            </w:tcBorders>
            <w:vAlign w:val="center"/>
          </w:tcPr>
          <w:p>
            <w:pPr>
              <w:widowControl w:val="0"/>
              <w:autoSpaceDE w:val="0"/>
              <w:autoSpaceDN w:val="0"/>
              <w:spacing w:after="0"/>
              <w:jc w:val="center"/>
              <w:rPr>
                <w:rFonts w:hint="eastAsia" w:ascii="黑体" w:hAnsi="黑体" w:eastAsia="黑体" w:cs="黑体"/>
                <w:color w:val="000000" w:themeColor="text1"/>
                <w:sz w:val="20"/>
                <w:szCs w:val="20"/>
                <w:lang w:eastAsia="en-US"/>
              </w:rPr>
            </w:pPr>
          </w:p>
        </w:tc>
        <w:tc>
          <w:tcPr>
            <w:tcW w:w="611" w:type="dxa"/>
            <w:gridSpan w:val="2"/>
            <w:vMerge w:val="continue"/>
            <w:tcBorders>
              <w:top w:val="nil"/>
            </w:tcBorders>
            <w:vAlign w:val="center"/>
          </w:tcPr>
          <w:p>
            <w:pPr>
              <w:widowControl w:val="0"/>
              <w:autoSpaceDE w:val="0"/>
              <w:autoSpaceDN w:val="0"/>
              <w:spacing w:after="0"/>
              <w:jc w:val="both"/>
              <w:rPr>
                <w:rFonts w:hint="eastAsia" w:ascii="黑体" w:hAnsi="黑体" w:eastAsia="黑体" w:cs="黑体"/>
                <w:color w:val="000000" w:themeColor="text1"/>
                <w:sz w:val="20"/>
                <w:szCs w:val="20"/>
                <w:lang w:eastAsia="en-US"/>
              </w:rPr>
            </w:pPr>
          </w:p>
        </w:tc>
        <w:tc>
          <w:tcPr>
            <w:tcW w:w="2696" w:type="dxa"/>
            <w:vMerge w:val="restart"/>
            <w:vAlign w:val="center"/>
          </w:tcPr>
          <w:p>
            <w:pPr>
              <w:pStyle w:val="16"/>
              <w:spacing w:before="46"/>
              <w:ind w:left="285" w:right="279"/>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预决算信息公开管理</w:t>
            </w:r>
          </w:p>
        </w:tc>
        <w:tc>
          <w:tcPr>
            <w:tcW w:w="1180" w:type="dxa"/>
            <w:gridSpan w:val="2"/>
            <w:tcBorders>
              <w:top w:val="nil"/>
            </w:tcBorders>
            <w:vAlign w:val="center"/>
          </w:tcPr>
          <w:p>
            <w:pPr>
              <w:keepNext w:val="0"/>
              <w:keepLines w:val="0"/>
              <w:widowControl/>
              <w:suppressLineNumbers w:val="0"/>
              <w:autoSpaceDE w:val="0"/>
              <w:autoSpaceDN w:val="0"/>
              <w:jc w:val="left"/>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任务1：预决算信息公开性</w:t>
            </w:r>
          </w:p>
        </w:tc>
        <w:tc>
          <w:tcPr>
            <w:tcW w:w="1057" w:type="dxa"/>
            <w:gridSpan w:val="3"/>
            <w:tcBorders>
              <w:top w:val="nil"/>
            </w:tcBorders>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是否按照规定内容及时限公开预决算信息</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及时按照要求公开</w:t>
            </w:r>
          </w:p>
        </w:tc>
        <w:tc>
          <w:tcPr>
            <w:tcW w:w="799"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757"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1492"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8" w:hRule="atLeast"/>
        </w:trPr>
        <w:tc>
          <w:tcPr>
            <w:tcW w:w="736" w:type="dxa"/>
            <w:vMerge w:val="continue"/>
            <w:vAlign w:val="center"/>
          </w:tcPr>
          <w:p>
            <w:pPr>
              <w:pStyle w:val="16"/>
              <w:jc w:val="center"/>
              <w:rPr>
                <w:rFonts w:hint="eastAsia" w:ascii="黑体" w:hAnsi="黑体" w:eastAsia="黑体" w:cs="黑体"/>
                <w:color w:val="000000" w:themeColor="text1"/>
                <w:sz w:val="20"/>
                <w:szCs w:val="20"/>
              </w:rPr>
            </w:pPr>
          </w:p>
        </w:tc>
        <w:tc>
          <w:tcPr>
            <w:tcW w:w="611" w:type="dxa"/>
            <w:gridSpan w:val="2"/>
            <w:vMerge w:val="continue"/>
            <w:vAlign w:val="center"/>
          </w:tcPr>
          <w:p>
            <w:pPr>
              <w:pStyle w:val="16"/>
              <w:jc w:val="both"/>
              <w:rPr>
                <w:rFonts w:hint="eastAsia" w:ascii="黑体" w:hAnsi="黑体" w:eastAsia="黑体" w:cs="黑体"/>
                <w:color w:val="000000" w:themeColor="text1"/>
                <w:sz w:val="20"/>
                <w:szCs w:val="20"/>
              </w:rPr>
            </w:pPr>
          </w:p>
        </w:tc>
        <w:tc>
          <w:tcPr>
            <w:tcW w:w="2696" w:type="dxa"/>
            <w:vMerge w:val="continue"/>
            <w:vAlign w:val="center"/>
          </w:tcPr>
          <w:p>
            <w:pPr>
              <w:pStyle w:val="16"/>
              <w:jc w:val="center"/>
              <w:rPr>
                <w:rFonts w:hint="eastAsia" w:ascii="黑体" w:hAnsi="黑体" w:eastAsia="黑体" w:cs="黑体"/>
                <w:color w:val="000000" w:themeColor="text1"/>
                <w:sz w:val="20"/>
                <w:szCs w:val="20"/>
              </w:rPr>
            </w:pPr>
          </w:p>
        </w:tc>
        <w:tc>
          <w:tcPr>
            <w:tcW w:w="1180" w:type="dxa"/>
            <w:gridSpan w:val="2"/>
            <w:tcBorders>
              <w:top w:val="nil"/>
            </w:tcBorders>
            <w:vAlign w:val="center"/>
          </w:tcPr>
          <w:p>
            <w:pPr>
              <w:keepNext w:val="0"/>
              <w:keepLines w:val="0"/>
              <w:widowControl/>
              <w:suppressLineNumbers w:val="0"/>
              <w:autoSpaceDE w:val="0"/>
              <w:autoSpaceDN w:val="0"/>
              <w:jc w:val="left"/>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任务2：基础信息完善性</w:t>
            </w:r>
          </w:p>
        </w:tc>
        <w:tc>
          <w:tcPr>
            <w:tcW w:w="1057" w:type="dxa"/>
            <w:gridSpan w:val="3"/>
            <w:tcBorders>
              <w:top w:val="nil"/>
            </w:tcBorders>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基础数据信息是否真实、完整、准确</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真实、完整、准确</w:t>
            </w:r>
          </w:p>
        </w:tc>
        <w:tc>
          <w:tcPr>
            <w:tcW w:w="799"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757"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1492"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3" w:hRule="atLeast"/>
        </w:trPr>
        <w:tc>
          <w:tcPr>
            <w:tcW w:w="736" w:type="dxa"/>
            <w:vMerge w:val="continue"/>
            <w:tcBorders>
              <w:top w:val="nil"/>
            </w:tcBorders>
            <w:vAlign w:val="center"/>
          </w:tcPr>
          <w:p>
            <w:pPr>
              <w:widowControl w:val="0"/>
              <w:autoSpaceDE w:val="0"/>
              <w:autoSpaceDN w:val="0"/>
              <w:spacing w:after="0"/>
              <w:jc w:val="center"/>
              <w:rPr>
                <w:rFonts w:hint="eastAsia" w:ascii="黑体" w:hAnsi="黑体" w:eastAsia="黑体" w:cs="黑体"/>
                <w:color w:val="000000" w:themeColor="text1"/>
                <w:sz w:val="20"/>
                <w:szCs w:val="20"/>
                <w:lang w:eastAsia="en-US"/>
              </w:rPr>
            </w:pPr>
          </w:p>
        </w:tc>
        <w:tc>
          <w:tcPr>
            <w:tcW w:w="611" w:type="dxa"/>
            <w:gridSpan w:val="2"/>
            <w:vMerge w:val="continue"/>
            <w:tcBorders>
              <w:top w:val="nil"/>
            </w:tcBorders>
            <w:vAlign w:val="center"/>
          </w:tcPr>
          <w:p>
            <w:pPr>
              <w:widowControl w:val="0"/>
              <w:autoSpaceDE w:val="0"/>
              <w:autoSpaceDN w:val="0"/>
              <w:spacing w:after="0"/>
              <w:jc w:val="both"/>
              <w:rPr>
                <w:rFonts w:hint="eastAsia" w:ascii="黑体" w:hAnsi="黑体" w:eastAsia="黑体" w:cs="黑体"/>
                <w:color w:val="000000" w:themeColor="text1"/>
                <w:sz w:val="20"/>
                <w:szCs w:val="20"/>
                <w:lang w:eastAsia="en-US"/>
              </w:rPr>
            </w:pPr>
          </w:p>
        </w:tc>
        <w:tc>
          <w:tcPr>
            <w:tcW w:w="2696" w:type="dxa"/>
            <w:vMerge w:val="restart"/>
            <w:vAlign w:val="center"/>
          </w:tcPr>
          <w:p>
            <w:pPr>
              <w:pStyle w:val="16"/>
              <w:spacing w:before="45"/>
              <w:ind w:left="287" w:right="279"/>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部门预算管理</w:t>
            </w:r>
          </w:p>
        </w:tc>
        <w:tc>
          <w:tcPr>
            <w:tcW w:w="1180" w:type="dxa"/>
            <w:gridSpan w:val="2"/>
            <w:tcBorders>
              <w:top w:val="nil"/>
            </w:tcBorders>
            <w:vAlign w:val="center"/>
          </w:tcPr>
          <w:p>
            <w:pPr>
              <w:keepNext w:val="0"/>
              <w:keepLines w:val="0"/>
              <w:widowControl/>
              <w:suppressLineNumbers w:val="0"/>
              <w:autoSpaceDE w:val="0"/>
              <w:autoSpaceDN w:val="0"/>
              <w:jc w:val="left"/>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任务1：在职人员控制率</w:t>
            </w:r>
          </w:p>
        </w:tc>
        <w:tc>
          <w:tcPr>
            <w:tcW w:w="1057" w:type="dxa"/>
            <w:gridSpan w:val="3"/>
            <w:tcBorders>
              <w:top w:val="nil"/>
            </w:tcBorders>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≤100%</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100.00%</w:t>
            </w:r>
          </w:p>
        </w:tc>
        <w:tc>
          <w:tcPr>
            <w:tcW w:w="799"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757"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1492"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7" w:hRule="atLeast"/>
        </w:trPr>
        <w:tc>
          <w:tcPr>
            <w:tcW w:w="736" w:type="dxa"/>
            <w:vMerge w:val="continue"/>
            <w:tcBorders>
              <w:top w:val="nil"/>
            </w:tcBorders>
            <w:vAlign w:val="center"/>
          </w:tcPr>
          <w:p>
            <w:pPr>
              <w:pStyle w:val="16"/>
              <w:jc w:val="center"/>
              <w:rPr>
                <w:rFonts w:hint="eastAsia" w:ascii="黑体" w:hAnsi="黑体" w:eastAsia="黑体" w:cs="黑体"/>
                <w:color w:val="000000" w:themeColor="text1"/>
                <w:sz w:val="20"/>
                <w:szCs w:val="20"/>
              </w:rPr>
            </w:pPr>
          </w:p>
        </w:tc>
        <w:tc>
          <w:tcPr>
            <w:tcW w:w="611" w:type="dxa"/>
            <w:gridSpan w:val="2"/>
            <w:vMerge w:val="continue"/>
            <w:tcBorders>
              <w:top w:val="nil"/>
            </w:tcBorders>
            <w:vAlign w:val="center"/>
          </w:tcPr>
          <w:p>
            <w:pPr>
              <w:pStyle w:val="16"/>
              <w:jc w:val="both"/>
              <w:rPr>
                <w:rFonts w:hint="eastAsia" w:ascii="黑体" w:hAnsi="黑体" w:eastAsia="黑体" w:cs="黑体"/>
                <w:color w:val="000000" w:themeColor="text1"/>
                <w:sz w:val="20"/>
                <w:szCs w:val="20"/>
              </w:rPr>
            </w:pPr>
          </w:p>
        </w:tc>
        <w:tc>
          <w:tcPr>
            <w:tcW w:w="2696" w:type="dxa"/>
            <w:vMerge w:val="continue"/>
            <w:vAlign w:val="center"/>
          </w:tcPr>
          <w:p>
            <w:pPr>
              <w:pStyle w:val="16"/>
              <w:jc w:val="center"/>
              <w:rPr>
                <w:rFonts w:hint="eastAsia" w:ascii="黑体" w:hAnsi="黑体" w:eastAsia="黑体" w:cs="黑体"/>
                <w:color w:val="000000" w:themeColor="text1"/>
                <w:sz w:val="20"/>
                <w:szCs w:val="20"/>
              </w:rPr>
            </w:pPr>
          </w:p>
        </w:tc>
        <w:tc>
          <w:tcPr>
            <w:tcW w:w="1180" w:type="dxa"/>
            <w:gridSpan w:val="2"/>
            <w:tcBorders>
              <w:top w:val="nil"/>
            </w:tcBorders>
            <w:vAlign w:val="center"/>
          </w:tcPr>
          <w:p>
            <w:pPr>
              <w:keepNext w:val="0"/>
              <w:keepLines w:val="0"/>
              <w:widowControl/>
              <w:suppressLineNumbers w:val="0"/>
              <w:autoSpaceDE w:val="0"/>
              <w:autoSpaceDN w:val="0"/>
              <w:jc w:val="left"/>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任务2：管理制度健全性</w:t>
            </w:r>
          </w:p>
        </w:tc>
        <w:tc>
          <w:tcPr>
            <w:tcW w:w="1057" w:type="dxa"/>
            <w:gridSpan w:val="3"/>
            <w:tcBorders>
              <w:top w:val="nil"/>
            </w:tcBorders>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会计相关管理制度是否健全完整</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制度健全</w:t>
            </w:r>
          </w:p>
        </w:tc>
        <w:tc>
          <w:tcPr>
            <w:tcW w:w="799"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757"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1492"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0" w:hRule="atLeast"/>
        </w:trPr>
        <w:tc>
          <w:tcPr>
            <w:tcW w:w="736" w:type="dxa"/>
            <w:vMerge w:val="continue"/>
            <w:vAlign w:val="center"/>
          </w:tcPr>
          <w:p>
            <w:pPr>
              <w:pStyle w:val="16"/>
              <w:jc w:val="center"/>
              <w:rPr>
                <w:rFonts w:hint="eastAsia" w:ascii="黑体" w:hAnsi="黑体" w:eastAsia="黑体" w:cs="黑体"/>
                <w:color w:val="000000" w:themeColor="text1"/>
                <w:sz w:val="20"/>
                <w:szCs w:val="20"/>
                <w:lang w:eastAsia="en-US"/>
              </w:rPr>
            </w:pPr>
          </w:p>
        </w:tc>
        <w:tc>
          <w:tcPr>
            <w:tcW w:w="611" w:type="dxa"/>
            <w:gridSpan w:val="2"/>
            <w:vMerge w:val="continue"/>
            <w:vAlign w:val="center"/>
          </w:tcPr>
          <w:p>
            <w:pPr>
              <w:pStyle w:val="16"/>
              <w:jc w:val="both"/>
              <w:rPr>
                <w:rFonts w:hint="eastAsia" w:ascii="黑体" w:hAnsi="黑体" w:eastAsia="黑体" w:cs="黑体"/>
                <w:color w:val="000000" w:themeColor="text1"/>
                <w:sz w:val="20"/>
                <w:szCs w:val="20"/>
                <w:lang w:eastAsia="en-US"/>
              </w:rPr>
            </w:pPr>
          </w:p>
        </w:tc>
        <w:tc>
          <w:tcPr>
            <w:tcW w:w="2696" w:type="dxa"/>
            <w:vMerge w:val="continue"/>
            <w:vAlign w:val="center"/>
          </w:tcPr>
          <w:p>
            <w:pPr>
              <w:pStyle w:val="16"/>
              <w:jc w:val="center"/>
              <w:rPr>
                <w:rFonts w:hint="eastAsia" w:ascii="黑体" w:hAnsi="黑体" w:eastAsia="黑体" w:cs="黑体"/>
                <w:color w:val="000000" w:themeColor="text1"/>
                <w:sz w:val="20"/>
                <w:szCs w:val="20"/>
                <w:lang w:eastAsia="en-US"/>
              </w:rPr>
            </w:pPr>
          </w:p>
        </w:tc>
        <w:tc>
          <w:tcPr>
            <w:tcW w:w="1180" w:type="dxa"/>
            <w:gridSpan w:val="2"/>
            <w:tcBorders>
              <w:top w:val="nil"/>
            </w:tcBorders>
            <w:vAlign w:val="center"/>
          </w:tcPr>
          <w:p>
            <w:pPr>
              <w:keepNext w:val="0"/>
              <w:keepLines w:val="0"/>
              <w:widowControl/>
              <w:suppressLineNumbers w:val="0"/>
              <w:autoSpaceDE w:val="0"/>
              <w:autoSpaceDN w:val="0"/>
              <w:jc w:val="left"/>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任务3：资金使用合规性</w:t>
            </w:r>
          </w:p>
        </w:tc>
        <w:tc>
          <w:tcPr>
            <w:tcW w:w="1057" w:type="dxa"/>
            <w:gridSpan w:val="3"/>
            <w:tcBorders>
              <w:top w:val="nil"/>
            </w:tcBorders>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使用预算资金是否符合相关的预算财务管理制度的规定</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符合</w:t>
            </w:r>
          </w:p>
        </w:tc>
        <w:tc>
          <w:tcPr>
            <w:tcW w:w="799"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757"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1492"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3" w:hRule="atLeast"/>
        </w:trPr>
        <w:tc>
          <w:tcPr>
            <w:tcW w:w="736" w:type="dxa"/>
            <w:vMerge w:val="continue"/>
            <w:tcBorders>
              <w:top w:val="nil"/>
            </w:tcBorders>
            <w:vAlign w:val="center"/>
          </w:tcPr>
          <w:p>
            <w:pPr>
              <w:widowControl w:val="0"/>
              <w:autoSpaceDE w:val="0"/>
              <w:autoSpaceDN w:val="0"/>
              <w:spacing w:after="0"/>
              <w:jc w:val="center"/>
              <w:rPr>
                <w:rFonts w:hint="eastAsia" w:ascii="黑体" w:hAnsi="黑体" w:eastAsia="黑体" w:cs="黑体"/>
                <w:color w:val="000000" w:themeColor="text1"/>
                <w:sz w:val="20"/>
                <w:szCs w:val="20"/>
                <w:lang w:eastAsia="en-US"/>
              </w:rPr>
            </w:pPr>
          </w:p>
        </w:tc>
        <w:tc>
          <w:tcPr>
            <w:tcW w:w="611" w:type="dxa"/>
            <w:gridSpan w:val="2"/>
            <w:vMerge w:val="continue"/>
            <w:tcBorders>
              <w:top w:val="nil"/>
            </w:tcBorders>
            <w:vAlign w:val="center"/>
          </w:tcPr>
          <w:p>
            <w:pPr>
              <w:widowControl w:val="0"/>
              <w:autoSpaceDE w:val="0"/>
              <w:autoSpaceDN w:val="0"/>
              <w:spacing w:after="0"/>
              <w:jc w:val="both"/>
              <w:rPr>
                <w:rFonts w:hint="eastAsia" w:ascii="黑体" w:hAnsi="黑体" w:eastAsia="黑体" w:cs="黑体"/>
                <w:color w:val="000000" w:themeColor="text1"/>
                <w:sz w:val="20"/>
                <w:szCs w:val="20"/>
                <w:lang w:eastAsia="en-US"/>
              </w:rPr>
            </w:pPr>
          </w:p>
        </w:tc>
        <w:tc>
          <w:tcPr>
            <w:tcW w:w="2696" w:type="dxa"/>
            <w:vAlign w:val="center"/>
          </w:tcPr>
          <w:p>
            <w:pPr>
              <w:pStyle w:val="16"/>
              <w:spacing w:before="45"/>
              <w:ind w:left="287" w:right="279"/>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政府采购管理</w:t>
            </w:r>
          </w:p>
        </w:tc>
        <w:tc>
          <w:tcPr>
            <w:tcW w:w="1180" w:type="dxa"/>
            <w:gridSpan w:val="2"/>
            <w:tcBorders>
              <w:top w:val="nil"/>
            </w:tcBorders>
            <w:vAlign w:val="center"/>
          </w:tcPr>
          <w:p>
            <w:pPr>
              <w:keepNext w:val="0"/>
              <w:keepLines w:val="0"/>
              <w:widowControl/>
              <w:suppressLineNumbers w:val="0"/>
              <w:autoSpaceDE w:val="0"/>
              <w:autoSpaceDN w:val="0"/>
              <w:jc w:val="left"/>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任务1：政府采购执行率</w:t>
            </w:r>
          </w:p>
        </w:tc>
        <w:tc>
          <w:tcPr>
            <w:tcW w:w="1057" w:type="dxa"/>
            <w:gridSpan w:val="3"/>
            <w:tcBorders>
              <w:top w:val="nil"/>
            </w:tcBorders>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100.00%</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100.00%</w:t>
            </w:r>
          </w:p>
        </w:tc>
        <w:tc>
          <w:tcPr>
            <w:tcW w:w="799"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757"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1492"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3" w:hRule="atLeast"/>
        </w:trPr>
        <w:tc>
          <w:tcPr>
            <w:tcW w:w="736" w:type="dxa"/>
            <w:vMerge w:val="continue"/>
            <w:tcBorders>
              <w:top w:val="nil"/>
            </w:tcBorders>
            <w:vAlign w:val="center"/>
          </w:tcPr>
          <w:p>
            <w:pPr>
              <w:widowControl w:val="0"/>
              <w:autoSpaceDE w:val="0"/>
              <w:autoSpaceDN w:val="0"/>
              <w:spacing w:after="0"/>
              <w:jc w:val="center"/>
              <w:rPr>
                <w:rFonts w:hint="eastAsia" w:ascii="黑体" w:hAnsi="黑体" w:eastAsia="黑体" w:cs="黑体"/>
                <w:color w:val="000000" w:themeColor="text1"/>
                <w:sz w:val="20"/>
                <w:szCs w:val="20"/>
                <w:lang w:eastAsia="en-US"/>
              </w:rPr>
            </w:pPr>
          </w:p>
        </w:tc>
        <w:tc>
          <w:tcPr>
            <w:tcW w:w="611" w:type="dxa"/>
            <w:gridSpan w:val="2"/>
            <w:vMerge w:val="continue"/>
            <w:tcBorders>
              <w:top w:val="nil"/>
            </w:tcBorders>
            <w:vAlign w:val="center"/>
          </w:tcPr>
          <w:p>
            <w:pPr>
              <w:widowControl w:val="0"/>
              <w:autoSpaceDE w:val="0"/>
              <w:autoSpaceDN w:val="0"/>
              <w:spacing w:after="0"/>
              <w:jc w:val="both"/>
              <w:rPr>
                <w:rFonts w:hint="eastAsia" w:ascii="黑体" w:hAnsi="黑体" w:eastAsia="黑体" w:cs="黑体"/>
                <w:color w:val="000000" w:themeColor="text1"/>
                <w:sz w:val="20"/>
                <w:szCs w:val="20"/>
                <w:lang w:eastAsia="en-US"/>
              </w:rPr>
            </w:pPr>
          </w:p>
        </w:tc>
        <w:tc>
          <w:tcPr>
            <w:tcW w:w="2696" w:type="dxa"/>
            <w:vMerge w:val="restart"/>
            <w:vAlign w:val="center"/>
          </w:tcPr>
          <w:p>
            <w:pPr>
              <w:pStyle w:val="16"/>
              <w:spacing w:before="45"/>
              <w:ind w:left="285" w:right="279"/>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资产管理</w:t>
            </w:r>
          </w:p>
        </w:tc>
        <w:tc>
          <w:tcPr>
            <w:tcW w:w="1180" w:type="dxa"/>
            <w:gridSpan w:val="2"/>
            <w:tcBorders>
              <w:top w:val="nil"/>
            </w:tcBorders>
            <w:vAlign w:val="center"/>
          </w:tcPr>
          <w:p>
            <w:pPr>
              <w:keepNext w:val="0"/>
              <w:keepLines w:val="0"/>
              <w:widowControl/>
              <w:suppressLineNumbers w:val="0"/>
              <w:autoSpaceDE w:val="0"/>
              <w:autoSpaceDN w:val="0"/>
              <w:jc w:val="left"/>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任务1：管理制度健全性</w:t>
            </w:r>
          </w:p>
        </w:tc>
        <w:tc>
          <w:tcPr>
            <w:tcW w:w="1057" w:type="dxa"/>
            <w:gridSpan w:val="3"/>
            <w:tcBorders>
              <w:top w:val="nil"/>
            </w:tcBorders>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资产管理制度是否健全</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制度健全</w:t>
            </w:r>
          </w:p>
        </w:tc>
        <w:tc>
          <w:tcPr>
            <w:tcW w:w="799"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757"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w:t>
            </w:r>
          </w:p>
        </w:tc>
        <w:tc>
          <w:tcPr>
            <w:tcW w:w="1492" w:type="dxa"/>
            <w:vAlign w:val="center"/>
          </w:tcPr>
          <w:p>
            <w:pPr>
              <w:pStyle w:val="16"/>
              <w:jc w:val="center"/>
              <w:rPr>
                <w:rFonts w:hint="eastAsia" w:ascii="黑体" w:hAnsi="黑体" w:eastAsia="黑体" w:cs="黑体"/>
                <w:color w:val="000000" w:themeColor="text1"/>
                <w:sz w:val="20"/>
                <w:szCs w:val="20"/>
                <w:lang w:val="en-US" w:eastAsia="zh-CN"/>
              </w:rPr>
            </w:pPr>
            <w:r>
              <w:rPr>
                <w:rFonts w:hint="eastAsia" w:ascii="黑体" w:hAnsi="黑体" w:eastAsia="黑体" w:cs="黑体"/>
                <w:color w:val="000000" w:themeColor="text1"/>
                <w:sz w:val="20"/>
                <w:szCs w:val="20"/>
                <w:lang w:val="en-US" w:eastAsia="zh-CN"/>
              </w:rPr>
              <w:t>根据相关要求及时调整各类制度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5" w:hRule="atLeast"/>
        </w:trPr>
        <w:tc>
          <w:tcPr>
            <w:tcW w:w="736" w:type="dxa"/>
            <w:vMerge w:val="continue"/>
            <w:tcBorders>
              <w:top w:val="nil"/>
            </w:tcBorders>
            <w:vAlign w:val="center"/>
          </w:tcPr>
          <w:p>
            <w:pPr>
              <w:pStyle w:val="16"/>
              <w:jc w:val="center"/>
              <w:rPr>
                <w:rFonts w:hint="eastAsia" w:ascii="黑体" w:hAnsi="黑体" w:eastAsia="黑体" w:cs="黑体"/>
                <w:color w:val="000000" w:themeColor="text1"/>
                <w:sz w:val="20"/>
                <w:szCs w:val="20"/>
              </w:rPr>
            </w:pPr>
          </w:p>
        </w:tc>
        <w:tc>
          <w:tcPr>
            <w:tcW w:w="611" w:type="dxa"/>
            <w:gridSpan w:val="2"/>
            <w:vMerge w:val="continue"/>
            <w:tcBorders>
              <w:top w:val="nil"/>
            </w:tcBorders>
            <w:vAlign w:val="center"/>
          </w:tcPr>
          <w:p>
            <w:pPr>
              <w:pStyle w:val="16"/>
              <w:jc w:val="both"/>
              <w:rPr>
                <w:rFonts w:hint="eastAsia" w:ascii="黑体" w:hAnsi="黑体" w:eastAsia="黑体" w:cs="黑体"/>
                <w:color w:val="000000" w:themeColor="text1"/>
                <w:sz w:val="20"/>
                <w:szCs w:val="20"/>
              </w:rPr>
            </w:pPr>
          </w:p>
        </w:tc>
        <w:tc>
          <w:tcPr>
            <w:tcW w:w="2696" w:type="dxa"/>
            <w:vMerge w:val="continue"/>
            <w:vAlign w:val="center"/>
          </w:tcPr>
          <w:p>
            <w:pPr>
              <w:pStyle w:val="16"/>
              <w:jc w:val="center"/>
              <w:rPr>
                <w:rFonts w:hint="eastAsia" w:ascii="黑体" w:hAnsi="黑体" w:eastAsia="黑体" w:cs="黑体"/>
                <w:color w:val="000000" w:themeColor="text1"/>
                <w:sz w:val="20"/>
                <w:szCs w:val="20"/>
              </w:rPr>
            </w:pPr>
          </w:p>
        </w:tc>
        <w:tc>
          <w:tcPr>
            <w:tcW w:w="1180" w:type="dxa"/>
            <w:gridSpan w:val="2"/>
            <w:tcBorders>
              <w:top w:val="nil"/>
            </w:tcBorders>
            <w:vAlign w:val="center"/>
          </w:tcPr>
          <w:p>
            <w:pPr>
              <w:keepNext w:val="0"/>
              <w:keepLines w:val="0"/>
              <w:widowControl/>
              <w:suppressLineNumbers w:val="0"/>
              <w:autoSpaceDE w:val="0"/>
              <w:autoSpaceDN w:val="0"/>
              <w:jc w:val="left"/>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任务2：资产管理安全性</w:t>
            </w:r>
          </w:p>
        </w:tc>
        <w:tc>
          <w:tcPr>
            <w:tcW w:w="1057" w:type="dxa"/>
            <w:gridSpan w:val="3"/>
            <w:tcBorders>
              <w:top w:val="nil"/>
            </w:tcBorders>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资产是否保存完整、使用合规、配置合理、处置规范、收入及时足额上缴</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资产保管安全合理合规</w:t>
            </w:r>
          </w:p>
        </w:tc>
        <w:tc>
          <w:tcPr>
            <w:tcW w:w="799"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w:t>
            </w:r>
          </w:p>
        </w:tc>
        <w:tc>
          <w:tcPr>
            <w:tcW w:w="757"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w:t>
            </w:r>
          </w:p>
        </w:tc>
        <w:tc>
          <w:tcPr>
            <w:tcW w:w="1492"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3" w:hRule="atLeast"/>
        </w:trPr>
        <w:tc>
          <w:tcPr>
            <w:tcW w:w="736" w:type="dxa"/>
            <w:vMerge w:val="continue"/>
            <w:vAlign w:val="center"/>
          </w:tcPr>
          <w:p>
            <w:pPr>
              <w:pStyle w:val="16"/>
              <w:jc w:val="center"/>
              <w:rPr>
                <w:rFonts w:hint="eastAsia" w:ascii="黑体" w:hAnsi="黑体" w:eastAsia="黑体" w:cs="黑体"/>
                <w:color w:val="000000" w:themeColor="text1"/>
                <w:sz w:val="20"/>
                <w:szCs w:val="20"/>
                <w:lang w:eastAsia="en-US"/>
              </w:rPr>
            </w:pPr>
          </w:p>
        </w:tc>
        <w:tc>
          <w:tcPr>
            <w:tcW w:w="611" w:type="dxa"/>
            <w:gridSpan w:val="2"/>
            <w:vMerge w:val="continue"/>
            <w:vAlign w:val="center"/>
          </w:tcPr>
          <w:p>
            <w:pPr>
              <w:pStyle w:val="16"/>
              <w:jc w:val="both"/>
              <w:rPr>
                <w:rFonts w:hint="eastAsia" w:ascii="黑体" w:hAnsi="黑体" w:eastAsia="黑体" w:cs="黑体"/>
                <w:color w:val="000000" w:themeColor="text1"/>
                <w:sz w:val="20"/>
                <w:szCs w:val="20"/>
                <w:lang w:eastAsia="en-US"/>
              </w:rPr>
            </w:pPr>
          </w:p>
        </w:tc>
        <w:tc>
          <w:tcPr>
            <w:tcW w:w="2696" w:type="dxa"/>
            <w:vMerge w:val="continue"/>
            <w:vAlign w:val="center"/>
          </w:tcPr>
          <w:p>
            <w:pPr>
              <w:pStyle w:val="16"/>
              <w:jc w:val="center"/>
              <w:rPr>
                <w:rFonts w:hint="eastAsia" w:ascii="黑体" w:hAnsi="黑体" w:eastAsia="黑体" w:cs="黑体"/>
                <w:color w:val="000000" w:themeColor="text1"/>
                <w:sz w:val="20"/>
                <w:szCs w:val="20"/>
                <w:lang w:eastAsia="en-US"/>
              </w:rPr>
            </w:pPr>
          </w:p>
        </w:tc>
        <w:tc>
          <w:tcPr>
            <w:tcW w:w="1180" w:type="dxa"/>
            <w:gridSpan w:val="2"/>
            <w:tcBorders>
              <w:top w:val="nil"/>
            </w:tcBorders>
            <w:vAlign w:val="center"/>
          </w:tcPr>
          <w:p>
            <w:pPr>
              <w:keepNext w:val="0"/>
              <w:keepLines w:val="0"/>
              <w:widowControl/>
              <w:suppressLineNumbers w:val="0"/>
              <w:autoSpaceDE w:val="0"/>
              <w:autoSpaceDN w:val="0"/>
              <w:jc w:val="left"/>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任务3：固定资产利用率</w:t>
            </w:r>
          </w:p>
        </w:tc>
        <w:tc>
          <w:tcPr>
            <w:tcW w:w="1057" w:type="dxa"/>
            <w:gridSpan w:val="3"/>
            <w:tcBorders>
              <w:top w:val="nil"/>
            </w:tcBorders>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≥95%</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96%</w:t>
            </w:r>
          </w:p>
        </w:tc>
        <w:tc>
          <w:tcPr>
            <w:tcW w:w="799"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w:t>
            </w:r>
          </w:p>
        </w:tc>
        <w:tc>
          <w:tcPr>
            <w:tcW w:w="757"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w:t>
            </w:r>
          </w:p>
        </w:tc>
        <w:tc>
          <w:tcPr>
            <w:tcW w:w="1492"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7" w:hRule="atLeast"/>
        </w:trPr>
        <w:tc>
          <w:tcPr>
            <w:tcW w:w="736" w:type="dxa"/>
            <w:vMerge w:val="restart"/>
            <w:vAlign w:val="center"/>
          </w:tcPr>
          <w:p>
            <w:pPr>
              <w:pStyle w:val="16"/>
              <w:jc w:val="center"/>
              <w:rPr>
                <w:rFonts w:hint="eastAsia" w:ascii="黑体" w:hAnsi="黑体" w:eastAsia="黑体" w:cs="黑体"/>
                <w:b/>
                <w:color w:val="000000" w:themeColor="text1"/>
                <w:sz w:val="20"/>
                <w:szCs w:val="20"/>
                <w:lang w:eastAsia="en-US"/>
              </w:rPr>
            </w:pPr>
          </w:p>
          <w:p>
            <w:pPr>
              <w:pStyle w:val="16"/>
              <w:jc w:val="center"/>
              <w:rPr>
                <w:rFonts w:hint="eastAsia" w:ascii="黑体" w:hAnsi="黑体" w:eastAsia="黑体" w:cs="黑体"/>
                <w:b/>
                <w:color w:val="000000" w:themeColor="text1"/>
                <w:sz w:val="20"/>
                <w:szCs w:val="20"/>
                <w:lang w:eastAsia="en-US"/>
              </w:rPr>
            </w:pPr>
          </w:p>
          <w:p>
            <w:pPr>
              <w:pStyle w:val="16"/>
              <w:spacing w:before="1"/>
              <w:jc w:val="center"/>
              <w:rPr>
                <w:rFonts w:hint="eastAsia" w:ascii="黑体" w:hAnsi="黑体" w:eastAsia="黑体" w:cs="黑体"/>
                <w:b/>
                <w:color w:val="000000" w:themeColor="text1"/>
                <w:sz w:val="20"/>
                <w:szCs w:val="20"/>
                <w:lang w:eastAsia="en-US"/>
              </w:rPr>
            </w:pPr>
          </w:p>
          <w:p>
            <w:pPr>
              <w:pStyle w:val="16"/>
              <w:spacing w:line="213" w:lineRule="auto"/>
              <w:ind w:left="160" w:right="152"/>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产出指标</w:t>
            </w:r>
          </w:p>
        </w:tc>
        <w:tc>
          <w:tcPr>
            <w:tcW w:w="611" w:type="dxa"/>
            <w:gridSpan w:val="2"/>
            <w:vMerge w:val="restart"/>
            <w:vAlign w:val="center"/>
          </w:tcPr>
          <w:p>
            <w:pPr>
              <w:pStyle w:val="16"/>
              <w:jc w:val="both"/>
              <w:rPr>
                <w:rFonts w:hint="eastAsia" w:ascii="黑体" w:hAnsi="黑体" w:eastAsia="黑体" w:cs="黑体"/>
                <w:b/>
                <w:color w:val="000000" w:themeColor="text1"/>
                <w:sz w:val="20"/>
                <w:szCs w:val="20"/>
                <w:lang w:eastAsia="en-US"/>
              </w:rPr>
            </w:pPr>
          </w:p>
          <w:p>
            <w:pPr>
              <w:pStyle w:val="16"/>
              <w:jc w:val="both"/>
              <w:rPr>
                <w:rFonts w:hint="eastAsia" w:ascii="黑体" w:hAnsi="黑体" w:eastAsia="黑体" w:cs="黑体"/>
                <w:b/>
                <w:color w:val="000000" w:themeColor="text1"/>
                <w:sz w:val="20"/>
                <w:szCs w:val="20"/>
                <w:lang w:eastAsia="en-US"/>
              </w:rPr>
            </w:pPr>
          </w:p>
          <w:p>
            <w:pPr>
              <w:pStyle w:val="16"/>
              <w:spacing w:before="6"/>
              <w:jc w:val="both"/>
              <w:rPr>
                <w:rFonts w:hint="eastAsia" w:ascii="黑体" w:hAnsi="黑体" w:eastAsia="黑体" w:cs="黑体"/>
                <w:b/>
                <w:color w:val="000000" w:themeColor="text1"/>
                <w:sz w:val="20"/>
                <w:szCs w:val="20"/>
                <w:lang w:eastAsia="en-US"/>
              </w:rPr>
            </w:pPr>
          </w:p>
          <w:p>
            <w:pPr>
              <w:pStyle w:val="16"/>
              <w:ind w:left="202"/>
              <w:jc w:val="both"/>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25</w:t>
            </w:r>
          </w:p>
        </w:tc>
        <w:tc>
          <w:tcPr>
            <w:tcW w:w="2696" w:type="dxa"/>
            <w:vMerge w:val="restart"/>
            <w:vAlign w:val="center"/>
          </w:tcPr>
          <w:p>
            <w:pPr>
              <w:pStyle w:val="16"/>
              <w:spacing w:before="13"/>
              <w:jc w:val="center"/>
              <w:rPr>
                <w:rFonts w:hint="eastAsia" w:ascii="黑体" w:hAnsi="黑体" w:eastAsia="黑体" w:cs="黑体"/>
                <w:b/>
                <w:color w:val="000000" w:themeColor="text1"/>
                <w:sz w:val="20"/>
                <w:szCs w:val="20"/>
                <w:lang w:eastAsia="en-US"/>
              </w:rPr>
            </w:pPr>
          </w:p>
          <w:p>
            <w:pPr>
              <w:pStyle w:val="16"/>
              <w:ind w:left="285" w:right="279"/>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数量指标</w:t>
            </w:r>
          </w:p>
        </w:tc>
        <w:tc>
          <w:tcPr>
            <w:tcW w:w="1180" w:type="dxa"/>
            <w:gridSpan w:val="2"/>
            <w:vAlign w:val="center"/>
          </w:tcPr>
          <w:p>
            <w:pPr>
              <w:keepNext w:val="0"/>
              <w:keepLines w:val="0"/>
              <w:widowControl/>
              <w:suppressLineNumbers w:val="0"/>
              <w:autoSpaceDE w:val="0"/>
              <w:autoSpaceDN w:val="0"/>
              <w:jc w:val="left"/>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任务1：开展各类活动1000场</w:t>
            </w:r>
          </w:p>
        </w:tc>
        <w:tc>
          <w:tcPr>
            <w:tcW w:w="1057" w:type="dxa"/>
            <w:gridSpan w:val="3"/>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100%</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100%</w:t>
            </w:r>
          </w:p>
        </w:tc>
        <w:tc>
          <w:tcPr>
            <w:tcW w:w="799"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5</w:t>
            </w:r>
          </w:p>
        </w:tc>
        <w:tc>
          <w:tcPr>
            <w:tcW w:w="757"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5</w:t>
            </w:r>
          </w:p>
        </w:tc>
        <w:tc>
          <w:tcPr>
            <w:tcW w:w="1492"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3" w:hRule="atLeast"/>
        </w:trPr>
        <w:tc>
          <w:tcPr>
            <w:tcW w:w="736" w:type="dxa"/>
            <w:vMerge w:val="continue"/>
            <w:tcBorders>
              <w:top w:val="nil"/>
            </w:tcBorders>
            <w:vAlign w:val="center"/>
          </w:tcPr>
          <w:p>
            <w:pPr>
              <w:widowControl w:val="0"/>
              <w:autoSpaceDE w:val="0"/>
              <w:autoSpaceDN w:val="0"/>
              <w:spacing w:after="0"/>
              <w:jc w:val="center"/>
              <w:rPr>
                <w:rFonts w:hint="eastAsia" w:ascii="黑体" w:hAnsi="黑体" w:eastAsia="黑体" w:cs="黑体"/>
                <w:color w:val="000000" w:themeColor="text1"/>
                <w:sz w:val="20"/>
                <w:szCs w:val="20"/>
                <w:lang w:eastAsia="en-US"/>
              </w:rPr>
            </w:pPr>
          </w:p>
        </w:tc>
        <w:tc>
          <w:tcPr>
            <w:tcW w:w="611" w:type="dxa"/>
            <w:gridSpan w:val="2"/>
            <w:vMerge w:val="continue"/>
            <w:tcBorders>
              <w:top w:val="nil"/>
            </w:tcBorders>
            <w:vAlign w:val="center"/>
          </w:tcPr>
          <w:p>
            <w:pPr>
              <w:widowControl w:val="0"/>
              <w:autoSpaceDE w:val="0"/>
              <w:autoSpaceDN w:val="0"/>
              <w:spacing w:after="0"/>
              <w:jc w:val="both"/>
              <w:rPr>
                <w:rFonts w:hint="eastAsia" w:ascii="黑体" w:hAnsi="黑体" w:eastAsia="黑体" w:cs="黑体"/>
                <w:color w:val="000000" w:themeColor="text1"/>
                <w:sz w:val="20"/>
                <w:szCs w:val="20"/>
                <w:lang w:eastAsia="en-US"/>
              </w:rPr>
            </w:pPr>
          </w:p>
        </w:tc>
        <w:tc>
          <w:tcPr>
            <w:tcW w:w="2696" w:type="dxa"/>
            <w:vMerge w:val="continue"/>
            <w:tcBorders>
              <w:top w:val="nil"/>
            </w:tcBorders>
            <w:vAlign w:val="center"/>
          </w:tcPr>
          <w:p>
            <w:pPr>
              <w:widowControl w:val="0"/>
              <w:autoSpaceDE w:val="0"/>
              <w:autoSpaceDN w:val="0"/>
              <w:spacing w:after="0"/>
              <w:jc w:val="center"/>
              <w:rPr>
                <w:rFonts w:hint="eastAsia" w:ascii="黑体" w:hAnsi="黑体" w:eastAsia="黑体" w:cs="黑体"/>
                <w:color w:val="000000" w:themeColor="text1"/>
                <w:sz w:val="20"/>
                <w:szCs w:val="20"/>
                <w:lang w:eastAsia="en-US"/>
              </w:rPr>
            </w:pPr>
          </w:p>
        </w:tc>
        <w:tc>
          <w:tcPr>
            <w:tcW w:w="1180" w:type="dxa"/>
            <w:gridSpan w:val="2"/>
            <w:vAlign w:val="center"/>
          </w:tcPr>
          <w:p>
            <w:pPr>
              <w:keepNext w:val="0"/>
              <w:keepLines w:val="0"/>
              <w:widowControl/>
              <w:suppressLineNumbers w:val="0"/>
              <w:autoSpaceDE w:val="0"/>
              <w:autoSpaceDN w:val="0"/>
              <w:jc w:val="left"/>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任务2：各项目达标</w:t>
            </w:r>
          </w:p>
        </w:tc>
        <w:tc>
          <w:tcPr>
            <w:tcW w:w="1057" w:type="dxa"/>
            <w:gridSpan w:val="3"/>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100%</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100%</w:t>
            </w:r>
          </w:p>
        </w:tc>
        <w:tc>
          <w:tcPr>
            <w:tcW w:w="799"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5</w:t>
            </w:r>
          </w:p>
        </w:tc>
        <w:tc>
          <w:tcPr>
            <w:tcW w:w="757"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5</w:t>
            </w:r>
          </w:p>
        </w:tc>
        <w:tc>
          <w:tcPr>
            <w:tcW w:w="1492"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8" w:hRule="atLeast"/>
        </w:trPr>
        <w:tc>
          <w:tcPr>
            <w:tcW w:w="736" w:type="dxa"/>
            <w:vMerge w:val="continue"/>
            <w:tcBorders>
              <w:top w:val="nil"/>
            </w:tcBorders>
            <w:vAlign w:val="center"/>
          </w:tcPr>
          <w:p>
            <w:pPr>
              <w:widowControl w:val="0"/>
              <w:autoSpaceDE w:val="0"/>
              <w:autoSpaceDN w:val="0"/>
              <w:spacing w:after="0"/>
              <w:jc w:val="center"/>
              <w:rPr>
                <w:rFonts w:hint="eastAsia" w:ascii="黑体" w:hAnsi="黑体" w:eastAsia="黑体" w:cs="黑体"/>
                <w:color w:val="000000" w:themeColor="text1"/>
                <w:sz w:val="20"/>
                <w:szCs w:val="20"/>
                <w:lang w:eastAsia="en-US"/>
              </w:rPr>
            </w:pPr>
          </w:p>
        </w:tc>
        <w:tc>
          <w:tcPr>
            <w:tcW w:w="611" w:type="dxa"/>
            <w:gridSpan w:val="2"/>
            <w:vMerge w:val="continue"/>
            <w:tcBorders>
              <w:top w:val="nil"/>
            </w:tcBorders>
            <w:vAlign w:val="center"/>
          </w:tcPr>
          <w:p>
            <w:pPr>
              <w:widowControl w:val="0"/>
              <w:autoSpaceDE w:val="0"/>
              <w:autoSpaceDN w:val="0"/>
              <w:spacing w:after="0"/>
              <w:jc w:val="both"/>
              <w:rPr>
                <w:rFonts w:hint="eastAsia" w:ascii="黑体" w:hAnsi="黑体" w:eastAsia="黑体" w:cs="黑体"/>
                <w:color w:val="000000" w:themeColor="text1"/>
                <w:sz w:val="20"/>
                <w:szCs w:val="20"/>
                <w:lang w:eastAsia="en-US"/>
              </w:rPr>
            </w:pPr>
          </w:p>
        </w:tc>
        <w:tc>
          <w:tcPr>
            <w:tcW w:w="2696" w:type="dxa"/>
            <w:vMerge w:val="restart"/>
            <w:vAlign w:val="center"/>
          </w:tcPr>
          <w:p>
            <w:pPr>
              <w:pStyle w:val="16"/>
              <w:spacing w:before="14"/>
              <w:jc w:val="center"/>
              <w:rPr>
                <w:rFonts w:hint="eastAsia" w:ascii="黑体" w:hAnsi="黑体" w:eastAsia="黑体" w:cs="黑体"/>
                <w:b/>
                <w:color w:val="000000" w:themeColor="text1"/>
                <w:sz w:val="20"/>
                <w:szCs w:val="20"/>
                <w:lang w:eastAsia="en-US"/>
              </w:rPr>
            </w:pPr>
          </w:p>
          <w:p>
            <w:pPr>
              <w:pStyle w:val="16"/>
              <w:ind w:left="285" w:right="279"/>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质量指标</w:t>
            </w:r>
          </w:p>
        </w:tc>
        <w:tc>
          <w:tcPr>
            <w:tcW w:w="1180" w:type="dxa"/>
            <w:gridSpan w:val="2"/>
            <w:vAlign w:val="center"/>
          </w:tcPr>
          <w:p>
            <w:pPr>
              <w:keepNext w:val="0"/>
              <w:keepLines w:val="0"/>
              <w:widowControl/>
              <w:suppressLineNumbers w:val="0"/>
              <w:autoSpaceDE w:val="0"/>
              <w:autoSpaceDN w:val="0"/>
              <w:jc w:val="left"/>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任务1：区级退役军人服务中心建设率</w:t>
            </w:r>
          </w:p>
        </w:tc>
        <w:tc>
          <w:tcPr>
            <w:tcW w:w="1057" w:type="dxa"/>
            <w:gridSpan w:val="3"/>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100%</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100%</w:t>
            </w:r>
          </w:p>
        </w:tc>
        <w:tc>
          <w:tcPr>
            <w:tcW w:w="799"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5</w:t>
            </w:r>
          </w:p>
        </w:tc>
        <w:tc>
          <w:tcPr>
            <w:tcW w:w="757"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5</w:t>
            </w:r>
          </w:p>
        </w:tc>
        <w:tc>
          <w:tcPr>
            <w:tcW w:w="1492"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7" w:hRule="atLeast"/>
        </w:trPr>
        <w:tc>
          <w:tcPr>
            <w:tcW w:w="736" w:type="dxa"/>
            <w:vMerge w:val="continue"/>
            <w:tcBorders>
              <w:top w:val="nil"/>
            </w:tcBorders>
            <w:vAlign w:val="center"/>
          </w:tcPr>
          <w:p>
            <w:pPr>
              <w:widowControl w:val="0"/>
              <w:autoSpaceDE w:val="0"/>
              <w:autoSpaceDN w:val="0"/>
              <w:spacing w:after="0"/>
              <w:jc w:val="center"/>
              <w:rPr>
                <w:rFonts w:hint="eastAsia" w:ascii="黑体" w:hAnsi="黑体" w:eastAsia="黑体" w:cs="黑体"/>
                <w:color w:val="000000" w:themeColor="text1"/>
                <w:sz w:val="20"/>
                <w:szCs w:val="20"/>
                <w:lang w:eastAsia="en-US"/>
              </w:rPr>
            </w:pPr>
          </w:p>
        </w:tc>
        <w:tc>
          <w:tcPr>
            <w:tcW w:w="611" w:type="dxa"/>
            <w:gridSpan w:val="2"/>
            <w:vMerge w:val="continue"/>
            <w:tcBorders>
              <w:top w:val="nil"/>
            </w:tcBorders>
            <w:vAlign w:val="center"/>
          </w:tcPr>
          <w:p>
            <w:pPr>
              <w:widowControl w:val="0"/>
              <w:autoSpaceDE w:val="0"/>
              <w:autoSpaceDN w:val="0"/>
              <w:spacing w:after="0"/>
              <w:jc w:val="both"/>
              <w:rPr>
                <w:rFonts w:hint="eastAsia" w:ascii="黑体" w:hAnsi="黑体" w:eastAsia="黑体" w:cs="黑体"/>
                <w:color w:val="000000" w:themeColor="text1"/>
                <w:sz w:val="20"/>
                <w:szCs w:val="20"/>
                <w:lang w:eastAsia="en-US"/>
              </w:rPr>
            </w:pPr>
          </w:p>
        </w:tc>
        <w:tc>
          <w:tcPr>
            <w:tcW w:w="2696" w:type="dxa"/>
            <w:vMerge w:val="continue"/>
            <w:tcBorders>
              <w:top w:val="nil"/>
            </w:tcBorders>
            <w:vAlign w:val="center"/>
          </w:tcPr>
          <w:p>
            <w:pPr>
              <w:widowControl w:val="0"/>
              <w:autoSpaceDE w:val="0"/>
              <w:autoSpaceDN w:val="0"/>
              <w:spacing w:after="0"/>
              <w:jc w:val="center"/>
              <w:rPr>
                <w:rFonts w:hint="eastAsia" w:ascii="黑体" w:hAnsi="黑体" w:eastAsia="黑体" w:cs="黑体"/>
                <w:color w:val="000000" w:themeColor="text1"/>
                <w:sz w:val="20"/>
                <w:szCs w:val="20"/>
                <w:lang w:eastAsia="en-US"/>
              </w:rPr>
            </w:pPr>
          </w:p>
        </w:tc>
        <w:tc>
          <w:tcPr>
            <w:tcW w:w="1180" w:type="dxa"/>
            <w:gridSpan w:val="2"/>
            <w:vAlign w:val="center"/>
          </w:tcPr>
          <w:p>
            <w:pPr>
              <w:keepNext w:val="0"/>
              <w:keepLines w:val="0"/>
              <w:widowControl/>
              <w:suppressLineNumbers w:val="0"/>
              <w:autoSpaceDE w:val="0"/>
              <w:autoSpaceDN w:val="0"/>
              <w:jc w:val="left"/>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任务2：各类优待金发放率:</w:t>
            </w:r>
          </w:p>
        </w:tc>
        <w:tc>
          <w:tcPr>
            <w:tcW w:w="1057" w:type="dxa"/>
            <w:gridSpan w:val="3"/>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100%</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100%</w:t>
            </w:r>
          </w:p>
        </w:tc>
        <w:tc>
          <w:tcPr>
            <w:tcW w:w="799"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5</w:t>
            </w:r>
          </w:p>
        </w:tc>
        <w:tc>
          <w:tcPr>
            <w:tcW w:w="757"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5</w:t>
            </w:r>
          </w:p>
        </w:tc>
        <w:tc>
          <w:tcPr>
            <w:tcW w:w="1492"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4" w:hRule="atLeast"/>
        </w:trPr>
        <w:tc>
          <w:tcPr>
            <w:tcW w:w="736" w:type="dxa"/>
            <w:vMerge w:val="continue"/>
            <w:tcBorders>
              <w:top w:val="nil"/>
            </w:tcBorders>
            <w:vAlign w:val="center"/>
          </w:tcPr>
          <w:p>
            <w:pPr>
              <w:widowControl w:val="0"/>
              <w:autoSpaceDE w:val="0"/>
              <w:autoSpaceDN w:val="0"/>
              <w:spacing w:after="0"/>
              <w:jc w:val="center"/>
              <w:rPr>
                <w:rFonts w:hint="eastAsia" w:ascii="黑体" w:hAnsi="黑体" w:eastAsia="黑体" w:cs="黑体"/>
                <w:color w:val="000000" w:themeColor="text1"/>
                <w:sz w:val="20"/>
                <w:szCs w:val="20"/>
                <w:lang w:eastAsia="en-US"/>
              </w:rPr>
            </w:pPr>
          </w:p>
        </w:tc>
        <w:tc>
          <w:tcPr>
            <w:tcW w:w="611" w:type="dxa"/>
            <w:gridSpan w:val="2"/>
            <w:vMerge w:val="continue"/>
            <w:tcBorders>
              <w:top w:val="nil"/>
            </w:tcBorders>
            <w:vAlign w:val="center"/>
          </w:tcPr>
          <w:p>
            <w:pPr>
              <w:widowControl w:val="0"/>
              <w:autoSpaceDE w:val="0"/>
              <w:autoSpaceDN w:val="0"/>
              <w:spacing w:after="0"/>
              <w:jc w:val="both"/>
              <w:rPr>
                <w:rFonts w:hint="eastAsia" w:ascii="黑体" w:hAnsi="黑体" w:eastAsia="黑体" w:cs="黑体"/>
                <w:color w:val="000000" w:themeColor="text1"/>
                <w:sz w:val="20"/>
                <w:szCs w:val="20"/>
                <w:lang w:eastAsia="en-US"/>
              </w:rPr>
            </w:pPr>
          </w:p>
        </w:tc>
        <w:tc>
          <w:tcPr>
            <w:tcW w:w="2696" w:type="dxa"/>
            <w:vAlign w:val="center"/>
          </w:tcPr>
          <w:p>
            <w:pPr>
              <w:pStyle w:val="16"/>
              <w:spacing w:before="13"/>
              <w:jc w:val="center"/>
              <w:rPr>
                <w:rFonts w:hint="eastAsia" w:ascii="黑体" w:hAnsi="黑体" w:eastAsia="黑体" w:cs="黑体"/>
                <w:b/>
                <w:color w:val="000000" w:themeColor="text1"/>
                <w:sz w:val="20"/>
                <w:szCs w:val="20"/>
                <w:lang w:eastAsia="en-US"/>
              </w:rPr>
            </w:pPr>
          </w:p>
          <w:p>
            <w:pPr>
              <w:pStyle w:val="16"/>
              <w:ind w:left="285" w:right="279"/>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时效指标</w:t>
            </w:r>
          </w:p>
        </w:tc>
        <w:tc>
          <w:tcPr>
            <w:tcW w:w="1180" w:type="dxa"/>
            <w:gridSpan w:val="2"/>
            <w:vAlign w:val="center"/>
          </w:tcPr>
          <w:p>
            <w:pPr>
              <w:keepNext w:val="0"/>
              <w:keepLines w:val="0"/>
              <w:widowControl/>
              <w:suppressLineNumbers w:val="0"/>
              <w:autoSpaceDE w:val="0"/>
              <w:autoSpaceDN w:val="0"/>
              <w:jc w:val="left"/>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任务1:2021年全年</w:t>
            </w:r>
          </w:p>
        </w:tc>
        <w:tc>
          <w:tcPr>
            <w:tcW w:w="1057" w:type="dxa"/>
            <w:gridSpan w:val="3"/>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100%</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100%</w:t>
            </w:r>
          </w:p>
        </w:tc>
        <w:tc>
          <w:tcPr>
            <w:tcW w:w="799"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5</w:t>
            </w:r>
          </w:p>
        </w:tc>
        <w:tc>
          <w:tcPr>
            <w:tcW w:w="757"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5</w:t>
            </w:r>
          </w:p>
        </w:tc>
        <w:tc>
          <w:tcPr>
            <w:tcW w:w="1492"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3" w:hRule="atLeast"/>
        </w:trPr>
        <w:tc>
          <w:tcPr>
            <w:tcW w:w="736" w:type="dxa"/>
            <w:vMerge w:val="restart"/>
            <w:vAlign w:val="center"/>
          </w:tcPr>
          <w:p>
            <w:pPr>
              <w:pStyle w:val="16"/>
              <w:spacing w:before="13"/>
              <w:jc w:val="center"/>
              <w:rPr>
                <w:rFonts w:hint="eastAsia" w:ascii="黑体" w:hAnsi="黑体" w:eastAsia="黑体" w:cs="黑体"/>
                <w:b/>
                <w:color w:val="000000" w:themeColor="text1"/>
                <w:sz w:val="20"/>
                <w:szCs w:val="20"/>
                <w:lang w:eastAsia="en-US"/>
              </w:rPr>
            </w:pPr>
          </w:p>
          <w:p>
            <w:pPr>
              <w:pStyle w:val="16"/>
              <w:spacing w:line="213" w:lineRule="auto"/>
              <w:ind w:left="160" w:right="152"/>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效果指标</w:t>
            </w:r>
          </w:p>
        </w:tc>
        <w:tc>
          <w:tcPr>
            <w:tcW w:w="611" w:type="dxa"/>
            <w:gridSpan w:val="2"/>
            <w:vMerge w:val="restart"/>
            <w:vAlign w:val="center"/>
          </w:tcPr>
          <w:p>
            <w:pPr>
              <w:pStyle w:val="16"/>
              <w:spacing w:before="18"/>
              <w:jc w:val="both"/>
              <w:rPr>
                <w:rFonts w:hint="eastAsia" w:ascii="黑体" w:hAnsi="黑体" w:eastAsia="黑体" w:cs="黑体"/>
                <w:b/>
                <w:color w:val="000000" w:themeColor="text1"/>
                <w:sz w:val="20"/>
                <w:szCs w:val="20"/>
                <w:lang w:eastAsia="en-US"/>
              </w:rPr>
            </w:pPr>
          </w:p>
          <w:p>
            <w:pPr>
              <w:pStyle w:val="16"/>
              <w:ind w:left="202"/>
              <w:jc w:val="both"/>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35</w:t>
            </w:r>
          </w:p>
        </w:tc>
        <w:tc>
          <w:tcPr>
            <w:tcW w:w="2696" w:type="dxa"/>
            <w:vMerge w:val="restart"/>
            <w:vAlign w:val="center"/>
          </w:tcPr>
          <w:p>
            <w:pPr>
              <w:pStyle w:val="16"/>
              <w:spacing w:before="6" w:line="256" w:lineRule="exact"/>
              <w:ind w:left="287" w:right="279"/>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经济效益指标</w:t>
            </w:r>
          </w:p>
        </w:tc>
        <w:tc>
          <w:tcPr>
            <w:tcW w:w="1180" w:type="dxa"/>
            <w:gridSpan w:val="2"/>
            <w:vAlign w:val="center"/>
          </w:tcPr>
          <w:p>
            <w:pPr>
              <w:keepNext w:val="0"/>
              <w:keepLines w:val="0"/>
              <w:widowControl/>
              <w:suppressLineNumbers w:val="0"/>
              <w:autoSpaceDE w:val="0"/>
              <w:autoSpaceDN w:val="0"/>
              <w:jc w:val="left"/>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任务1：预算资金执行率:</w:t>
            </w:r>
          </w:p>
        </w:tc>
        <w:tc>
          <w:tcPr>
            <w:tcW w:w="1057" w:type="dxa"/>
            <w:gridSpan w:val="3"/>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100%</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86.93%</w:t>
            </w:r>
          </w:p>
        </w:tc>
        <w:tc>
          <w:tcPr>
            <w:tcW w:w="799"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6</w:t>
            </w:r>
          </w:p>
        </w:tc>
        <w:tc>
          <w:tcPr>
            <w:tcW w:w="757"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3</w:t>
            </w:r>
          </w:p>
        </w:tc>
        <w:tc>
          <w:tcPr>
            <w:tcW w:w="1492" w:type="dxa"/>
            <w:vAlign w:val="center"/>
          </w:tcPr>
          <w:p>
            <w:pPr>
              <w:pStyle w:val="16"/>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厉行节约、缩减开支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8" w:hRule="atLeast"/>
        </w:trPr>
        <w:tc>
          <w:tcPr>
            <w:tcW w:w="736" w:type="dxa"/>
            <w:vMerge w:val="continue"/>
            <w:vAlign w:val="center"/>
          </w:tcPr>
          <w:p>
            <w:pPr>
              <w:pStyle w:val="16"/>
              <w:jc w:val="center"/>
              <w:rPr>
                <w:rFonts w:hint="eastAsia" w:ascii="黑体" w:hAnsi="黑体" w:eastAsia="黑体" w:cs="黑体"/>
                <w:color w:val="000000" w:themeColor="text1"/>
                <w:sz w:val="20"/>
                <w:szCs w:val="20"/>
              </w:rPr>
            </w:pPr>
          </w:p>
        </w:tc>
        <w:tc>
          <w:tcPr>
            <w:tcW w:w="611" w:type="dxa"/>
            <w:gridSpan w:val="2"/>
            <w:vMerge w:val="continue"/>
            <w:vAlign w:val="center"/>
          </w:tcPr>
          <w:p>
            <w:pPr>
              <w:pStyle w:val="16"/>
              <w:jc w:val="both"/>
              <w:rPr>
                <w:rFonts w:hint="eastAsia" w:ascii="黑体" w:hAnsi="黑体" w:eastAsia="黑体" w:cs="黑体"/>
                <w:color w:val="000000" w:themeColor="text1"/>
                <w:sz w:val="20"/>
                <w:szCs w:val="20"/>
              </w:rPr>
            </w:pPr>
          </w:p>
        </w:tc>
        <w:tc>
          <w:tcPr>
            <w:tcW w:w="2696" w:type="dxa"/>
            <w:vMerge w:val="continue"/>
            <w:vAlign w:val="center"/>
          </w:tcPr>
          <w:p>
            <w:pPr>
              <w:pStyle w:val="16"/>
              <w:jc w:val="center"/>
              <w:rPr>
                <w:rFonts w:hint="eastAsia" w:ascii="黑体" w:hAnsi="黑体" w:eastAsia="黑体" w:cs="黑体"/>
                <w:color w:val="000000" w:themeColor="text1"/>
                <w:sz w:val="20"/>
                <w:szCs w:val="20"/>
              </w:rPr>
            </w:pPr>
          </w:p>
        </w:tc>
        <w:tc>
          <w:tcPr>
            <w:tcW w:w="1180" w:type="dxa"/>
            <w:gridSpan w:val="2"/>
            <w:vAlign w:val="center"/>
          </w:tcPr>
          <w:p>
            <w:pPr>
              <w:keepNext w:val="0"/>
              <w:keepLines w:val="0"/>
              <w:widowControl/>
              <w:suppressLineNumbers w:val="0"/>
              <w:autoSpaceDE w:val="0"/>
              <w:autoSpaceDN w:val="0"/>
              <w:jc w:val="left"/>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任务2：优抚对象资金所涉及对象覆盖率:</w:t>
            </w:r>
          </w:p>
        </w:tc>
        <w:tc>
          <w:tcPr>
            <w:tcW w:w="1057" w:type="dxa"/>
            <w:gridSpan w:val="3"/>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100%</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100%</w:t>
            </w:r>
          </w:p>
        </w:tc>
        <w:tc>
          <w:tcPr>
            <w:tcW w:w="799"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6</w:t>
            </w:r>
          </w:p>
        </w:tc>
        <w:tc>
          <w:tcPr>
            <w:tcW w:w="757"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6</w:t>
            </w:r>
          </w:p>
        </w:tc>
        <w:tc>
          <w:tcPr>
            <w:tcW w:w="1492"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7" w:hRule="atLeast"/>
        </w:trPr>
        <w:tc>
          <w:tcPr>
            <w:tcW w:w="736" w:type="dxa"/>
            <w:vMerge w:val="continue"/>
            <w:tcBorders>
              <w:top w:val="nil"/>
            </w:tcBorders>
            <w:vAlign w:val="center"/>
          </w:tcPr>
          <w:p>
            <w:pPr>
              <w:widowControl w:val="0"/>
              <w:autoSpaceDE w:val="0"/>
              <w:autoSpaceDN w:val="0"/>
              <w:spacing w:after="0"/>
              <w:jc w:val="center"/>
              <w:rPr>
                <w:rFonts w:hint="eastAsia" w:ascii="黑体" w:hAnsi="黑体" w:eastAsia="黑体" w:cs="黑体"/>
                <w:color w:val="000000" w:themeColor="text1"/>
                <w:sz w:val="20"/>
                <w:szCs w:val="20"/>
                <w:lang w:eastAsia="en-US"/>
              </w:rPr>
            </w:pPr>
          </w:p>
        </w:tc>
        <w:tc>
          <w:tcPr>
            <w:tcW w:w="611" w:type="dxa"/>
            <w:gridSpan w:val="2"/>
            <w:vMerge w:val="continue"/>
            <w:tcBorders>
              <w:top w:val="nil"/>
            </w:tcBorders>
            <w:vAlign w:val="center"/>
          </w:tcPr>
          <w:p>
            <w:pPr>
              <w:widowControl w:val="0"/>
              <w:autoSpaceDE w:val="0"/>
              <w:autoSpaceDN w:val="0"/>
              <w:spacing w:after="0"/>
              <w:jc w:val="both"/>
              <w:rPr>
                <w:rFonts w:hint="eastAsia" w:ascii="黑体" w:hAnsi="黑体" w:eastAsia="黑体" w:cs="黑体"/>
                <w:color w:val="000000" w:themeColor="text1"/>
                <w:sz w:val="20"/>
                <w:szCs w:val="20"/>
                <w:lang w:eastAsia="en-US"/>
              </w:rPr>
            </w:pPr>
          </w:p>
        </w:tc>
        <w:tc>
          <w:tcPr>
            <w:tcW w:w="2696" w:type="dxa"/>
            <w:vMerge w:val="restart"/>
            <w:vAlign w:val="center"/>
          </w:tcPr>
          <w:p>
            <w:pPr>
              <w:pStyle w:val="16"/>
              <w:spacing w:before="6" w:line="256" w:lineRule="exact"/>
              <w:ind w:left="287" w:right="279"/>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社会效益指标</w:t>
            </w:r>
          </w:p>
        </w:tc>
        <w:tc>
          <w:tcPr>
            <w:tcW w:w="1180" w:type="dxa"/>
            <w:gridSpan w:val="2"/>
            <w:vAlign w:val="center"/>
          </w:tcPr>
          <w:p>
            <w:pPr>
              <w:keepNext w:val="0"/>
              <w:keepLines w:val="0"/>
              <w:widowControl/>
              <w:suppressLineNumbers w:val="0"/>
              <w:autoSpaceDE w:val="0"/>
              <w:autoSpaceDN w:val="0"/>
              <w:jc w:val="left"/>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任务1：退役士兵群体稳定率:</w:t>
            </w:r>
          </w:p>
        </w:tc>
        <w:tc>
          <w:tcPr>
            <w:tcW w:w="1057" w:type="dxa"/>
            <w:gridSpan w:val="3"/>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≥95%</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95%</w:t>
            </w:r>
          </w:p>
        </w:tc>
        <w:tc>
          <w:tcPr>
            <w:tcW w:w="799"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6</w:t>
            </w:r>
          </w:p>
        </w:tc>
        <w:tc>
          <w:tcPr>
            <w:tcW w:w="757"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5</w:t>
            </w:r>
          </w:p>
        </w:tc>
        <w:tc>
          <w:tcPr>
            <w:tcW w:w="1492" w:type="dxa"/>
            <w:vAlign w:val="center"/>
          </w:tcPr>
          <w:p>
            <w:pPr>
              <w:pStyle w:val="16"/>
              <w:jc w:val="both"/>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zh-CN"/>
              </w:rPr>
              <w:t>工作具有持续性，需加强工作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7" w:hRule="atLeast"/>
        </w:trPr>
        <w:tc>
          <w:tcPr>
            <w:tcW w:w="736" w:type="dxa"/>
            <w:vMerge w:val="continue"/>
            <w:vAlign w:val="center"/>
          </w:tcPr>
          <w:p>
            <w:pPr>
              <w:pStyle w:val="16"/>
              <w:jc w:val="center"/>
              <w:rPr>
                <w:rFonts w:hint="eastAsia" w:ascii="黑体" w:hAnsi="黑体" w:eastAsia="黑体" w:cs="黑体"/>
                <w:color w:val="000000" w:themeColor="text1"/>
                <w:sz w:val="20"/>
                <w:szCs w:val="20"/>
              </w:rPr>
            </w:pPr>
          </w:p>
        </w:tc>
        <w:tc>
          <w:tcPr>
            <w:tcW w:w="611" w:type="dxa"/>
            <w:gridSpan w:val="2"/>
            <w:vMerge w:val="continue"/>
            <w:vAlign w:val="center"/>
          </w:tcPr>
          <w:p>
            <w:pPr>
              <w:pStyle w:val="16"/>
              <w:jc w:val="both"/>
              <w:rPr>
                <w:rFonts w:hint="eastAsia" w:ascii="黑体" w:hAnsi="黑体" w:eastAsia="黑体" w:cs="黑体"/>
                <w:color w:val="000000" w:themeColor="text1"/>
                <w:sz w:val="20"/>
                <w:szCs w:val="20"/>
              </w:rPr>
            </w:pPr>
          </w:p>
        </w:tc>
        <w:tc>
          <w:tcPr>
            <w:tcW w:w="2696" w:type="dxa"/>
            <w:vMerge w:val="continue"/>
            <w:vAlign w:val="center"/>
          </w:tcPr>
          <w:p>
            <w:pPr>
              <w:pStyle w:val="16"/>
              <w:jc w:val="center"/>
              <w:rPr>
                <w:rFonts w:hint="eastAsia" w:ascii="黑体" w:hAnsi="黑体" w:eastAsia="黑体" w:cs="黑体"/>
                <w:color w:val="000000" w:themeColor="text1"/>
                <w:sz w:val="20"/>
                <w:szCs w:val="20"/>
              </w:rPr>
            </w:pPr>
          </w:p>
        </w:tc>
        <w:tc>
          <w:tcPr>
            <w:tcW w:w="1180" w:type="dxa"/>
            <w:gridSpan w:val="2"/>
            <w:vAlign w:val="center"/>
          </w:tcPr>
          <w:p>
            <w:pPr>
              <w:keepNext w:val="0"/>
              <w:keepLines w:val="0"/>
              <w:widowControl/>
              <w:suppressLineNumbers w:val="0"/>
              <w:autoSpaceDE w:val="0"/>
              <w:autoSpaceDN w:val="0"/>
              <w:jc w:val="left"/>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任务2：退役军人奉献社会参与率:</w:t>
            </w:r>
          </w:p>
        </w:tc>
        <w:tc>
          <w:tcPr>
            <w:tcW w:w="1057" w:type="dxa"/>
            <w:gridSpan w:val="3"/>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100%</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100%</w:t>
            </w:r>
          </w:p>
        </w:tc>
        <w:tc>
          <w:tcPr>
            <w:tcW w:w="799"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6</w:t>
            </w:r>
          </w:p>
        </w:tc>
        <w:tc>
          <w:tcPr>
            <w:tcW w:w="757"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6</w:t>
            </w:r>
          </w:p>
        </w:tc>
        <w:tc>
          <w:tcPr>
            <w:tcW w:w="1492"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7" w:hRule="atLeast"/>
        </w:trPr>
        <w:tc>
          <w:tcPr>
            <w:tcW w:w="736" w:type="dxa"/>
            <w:vMerge w:val="continue"/>
            <w:tcBorders>
              <w:top w:val="nil"/>
            </w:tcBorders>
            <w:vAlign w:val="center"/>
          </w:tcPr>
          <w:p>
            <w:pPr>
              <w:widowControl w:val="0"/>
              <w:autoSpaceDE w:val="0"/>
              <w:autoSpaceDN w:val="0"/>
              <w:spacing w:after="0"/>
              <w:jc w:val="center"/>
              <w:rPr>
                <w:rFonts w:hint="eastAsia" w:ascii="黑体" w:hAnsi="黑体" w:eastAsia="黑体" w:cs="黑体"/>
                <w:color w:val="000000" w:themeColor="text1"/>
                <w:sz w:val="20"/>
                <w:szCs w:val="20"/>
                <w:lang w:eastAsia="en-US"/>
              </w:rPr>
            </w:pPr>
          </w:p>
        </w:tc>
        <w:tc>
          <w:tcPr>
            <w:tcW w:w="611" w:type="dxa"/>
            <w:gridSpan w:val="2"/>
            <w:vMerge w:val="continue"/>
            <w:tcBorders>
              <w:top w:val="nil"/>
            </w:tcBorders>
            <w:vAlign w:val="center"/>
          </w:tcPr>
          <w:p>
            <w:pPr>
              <w:widowControl w:val="0"/>
              <w:autoSpaceDE w:val="0"/>
              <w:autoSpaceDN w:val="0"/>
              <w:spacing w:after="0"/>
              <w:jc w:val="both"/>
              <w:rPr>
                <w:rFonts w:hint="eastAsia" w:ascii="黑体" w:hAnsi="黑体" w:eastAsia="黑体" w:cs="黑体"/>
                <w:color w:val="000000" w:themeColor="text1"/>
                <w:sz w:val="20"/>
                <w:szCs w:val="20"/>
                <w:lang w:eastAsia="en-US"/>
              </w:rPr>
            </w:pPr>
          </w:p>
        </w:tc>
        <w:tc>
          <w:tcPr>
            <w:tcW w:w="2696" w:type="dxa"/>
            <w:vAlign w:val="center"/>
          </w:tcPr>
          <w:p>
            <w:pPr>
              <w:pStyle w:val="16"/>
              <w:spacing w:before="23"/>
              <w:ind w:left="287" w:right="279"/>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生态效益指标</w:t>
            </w:r>
          </w:p>
        </w:tc>
        <w:tc>
          <w:tcPr>
            <w:tcW w:w="1180" w:type="dxa"/>
            <w:gridSpan w:val="2"/>
            <w:vAlign w:val="center"/>
          </w:tcPr>
          <w:p>
            <w:pPr>
              <w:keepNext w:val="0"/>
              <w:keepLines w:val="0"/>
              <w:widowControl/>
              <w:suppressLineNumbers w:val="0"/>
              <w:autoSpaceDE w:val="0"/>
              <w:autoSpaceDN w:val="0"/>
              <w:jc w:val="left"/>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任务1：不改变现有生态环境</w:t>
            </w:r>
          </w:p>
        </w:tc>
        <w:tc>
          <w:tcPr>
            <w:tcW w:w="1057" w:type="dxa"/>
            <w:gridSpan w:val="3"/>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是否</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是</w:t>
            </w:r>
          </w:p>
        </w:tc>
        <w:tc>
          <w:tcPr>
            <w:tcW w:w="799"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5</w:t>
            </w:r>
          </w:p>
        </w:tc>
        <w:tc>
          <w:tcPr>
            <w:tcW w:w="757"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5</w:t>
            </w:r>
          </w:p>
        </w:tc>
        <w:tc>
          <w:tcPr>
            <w:tcW w:w="1492"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0" w:hRule="atLeast"/>
        </w:trPr>
        <w:tc>
          <w:tcPr>
            <w:tcW w:w="736" w:type="dxa"/>
            <w:vMerge w:val="continue"/>
            <w:tcBorders>
              <w:top w:val="nil"/>
            </w:tcBorders>
            <w:vAlign w:val="center"/>
          </w:tcPr>
          <w:p>
            <w:pPr>
              <w:widowControl w:val="0"/>
              <w:autoSpaceDE w:val="0"/>
              <w:autoSpaceDN w:val="0"/>
              <w:spacing w:after="0"/>
              <w:jc w:val="center"/>
              <w:rPr>
                <w:rFonts w:hint="eastAsia" w:ascii="黑体" w:hAnsi="黑体" w:eastAsia="黑体" w:cs="黑体"/>
                <w:color w:val="000000" w:themeColor="text1"/>
                <w:sz w:val="20"/>
                <w:szCs w:val="20"/>
                <w:lang w:eastAsia="en-US"/>
              </w:rPr>
            </w:pPr>
          </w:p>
        </w:tc>
        <w:tc>
          <w:tcPr>
            <w:tcW w:w="611" w:type="dxa"/>
            <w:gridSpan w:val="2"/>
            <w:vMerge w:val="continue"/>
            <w:tcBorders>
              <w:top w:val="nil"/>
            </w:tcBorders>
            <w:vAlign w:val="center"/>
          </w:tcPr>
          <w:p>
            <w:pPr>
              <w:widowControl w:val="0"/>
              <w:autoSpaceDE w:val="0"/>
              <w:autoSpaceDN w:val="0"/>
              <w:spacing w:after="0"/>
              <w:jc w:val="both"/>
              <w:rPr>
                <w:rFonts w:hint="eastAsia" w:ascii="黑体" w:hAnsi="黑体" w:eastAsia="黑体" w:cs="黑体"/>
                <w:color w:val="000000" w:themeColor="text1"/>
                <w:sz w:val="20"/>
                <w:szCs w:val="20"/>
                <w:lang w:eastAsia="en-US"/>
              </w:rPr>
            </w:pPr>
          </w:p>
        </w:tc>
        <w:tc>
          <w:tcPr>
            <w:tcW w:w="2696"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可持续影响指标</w:t>
            </w:r>
          </w:p>
        </w:tc>
        <w:tc>
          <w:tcPr>
            <w:tcW w:w="1180" w:type="dxa"/>
            <w:gridSpan w:val="2"/>
            <w:vAlign w:val="center"/>
          </w:tcPr>
          <w:p>
            <w:pPr>
              <w:keepNext w:val="0"/>
              <w:keepLines w:val="0"/>
              <w:widowControl/>
              <w:suppressLineNumbers w:val="0"/>
              <w:autoSpaceDE w:val="0"/>
              <w:autoSpaceDN w:val="0"/>
              <w:jc w:val="left"/>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任务1：拥军优属，拥政爱民工作的可持续性</w:t>
            </w:r>
          </w:p>
        </w:tc>
        <w:tc>
          <w:tcPr>
            <w:tcW w:w="1057" w:type="dxa"/>
            <w:gridSpan w:val="3"/>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100%</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100%</w:t>
            </w:r>
          </w:p>
        </w:tc>
        <w:tc>
          <w:tcPr>
            <w:tcW w:w="799"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6</w:t>
            </w:r>
          </w:p>
        </w:tc>
        <w:tc>
          <w:tcPr>
            <w:tcW w:w="757"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6</w:t>
            </w:r>
          </w:p>
        </w:tc>
        <w:tc>
          <w:tcPr>
            <w:tcW w:w="1492"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7" w:hRule="atLeast"/>
        </w:trPr>
        <w:tc>
          <w:tcPr>
            <w:tcW w:w="736" w:type="dxa"/>
            <w:vAlign w:val="center"/>
          </w:tcPr>
          <w:p>
            <w:pPr>
              <w:pStyle w:val="16"/>
              <w:spacing w:before="3" w:line="240" w:lineRule="exact"/>
              <w:ind w:left="160" w:right="152"/>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满意度指标</w:t>
            </w:r>
          </w:p>
        </w:tc>
        <w:tc>
          <w:tcPr>
            <w:tcW w:w="611" w:type="dxa"/>
            <w:gridSpan w:val="2"/>
            <w:vAlign w:val="center"/>
          </w:tcPr>
          <w:p>
            <w:pPr>
              <w:pStyle w:val="16"/>
              <w:spacing w:before="4"/>
              <w:jc w:val="both"/>
              <w:rPr>
                <w:rFonts w:hint="eastAsia" w:ascii="黑体" w:hAnsi="黑体" w:eastAsia="黑体" w:cs="黑体"/>
                <w:b/>
                <w:color w:val="000000" w:themeColor="text1"/>
                <w:sz w:val="20"/>
                <w:szCs w:val="20"/>
                <w:lang w:eastAsia="en-US"/>
              </w:rPr>
            </w:pPr>
          </w:p>
          <w:p>
            <w:pPr>
              <w:pStyle w:val="16"/>
              <w:ind w:left="202"/>
              <w:jc w:val="both"/>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10</w:t>
            </w:r>
          </w:p>
        </w:tc>
        <w:tc>
          <w:tcPr>
            <w:tcW w:w="2696" w:type="dxa"/>
            <w:vAlign w:val="center"/>
          </w:tcPr>
          <w:p>
            <w:pPr>
              <w:pStyle w:val="16"/>
              <w:spacing w:before="4"/>
              <w:jc w:val="center"/>
              <w:rPr>
                <w:rFonts w:hint="eastAsia" w:ascii="黑体" w:hAnsi="黑体" w:eastAsia="黑体" w:cs="黑体"/>
                <w:b/>
                <w:color w:val="000000" w:themeColor="text1"/>
                <w:sz w:val="20"/>
                <w:szCs w:val="20"/>
                <w:lang w:eastAsia="en-US"/>
              </w:rPr>
            </w:pPr>
          </w:p>
          <w:p>
            <w:pPr>
              <w:pStyle w:val="16"/>
              <w:ind w:left="285" w:right="279"/>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满意度指标</w:t>
            </w:r>
          </w:p>
        </w:tc>
        <w:tc>
          <w:tcPr>
            <w:tcW w:w="1180" w:type="dxa"/>
            <w:gridSpan w:val="2"/>
            <w:vAlign w:val="center"/>
          </w:tcPr>
          <w:p>
            <w:pPr>
              <w:keepNext w:val="0"/>
              <w:keepLines w:val="0"/>
              <w:widowControl/>
              <w:suppressLineNumbers w:val="0"/>
              <w:autoSpaceDE w:val="0"/>
              <w:autoSpaceDN w:val="0"/>
              <w:jc w:val="left"/>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任务1：服务对象满意度</w:t>
            </w:r>
          </w:p>
        </w:tc>
        <w:tc>
          <w:tcPr>
            <w:tcW w:w="1057" w:type="dxa"/>
            <w:gridSpan w:val="3"/>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≥95%</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95%</w:t>
            </w:r>
          </w:p>
        </w:tc>
        <w:tc>
          <w:tcPr>
            <w:tcW w:w="799"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10</w:t>
            </w:r>
          </w:p>
        </w:tc>
        <w:tc>
          <w:tcPr>
            <w:tcW w:w="757"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8</w:t>
            </w:r>
          </w:p>
        </w:tc>
        <w:tc>
          <w:tcPr>
            <w:tcW w:w="1492" w:type="dxa"/>
            <w:vAlign w:val="center"/>
          </w:tcPr>
          <w:p>
            <w:pPr>
              <w:pStyle w:val="16"/>
              <w:tabs>
                <w:tab w:val="left" w:pos="541"/>
              </w:tabs>
              <w:jc w:val="left"/>
              <w:rPr>
                <w:rFonts w:hint="eastAsia" w:ascii="黑体" w:hAnsi="黑体" w:eastAsia="黑体" w:cs="黑体"/>
                <w:color w:val="000000" w:themeColor="text1"/>
                <w:sz w:val="20"/>
                <w:szCs w:val="20"/>
                <w:lang w:eastAsia="zh-CN"/>
              </w:rPr>
            </w:pPr>
            <w:r>
              <w:rPr>
                <w:rFonts w:hint="eastAsia" w:ascii="黑体" w:hAnsi="黑体" w:eastAsia="黑体" w:cs="黑体"/>
                <w:color w:val="000000" w:themeColor="text1"/>
                <w:sz w:val="20"/>
                <w:szCs w:val="20"/>
                <w:lang w:eastAsia="zh-CN"/>
              </w:rPr>
              <w:t>工作具有持续性，需加强工作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 w:hRule="atLeast"/>
        </w:trPr>
        <w:tc>
          <w:tcPr>
            <w:tcW w:w="7292" w:type="dxa"/>
            <w:gridSpan w:val="10"/>
            <w:vAlign w:val="center"/>
          </w:tcPr>
          <w:p>
            <w:pPr>
              <w:keepNext w:val="0"/>
              <w:keepLines w:val="0"/>
              <w:widowControl/>
              <w:suppressLineNumbers w:val="0"/>
              <w:autoSpaceDE w:val="0"/>
              <w:autoSpaceDN w:val="0"/>
              <w:jc w:val="center"/>
              <w:textAlignment w:val="center"/>
              <w:rPr>
                <w:rFonts w:hint="eastAsia" w:ascii="黑体" w:hAnsi="黑体" w:eastAsia="黑体" w:cs="黑体"/>
                <w:i w:val="0"/>
                <w:color w:val="000000" w:themeColor="text1"/>
                <w:kern w:val="0"/>
                <w:sz w:val="20"/>
                <w:szCs w:val="20"/>
                <w:u w:val="none"/>
                <w:lang w:val="en-US" w:eastAsia="zh-CN" w:bidi="ar"/>
              </w:rPr>
            </w:pPr>
            <w:r>
              <w:rPr>
                <w:rFonts w:hint="eastAsia" w:ascii="黑体" w:hAnsi="黑体" w:eastAsia="黑体" w:cs="黑体"/>
                <w:i w:val="0"/>
                <w:color w:val="000000" w:themeColor="text1"/>
                <w:kern w:val="0"/>
                <w:sz w:val="20"/>
                <w:szCs w:val="20"/>
                <w:u w:val="none"/>
                <w:lang w:val="en-US" w:eastAsia="zh-CN" w:bidi="ar"/>
              </w:rPr>
              <w:t>总分</w:t>
            </w:r>
          </w:p>
        </w:tc>
        <w:tc>
          <w:tcPr>
            <w:tcW w:w="799" w:type="dxa"/>
            <w:vAlign w:val="center"/>
          </w:tcPr>
          <w:p>
            <w:pPr>
              <w:keepNext w:val="0"/>
              <w:keepLines w:val="0"/>
              <w:widowControl/>
              <w:suppressLineNumbers w:val="0"/>
              <w:autoSpaceDE w:val="0"/>
              <w:autoSpaceDN w:val="0"/>
              <w:jc w:val="center"/>
              <w:textAlignment w:val="center"/>
              <w:rPr>
                <w:rFonts w:hint="eastAsia" w:ascii="黑体" w:hAnsi="黑体" w:eastAsia="黑体" w:cs="黑体"/>
                <w:i w:val="0"/>
                <w:color w:val="000000" w:themeColor="text1"/>
                <w:kern w:val="0"/>
                <w:sz w:val="20"/>
                <w:szCs w:val="20"/>
                <w:u w:val="none"/>
                <w:lang w:val="en-US" w:eastAsia="zh-CN" w:bidi="ar"/>
              </w:rPr>
            </w:pPr>
            <w:r>
              <w:rPr>
                <w:rFonts w:hint="eastAsia" w:ascii="黑体" w:hAnsi="黑体" w:eastAsia="黑体" w:cs="黑体"/>
                <w:i w:val="0"/>
                <w:color w:val="000000" w:themeColor="text1"/>
                <w:kern w:val="0"/>
                <w:sz w:val="20"/>
                <w:szCs w:val="20"/>
                <w:u w:val="none"/>
                <w:lang w:val="en-US" w:eastAsia="zh-CN" w:bidi="ar"/>
              </w:rPr>
              <w:t>100</w:t>
            </w:r>
          </w:p>
        </w:tc>
        <w:tc>
          <w:tcPr>
            <w:tcW w:w="757" w:type="dxa"/>
            <w:vAlign w:val="center"/>
          </w:tcPr>
          <w:p>
            <w:pPr>
              <w:pStyle w:val="16"/>
              <w:jc w:val="center"/>
              <w:rPr>
                <w:rFonts w:hint="eastAsia" w:ascii="黑体" w:hAnsi="黑体" w:eastAsia="黑体" w:cs="黑体"/>
                <w:color w:val="000000" w:themeColor="text1"/>
                <w:sz w:val="20"/>
                <w:szCs w:val="20"/>
                <w:lang w:val="en-US" w:eastAsia="zh-CN"/>
              </w:rPr>
            </w:pPr>
            <w:r>
              <w:rPr>
                <w:rFonts w:hint="eastAsia" w:ascii="黑体" w:hAnsi="黑体" w:eastAsia="黑体" w:cs="黑体"/>
                <w:color w:val="000000" w:themeColor="text1"/>
                <w:sz w:val="20"/>
                <w:szCs w:val="20"/>
                <w:lang w:val="en-US" w:eastAsia="zh-CN"/>
              </w:rPr>
              <w:t>91</w:t>
            </w:r>
          </w:p>
        </w:tc>
        <w:tc>
          <w:tcPr>
            <w:tcW w:w="1492" w:type="dxa"/>
            <w:vAlign w:val="center"/>
          </w:tcPr>
          <w:p>
            <w:pPr>
              <w:pStyle w:val="16"/>
              <w:jc w:val="center"/>
              <w:rPr>
                <w:rFonts w:hint="eastAsia" w:ascii="黑体" w:hAnsi="黑体" w:eastAsia="黑体" w:cs="黑体"/>
                <w:color w:val="000000" w:themeColor="text1"/>
                <w:sz w:val="20"/>
                <w:szCs w:val="20"/>
                <w:lang w:eastAsia="en-US"/>
              </w:rPr>
            </w:pPr>
          </w:p>
        </w:tc>
      </w:tr>
    </w:tbl>
    <w:p>
      <w:pPr>
        <w:spacing w:before="22"/>
        <w:ind w:left="269"/>
        <w:rPr>
          <w:rFonts w:ascii="黑体" w:eastAsia="黑体"/>
          <w:sz w:val="21"/>
        </w:rPr>
      </w:pPr>
      <w:r>
        <w:rPr>
          <w:rFonts w:hint="eastAsia" w:ascii="黑体" w:eastAsia="黑体"/>
          <w:sz w:val="21"/>
        </w:rPr>
        <w:t>说明：1.部门（单位）按照附件 5《部门整体支出绩效评价指标体系框架》（参考）设置三级指标；</w:t>
      </w:r>
    </w:p>
    <w:p>
      <w:pPr>
        <w:spacing w:before="43" w:line="278" w:lineRule="auto"/>
        <w:ind w:left="1078" w:right="502" w:hanging="226"/>
        <w:rPr>
          <w:rFonts w:ascii="黑体" w:eastAsia="黑体"/>
          <w:sz w:val="21"/>
        </w:rPr>
      </w:pPr>
      <w:r>
        <w:rPr>
          <w:rFonts w:hint="eastAsia" w:ascii="黑体" w:eastAsia="黑体"/>
          <w:spacing w:val="-5"/>
          <w:w w:val="95"/>
          <w:sz w:val="21"/>
        </w:rPr>
        <w:t>2</w:t>
      </w:r>
      <w:r>
        <w:rPr>
          <w:rFonts w:hint="eastAsia" w:ascii="黑体" w:eastAsia="黑体"/>
          <w:spacing w:val="-10"/>
          <w:w w:val="95"/>
          <w:sz w:val="21"/>
        </w:rPr>
        <w:t>.上述产出指标和效益指标根据年初设定的绩效目标既可以按照重点任务完成情况分别填列，也可以依据所有</w:t>
      </w:r>
      <w:r>
        <w:rPr>
          <w:rFonts w:hint="eastAsia" w:ascii="黑体" w:eastAsia="黑体"/>
          <w:spacing w:val="-8"/>
          <w:sz w:val="21"/>
        </w:rPr>
        <w:t>重点任务归纳提炼综合指标。</w:t>
      </w:r>
    </w:p>
    <w:p>
      <w:pPr>
        <w:spacing w:line="278" w:lineRule="auto"/>
        <w:rPr>
          <w:rFonts w:ascii="黑体" w:eastAsia="黑体"/>
          <w:sz w:val="21"/>
        </w:rPr>
        <w:sectPr>
          <w:type w:val="continuous"/>
          <w:pgSz w:w="11910" w:h="16840"/>
          <w:pgMar w:top="1580" w:right="340" w:bottom="280" w:left="580" w:header="720" w:footer="720" w:gutter="0"/>
          <w:cols w:space="720" w:num="1"/>
        </w:sectPr>
      </w:pPr>
    </w:p>
    <w:p>
      <w:pPr>
        <w:pStyle w:val="3"/>
        <w:spacing w:before="26"/>
        <w:ind w:left="836"/>
        <w:rPr>
          <w:rFonts w:ascii="黑体" w:eastAsia="黑体"/>
        </w:rPr>
      </w:pPr>
      <w:r>
        <w:rPr>
          <w:rFonts w:hint="eastAsia" w:ascii="黑体" w:eastAsia="黑体"/>
        </w:rPr>
        <w:t>附件 7：</w:t>
      </w:r>
    </w:p>
    <w:p>
      <w:pPr>
        <w:pStyle w:val="3"/>
        <w:spacing w:before="2"/>
        <w:rPr>
          <w:rFonts w:ascii="黑体"/>
          <w:sz w:val="45"/>
        </w:rPr>
      </w:pPr>
    </w:p>
    <w:p>
      <w:pPr>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2021年度青云谱区退役军人事务局</w:t>
      </w:r>
    </w:p>
    <w:p>
      <w:pPr>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整体支出绩效自评报告</w:t>
      </w:r>
    </w:p>
    <w:p>
      <w:pPr>
        <w:rPr>
          <w:rFonts w:hint="eastAsia"/>
          <w:color w:val="000000"/>
        </w:rPr>
      </w:pP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部门（单位）： （盖章）</w:t>
      </w:r>
    </w:p>
    <w:p>
      <w:pPr>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after="200" w:line="560" w:lineRule="exact"/>
        <w:ind w:left="440" w:leftChars="0" w:right="590" w:rightChars="268" w:hanging="440" w:hangingChars="137"/>
        <w:jc w:val="left"/>
        <w:textAlignment w:val="auto"/>
        <w:outlineLvl w:val="9"/>
        <w:rPr>
          <w:rFonts w:hint="eastAsia" w:ascii="黑体" w:hAnsi="黑体" w:eastAsia="黑体" w:cs="黑体"/>
          <w:b/>
          <w:bCs/>
          <w:color w:val="000000"/>
          <w:sz w:val="32"/>
          <w:szCs w:val="32"/>
        </w:rPr>
      </w:pPr>
      <w:r>
        <w:rPr>
          <w:rFonts w:hint="eastAsia" w:ascii="黑体" w:hAnsi="黑体" w:eastAsia="黑体" w:cs="黑体"/>
          <w:b/>
          <w:bCs/>
          <w:color w:val="000000"/>
          <w:sz w:val="32"/>
          <w:szCs w:val="32"/>
        </w:rPr>
        <w:t>一、部门（单位）概况</w:t>
      </w:r>
    </w:p>
    <w:p>
      <w:pPr>
        <w:keepNext w:val="0"/>
        <w:keepLines w:val="0"/>
        <w:pageBreakBefore w:val="0"/>
        <w:widowControl w:val="0"/>
        <w:kinsoku/>
        <w:wordWrap/>
        <w:overflowPunct/>
        <w:topLinePunct w:val="0"/>
        <w:autoSpaceDE/>
        <w:autoSpaceDN/>
        <w:bidi w:val="0"/>
        <w:adjustRightInd/>
        <w:snapToGrid/>
        <w:spacing w:after="200" w:line="560" w:lineRule="exact"/>
        <w:ind w:left="0" w:leftChars="0" w:right="0" w:rightChars="0" w:firstLine="643" w:firstLineChars="200"/>
        <w:jc w:val="left"/>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（一）部门（单位）主要职责职能，组织架构、人员及资产等基本情况</w:t>
      </w:r>
    </w:p>
    <w:p>
      <w:pPr>
        <w:keepNext w:val="0"/>
        <w:keepLines w:val="0"/>
        <w:pageBreakBefore w:val="0"/>
        <w:widowControl w:val="0"/>
        <w:kinsoku/>
        <w:wordWrap/>
        <w:overflowPunct/>
        <w:topLinePunct w:val="0"/>
        <w:autoSpaceDE/>
        <w:autoSpaceDN/>
        <w:bidi w:val="0"/>
        <w:adjustRightInd/>
        <w:snapToGrid/>
        <w:spacing w:after="20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组织实施党和国家关于退役军人思想政治、管理保障和安置优抚等工作政策法规，拟订并组织实施全县退役军人事务发展规划和政策；褒扬彰显退役军人为党、国家和人民牺牲奉献的精神风范和价值导向。2、负责全区军队转业干部、复员干部、离休退休干部、退役士兵和无军籍退休退职职工的移交安置工作、自主择业和就业退役军人服务管理工作。3、组织指导全区退役军人教育培训工作，协调扶持退役军人和随军随调家属就业创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4、贯彻落实国家、省、市关于退役军人的特殊保障政，会同有关部门制订相关政策并组织实施。5、组织协调落实全县移交地方的离休退休军人、符合条件的其他退役军人和无军籍退休退职职工的住房保障工作，以及退役军人医疗保障、社会保险等待遇保障工作。6、组织指导全区伤病残退役军人服务管理和抚恤工作，贯彻落实有关退役军人医疗、疗养、养老等机构的规划政策并指导实施。承担全区不适宜继续服役的伤病残军人相关工作。组织指导实施全区军供服务保障工作。负责本行业领域食品安全有关监督管理。7、组织和指导全区拥军优属工作。负责全区现役军人、退役军人、军队文职人员和军属优待、抚恤等工作；贯彻执行国家、省、市关于国民党抗战老兵等有关人员优待政策并指导实施。8、负责全区烈士及退役军人荣誉奖励、军人公墓管理维护、纪念活动等工作，依法承担英雄烈士保护相关工作，审核拟列入全区重点保护单位的烈士纪念建筑物名录，总结表彰和宣扬退役军人、退役军人工作单位和个人先进典型事迹。9、指导并监督检查退役军人相关法律法规和政策措施的落实；开展全县退役军人合法权益维护和有关人员的帮扶援助工作。10、完成区委、区政府交办的其他任务。11、职能转变。区退役军人局应加强退役军人思想政治工作和服务保障体系建设，建立健全集中统一，职责清晰的退役军人管理保障体制，协调各方力量更好为军人军属服务，维护军人军属合法权益，让军人成为全社会尊崇的职业，褒扬彰显退役军人为党、国家和人民牺牲奉献的精神风范和价值导向，更好地为增强部队战斗力和凝聚力做好组织保障。</w:t>
      </w:r>
    </w:p>
    <w:p>
      <w:pPr>
        <w:keepNext w:val="0"/>
        <w:keepLines w:val="0"/>
        <w:pageBreakBefore w:val="0"/>
        <w:widowControl w:val="0"/>
        <w:kinsoku/>
        <w:wordWrap/>
        <w:overflowPunct/>
        <w:topLinePunct w:val="0"/>
        <w:autoSpaceDE/>
        <w:autoSpaceDN/>
        <w:bidi w:val="0"/>
        <w:adjustRightInd/>
        <w:snapToGrid/>
        <w:spacing w:after="200" w:line="560" w:lineRule="exact"/>
        <w:ind w:left="0" w:leftChars="0" w:right="0" w:rightChars="0" w:firstLine="643" w:firstLineChars="200"/>
        <w:jc w:val="left"/>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（二）当年部门（单位）履职总体目标、工作任务</w:t>
      </w:r>
    </w:p>
    <w:p>
      <w:pPr>
        <w:keepNext w:val="0"/>
        <w:keepLines w:val="0"/>
        <w:pageBreakBefore w:val="0"/>
        <w:widowControl w:val="0"/>
        <w:kinsoku/>
        <w:wordWrap/>
        <w:overflowPunct/>
        <w:topLinePunct w:val="0"/>
        <w:autoSpaceDE/>
        <w:autoSpaceDN/>
        <w:bidi w:val="0"/>
        <w:adjustRightInd/>
        <w:snapToGrid/>
        <w:spacing w:after="200" w:line="560" w:lineRule="exact"/>
        <w:ind w:left="0" w:leftChars="0" w:right="0" w:rightChars="0" w:firstLine="640" w:firstLineChars="200"/>
        <w:jc w:val="left"/>
        <w:textAlignment w:val="auto"/>
        <w:outlineLvl w:val="9"/>
        <w:rPr>
          <w:rFonts w:ascii="仿宋_GB2312" w:hAnsi="仿宋" w:eastAsia="仿宋_GB2312"/>
          <w:sz w:val="32"/>
          <w:szCs w:val="32"/>
        </w:rPr>
      </w:pPr>
      <w:r>
        <w:rPr>
          <w:rFonts w:hint="eastAsia" w:ascii="仿宋_GB2312" w:hAnsi="仿宋" w:eastAsia="仿宋_GB2312"/>
          <w:sz w:val="32"/>
          <w:szCs w:val="32"/>
        </w:rPr>
        <w:t>在区委、区政府的坚强领导和关心支持下，在上级业务部门的精心指导下，坚持以习近平新时代中国特色社会主义思想为指导，深入贯彻习近平总书记关于退役军人工作重要论述和视察江西重要讲话精神，认真落实中央、省委、市委和区委各项决策部署，</w:t>
      </w:r>
      <w:r>
        <w:rPr>
          <w:rFonts w:hint="eastAsia" w:ascii="仿宋_GB2312" w:hAnsi="仿宋" w:eastAsia="仿宋_GB2312"/>
          <w:sz w:val="32"/>
          <w:szCs w:val="32"/>
          <w:lang w:val="en-US" w:eastAsia="zh-CN"/>
        </w:rPr>
        <w:t>提升</w:t>
      </w:r>
      <w:r>
        <w:rPr>
          <w:rFonts w:hint="eastAsia" w:ascii="仿宋_GB2312" w:hAnsi="仿宋" w:eastAsia="仿宋_GB2312"/>
          <w:sz w:val="32"/>
          <w:szCs w:val="32"/>
        </w:rPr>
        <w:t>全区退役军人服务保障体系建设，优抚对象补助资金发放及时，褒扬纪念活动大张旗鼓，来信来访妥善处理，移交安置按时完成，创业就业方向明确，双拥创建稳步推行，切实提升广大退役军人及优抚对象的幸福感、荣誉感和获得感。</w:t>
      </w:r>
    </w:p>
    <w:p>
      <w:pPr>
        <w:keepNext w:val="0"/>
        <w:keepLines w:val="0"/>
        <w:pageBreakBefore w:val="0"/>
        <w:widowControl w:val="0"/>
        <w:numPr>
          <w:ilvl w:val="0"/>
          <w:numId w:val="1"/>
        </w:numPr>
        <w:kinsoku/>
        <w:wordWrap/>
        <w:overflowPunct/>
        <w:topLinePunct w:val="0"/>
        <w:autoSpaceDE/>
        <w:autoSpaceDN/>
        <w:bidi w:val="0"/>
        <w:adjustRightInd/>
        <w:snapToGrid/>
        <w:spacing w:after="200" w:line="560" w:lineRule="exact"/>
        <w:ind w:left="0" w:leftChars="0" w:right="0" w:rightChars="0" w:firstLine="643" w:firstLineChars="200"/>
        <w:jc w:val="left"/>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当年部门（单位）年度整体支出绩效目标</w:t>
      </w:r>
    </w:p>
    <w:p>
      <w:pPr>
        <w:keepNext w:val="0"/>
        <w:keepLines w:val="0"/>
        <w:pageBreakBefore w:val="0"/>
        <w:widowControl w:val="0"/>
        <w:numPr>
          <w:ilvl w:val="0"/>
          <w:numId w:val="0"/>
        </w:numPr>
        <w:kinsoku/>
        <w:wordWrap/>
        <w:overflowPunct/>
        <w:topLinePunct w:val="0"/>
        <w:autoSpaceDE/>
        <w:autoSpaceDN/>
        <w:bidi w:val="0"/>
        <w:adjustRightInd/>
        <w:snapToGrid/>
        <w:spacing w:after="20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坚持以习近平新时代中国特色社会主义思想为指导，聚焦主责务实担当，持续推进“尊崇工作法”，将双拥工作纳入全区国民经济和社会发展规划考核，全面落实优抚政策，做好服务退役军人工作。</w:t>
      </w:r>
    </w:p>
    <w:p>
      <w:pPr>
        <w:keepNext w:val="0"/>
        <w:keepLines w:val="0"/>
        <w:pageBreakBefore w:val="0"/>
        <w:widowControl w:val="0"/>
        <w:kinsoku/>
        <w:wordWrap/>
        <w:overflowPunct/>
        <w:topLinePunct w:val="0"/>
        <w:autoSpaceDE/>
        <w:autoSpaceDN/>
        <w:bidi w:val="0"/>
        <w:adjustRightInd/>
        <w:snapToGrid/>
        <w:spacing w:after="200" w:line="560" w:lineRule="exact"/>
        <w:ind w:left="0" w:leftChars="0" w:right="0" w:rightChars="0" w:firstLine="643" w:firstLineChars="200"/>
        <w:jc w:val="left"/>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（四）部门（单位）预算绩效管理开展情况</w:t>
      </w:r>
    </w:p>
    <w:p>
      <w:pPr>
        <w:keepNext w:val="0"/>
        <w:keepLines w:val="0"/>
        <w:pageBreakBefore w:val="0"/>
        <w:widowControl w:val="0"/>
        <w:kinsoku/>
        <w:wordWrap/>
        <w:overflowPunct/>
        <w:topLinePunct w:val="0"/>
        <w:autoSpaceDE/>
        <w:autoSpaceDN/>
        <w:bidi w:val="0"/>
        <w:adjustRightInd/>
        <w:snapToGrid/>
        <w:spacing w:after="20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（1）南昌市青云谱区退役军人事务局明确了预算绩效管理职能，指定办公室人员专门负责预算绩效管理工作；成立了预算绩效管理领导小组，主席同志任领导小组主任，各处室负人员任小组成员。</w:t>
      </w:r>
    </w:p>
    <w:p>
      <w:pPr>
        <w:keepNext w:val="0"/>
        <w:keepLines w:val="0"/>
        <w:pageBreakBefore w:val="0"/>
        <w:widowControl w:val="0"/>
        <w:kinsoku/>
        <w:wordWrap/>
        <w:overflowPunct/>
        <w:topLinePunct w:val="0"/>
        <w:autoSpaceDE/>
        <w:autoSpaceDN/>
        <w:bidi w:val="0"/>
        <w:adjustRightInd/>
        <w:snapToGrid/>
        <w:spacing w:after="20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（2）制定了区退役局财政预算资金绩效管理办法。</w:t>
      </w:r>
    </w:p>
    <w:p>
      <w:pPr>
        <w:keepNext w:val="0"/>
        <w:keepLines w:val="0"/>
        <w:pageBreakBefore w:val="0"/>
        <w:widowControl w:val="0"/>
        <w:kinsoku/>
        <w:wordWrap/>
        <w:overflowPunct/>
        <w:topLinePunct w:val="0"/>
        <w:autoSpaceDE/>
        <w:autoSpaceDN/>
        <w:bidi w:val="0"/>
        <w:adjustRightInd/>
        <w:snapToGrid/>
        <w:spacing w:after="20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（3）预算绩效工作材料均在规定时间内报送，日常报送的材料形式规范、内容完整、目录清晰、佐证材料齐全。</w:t>
      </w:r>
    </w:p>
    <w:p>
      <w:pPr>
        <w:keepNext w:val="0"/>
        <w:keepLines w:val="0"/>
        <w:pageBreakBefore w:val="0"/>
        <w:widowControl w:val="0"/>
        <w:kinsoku/>
        <w:wordWrap/>
        <w:overflowPunct/>
        <w:topLinePunct w:val="0"/>
        <w:autoSpaceDE/>
        <w:autoSpaceDN/>
        <w:bidi w:val="0"/>
        <w:adjustRightInd/>
        <w:snapToGrid/>
        <w:spacing w:after="20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（4）组织召开了预算绩效管理工作培训会。</w:t>
      </w:r>
    </w:p>
    <w:p>
      <w:pPr>
        <w:keepNext w:val="0"/>
        <w:keepLines w:val="0"/>
        <w:pageBreakBefore w:val="0"/>
        <w:widowControl w:val="0"/>
        <w:kinsoku/>
        <w:wordWrap/>
        <w:overflowPunct/>
        <w:topLinePunct w:val="0"/>
        <w:autoSpaceDE/>
        <w:autoSpaceDN/>
        <w:bidi w:val="0"/>
        <w:adjustRightInd/>
        <w:snapToGrid/>
        <w:spacing w:after="200" w:line="560" w:lineRule="exact"/>
        <w:ind w:left="0" w:leftChars="0" w:right="0" w:rightChars="0" w:firstLine="643"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（五）当年部门（单位）预算及执行情况</w:t>
      </w:r>
    </w:p>
    <w:p>
      <w:pPr>
        <w:keepNext w:val="0"/>
        <w:keepLines w:val="0"/>
        <w:pageBreakBefore w:val="0"/>
        <w:widowControl w:val="0"/>
        <w:kinsoku/>
        <w:wordWrap/>
        <w:overflowPunct/>
        <w:topLinePunct w:val="0"/>
        <w:autoSpaceDE/>
        <w:autoSpaceDN/>
        <w:bidi w:val="0"/>
        <w:adjustRightInd/>
        <w:snapToGrid/>
        <w:spacing w:after="20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年年初预算数</w:t>
      </w:r>
      <w:r>
        <w:rPr>
          <w:rFonts w:hint="eastAsia" w:ascii="仿宋_GB2312" w:hAnsi="仿宋_GB2312" w:eastAsia="仿宋_GB2312" w:cs="仿宋_GB2312"/>
          <w:color w:val="000000"/>
          <w:sz w:val="32"/>
          <w:szCs w:val="32"/>
          <w:lang w:val="en-US" w:eastAsia="zh-CN"/>
        </w:rPr>
        <w:t>2292.45</w:t>
      </w:r>
      <w:r>
        <w:rPr>
          <w:rFonts w:hint="eastAsia" w:ascii="仿宋_GB2312" w:hAnsi="仿宋_GB2312" w:eastAsia="仿宋_GB2312" w:cs="仿宋_GB2312"/>
          <w:color w:val="000000"/>
          <w:sz w:val="32"/>
          <w:szCs w:val="32"/>
        </w:rPr>
        <w:t>万元，全年安排数</w:t>
      </w:r>
      <w:r>
        <w:rPr>
          <w:rFonts w:hint="eastAsia" w:ascii="仿宋_GB2312" w:hAnsi="仿宋_GB2312" w:eastAsia="仿宋_GB2312" w:cs="仿宋_GB2312"/>
          <w:color w:val="000000"/>
          <w:sz w:val="32"/>
          <w:szCs w:val="32"/>
          <w:lang w:val="en-US" w:eastAsia="zh-CN"/>
        </w:rPr>
        <w:t>1992.85</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val="en-US" w:eastAsia="zh-CN"/>
        </w:rPr>
        <w:t>执行数为1992.85</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无</w:t>
      </w:r>
      <w:r>
        <w:rPr>
          <w:rFonts w:hint="eastAsia" w:ascii="仿宋_GB2312" w:hAnsi="仿宋_GB2312" w:eastAsia="仿宋_GB2312" w:cs="仿宋_GB2312"/>
          <w:color w:val="000000"/>
          <w:sz w:val="32"/>
          <w:szCs w:val="32"/>
        </w:rPr>
        <w:t>结余。我</w:t>
      </w:r>
      <w:r>
        <w:rPr>
          <w:rFonts w:hint="eastAsia" w:ascii="仿宋_GB2312" w:hAnsi="仿宋_GB2312" w:eastAsia="仿宋_GB2312" w:cs="仿宋_GB2312"/>
          <w:color w:val="000000"/>
          <w:sz w:val="32"/>
          <w:szCs w:val="32"/>
          <w:lang w:val="en-US" w:eastAsia="zh-CN"/>
        </w:rPr>
        <w:t>单位</w:t>
      </w:r>
      <w:r>
        <w:rPr>
          <w:rFonts w:hint="eastAsia" w:ascii="仿宋_GB2312" w:hAnsi="仿宋_GB2312" w:eastAsia="仿宋_GB2312" w:cs="仿宋_GB2312"/>
          <w:color w:val="000000"/>
          <w:sz w:val="32"/>
          <w:szCs w:val="32"/>
        </w:rPr>
        <w:t>严格按照财政要求，及时地完成单位会计核算并和财政对完账，认真地做好当年部门预算，严格按照资金性质、分功能科目类别、分经济科目、分项目填列，按实际工作开展需要，并经审核。通过对部门预算分析更可以清晰地看到单位资金使用情况，为单位作出决策提供更清晰的数据。</w:t>
      </w:r>
    </w:p>
    <w:p>
      <w:pPr>
        <w:keepNext w:val="0"/>
        <w:keepLines w:val="0"/>
        <w:pageBreakBefore w:val="0"/>
        <w:widowControl w:val="0"/>
        <w:kinsoku/>
        <w:wordWrap/>
        <w:overflowPunct/>
        <w:topLinePunct w:val="0"/>
        <w:autoSpaceDE/>
        <w:autoSpaceDN/>
        <w:bidi w:val="0"/>
        <w:adjustRightInd/>
        <w:snapToGrid/>
        <w:spacing w:after="200" w:line="560" w:lineRule="exact"/>
        <w:ind w:left="0" w:leftChars="0" w:right="0" w:rightChars="0"/>
        <w:jc w:val="left"/>
        <w:textAlignment w:val="auto"/>
        <w:outlineLvl w:val="9"/>
        <w:rPr>
          <w:rFonts w:hint="eastAsia" w:ascii="黑体" w:hAnsi="黑体" w:eastAsia="黑体" w:cs="黑体"/>
          <w:b/>
          <w:bCs/>
          <w:color w:val="000000"/>
          <w:sz w:val="32"/>
          <w:szCs w:val="32"/>
        </w:rPr>
      </w:pPr>
      <w:r>
        <w:rPr>
          <w:rFonts w:hint="eastAsia" w:ascii="黑体" w:hAnsi="黑体" w:eastAsia="黑体" w:cs="黑体"/>
          <w:b/>
          <w:bCs/>
          <w:color w:val="000000"/>
          <w:sz w:val="32"/>
          <w:szCs w:val="32"/>
        </w:rPr>
        <w:t>二、部门（单位）整体支出绩效实现情况</w:t>
      </w:r>
    </w:p>
    <w:p>
      <w:pPr>
        <w:keepNext w:val="0"/>
        <w:keepLines w:val="0"/>
        <w:pageBreakBefore w:val="0"/>
        <w:widowControl w:val="0"/>
        <w:kinsoku/>
        <w:wordWrap/>
        <w:overflowPunct/>
        <w:topLinePunct w:val="0"/>
        <w:autoSpaceDE/>
        <w:autoSpaceDN/>
        <w:bidi w:val="0"/>
        <w:adjustRightInd/>
        <w:snapToGrid/>
        <w:spacing w:after="200" w:line="560" w:lineRule="exact"/>
        <w:ind w:left="0" w:leftChars="0" w:right="0" w:rightChars="0" w:firstLine="643" w:firstLineChars="200"/>
        <w:jc w:val="left"/>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（一）履职完成情况：从数量、质量、时效等方面归纳反映年度主要计划任务完成情况</w:t>
      </w:r>
    </w:p>
    <w:p>
      <w:pPr>
        <w:keepNext w:val="0"/>
        <w:keepLines w:val="0"/>
        <w:pageBreakBefore w:val="0"/>
        <w:widowControl w:val="0"/>
        <w:kinsoku/>
        <w:wordWrap/>
        <w:overflowPunct/>
        <w:topLinePunct w:val="0"/>
        <w:autoSpaceDE/>
        <w:autoSpaceDN/>
        <w:bidi w:val="0"/>
        <w:adjustRightInd/>
        <w:snapToGrid/>
        <w:spacing w:after="200" w:line="560" w:lineRule="exact"/>
        <w:ind w:left="0" w:leftChars="0" w:right="0" w:rightChars="0" w:firstLine="640" w:firstLineChars="200"/>
        <w:jc w:val="left"/>
        <w:textAlignment w:val="auto"/>
        <w:outlineLvl w:val="9"/>
        <w:rPr>
          <w:rFonts w:hint="eastAsia" w:ascii="仿宋_GB2312" w:hAnsi="仿宋" w:eastAsia="仿宋_GB2312"/>
          <w:sz w:val="32"/>
          <w:szCs w:val="32"/>
        </w:rPr>
      </w:pPr>
      <w:r>
        <w:rPr>
          <w:rFonts w:hint="eastAsia" w:ascii="仿宋_GB2312" w:hAnsi="仿宋_GB2312" w:eastAsia="仿宋_GB2312" w:cs="仿宋_GB2312"/>
          <w:color w:val="000000"/>
          <w:sz w:val="32"/>
          <w:szCs w:val="32"/>
        </w:rPr>
        <w:t>（1）数量方面：</w:t>
      </w:r>
      <w:r>
        <w:rPr>
          <w:rFonts w:hint="eastAsia" w:ascii="仿宋_GB2312" w:hAnsi="仿宋_GB2312" w:eastAsia="仿宋_GB2312" w:cs="仿宋_GB2312"/>
          <w:sz w:val="32"/>
          <w:szCs w:val="32"/>
        </w:rPr>
        <w:t>认真落实“七个一”，开展各类活动1000余场，成功举办全市推广“尊崇工作法”经验交流现场会。</w:t>
      </w:r>
      <w:r>
        <w:rPr>
          <w:rFonts w:hint="eastAsia" w:ascii="仿宋_GB2312" w:hAnsi="仿宋" w:eastAsia="仿宋_GB2312"/>
          <w:sz w:val="32"/>
          <w:szCs w:val="32"/>
        </w:rPr>
        <w:t>先后举办退役军人专场招聘会2场，辖区30家企业参加，提供就业岗位</w:t>
      </w:r>
      <w:r>
        <w:rPr>
          <w:rFonts w:ascii="仿宋_GB2312" w:hAnsi="仿宋" w:eastAsia="仿宋_GB2312"/>
          <w:sz w:val="32"/>
          <w:szCs w:val="32"/>
        </w:rPr>
        <w:t>110</w:t>
      </w:r>
      <w:r>
        <w:rPr>
          <w:rFonts w:hint="eastAsia" w:ascii="仿宋_GB2312" w:hAnsi="仿宋" w:eastAsia="仿宋_GB2312"/>
          <w:sz w:val="32"/>
          <w:szCs w:val="32"/>
        </w:rPr>
        <w:t>多个。参加招聘退役军人150多人，达成就业意向30人。走访退役军人730余人，投入金额46万余元。发放抚恤补助金、病故军人一次性抚恤金765万余元。社保接续办结率100%。5名转业士官全部安置在事业单位。畅通网上、电话、来信、约访、下访、接访等多种诉求表达渠道，反映相关问题160余件，来信来电220余次，接待来访量300多人次。目前总体保持良好状态，未发生重特大事件和群体性事件。</w:t>
      </w:r>
    </w:p>
    <w:p>
      <w:pPr>
        <w:keepNext w:val="0"/>
        <w:keepLines w:val="0"/>
        <w:pageBreakBefore w:val="0"/>
        <w:widowControl w:val="0"/>
        <w:kinsoku/>
        <w:wordWrap/>
        <w:overflowPunct/>
        <w:topLinePunct w:val="0"/>
        <w:autoSpaceDE/>
        <w:autoSpaceDN/>
        <w:bidi w:val="0"/>
        <w:adjustRightInd/>
        <w:snapToGrid/>
        <w:spacing w:after="200" w:line="560" w:lineRule="exact"/>
        <w:ind w:left="0" w:leftChars="0" w:right="0" w:rightChars="0" w:firstLine="640" w:firstLineChars="200"/>
        <w:jc w:val="left"/>
        <w:textAlignment w:val="auto"/>
        <w:outlineLvl w:val="9"/>
        <w:rPr>
          <w:rFonts w:hint="eastAsia" w:ascii="仿宋_GB2312" w:hAnsi="仿宋" w:eastAsia="仿宋_GB2312"/>
          <w:sz w:val="32"/>
          <w:szCs w:val="32"/>
        </w:rPr>
      </w:pPr>
      <w:r>
        <w:rPr>
          <w:rFonts w:hint="eastAsia" w:ascii="仿宋_GB2312" w:hAnsi="仿宋_GB2312" w:eastAsia="仿宋_GB2312" w:cs="仿宋_GB2312"/>
          <w:color w:val="000000"/>
          <w:sz w:val="32"/>
          <w:szCs w:val="32"/>
        </w:rPr>
        <w:t>（2）质量方面：</w:t>
      </w:r>
      <w:r>
        <w:rPr>
          <w:rFonts w:hint="eastAsia" w:ascii="仿宋_GB2312" w:hAnsi="仿宋_GB2312" w:eastAsia="仿宋_GB2312" w:cs="仿宋_GB2312"/>
          <w:sz w:val="32"/>
          <w:szCs w:val="32"/>
        </w:rPr>
        <w:t>高标准打造</w:t>
      </w:r>
      <w:r>
        <w:rPr>
          <w:rFonts w:hint="eastAsia" w:ascii="仿宋_GB2312" w:hAnsi="仿宋_GB2312" w:eastAsia="仿宋_GB2312" w:cs="仿宋_GB2312"/>
          <w:sz w:val="32"/>
          <w:szCs w:val="32"/>
          <w:lang w:eastAsia="zh-Hans"/>
        </w:rPr>
        <w:t>了</w:t>
      </w:r>
      <w:r>
        <w:rPr>
          <w:rFonts w:hint="eastAsia" w:ascii="仿宋_GB2312" w:hAnsi="仿宋_GB2312" w:eastAsia="仿宋_GB2312" w:cs="仿宋_GB2312"/>
          <w:sz w:val="32"/>
          <w:szCs w:val="32"/>
        </w:rPr>
        <w:t>1200㎡的区退役军人服务中心，打造出有浓厚“军味”的11个分圃的“崇军圃”。按照“五有”（有机构、有编制、有人员、有经费、有保障）要求，建立了区、街道（镇、集聚区）、社区（村）三级服务体系，全区形成了“一中心两站”的退役军人系统服务保障体系，共有95个退役军人服务中心(站)。完成区级、街道级及300人以上社区级退役军人服务中心（站）全国示范型创建工作。新经济产业集聚区退役军人服务站获评全省“红色退役军人服务站”。</w:t>
      </w:r>
    </w:p>
    <w:p>
      <w:pPr>
        <w:keepNext w:val="0"/>
        <w:keepLines w:val="0"/>
        <w:pageBreakBefore w:val="0"/>
        <w:widowControl w:val="0"/>
        <w:kinsoku/>
        <w:wordWrap/>
        <w:overflowPunct/>
        <w:topLinePunct w:val="0"/>
        <w:autoSpaceDE/>
        <w:autoSpaceDN/>
        <w:bidi w:val="0"/>
        <w:adjustRightInd/>
        <w:snapToGrid/>
        <w:spacing w:after="20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（3）时效方面：按时完成，预期工作都在202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年底前完成，完成率100%。</w:t>
      </w:r>
    </w:p>
    <w:p>
      <w:pPr>
        <w:keepNext w:val="0"/>
        <w:keepLines w:val="0"/>
        <w:pageBreakBefore w:val="0"/>
        <w:widowControl w:val="0"/>
        <w:kinsoku/>
        <w:wordWrap/>
        <w:overflowPunct/>
        <w:topLinePunct w:val="0"/>
        <w:autoSpaceDE/>
        <w:autoSpaceDN/>
        <w:bidi w:val="0"/>
        <w:adjustRightInd/>
        <w:snapToGrid/>
        <w:spacing w:after="200" w:line="560" w:lineRule="exact"/>
        <w:ind w:left="0" w:leftChars="0" w:right="0" w:rightChars="0" w:firstLine="643" w:firstLineChars="200"/>
        <w:jc w:val="left"/>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（二）履职效果情况：从社会效益、经济效益（如有）、生态效益（如有）等方面反映部门（单位）履职效果的实现情况</w:t>
      </w:r>
    </w:p>
    <w:p>
      <w:pPr>
        <w:keepNext w:val="0"/>
        <w:keepLines w:val="0"/>
        <w:pageBreakBefore w:val="0"/>
        <w:widowControl w:val="0"/>
        <w:kinsoku/>
        <w:wordWrap/>
        <w:overflowPunct/>
        <w:topLinePunct w:val="0"/>
        <w:autoSpaceDE/>
        <w:autoSpaceDN/>
        <w:bidi w:val="0"/>
        <w:adjustRightInd/>
        <w:snapToGrid/>
        <w:spacing w:after="20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（1）经济效益：</w:t>
      </w:r>
      <w:r>
        <w:rPr>
          <w:rFonts w:hint="eastAsia" w:ascii="仿宋_GB2312" w:hAnsi="仿宋_GB2312" w:eastAsia="仿宋_GB2312" w:cs="仿宋_GB2312"/>
          <w:color w:val="000000"/>
          <w:sz w:val="32"/>
          <w:szCs w:val="32"/>
          <w:lang w:val="en-US" w:eastAsia="zh-CN"/>
        </w:rPr>
        <w:t>安排</w:t>
      </w:r>
      <w:r>
        <w:rPr>
          <w:rFonts w:hint="eastAsia" w:ascii="仿宋_GB2312" w:hAnsi="仿宋_GB2312" w:eastAsia="仿宋_GB2312" w:cs="仿宋_GB2312"/>
          <w:color w:val="000000"/>
          <w:sz w:val="32"/>
          <w:szCs w:val="32"/>
        </w:rPr>
        <w:t>资金执行率达100%。优抚对象资金所涉及对象覆盖率100%。</w:t>
      </w:r>
    </w:p>
    <w:p>
      <w:pPr>
        <w:pStyle w:val="2"/>
        <w:keepNext w:val="0"/>
        <w:keepLines w:val="0"/>
        <w:pageBreakBefore w:val="0"/>
        <w:widowControl w:val="0"/>
        <w:kinsoku/>
        <w:wordWrap/>
        <w:overflowPunct/>
        <w:topLinePunct w:val="0"/>
        <w:autoSpaceDE/>
        <w:autoSpaceDN/>
        <w:bidi w:val="0"/>
        <w:adjustRightInd/>
        <w:snapToGrid/>
        <w:spacing w:after="200" w:line="560" w:lineRule="exact"/>
        <w:ind w:left="0" w:leftChars="0" w:right="0" w:rightChars="0" w:firstLine="640" w:firstLineChars="200"/>
        <w:jc w:val="left"/>
        <w:textAlignment w:val="auto"/>
        <w:outlineLvl w:val="9"/>
        <w:rPr>
          <w:rFonts w:ascii="楷体" w:hAnsi="楷体" w:eastAsia="楷体" w:cs="楷体"/>
          <w:b/>
          <w:bCs/>
          <w:sz w:val="32"/>
          <w:szCs w:val="32"/>
        </w:rPr>
      </w:pPr>
      <w:r>
        <w:rPr>
          <w:rFonts w:hint="eastAsia" w:ascii="仿宋_GB2312" w:hAnsi="仿宋_GB2312" w:eastAsia="仿宋_GB2312" w:cs="仿宋_GB2312"/>
          <w:color w:val="000000"/>
          <w:sz w:val="32"/>
          <w:szCs w:val="32"/>
        </w:rPr>
        <w:t>（2）社会效益：退役士兵群体稳定率95%，退役军人奉献社会参与率100%，退役军人抗击新冠病毒“做表率”</w:t>
      </w:r>
      <w:r>
        <w:rPr>
          <w:rFonts w:hint="eastAsia" w:ascii="仿宋_GB2312" w:hAnsi="仿宋_GB2312" w:eastAsia="仿宋_GB2312" w:cs="仿宋_GB2312"/>
          <w:color w:val="000000"/>
          <w:sz w:val="32"/>
          <w:szCs w:val="32"/>
          <w:lang w:eastAsia="zh-CN"/>
        </w:rPr>
        <w:t>。</w:t>
      </w:r>
      <w:r>
        <w:rPr>
          <w:rFonts w:hint="eastAsia" w:ascii="仿宋_GB2312" w:hAnsi="仿宋" w:eastAsia="仿宋_GB2312"/>
          <w:sz w:val="32"/>
          <w:szCs w:val="32"/>
        </w:rPr>
        <w:t>青云谱区退役军人党员志愿服务队为南昌市首家打造试点，与“新长征”志愿服务队精准整合，明确志愿服务领域、规范志愿服务运行、精心梳理服务项目、细化志愿服务队伍，全区共</w:t>
      </w:r>
      <w:r>
        <w:rPr>
          <w:rFonts w:hint="eastAsia" w:ascii="仿宋_GB2312" w:hAnsi="仿宋_GB2312" w:eastAsia="仿宋_GB2312" w:cs="仿宋_GB2312"/>
          <w:sz w:val="32"/>
          <w:szCs w:val="32"/>
        </w:rPr>
        <w:t>组建</w:t>
      </w:r>
      <w:r>
        <w:rPr>
          <w:rFonts w:hint="eastAsia" w:ascii="仿宋_GB2312" w:hAnsi="仿宋_GB2312" w:eastAsia="仿宋_GB2312" w:cs="仿宋_GB2312"/>
          <w:sz w:val="32"/>
          <w:szCs w:val="32"/>
          <w:lang w:eastAsia="zh-Hans"/>
        </w:rPr>
        <w:t>了</w:t>
      </w:r>
      <w:r>
        <w:rPr>
          <w:rFonts w:ascii="仿宋_GB2312" w:hAnsi="仿宋_GB2312" w:eastAsia="仿宋_GB2312" w:cs="仿宋_GB2312"/>
          <w:sz w:val="32"/>
          <w:szCs w:val="32"/>
        </w:rPr>
        <w:t>99</w:t>
      </w:r>
      <w:r>
        <w:rPr>
          <w:rFonts w:hint="eastAsia" w:ascii="仿宋_GB2312" w:hAnsi="仿宋_GB2312" w:eastAsia="仿宋_GB2312" w:cs="仿宋_GB2312"/>
          <w:sz w:val="32"/>
          <w:szCs w:val="32"/>
        </w:rPr>
        <w:t>支志愿服务队，开展志愿活动300多场次，一大批退役军人投身疫情防控、抗洪抢险、文明创建等一线工作中去，</w:t>
      </w:r>
      <w:r>
        <w:rPr>
          <w:rFonts w:hint="eastAsia" w:ascii="仿宋_GB2312" w:hAnsi="仿宋" w:eastAsia="仿宋_GB2312"/>
          <w:sz w:val="32"/>
          <w:szCs w:val="32"/>
        </w:rPr>
        <w:t>彰显“退伍不褪色，退役不退志”的风采。</w:t>
      </w:r>
    </w:p>
    <w:p>
      <w:pPr>
        <w:keepNext w:val="0"/>
        <w:keepLines w:val="0"/>
        <w:pageBreakBefore w:val="0"/>
        <w:widowControl w:val="0"/>
        <w:kinsoku/>
        <w:wordWrap/>
        <w:overflowPunct/>
        <w:topLinePunct w:val="0"/>
        <w:autoSpaceDE/>
        <w:autoSpaceDN/>
        <w:bidi w:val="0"/>
        <w:adjustRightInd/>
        <w:snapToGrid/>
        <w:spacing w:after="20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（3）可持续影响：拥军优属，拥政爱民工作可持续性100% 。抓好退役军人和“双拥”工作两支工作队伍建设，较好地为退役军人和现役军人及其家属服务。</w:t>
      </w:r>
    </w:p>
    <w:p>
      <w:pPr>
        <w:keepNext w:val="0"/>
        <w:keepLines w:val="0"/>
        <w:pageBreakBefore w:val="0"/>
        <w:widowControl w:val="0"/>
        <w:kinsoku/>
        <w:wordWrap/>
        <w:overflowPunct/>
        <w:topLinePunct w:val="0"/>
        <w:autoSpaceDE/>
        <w:autoSpaceDN/>
        <w:bidi w:val="0"/>
        <w:adjustRightInd/>
        <w:snapToGrid/>
        <w:spacing w:after="200" w:line="560" w:lineRule="exact"/>
        <w:ind w:left="0" w:leftChars="0" w:right="0" w:rightChars="0" w:firstLine="643" w:firstLineChars="200"/>
        <w:jc w:val="left"/>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（三）社会满意度及可持续性影响</w:t>
      </w:r>
    </w:p>
    <w:p>
      <w:pPr>
        <w:keepNext w:val="0"/>
        <w:keepLines w:val="0"/>
        <w:pageBreakBefore w:val="0"/>
        <w:widowControl w:val="0"/>
        <w:kinsoku/>
        <w:wordWrap/>
        <w:overflowPunct/>
        <w:topLinePunct w:val="0"/>
        <w:autoSpaceDE/>
        <w:autoSpaceDN/>
        <w:bidi w:val="0"/>
        <w:adjustRightInd/>
        <w:snapToGrid/>
        <w:spacing w:after="20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两参人员、双拥人员和退役军人对退役局的工作满意度高。</w:t>
      </w:r>
    </w:p>
    <w:p>
      <w:pPr>
        <w:keepNext w:val="0"/>
        <w:keepLines w:val="0"/>
        <w:pageBreakBefore w:val="0"/>
        <w:widowControl w:val="0"/>
        <w:kinsoku/>
        <w:wordWrap/>
        <w:overflowPunct/>
        <w:topLinePunct w:val="0"/>
        <w:autoSpaceDE/>
        <w:autoSpaceDN/>
        <w:bidi w:val="0"/>
        <w:adjustRightInd/>
        <w:snapToGrid/>
        <w:spacing w:after="200" w:line="560" w:lineRule="exact"/>
        <w:ind w:left="0" w:leftChars="0" w:right="0" w:rightChars="0"/>
        <w:jc w:val="left"/>
        <w:textAlignment w:val="auto"/>
        <w:outlineLvl w:val="9"/>
        <w:rPr>
          <w:rFonts w:hint="eastAsia" w:ascii="黑体" w:hAnsi="黑体" w:eastAsia="黑体" w:cs="黑体"/>
          <w:b/>
          <w:bCs/>
          <w:color w:val="000000"/>
          <w:sz w:val="32"/>
          <w:szCs w:val="32"/>
        </w:rPr>
      </w:pPr>
      <w:r>
        <w:rPr>
          <w:rFonts w:hint="eastAsia" w:ascii="黑体" w:hAnsi="黑体" w:eastAsia="黑体" w:cs="黑体"/>
          <w:b/>
          <w:bCs/>
          <w:color w:val="000000"/>
          <w:sz w:val="32"/>
          <w:szCs w:val="32"/>
        </w:rPr>
        <w:t>三、部门（单位）整体支出绩效中存在问题及改进措施</w:t>
      </w:r>
    </w:p>
    <w:p>
      <w:pPr>
        <w:keepNext w:val="0"/>
        <w:keepLines w:val="0"/>
        <w:pageBreakBefore w:val="0"/>
        <w:widowControl w:val="0"/>
        <w:kinsoku/>
        <w:wordWrap/>
        <w:overflowPunct/>
        <w:topLinePunct w:val="0"/>
        <w:autoSpaceDE/>
        <w:autoSpaceDN/>
        <w:bidi w:val="0"/>
        <w:adjustRightInd/>
        <w:snapToGrid/>
        <w:spacing w:after="200" w:line="560" w:lineRule="exact"/>
        <w:ind w:left="0" w:leftChars="0" w:right="0" w:rightChars="0" w:firstLine="643" w:firstLineChars="200"/>
        <w:jc w:val="left"/>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（一）存在的问题</w:t>
      </w:r>
    </w:p>
    <w:p>
      <w:pPr>
        <w:keepNext w:val="0"/>
        <w:keepLines w:val="0"/>
        <w:pageBreakBefore w:val="0"/>
        <w:widowControl w:val="0"/>
        <w:kinsoku/>
        <w:wordWrap/>
        <w:overflowPunct/>
        <w:topLinePunct w:val="0"/>
        <w:autoSpaceDE/>
        <w:autoSpaceDN/>
        <w:bidi w:val="0"/>
        <w:adjustRightInd/>
        <w:snapToGrid/>
        <w:spacing w:after="20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基层服务站基础不够扎实,队伍不稳定。街道、社区两级退役军人服务站经常换人，由于新的工作人员能力参差不齐，导致基层退役军人服务站的整体水平不均，且客观影响了工作效率。</w:t>
      </w:r>
    </w:p>
    <w:p>
      <w:pPr>
        <w:keepNext w:val="0"/>
        <w:keepLines w:val="0"/>
        <w:pageBreakBefore w:val="0"/>
        <w:widowControl w:val="0"/>
        <w:kinsoku/>
        <w:wordWrap/>
        <w:overflowPunct/>
        <w:topLinePunct w:val="0"/>
        <w:autoSpaceDE/>
        <w:autoSpaceDN/>
        <w:bidi w:val="0"/>
        <w:adjustRightInd/>
        <w:snapToGrid/>
        <w:spacing w:after="200" w:line="560" w:lineRule="exact"/>
        <w:ind w:left="0" w:leftChars="0" w:right="0" w:rightChars="0" w:firstLine="643" w:firstLineChars="200"/>
        <w:jc w:val="left"/>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lang w:val="en-US" w:eastAsia="zh-CN"/>
        </w:rPr>
        <w:t>二</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rPr>
        <w:t>改进措施和有关建议</w:t>
      </w:r>
    </w:p>
    <w:p>
      <w:pPr>
        <w:keepNext w:val="0"/>
        <w:keepLines w:val="0"/>
        <w:pageBreakBefore w:val="0"/>
        <w:widowControl w:val="0"/>
        <w:kinsoku/>
        <w:wordWrap/>
        <w:overflowPunct/>
        <w:topLinePunct w:val="0"/>
        <w:autoSpaceDE/>
        <w:autoSpaceDN/>
        <w:bidi w:val="0"/>
        <w:adjustRightInd/>
        <w:snapToGrid/>
        <w:spacing w:after="20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认真做好预算的编制，细化预算编制工作，优先保障固定性的相对刚性的费用支出项目。</w:t>
      </w:r>
    </w:p>
    <w:p>
      <w:pPr>
        <w:keepNext w:val="0"/>
        <w:keepLines w:val="0"/>
        <w:pageBreakBefore w:val="0"/>
        <w:widowControl w:val="0"/>
        <w:kinsoku/>
        <w:wordWrap/>
        <w:overflowPunct/>
        <w:topLinePunct w:val="0"/>
        <w:autoSpaceDE/>
        <w:autoSpaceDN/>
        <w:bidi w:val="0"/>
        <w:adjustRightInd/>
        <w:snapToGrid/>
        <w:spacing w:after="20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在今后工作中，进一步提高工作效率，把有限的资金用在刀忍上，为全区经济和社会事业发展更好地服好务。</w:t>
      </w:r>
    </w:p>
    <w:p>
      <w:pPr>
        <w:keepNext w:val="0"/>
        <w:keepLines w:val="0"/>
        <w:pageBreakBefore w:val="0"/>
        <w:widowControl w:val="0"/>
        <w:kinsoku/>
        <w:wordWrap/>
        <w:overflowPunct/>
        <w:topLinePunct w:val="0"/>
        <w:autoSpaceDE/>
        <w:autoSpaceDN/>
        <w:bidi w:val="0"/>
        <w:adjustRightInd/>
        <w:snapToGrid/>
        <w:spacing w:after="20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提高预算编制的科学性、合理性。根据部门下年度重点工作安排提前研究预算编制工作，在申报新增项目时与财政等部门沟通汇报，争取按政策和程序列入年度预算安排，提升部门预算编制的前瞻性、科学性，提高预算的执行力和约束力。</w:t>
      </w:r>
    </w:p>
    <w:p>
      <w:pPr>
        <w:keepNext w:val="0"/>
        <w:keepLines w:val="0"/>
        <w:pageBreakBefore w:val="0"/>
        <w:widowControl w:val="0"/>
        <w:kinsoku/>
        <w:wordWrap/>
        <w:overflowPunct/>
        <w:topLinePunct w:val="0"/>
        <w:autoSpaceDE/>
        <w:autoSpaceDN/>
        <w:bidi w:val="0"/>
        <w:adjustRightInd/>
        <w:snapToGrid/>
        <w:spacing w:after="200" w:line="560" w:lineRule="exact"/>
        <w:ind w:left="0" w:leftChars="0" w:right="0" w:rightChars="0"/>
        <w:jc w:val="left"/>
        <w:textAlignment w:val="auto"/>
        <w:outlineLvl w:val="9"/>
        <w:rPr>
          <w:rFonts w:hint="eastAsia" w:ascii="黑体" w:hAnsi="黑体" w:eastAsia="黑体" w:cs="黑体"/>
          <w:b/>
          <w:bCs/>
          <w:color w:val="000000"/>
          <w:sz w:val="32"/>
          <w:szCs w:val="32"/>
        </w:rPr>
      </w:pPr>
      <w:r>
        <w:rPr>
          <w:rFonts w:hint="eastAsia" w:ascii="黑体" w:hAnsi="黑体" w:eastAsia="黑体" w:cs="黑体"/>
          <w:b/>
          <w:bCs/>
          <w:color w:val="000000"/>
          <w:sz w:val="32"/>
          <w:szCs w:val="32"/>
        </w:rPr>
        <w:t>四、绩效自评结果拟应用和公开情况</w:t>
      </w:r>
    </w:p>
    <w:p>
      <w:pPr>
        <w:keepNext w:val="0"/>
        <w:keepLines w:val="0"/>
        <w:pageBreakBefore w:val="0"/>
        <w:widowControl w:val="0"/>
        <w:kinsoku/>
        <w:wordWrap/>
        <w:overflowPunct/>
        <w:topLinePunct w:val="0"/>
        <w:autoSpaceDE/>
        <w:autoSpaceDN/>
        <w:bidi w:val="0"/>
        <w:adjustRightInd/>
        <w:snapToGrid/>
        <w:spacing w:after="200" w:line="560" w:lineRule="exact"/>
        <w:ind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绩效自评结果列入部门人员绩效考核标准，将按照财政规定公开。</w:t>
      </w:r>
    </w:p>
    <w:sectPr>
      <w:footerReference r:id="rId6" w:type="default"/>
      <w:footerReference r:id="rId7" w:type="even"/>
      <w:pgSz w:w="11850" w:h="16783"/>
      <w:pgMar w:top="1701" w:right="1417" w:bottom="1417" w:left="1417" w:header="0" w:footer="0"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5121" o:spid="_x0000_s5121" o:spt="202" type="#_x0000_t202" style="position:absolute;left:0pt;margin-left:467.3pt;margin-top:779.2pt;height:15.3pt;width:44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10"/>
                  <w:ind w:left="20"/>
                  <w:rPr>
                    <w:rFonts w:ascii="Times New Roman" w:hAnsi="Times New Roman"/>
                    <w:sz w:val="24"/>
                  </w:rPr>
                </w:pPr>
                <w:r>
                  <w:rPr>
                    <w:rFonts w:ascii="Times New Roman" w:hAnsi="Times New Roman"/>
                    <w:sz w:val="24"/>
                  </w:rPr>
                  <w:t xml:space="preserve">— </w:t>
                </w:r>
                <w:r>
                  <w:fldChar w:fldCharType="begin"/>
                </w:r>
                <w:r>
                  <w:rPr>
                    <w:rFonts w:ascii="Times New Roman" w:hAnsi="Times New Roman"/>
                    <w:sz w:val="24"/>
                  </w:rPr>
                  <w:instrText xml:space="preserve"> PAGE </w:instrText>
                </w:r>
                <w:r>
                  <w:fldChar w:fldCharType="separate"/>
                </w:r>
                <w:r>
                  <w:rPr>
                    <w:rFonts w:ascii="Times New Roman" w:hAnsi="Times New Roman"/>
                    <w:sz w:val="24"/>
                  </w:rPr>
                  <w:t>18</w:t>
                </w:r>
                <w:r>
                  <w:fldChar w:fldCharType="end"/>
                </w:r>
                <w:r>
                  <w:rPr>
                    <w:rFonts w:ascii="Times New Roman" w:hAnsi="Times New Roman"/>
                    <w:sz w:val="24"/>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5123" o:spid="_x0000_s5123" o:spt="202" type="#_x0000_t202" style="position:absolute;left:0pt;margin-left:467.3pt;margin-top:779.2pt;height:15.3pt;width:44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10"/>
                  <w:ind w:left="20"/>
                  <w:rPr>
                    <w:rFonts w:ascii="Times New Roman" w:hAnsi="Times New Roman"/>
                    <w:sz w:val="24"/>
                  </w:rPr>
                </w:pPr>
                <w:r>
                  <w:rPr>
                    <w:rFonts w:ascii="Times New Roman" w:hAnsi="Times New Roman"/>
                    <w:sz w:val="24"/>
                  </w:rPr>
                  <w:t xml:space="preserve">— </w:t>
                </w:r>
                <w:r>
                  <w:fldChar w:fldCharType="begin"/>
                </w:r>
                <w:r>
                  <w:rPr>
                    <w:rFonts w:ascii="Times New Roman" w:hAnsi="Times New Roman"/>
                    <w:sz w:val="24"/>
                  </w:rPr>
                  <w:instrText xml:space="preserve"> PAGE </w:instrText>
                </w:r>
                <w:r>
                  <w:fldChar w:fldCharType="separate"/>
                </w:r>
                <w:r>
                  <w:rPr>
                    <w:rFonts w:ascii="Times New Roman" w:hAnsi="Times New Roman"/>
                    <w:sz w:val="24"/>
                  </w:rPr>
                  <w:t>20</w:t>
                </w:r>
                <w:r>
                  <w:fldChar w:fldCharType="end"/>
                </w:r>
                <w:r>
                  <w:rPr>
                    <w:rFonts w:ascii="Times New Roman" w:hAnsi="Times New Roman"/>
                    <w:sz w:val="24"/>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7A29D6"/>
    <w:multiLevelType w:val="singleLevel"/>
    <w:tmpl w:val="627A29D6"/>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5"/>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mE5OWJiNWE5YzMyNDQyZDg2OTJiMzQ1ODFhODQ3ZTUifQ=="/>
  </w:docVars>
  <w:rsids>
    <w:rsidRoot w:val="00D31D50"/>
    <w:rsid w:val="00021171"/>
    <w:rsid w:val="00251412"/>
    <w:rsid w:val="00323B43"/>
    <w:rsid w:val="003738F1"/>
    <w:rsid w:val="003D37D8"/>
    <w:rsid w:val="00425B56"/>
    <w:rsid w:val="00426133"/>
    <w:rsid w:val="004358AB"/>
    <w:rsid w:val="005E3E79"/>
    <w:rsid w:val="008B7726"/>
    <w:rsid w:val="00991CA5"/>
    <w:rsid w:val="00A02761"/>
    <w:rsid w:val="00BD0F41"/>
    <w:rsid w:val="00BE2874"/>
    <w:rsid w:val="00D31D50"/>
    <w:rsid w:val="00DC6825"/>
    <w:rsid w:val="00DE428A"/>
    <w:rsid w:val="00DF1BA6"/>
    <w:rsid w:val="00E80D9E"/>
    <w:rsid w:val="011A5209"/>
    <w:rsid w:val="01240C4B"/>
    <w:rsid w:val="024655BD"/>
    <w:rsid w:val="033C5415"/>
    <w:rsid w:val="03BB1CA3"/>
    <w:rsid w:val="078A4856"/>
    <w:rsid w:val="09544990"/>
    <w:rsid w:val="095A364F"/>
    <w:rsid w:val="0A363A0D"/>
    <w:rsid w:val="10384F69"/>
    <w:rsid w:val="105F1A0E"/>
    <w:rsid w:val="10DE23CA"/>
    <w:rsid w:val="15EF6BAD"/>
    <w:rsid w:val="19D210C7"/>
    <w:rsid w:val="1B425E5C"/>
    <w:rsid w:val="1DDC45DC"/>
    <w:rsid w:val="1FF62E4C"/>
    <w:rsid w:val="22BE72F7"/>
    <w:rsid w:val="23685584"/>
    <w:rsid w:val="23D06BF7"/>
    <w:rsid w:val="25D16BAB"/>
    <w:rsid w:val="29DE55C8"/>
    <w:rsid w:val="2B735B62"/>
    <w:rsid w:val="2EAA36D4"/>
    <w:rsid w:val="2F793A6D"/>
    <w:rsid w:val="2FE7338B"/>
    <w:rsid w:val="30EE5707"/>
    <w:rsid w:val="33C630FC"/>
    <w:rsid w:val="358C524C"/>
    <w:rsid w:val="380E6878"/>
    <w:rsid w:val="390716C9"/>
    <w:rsid w:val="39310BBD"/>
    <w:rsid w:val="3B154312"/>
    <w:rsid w:val="3DD20AB4"/>
    <w:rsid w:val="41C153D9"/>
    <w:rsid w:val="483B64A9"/>
    <w:rsid w:val="4B687853"/>
    <w:rsid w:val="4CE35584"/>
    <w:rsid w:val="525C147A"/>
    <w:rsid w:val="553C0627"/>
    <w:rsid w:val="591434AF"/>
    <w:rsid w:val="59B8119A"/>
    <w:rsid w:val="5A256AE6"/>
    <w:rsid w:val="5A7339B5"/>
    <w:rsid w:val="5B787EC1"/>
    <w:rsid w:val="5BBF59AD"/>
    <w:rsid w:val="60135474"/>
    <w:rsid w:val="61532889"/>
    <w:rsid w:val="62AB61B1"/>
    <w:rsid w:val="62ED0A06"/>
    <w:rsid w:val="642D71AC"/>
    <w:rsid w:val="64356B1D"/>
    <w:rsid w:val="64FF7505"/>
    <w:rsid w:val="6BF45887"/>
    <w:rsid w:val="6C443EFA"/>
    <w:rsid w:val="6CA517A7"/>
    <w:rsid w:val="6DA95339"/>
    <w:rsid w:val="6E4B5EF5"/>
    <w:rsid w:val="701B790D"/>
    <w:rsid w:val="71251B24"/>
    <w:rsid w:val="76332F7F"/>
    <w:rsid w:val="78CE4F69"/>
    <w:rsid w:val="79973A09"/>
    <w:rsid w:val="7A7810DF"/>
    <w:rsid w:val="7BC33B14"/>
    <w:rsid w:val="7BF42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Body Text"/>
    <w:basedOn w:val="1"/>
    <w:link w:val="12"/>
    <w:qFormat/>
    <w:uiPriority w:val="1"/>
    <w:pPr>
      <w:widowControl w:val="0"/>
      <w:autoSpaceDE w:val="0"/>
      <w:autoSpaceDN w:val="0"/>
      <w:adjustRightInd/>
      <w:snapToGrid/>
      <w:spacing w:after="0"/>
    </w:pPr>
    <w:rPr>
      <w:rFonts w:ascii="宋体" w:hAnsi="宋体" w:eastAsia="宋体" w:cs="宋体"/>
      <w:sz w:val="32"/>
      <w:szCs w:val="32"/>
      <w:lang w:val="zh-CN" w:bidi="zh-CN"/>
    </w:rPr>
  </w:style>
  <w:style w:type="paragraph" w:styleId="4">
    <w:name w:val="Balloon Text"/>
    <w:basedOn w:val="1"/>
    <w:link w:val="17"/>
    <w:unhideWhenUsed/>
    <w:qFormat/>
    <w:uiPriority w:val="99"/>
    <w:pPr>
      <w:widowControl w:val="0"/>
      <w:autoSpaceDE w:val="0"/>
      <w:autoSpaceDN w:val="0"/>
      <w:adjustRightInd/>
      <w:snapToGrid/>
      <w:spacing w:after="0"/>
    </w:pPr>
    <w:rPr>
      <w:rFonts w:ascii="宋体" w:hAnsi="宋体" w:eastAsia="宋体" w:cs="宋体"/>
      <w:sz w:val="18"/>
      <w:szCs w:val="18"/>
      <w:lang w:val="zh-CN" w:bidi="zh-CN"/>
    </w:rPr>
  </w:style>
  <w:style w:type="paragraph" w:styleId="5">
    <w:name w:val="footer"/>
    <w:basedOn w:val="1"/>
    <w:link w:val="10"/>
    <w:unhideWhenUsed/>
    <w:qFormat/>
    <w:uiPriority w:val="99"/>
    <w:pPr>
      <w:tabs>
        <w:tab w:val="center" w:pos="4153"/>
        <w:tab w:val="right" w:pos="8306"/>
      </w:tabs>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jc w:val="center"/>
    </w:pPr>
    <w:rPr>
      <w:sz w:val="18"/>
      <w:szCs w:val="18"/>
    </w:rPr>
  </w:style>
  <w:style w:type="character" w:customStyle="1" w:styleId="9">
    <w:name w:val="页眉 Char"/>
    <w:basedOn w:val="8"/>
    <w:link w:val="6"/>
    <w:semiHidden/>
    <w:qFormat/>
    <w:uiPriority w:val="99"/>
    <w:rPr>
      <w:rFonts w:ascii="Tahoma" w:hAnsi="Tahoma"/>
      <w:sz w:val="18"/>
      <w:szCs w:val="18"/>
    </w:rPr>
  </w:style>
  <w:style w:type="character" w:customStyle="1" w:styleId="10">
    <w:name w:val="页脚 Char"/>
    <w:basedOn w:val="8"/>
    <w:link w:val="5"/>
    <w:semiHidden/>
    <w:uiPriority w:val="99"/>
    <w:rPr>
      <w:rFonts w:ascii="Tahoma" w:hAnsi="Tahoma"/>
      <w:sz w:val="18"/>
      <w:szCs w:val="18"/>
    </w:rPr>
  </w:style>
  <w:style w:type="table" w:customStyle="1" w:styleId="11">
    <w:name w:val="Table Normal"/>
    <w:unhideWhenUsed/>
    <w:qFormat/>
    <w:uiPriority w:val="2"/>
    <w:pPr>
      <w:widowControl w:val="0"/>
      <w:autoSpaceDE w:val="0"/>
      <w:autoSpaceDN w:val="0"/>
      <w:spacing w:after="0" w:line="240" w:lineRule="auto"/>
    </w:pPr>
    <w:rPr>
      <w:rFonts w:eastAsiaTheme="minorEastAsia"/>
      <w:lang w:eastAsia="en-US"/>
    </w:rPr>
    <w:tblPr>
      <w:tblCellMar>
        <w:top w:w="0" w:type="dxa"/>
        <w:left w:w="0" w:type="dxa"/>
        <w:bottom w:w="0" w:type="dxa"/>
        <w:right w:w="0" w:type="dxa"/>
      </w:tblCellMar>
    </w:tblPr>
  </w:style>
  <w:style w:type="character" w:customStyle="1" w:styleId="12">
    <w:name w:val="正文文本 Char"/>
    <w:basedOn w:val="8"/>
    <w:link w:val="3"/>
    <w:uiPriority w:val="1"/>
    <w:rPr>
      <w:rFonts w:ascii="宋体" w:hAnsi="宋体" w:eastAsia="宋体" w:cs="宋体"/>
      <w:sz w:val="32"/>
      <w:szCs w:val="32"/>
      <w:lang w:val="zh-CN" w:bidi="zh-CN"/>
    </w:rPr>
  </w:style>
  <w:style w:type="paragraph" w:customStyle="1" w:styleId="13">
    <w:name w:val="Heading 1"/>
    <w:basedOn w:val="1"/>
    <w:qFormat/>
    <w:uiPriority w:val="1"/>
    <w:pPr>
      <w:widowControl w:val="0"/>
      <w:autoSpaceDE w:val="0"/>
      <w:autoSpaceDN w:val="0"/>
      <w:adjustRightInd/>
      <w:snapToGrid/>
      <w:spacing w:after="0"/>
      <w:ind w:right="1484"/>
      <w:jc w:val="center"/>
      <w:outlineLvl w:val="1"/>
    </w:pPr>
    <w:rPr>
      <w:rFonts w:ascii="宋体" w:hAnsi="宋体" w:eastAsia="宋体" w:cs="宋体"/>
      <w:sz w:val="44"/>
      <w:szCs w:val="44"/>
      <w:lang w:val="zh-CN" w:bidi="zh-CN"/>
    </w:rPr>
  </w:style>
  <w:style w:type="paragraph" w:customStyle="1" w:styleId="14">
    <w:name w:val="Heading 2"/>
    <w:basedOn w:val="1"/>
    <w:qFormat/>
    <w:uiPriority w:val="1"/>
    <w:pPr>
      <w:widowControl w:val="0"/>
      <w:autoSpaceDE w:val="0"/>
      <w:autoSpaceDN w:val="0"/>
      <w:adjustRightInd/>
      <w:snapToGrid/>
      <w:spacing w:after="0"/>
      <w:ind w:left="1476"/>
      <w:outlineLvl w:val="2"/>
    </w:pPr>
    <w:rPr>
      <w:rFonts w:ascii="Microsoft JhengHei" w:hAnsi="Microsoft JhengHei" w:eastAsia="Microsoft JhengHei" w:cs="Microsoft JhengHei"/>
      <w:b/>
      <w:bCs/>
      <w:sz w:val="32"/>
      <w:szCs w:val="32"/>
      <w:lang w:val="zh-CN" w:bidi="zh-CN"/>
    </w:rPr>
  </w:style>
  <w:style w:type="paragraph" w:customStyle="1" w:styleId="15">
    <w:name w:val="List Paragraph"/>
    <w:basedOn w:val="1"/>
    <w:qFormat/>
    <w:uiPriority w:val="1"/>
    <w:pPr>
      <w:widowControl w:val="0"/>
      <w:autoSpaceDE w:val="0"/>
      <w:autoSpaceDN w:val="0"/>
      <w:adjustRightInd/>
      <w:snapToGrid/>
      <w:spacing w:after="0"/>
      <w:ind w:left="2132" w:hanging="482"/>
    </w:pPr>
    <w:rPr>
      <w:rFonts w:ascii="宋体" w:hAnsi="宋体" w:eastAsia="宋体" w:cs="宋体"/>
      <w:lang w:val="zh-CN" w:bidi="zh-CN"/>
    </w:rPr>
  </w:style>
  <w:style w:type="paragraph" w:customStyle="1" w:styleId="16">
    <w:name w:val="Table Paragraph"/>
    <w:basedOn w:val="1"/>
    <w:qFormat/>
    <w:uiPriority w:val="1"/>
    <w:pPr>
      <w:widowControl w:val="0"/>
      <w:autoSpaceDE w:val="0"/>
      <w:autoSpaceDN w:val="0"/>
      <w:adjustRightInd/>
      <w:snapToGrid/>
      <w:spacing w:after="0"/>
    </w:pPr>
    <w:rPr>
      <w:rFonts w:ascii="宋体" w:hAnsi="宋体" w:eastAsia="宋体" w:cs="宋体"/>
      <w:lang w:val="zh-CN" w:bidi="zh-CN"/>
    </w:rPr>
  </w:style>
  <w:style w:type="character" w:customStyle="1" w:styleId="17">
    <w:name w:val="批注框文本 Char"/>
    <w:basedOn w:val="8"/>
    <w:link w:val="4"/>
    <w:semiHidden/>
    <w:qFormat/>
    <w:uiPriority w:val="99"/>
    <w:rPr>
      <w:rFonts w:ascii="宋体" w:hAnsi="宋体" w:eastAsia="宋体" w:cs="宋体"/>
      <w:sz w:val="18"/>
      <w:szCs w:val="18"/>
      <w:lang w:val="zh-CN" w:bidi="zh-CN"/>
    </w:rPr>
  </w:style>
  <w:style w:type="character" w:customStyle="1" w:styleId="18">
    <w:name w:val="font0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5121"/>
    <customShpInfo spid="_x0000_s512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7747</Words>
  <Characters>8158</Characters>
  <Lines>53</Lines>
  <Paragraphs>15</Paragraphs>
  <TotalTime>1</TotalTime>
  <ScaleCrop>false</ScaleCrop>
  <LinksUpToDate>false</LinksUpToDate>
  <CharactersWithSpaces>8218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48610</dc:creator>
  <cp:lastModifiedBy>Administrator</cp:lastModifiedBy>
  <dcterms:modified xsi:type="dcterms:W3CDTF">2022-10-21T07:47:00Z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B03116F28AFD4A9AA78F909599F0683B</vt:lpwstr>
  </property>
</Properties>
</file>