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sz w:val="44"/>
          <w:szCs w:val="36"/>
        </w:rPr>
      </w:pPr>
      <w:r>
        <w:rPr>
          <w:rFonts w:hint="eastAsia" w:ascii="黑体" w:hAnsi="黑体" w:eastAsia="黑体"/>
          <w:sz w:val="32"/>
          <w:szCs w:val="36"/>
        </w:rPr>
        <w:t>附件1：</w:t>
      </w:r>
    </w:p>
    <w:p>
      <w:pPr>
        <w:spacing w:line="600" w:lineRule="exact"/>
        <w:jc w:val="center"/>
        <w:rPr>
          <w:rFonts w:hint="eastAsia" w:ascii="黑体" w:hAnsi="黑体" w:eastAsia="黑体"/>
          <w:sz w:val="44"/>
          <w:szCs w:val="36"/>
        </w:rPr>
      </w:pPr>
    </w:p>
    <w:p>
      <w:pPr>
        <w:spacing w:line="600" w:lineRule="exact"/>
        <w:jc w:val="center"/>
        <w:rPr>
          <w:rFonts w:hint="eastAsia" w:ascii="黑体" w:hAnsi="黑体" w:eastAsia="黑体"/>
          <w:sz w:val="44"/>
          <w:szCs w:val="36"/>
        </w:rPr>
      </w:pPr>
      <w:r>
        <w:rPr>
          <w:rFonts w:hint="eastAsia" w:ascii="黑体" w:hAnsi="黑体" w:eastAsia="黑体"/>
          <w:sz w:val="44"/>
          <w:szCs w:val="36"/>
        </w:rPr>
        <w:t>南昌市青云谱区医疗保险事业管理局</w:t>
      </w:r>
    </w:p>
    <w:p>
      <w:pPr>
        <w:spacing w:line="600" w:lineRule="exact"/>
        <w:jc w:val="center"/>
        <w:rPr>
          <w:rFonts w:hint="eastAsia" w:ascii="黑体" w:eastAsia="黑体"/>
          <w:sz w:val="44"/>
          <w:szCs w:val="36"/>
        </w:rPr>
      </w:pPr>
      <w:r>
        <w:rPr>
          <w:rFonts w:hint="eastAsia" w:ascii="黑体" w:eastAsia="黑体"/>
          <w:sz w:val="44"/>
          <w:szCs w:val="36"/>
        </w:rPr>
        <w:t>2019年度部门决算</w:t>
      </w:r>
    </w:p>
    <w:p>
      <w:pPr>
        <w:spacing w:line="600" w:lineRule="exact"/>
        <w:jc w:val="center"/>
        <w:rPr>
          <w:rFonts w:hint="eastAsia" w:ascii="黑体" w:eastAsia="黑体"/>
          <w:sz w:val="44"/>
          <w:szCs w:val="36"/>
        </w:rPr>
      </w:pPr>
    </w:p>
    <w:p>
      <w:pPr>
        <w:spacing w:line="600" w:lineRule="exact"/>
        <w:jc w:val="center"/>
        <w:rPr>
          <w:rFonts w:hint="eastAsia" w:ascii="黑体" w:eastAsia="黑体"/>
          <w:sz w:val="40"/>
          <w:szCs w:val="36"/>
        </w:rPr>
      </w:pPr>
      <w:r>
        <w:rPr>
          <w:rFonts w:hint="eastAsia" w:ascii="黑体" w:eastAsia="黑体"/>
          <w:sz w:val="40"/>
          <w:szCs w:val="36"/>
        </w:rPr>
        <w:t>目    录</w:t>
      </w:r>
    </w:p>
    <w:p>
      <w:pPr>
        <w:widowControl/>
        <w:spacing w:line="600" w:lineRule="exact"/>
        <w:ind w:firstLine="640"/>
        <w:jc w:val="left"/>
        <w:rPr>
          <w:rFonts w:hint="eastAsia" w:ascii="仿宋_GB2312" w:eastAsia="仿宋_GB2312"/>
          <w:sz w:val="32"/>
          <w:szCs w:val="30"/>
        </w:rPr>
      </w:pPr>
    </w:p>
    <w:p>
      <w:pPr>
        <w:widowControl/>
        <w:spacing w:line="600" w:lineRule="exact"/>
        <w:ind w:firstLine="640"/>
        <w:jc w:val="left"/>
        <w:rPr>
          <w:rFonts w:hint="eastAsia" w:ascii="黑体" w:hAnsi="黑体" w:eastAsia="黑体"/>
          <w:b/>
          <w:sz w:val="32"/>
          <w:szCs w:val="32"/>
        </w:rPr>
      </w:pPr>
      <w:r>
        <w:rPr>
          <w:rFonts w:hint="eastAsia" w:ascii="黑体" w:hAnsi="黑体" w:eastAsia="黑体"/>
          <w:b/>
          <w:sz w:val="32"/>
          <w:szCs w:val="32"/>
        </w:rPr>
        <w:t xml:space="preserve">第一部分  </w:t>
      </w:r>
      <w:r>
        <w:rPr>
          <w:rFonts w:hint="eastAsia" w:ascii="黑体" w:hAnsi="黑体" w:eastAsia="黑体"/>
          <w:sz w:val="32"/>
          <w:szCs w:val="32"/>
        </w:rPr>
        <w:t>部门</w:t>
      </w:r>
      <w:r>
        <w:rPr>
          <w:rFonts w:hint="eastAsia" w:ascii="黑体" w:hAnsi="黑体" w:eastAsia="黑体"/>
          <w:b/>
          <w:sz w:val="32"/>
          <w:szCs w:val="32"/>
        </w:rPr>
        <w:t>概况</w:t>
      </w:r>
    </w:p>
    <w:p>
      <w:pPr>
        <w:widowControl/>
        <w:spacing w:line="600" w:lineRule="exact"/>
        <w:ind w:firstLine="640"/>
        <w:jc w:val="left"/>
        <w:rPr>
          <w:rFonts w:hint="eastAsia" w:ascii="仿宋" w:hAnsi="仿宋" w:eastAsia="仿宋"/>
          <w:sz w:val="32"/>
          <w:szCs w:val="30"/>
        </w:rPr>
      </w:pPr>
      <w:r>
        <w:rPr>
          <w:rFonts w:hint="eastAsia" w:ascii="仿宋_GB2312" w:eastAsia="仿宋_GB2312"/>
          <w:b/>
          <w:sz w:val="32"/>
          <w:szCs w:val="30"/>
        </w:rPr>
        <w:t xml:space="preserve">    </w:t>
      </w:r>
      <w:r>
        <w:rPr>
          <w:rFonts w:hint="eastAsia" w:ascii="仿宋" w:hAnsi="仿宋" w:eastAsia="仿宋"/>
          <w:sz w:val="32"/>
          <w:szCs w:val="30"/>
        </w:rPr>
        <w:t>一、部门主要职责</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二、部门基本情况</w:t>
      </w:r>
    </w:p>
    <w:p>
      <w:pPr>
        <w:widowControl/>
        <w:spacing w:line="600" w:lineRule="exact"/>
        <w:ind w:firstLine="640"/>
        <w:jc w:val="left"/>
        <w:rPr>
          <w:rFonts w:hint="eastAsia" w:ascii="黑体" w:hAnsi="黑体" w:eastAsia="黑体"/>
          <w:sz w:val="32"/>
          <w:szCs w:val="32"/>
        </w:rPr>
      </w:pPr>
      <w:r>
        <w:rPr>
          <w:rFonts w:hint="eastAsia" w:ascii="黑体" w:hAnsi="黑体" w:eastAsia="黑体"/>
          <w:sz w:val="32"/>
          <w:szCs w:val="32"/>
        </w:rPr>
        <w:t>第二部分  2019年度部门决算表</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一、收入支出决算总表</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二、收入决算表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三、支出决算表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四、财政拨款收入支出决算总表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五、一般公共预算财政拨款支出决算表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六、一般公共预算财政拨款基本支出决算表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七、一般公共预算财政拨款“三公”经费支出决算</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八、政府性基金预算财政拨款收入支出决算表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九、国有资产占用情况表</w:t>
      </w:r>
    </w:p>
    <w:p>
      <w:pPr>
        <w:widowControl/>
        <w:spacing w:line="600" w:lineRule="exact"/>
        <w:jc w:val="left"/>
        <w:rPr>
          <w:rFonts w:hint="eastAsia" w:ascii="黑体" w:hAnsi="黑体" w:eastAsia="黑体"/>
          <w:sz w:val="32"/>
          <w:szCs w:val="32"/>
        </w:rPr>
      </w:pPr>
      <w:r>
        <w:rPr>
          <w:rFonts w:hint="eastAsia" w:ascii="仿宋" w:hAnsi="仿宋" w:eastAsia="仿宋" w:cs="宋体"/>
          <w:kern w:val="0"/>
          <w:sz w:val="32"/>
          <w:szCs w:val="32"/>
        </w:rPr>
        <w:t xml:space="preserve">    </w:t>
      </w:r>
      <w:r>
        <w:rPr>
          <w:rFonts w:hint="eastAsia" w:ascii="黑体" w:hAnsi="黑体" w:eastAsia="黑体"/>
          <w:sz w:val="32"/>
          <w:szCs w:val="32"/>
        </w:rPr>
        <w:t>第三部分  2019年度部门决算情况说明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一、收入决算情况说明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二、支出决算情况说明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三、财政拨款支出决算情况说明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四、一般公共预算财政拨款基本支出决算情况说明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五、一般公共预算财政拨款“三公”经费支出决算</w:t>
      </w:r>
    </w:p>
    <w:p>
      <w:pPr>
        <w:widowControl/>
        <w:spacing w:line="600" w:lineRule="exact"/>
        <w:jc w:val="left"/>
        <w:rPr>
          <w:rFonts w:hint="eastAsia" w:ascii="仿宋" w:hAnsi="仿宋" w:eastAsia="仿宋"/>
          <w:sz w:val="32"/>
          <w:szCs w:val="30"/>
        </w:rPr>
      </w:pPr>
      <w:r>
        <w:rPr>
          <w:rFonts w:hint="eastAsia" w:ascii="仿宋" w:hAnsi="仿宋" w:eastAsia="仿宋"/>
          <w:sz w:val="32"/>
          <w:szCs w:val="30"/>
        </w:rPr>
        <w:t xml:space="preserve">    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六、机关运行经费支出情况说明</w:t>
      </w:r>
    </w:p>
    <w:p>
      <w:pPr>
        <w:widowControl/>
        <w:spacing w:line="600" w:lineRule="exact"/>
        <w:ind w:firstLine="640"/>
        <w:jc w:val="left"/>
        <w:rPr>
          <w:rFonts w:hint="eastAsia" w:ascii="仿宋" w:hAnsi="仿宋" w:eastAsia="仿宋"/>
          <w:sz w:val="32"/>
          <w:szCs w:val="30"/>
        </w:rPr>
      </w:pPr>
      <w:r>
        <w:rPr>
          <w:rFonts w:hint="eastAsia" w:ascii="仿宋" w:hAnsi="仿宋" w:eastAsia="仿宋"/>
          <w:sz w:val="32"/>
          <w:szCs w:val="30"/>
        </w:rPr>
        <w:t xml:space="preserve">    七、政府采购支出情况说明</w:t>
      </w:r>
    </w:p>
    <w:p>
      <w:pPr>
        <w:widowControl/>
        <w:spacing w:line="600" w:lineRule="exact"/>
        <w:ind w:firstLine="640"/>
        <w:jc w:val="left"/>
        <w:rPr>
          <w:rFonts w:hint="eastAsia" w:ascii="仿宋" w:hAnsi="仿宋" w:eastAsia="仿宋"/>
          <w:sz w:val="32"/>
          <w:szCs w:val="30"/>
        </w:rPr>
      </w:pPr>
      <w:r>
        <w:rPr>
          <w:rFonts w:hint="eastAsia" w:ascii="仿宋" w:hAnsi="仿宋" w:eastAsia="仿宋"/>
          <w:sz w:val="32"/>
          <w:szCs w:val="30"/>
        </w:rPr>
        <w:t xml:space="preserve">    八、国有资产占用情况说明</w:t>
      </w:r>
    </w:p>
    <w:p>
      <w:pPr>
        <w:widowControl/>
        <w:spacing w:line="600" w:lineRule="exact"/>
        <w:ind w:firstLine="640"/>
        <w:jc w:val="left"/>
        <w:rPr>
          <w:rFonts w:hint="eastAsia" w:ascii="仿宋" w:hAnsi="仿宋" w:eastAsia="仿宋"/>
          <w:sz w:val="32"/>
          <w:szCs w:val="30"/>
        </w:rPr>
      </w:pPr>
      <w:r>
        <w:rPr>
          <w:rFonts w:hint="eastAsia" w:ascii="仿宋" w:hAnsi="仿宋" w:eastAsia="仿宋"/>
          <w:sz w:val="32"/>
          <w:szCs w:val="30"/>
        </w:rPr>
        <w:t xml:space="preserve">    九、预算绩效情况说明</w:t>
      </w:r>
    </w:p>
    <w:p>
      <w:pPr>
        <w:widowControl/>
        <w:spacing w:line="600" w:lineRule="exact"/>
        <w:ind w:firstLine="640"/>
        <w:jc w:val="left"/>
        <w:rPr>
          <w:rFonts w:ascii="仿宋" w:hAnsi="仿宋" w:eastAsia="仿宋"/>
          <w:sz w:val="32"/>
          <w:szCs w:val="30"/>
        </w:rPr>
      </w:pPr>
      <w:r>
        <w:rPr>
          <w:rFonts w:hint="eastAsia" w:ascii="黑体" w:hAnsi="黑体" w:eastAsia="黑体"/>
          <w:sz w:val="32"/>
          <w:szCs w:val="32"/>
        </w:rPr>
        <w:t>第四部分  名词解释</w:t>
      </w: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widowControl/>
        <w:spacing w:line="580" w:lineRule="exact"/>
        <w:jc w:val="center"/>
        <w:rPr>
          <w:rFonts w:hint="eastAsia" w:ascii="宋体" w:hAnsi="宋体"/>
          <w:b/>
          <w:sz w:val="32"/>
          <w:szCs w:val="30"/>
        </w:rPr>
      </w:pPr>
    </w:p>
    <w:p>
      <w:pPr>
        <w:widowControl/>
        <w:spacing w:line="580" w:lineRule="exact"/>
        <w:jc w:val="center"/>
        <w:rPr>
          <w:rFonts w:hint="eastAsia" w:ascii="宋体" w:hAnsi="宋体"/>
          <w:b/>
          <w:sz w:val="32"/>
          <w:szCs w:val="30"/>
        </w:rPr>
      </w:pPr>
      <w:r>
        <w:rPr>
          <w:rFonts w:hint="eastAsia" w:ascii="宋体" w:hAnsi="宋体"/>
          <w:b/>
          <w:sz w:val="32"/>
          <w:szCs w:val="30"/>
        </w:rPr>
        <w:t xml:space="preserve">第一部分  </w:t>
      </w:r>
      <w:r>
        <w:rPr>
          <w:rFonts w:hint="eastAsia" w:ascii="宋体" w:hAnsi="宋体"/>
          <w:b/>
          <w:sz w:val="32"/>
          <w:szCs w:val="32"/>
        </w:rPr>
        <w:t>部门</w:t>
      </w:r>
      <w:r>
        <w:rPr>
          <w:rFonts w:hint="eastAsia" w:ascii="宋体" w:hAnsi="宋体"/>
          <w:b/>
          <w:sz w:val="32"/>
          <w:szCs w:val="30"/>
        </w:rPr>
        <w:t>概况</w:t>
      </w:r>
    </w:p>
    <w:p>
      <w:pPr>
        <w:ind w:firstLine="630"/>
        <w:jc w:val="center"/>
        <w:rPr>
          <w:rFonts w:hint="eastAsia"/>
          <w:sz w:val="32"/>
          <w:szCs w:val="32"/>
        </w:rPr>
      </w:pPr>
    </w:p>
    <w:p>
      <w:pPr>
        <w:ind w:firstLine="630"/>
        <w:jc w:val="left"/>
        <w:rPr>
          <w:rFonts w:hint="eastAsia" w:ascii="黑体" w:hAnsi="黑体" w:eastAsia="黑体"/>
          <w:sz w:val="30"/>
          <w:szCs w:val="30"/>
        </w:rPr>
      </w:pPr>
      <w:r>
        <w:rPr>
          <w:rFonts w:hint="eastAsia" w:ascii="黑体" w:hAnsi="黑体" w:eastAsia="黑体"/>
          <w:sz w:val="30"/>
          <w:szCs w:val="30"/>
        </w:rPr>
        <w:t>一、部门主要职能</w:t>
      </w:r>
    </w:p>
    <w:p>
      <w:pPr>
        <w:ind w:firstLine="630"/>
        <w:jc w:val="left"/>
        <w:rPr>
          <w:rFonts w:hint="eastAsia" w:ascii="仿宋" w:hAnsi="仿宋" w:eastAsia="仿宋"/>
          <w:sz w:val="30"/>
          <w:szCs w:val="30"/>
        </w:rPr>
      </w:pPr>
      <w:r>
        <w:rPr>
          <w:rFonts w:hint="eastAsia" w:ascii="仿宋" w:hAnsi="仿宋" w:eastAsia="仿宋"/>
          <w:sz w:val="30"/>
          <w:szCs w:val="30"/>
        </w:rPr>
        <w:t>负责机关事业单位、城镇职工、城乡居民的基本医疗保险、机关事业单位补充医疗保险的参保、待遇审核、结算及支付业务；负责生育保险、医疗救助、药品和医疗服务价格管理等职责。</w:t>
      </w:r>
    </w:p>
    <w:p>
      <w:pPr>
        <w:ind w:firstLine="630"/>
        <w:jc w:val="left"/>
        <w:rPr>
          <w:rFonts w:hint="eastAsia" w:ascii="黑体" w:hAnsi="黑体" w:eastAsia="黑体"/>
          <w:sz w:val="30"/>
          <w:szCs w:val="30"/>
        </w:rPr>
      </w:pPr>
      <w:r>
        <w:rPr>
          <w:rFonts w:hint="eastAsia" w:ascii="黑体" w:hAnsi="黑体" w:eastAsia="黑体"/>
          <w:sz w:val="30"/>
          <w:szCs w:val="30"/>
        </w:rPr>
        <w:t>二、部门基本情况</w:t>
      </w:r>
    </w:p>
    <w:p>
      <w:pPr>
        <w:ind w:firstLine="630"/>
        <w:jc w:val="left"/>
        <w:rPr>
          <w:rFonts w:hint="eastAsia" w:ascii="仿宋" w:hAnsi="仿宋" w:eastAsia="仿宋"/>
          <w:sz w:val="30"/>
          <w:szCs w:val="30"/>
        </w:rPr>
      </w:pPr>
      <w:r>
        <w:rPr>
          <w:rFonts w:hint="eastAsia" w:ascii="仿宋" w:hAnsi="仿宋" w:eastAsia="仿宋"/>
          <w:sz w:val="30"/>
          <w:szCs w:val="30"/>
        </w:rPr>
        <w:t>纳入本套部门决算汇编范围的单位共</w:t>
      </w:r>
      <w:r>
        <w:rPr>
          <w:rFonts w:hint="eastAsia" w:ascii="仿宋" w:hAnsi="仿宋" w:eastAsia="仿宋"/>
          <w:sz w:val="30"/>
          <w:szCs w:val="30"/>
          <w:lang w:val="en-US" w:eastAsia="zh-CN"/>
        </w:rPr>
        <w:t>1</w:t>
      </w:r>
      <w:r>
        <w:rPr>
          <w:rFonts w:hint="eastAsia" w:ascii="仿宋" w:hAnsi="仿宋" w:eastAsia="仿宋"/>
          <w:sz w:val="30"/>
          <w:szCs w:val="30"/>
        </w:rPr>
        <w:t>个，包括：青云谱区医疗保险事业管理局。</w:t>
      </w:r>
    </w:p>
    <w:p>
      <w:pPr>
        <w:ind w:firstLine="630"/>
        <w:jc w:val="left"/>
        <w:rPr>
          <w:rFonts w:hint="eastAsia" w:ascii="仿宋" w:hAnsi="仿宋" w:eastAsia="仿宋"/>
          <w:sz w:val="30"/>
          <w:szCs w:val="30"/>
        </w:rPr>
      </w:pPr>
      <w:r>
        <w:rPr>
          <w:rFonts w:hint="eastAsia" w:ascii="仿宋" w:hAnsi="仿宋" w:eastAsia="仿宋"/>
          <w:sz w:val="30"/>
          <w:szCs w:val="30"/>
        </w:rPr>
        <w:t>本部门2019年年末实有人数</w:t>
      </w:r>
      <w:r>
        <w:rPr>
          <w:rFonts w:hint="eastAsia" w:ascii="仿宋" w:hAnsi="仿宋" w:eastAsia="仿宋"/>
          <w:sz w:val="30"/>
          <w:szCs w:val="30"/>
          <w:lang w:val="en-US" w:eastAsia="zh-CN"/>
        </w:rPr>
        <w:t>12</w:t>
      </w:r>
      <w:r>
        <w:rPr>
          <w:rFonts w:hint="eastAsia" w:ascii="仿宋" w:hAnsi="仿宋" w:eastAsia="仿宋"/>
          <w:sz w:val="30"/>
          <w:szCs w:val="30"/>
        </w:rPr>
        <w:t>人，其中在职人员</w:t>
      </w:r>
      <w:r>
        <w:rPr>
          <w:rFonts w:hint="eastAsia" w:ascii="仿宋" w:hAnsi="仿宋" w:eastAsia="仿宋"/>
          <w:sz w:val="30"/>
          <w:szCs w:val="30"/>
          <w:lang w:val="en-US" w:eastAsia="zh-CN"/>
        </w:rPr>
        <w:t>11</w:t>
      </w:r>
      <w:r>
        <w:rPr>
          <w:rFonts w:hint="eastAsia" w:ascii="仿宋" w:hAnsi="仿宋" w:eastAsia="仿宋"/>
          <w:sz w:val="30"/>
          <w:szCs w:val="30"/>
        </w:rPr>
        <w:t>人，离休人员  人，退休人员   人；停薪留职1人。</w:t>
      </w: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rPr>
          <w:rFonts w:hint="eastAsia" w:ascii="宋体" w:hAnsi="宋体"/>
          <w:b/>
          <w:sz w:val="32"/>
          <w:szCs w:val="32"/>
        </w:rPr>
      </w:pPr>
    </w:p>
    <w:p>
      <w:pPr>
        <w:widowControl/>
        <w:spacing w:line="600" w:lineRule="exact"/>
        <w:ind w:firstLine="640"/>
        <w:jc w:val="center"/>
        <w:rPr>
          <w:rFonts w:hint="eastAsia" w:ascii="宋体" w:hAnsi="宋体"/>
          <w:b/>
          <w:sz w:val="32"/>
          <w:szCs w:val="32"/>
        </w:rPr>
      </w:pPr>
      <w:r>
        <w:rPr>
          <w:rFonts w:hint="eastAsia" w:ascii="宋体" w:hAnsi="宋体"/>
          <w:b/>
          <w:sz w:val="32"/>
          <w:szCs w:val="32"/>
        </w:rPr>
        <w:t>第二部分  2019年度部门决算表</w:t>
      </w: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r>
        <w:drawing>
          <wp:inline distT="0" distB="0" distL="114300" distR="114300">
            <wp:extent cx="5270500" cy="3974465"/>
            <wp:effectExtent l="0" t="0" r="6350" b="6985"/>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10"/>
                    <a:stretch>
                      <a:fillRect/>
                    </a:stretch>
                  </pic:blipFill>
                  <pic:spPr>
                    <a:xfrm>
                      <a:off x="0" y="0"/>
                      <a:ext cx="5270500" cy="3974465"/>
                    </a:xfrm>
                    <a:prstGeom prst="rect">
                      <a:avLst/>
                    </a:prstGeom>
                    <a:noFill/>
                    <a:ln>
                      <a:noFill/>
                    </a:ln>
                  </pic:spPr>
                </pic:pic>
              </a:graphicData>
            </a:graphic>
          </wp:inline>
        </w:drawing>
      </w:r>
      <w:r>
        <w:drawing>
          <wp:inline distT="0" distB="0" distL="114300" distR="114300">
            <wp:extent cx="5267325" cy="791210"/>
            <wp:effectExtent l="0" t="0" r="9525" b="8890"/>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11"/>
                    <a:stretch>
                      <a:fillRect/>
                    </a:stretch>
                  </pic:blipFill>
                  <pic:spPr>
                    <a:xfrm>
                      <a:off x="0" y="0"/>
                      <a:ext cx="5267325" cy="791210"/>
                    </a:xfrm>
                    <a:prstGeom prst="rect">
                      <a:avLst/>
                    </a:prstGeom>
                    <a:noFill/>
                    <a:ln>
                      <a:noFill/>
                    </a:ln>
                  </pic:spPr>
                </pic:pic>
              </a:graphicData>
            </a:graphic>
          </wp:inline>
        </w:drawing>
      </w:r>
    </w:p>
    <w:p>
      <w:pPr>
        <w:autoSpaceDE w:val="0"/>
        <w:autoSpaceDN w:val="0"/>
        <w:adjustRightInd w:val="0"/>
        <w:spacing w:line="360" w:lineRule="auto"/>
        <w:jc w:val="left"/>
        <w:rPr>
          <w:rFonts w:hint="eastAsia" w:ascii="仿宋" w:hAnsi="仿宋" w:eastAsia="仿宋" w:cs="仿宋_GB2312"/>
          <w:kern w:val="0"/>
          <w:sz w:val="30"/>
          <w:szCs w:val="30"/>
        </w:rPr>
      </w:pPr>
    </w:p>
    <w:p>
      <w:pPr>
        <w:autoSpaceDE w:val="0"/>
        <w:autoSpaceDN w:val="0"/>
        <w:adjustRightInd w:val="0"/>
        <w:spacing w:line="360" w:lineRule="auto"/>
        <w:jc w:val="left"/>
      </w:pPr>
      <w:r>
        <w:rPr>
          <w:rFonts w:hint="eastAsia" w:ascii="仿宋" w:hAnsi="仿宋" w:eastAsia="仿宋" w:cs="仿宋_GB2312"/>
          <w:kern w:val="0"/>
          <w:sz w:val="30"/>
          <w:szCs w:val="30"/>
        </w:rPr>
        <w:t xml:space="preserve"> </w:t>
      </w:r>
      <w:r>
        <w:drawing>
          <wp:inline distT="0" distB="0" distL="114300" distR="114300">
            <wp:extent cx="5271135" cy="1597025"/>
            <wp:effectExtent l="0" t="0" r="5715" b="3175"/>
            <wp:docPr id="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pic:cNvPicPr>
                      <a:picLocks noChangeAspect="1"/>
                    </pic:cNvPicPr>
                  </pic:nvPicPr>
                  <pic:blipFill>
                    <a:blip r:embed="rId12"/>
                    <a:stretch>
                      <a:fillRect/>
                    </a:stretch>
                  </pic:blipFill>
                  <pic:spPr>
                    <a:xfrm>
                      <a:off x="0" y="0"/>
                      <a:ext cx="5271135" cy="1597025"/>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ascii="仿宋" w:hAnsi="仿宋" w:eastAsia="仿宋" w:cs="仿宋_GB2312"/>
          <w:kern w:val="0"/>
          <w:sz w:val="30"/>
          <w:szCs w:val="30"/>
        </w:rPr>
      </w:pPr>
      <w:r>
        <w:drawing>
          <wp:inline distT="0" distB="0" distL="114300" distR="114300">
            <wp:extent cx="5265420" cy="1966595"/>
            <wp:effectExtent l="0" t="0" r="11430" b="14605"/>
            <wp:docPr id="1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pic:cNvPicPr>
                      <a:picLocks noChangeAspect="1"/>
                    </pic:cNvPicPr>
                  </pic:nvPicPr>
                  <pic:blipFill>
                    <a:blip r:embed="rId13"/>
                    <a:stretch>
                      <a:fillRect/>
                    </a:stretch>
                  </pic:blipFill>
                  <pic:spPr>
                    <a:xfrm>
                      <a:off x="0" y="0"/>
                      <a:ext cx="5265420" cy="1966595"/>
                    </a:xfrm>
                    <a:prstGeom prst="rect">
                      <a:avLst/>
                    </a:prstGeom>
                    <a:noFill/>
                    <a:ln>
                      <a:noFill/>
                    </a:ln>
                  </pic:spPr>
                </pic:pic>
              </a:graphicData>
            </a:graphic>
          </wp:inline>
        </w:drawing>
      </w: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r>
        <w:drawing>
          <wp:inline distT="0" distB="0" distL="114300" distR="114300">
            <wp:extent cx="5269865" cy="3253740"/>
            <wp:effectExtent l="0" t="0" r="6985" b="3810"/>
            <wp:docPr id="1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5"/>
                    <pic:cNvPicPr>
                      <a:picLocks noChangeAspect="1"/>
                    </pic:cNvPicPr>
                  </pic:nvPicPr>
                  <pic:blipFill>
                    <a:blip r:embed="rId14"/>
                    <a:stretch>
                      <a:fillRect/>
                    </a:stretch>
                  </pic:blipFill>
                  <pic:spPr>
                    <a:xfrm>
                      <a:off x="0" y="0"/>
                      <a:ext cx="5269865" cy="3253740"/>
                    </a:xfrm>
                    <a:prstGeom prst="rect">
                      <a:avLst/>
                    </a:prstGeom>
                    <a:noFill/>
                    <a:ln>
                      <a:noFill/>
                    </a:ln>
                  </pic:spPr>
                </pic:pic>
              </a:graphicData>
            </a:graphic>
          </wp:inline>
        </w:drawing>
      </w:r>
      <w:r>
        <w:drawing>
          <wp:inline distT="0" distB="0" distL="114300" distR="114300">
            <wp:extent cx="5266055" cy="857250"/>
            <wp:effectExtent l="0" t="0" r="10795" b="0"/>
            <wp:docPr id="1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6"/>
                    <pic:cNvPicPr>
                      <a:picLocks noChangeAspect="1"/>
                    </pic:cNvPicPr>
                  </pic:nvPicPr>
                  <pic:blipFill>
                    <a:blip r:embed="rId15"/>
                    <a:stretch>
                      <a:fillRect/>
                    </a:stretch>
                  </pic:blipFill>
                  <pic:spPr>
                    <a:xfrm>
                      <a:off x="0" y="0"/>
                      <a:ext cx="5266055" cy="857250"/>
                    </a:xfrm>
                    <a:prstGeom prst="rect">
                      <a:avLst/>
                    </a:prstGeom>
                    <a:noFill/>
                    <a:ln>
                      <a:noFill/>
                    </a:ln>
                  </pic:spPr>
                </pic:pic>
              </a:graphicData>
            </a:graphic>
          </wp:inline>
        </w:drawing>
      </w:r>
    </w:p>
    <w:p>
      <w:pPr>
        <w:autoSpaceDE w:val="0"/>
        <w:autoSpaceDN w:val="0"/>
        <w:adjustRightInd w:val="0"/>
        <w:spacing w:line="360" w:lineRule="auto"/>
        <w:jc w:val="left"/>
        <w:rPr>
          <w:rFonts w:hint="eastAsia" w:ascii="仿宋" w:hAnsi="仿宋" w:eastAsia="仿宋" w:cs="仿宋_GB2312"/>
          <w:kern w:val="0"/>
          <w:sz w:val="30"/>
          <w:szCs w:val="30"/>
        </w:rPr>
      </w:pPr>
    </w:p>
    <w:p>
      <w:pPr>
        <w:autoSpaceDE w:val="0"/>
        <w:autoSpaceDN w:val="0"/>
        <w:adjustRightInd w:val="0"/>
        <w:spacing w:line="360" w:lineRule="auto"/>
        <w:jc w:val="left"/>
        <w:rPr>
          <w:rFonts w:hint="eastAsia" w:ascii="仿宋" w:hAnsi="仿宋" w:eastAsia="仿宋" w:cs="仿宋_GB2312"/>
          <w:kern w:val="0"/>
          <w:sz w:val="30"/>
          <w:szCs w:val="30"/>
        </w:rPr>
      </w:pPr>
    </w:p>
    <w:p>
      <w:pPr>
        <w:autoSpaceDE w:val="0"/>
        <w:autoSpaceDN w:val="0"/>
        <w:adjustRightInd w:val="0"/>
        <w:spacing w:line="360" w:lineRule="auto"/>
        <w:jc w:val="left"/>
        <w:rPr>
          <w:rFonts w:hint="eastAsia"/>
          <w:szCs w:val="30"/>
        </w:rPr>
      </w:pPr>
      <w:r>
        <w:drawing>
          <wp:inline distT="0" distB="0" distL="114300" distR="114300">
            <wp:extent cx="5269865" cy="2923540"/>
            <wp:effectExtent l="0" t="0" r="6985" b="10160"/>
            <wp:docPr id="1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7"/>
                    <pic:cNvPicPr>
                      <a:picLocks noChangeAspect="1"/>
                    </pic:cNvPicPr>
                  </pic:nvPicPr>
                  <pic:blipFill>
                    <a:blip r:embed="rId16"/>
                    <a:stretch>
                      <a:fillRect/>
                    </a:stretch>
                  </pic:blipFill>
                  <pic:spPr>
                    <a:xfrm>
                      <a:off x="0" y="0"/>
                      <a:ext cx="5269865" cy="2923540"/>
                    </a:xfrm>
                    <a:prstGeom prst="rect">
                      <a:avLst/>
                    </a:prstGeom>
                    <a:noFill/>
                    <a:ln>
                      <a:noFill/>
                    </a:ln>
                  </pic:spPr>
                </pic:pic>
              </a:graphicData>
            </a:graphic>
          </wp:inline>
        </w:drawing>
      </w:r>
    </w:p>
    <w:p>
      <w:pPr>
        <w:autoSpaceDE w:val="0"/>
        <w:autoSpaceDN w:val="0"/>
        <w:adjustRightInd w:val="0"/>
        <w:spacing w:line="360" w:lineRule="auto"/>
        <w:jc w:val="left"/>
        <w:rPr>
          <w:rFonts w:hint="eastAsia"/>
          <w:szCs w:val="30"/>
        </w:rPr>
      </w:pPr>
      <w:r>
        <w:drawing>
          <wp:inline distT="0" distB="0" distL="114300" distR="114300">
            <wp:extent cx="5264150" cy="2636520"/>
            <wp:effectExtent l="0" t="0" r="12700" b="11430"/>
            <wp:docPr id="1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8"/>
                    <pic:cNvPicPr>
                      <a:picLocks noChangeAspect="1"/>
                    </pic:cNvPicPr>
                  </pic:nvPicPr>
                  <pic:blipFill>
                    <a:blip r:embed="rId17"/>
                    <a:stretch>
                      <a:fillRect/>
                    </a:stretch>
                  </pic:blipFill>
                  <pic:spPr>
                    <a:xfrm>
                      <a:off x="0" y="0"/>
                      <a:ext cx="5264150" cy="2636520"/>
                    </a:xfrm>
                    <a:prstGeom prst="rect">
                      <a:avLst/>
                    </a:prstGeom>
                    <a:noFill/>
                    <a:ln>
                      <a:noFill/>
                    </a:ln>
                  </pic:spPr>
                </pic:pic>
              </a:graphicData>
            </a:graphic>
          </wp:inline>
        </w:drawing>
      </w:r>
      <w:r>
        <w:drawing>
          <wp:inline distT="0" distB="0" distL="114300" distR="114300">
            <wp:extent cx="5271135" cy="1664970"/>
            <wp:effectExtent l="0" t="0" r="5715" b="11430"/>
            <wp:docPr id="1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9"/>
                    <pic:cNvPicPr>
                      <a:picLocks noChangeAspect="1"/>
                    </pic:cNvPicPr>
                  </pic:nvPicPr>
                  <pic:blipFill>
                    <a:blip r:embed="rId18"/>
                    <a:stretch>
                      <a:fillRect/>
                    </a:stretch>
                  </pic:blipFill>
                  <pic:spPr>
                    <a:xfrm>
                      <a:off x="0" y="0"/>
                      <a:ext cx="5271135" cy="1664970"/>
                    </a:xfrm>
                    <a:prstGeom prst="rect">
                      <a:avLst/>
                    </a:prstGeom>
                    <a:noFill/>
                    <a:ln>
                      <a:noFill/>
                    </a:ln>
                  </pic:spPr>
                </pic:pic>
              </a:graphicData>
            </a:graphic>
          </wp:inline>
        </w:drawing>
      </w: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r>
        <w:drawing>
          <wp:inline distT="0" distB="0" distL="114300" distR="114300">
            <wp:extent cx="5272405" cy="3904615"/>
            <wp:effectExtent l="0" t="0" r="4445" b="635"/>
            <wp:docPr id="1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0"/>
                    <pic:cNvPicPr>
                      <a:picLocks noChangeAspect="1"/>
                    </pic:cNvPicPr>
                  </pic:nvPicPr>
                  <pic:blipFill>
                    <a:blip r:embed="rId19"/>
                    <a:stretch>
                      <a:fillRect/>
                    </a:stretch>
                  </pic:blipFill>
                  <pic:spPr>
                    <a:xfrm>
                      <a:off x="0" y="0"/>
                      <a:ext cx="5272405" cy="3904615"/>
                    </a:xfrm>
                    <a:prstGeom prst="rect">
                      <a:avLst/>
                    </a:prstGeom>
                    <a:noFill/>
                    <a:ln>
                      <a:noFill/>
                    </a:ln>
                  </pic:spPr>
                </pic:pic>
              </a:graphicData>
            </a:graphic>
          </wp:inline>
        </w:drawing>
      </w:r>
    </w:p>
    <w:p>
      <w:pPr>
        <w:autoSpaceDE w:val="0"/>
        <w:autoSpaceDN w:val="0"/>
        <w:adjustRightInd w:val="0"/>
        <w:spacing w:line="360" w:lineRule="auto"/>
        <w:jc w:val="left"/>
        <w:rPr>
          <w:rFonts w:hint="eastAsia"/>
          <w:szCs w:val="30"/>
        </w:rPr>
      </w:pPr>
      <w:r>
        <w:drawing>
          <wp:inline distT="0" distB="0" distL="114300" distR="114300">
            <wp:extent cx="5268595" cy="1595755"/>
            <wp:effectExtent l="0" t="0" r="8255" b="4445"/>
            <wp:docPr id="20"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1"/>
                    <pic:cNvPicPr>
                      <a:picLocks noChangeAspect="1"/>
                    </pic:cNvPicPr>
                  </pic:nvPicPr>
                  <pic:blipFill>
                    <a:blip r:embed="rId20"/>
                    <a:stretch>
                      <a:fillRect/>
                    </a:stretch>
                  </pic:blipFill>
                  <pic:spPr>
                    <a:xfrm>
                      <a:off x="0" y="0"/>
                      <a:ext cx="5268595" cy="1595755"/>
                    </a:xfrm>
                    <a:prstGeom prst="rect">
                      <a:avLst/>
                    </a:prstGeom>
                    <a:noFill/>
                    <a:ln>
                      <a:noFill/>
                    </a:ln>
                  </pic:spPr>
                </pic:pic>
              </a:graphicData>
            </a:graphic>
          </wp:inline>
        </w:drawing>
      </w:r>
      <w:r>
        <w:drawing>
          <wp:inline distT="0" distB="0" distL="114300" distR="114300">
            <wp:extent cx="4781550" cy="2971800"/>
            <wp:effectExtent l="0" t="0" r="0" b="0"/>
            <wp:docPr id="21"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2"/>
                    <pic:cNvPicPr>
                      <a:picLocks noChangeAspect="1"/>
                    </pic:cNvPicPr>
                  </pic:nvPicPr>
                  <pic:blipFill>
                    <a:blip r:embed="rId21"/>
                    <a:stretch>
                      <a:fillRect/>
                    </a:stretch>
                  </pic:blipFill>
                  <pic:spPr>
                    <a:xfrm>
                      <a:off x="0" y="0"/>
                      <a:ext cx="4781550" cy="2971800"/>
                    </a:xfrm>
                    <a:prstGeom prst="rect">
                      <a:avLst/>
                    </a:prstGeom>
                    <a:noFill/>
                    <a:ln>
                      <a:noFill/>
                    </a:ln>
                  </pic:spPr>
                </pic:pic>
              </a:graphicData>
            </a:graphic>
          </wp:inline>
        </w:drawing>
      </w:r>
    </w:p>
    <w:p>
      <w:pPr>
        <w:widowControl/>
        <w:spacing w:line="600" w:lineRule="exact"/>
        <w:jc w:val="both"/>
        <w:rPr>
          <w:rFonts w:hint="eastAsia" w:ascii="宋体" w:hAnsi="宋体"/>
          <w:b/>
          <w:sz w:val="32"/>
          <w:szCs w:val="32"/>
        </w:rPr>
      </w:pPr>
    </w:p>
    <w:p>
      <w:pPr>
        <w:widowControl/>
        <w:spacing w:line="600" w:lineRule="exact"/>
        <w:ind w:firstLine="640"/>
        <w:jc w:val="center"/>
        <w:rPr>
          <w:rFonts w:hint="eastAsia" w:ascii="宋体" w:hAnsi="宋体"/>
          <w:b/>
          <w:sz w:val="32"/>
          <w:szCs w:val="32"/>
        </w:rPr>
      </w:pPr>
      <w:r>
        <w:rPr>
          <w:rFonts w:hint="eastAsia" w:ascii="宋体" w:hAnsi="宋体"/>
          <w:b/>
          <w:sz w:val="32"/>
          <w:szCs w:val="32"/>
        </w:rPr>
        <w:t>第三部分  2019年度部门决算情况说明</w:t>
      </w:r>
    </w:p>
    <w:p>
      <w:pPr>
        <w:ind w:firstLine="630"/>
        <w:jc w:val="left"/>
        <w:rPr>
          <w:rFonts w:hint="eastAsia" w:ascii="仿宋" w:hAnsi="仿宋" w:eastAsia="仿宋"/>
          <w:sz w:val="30"/>
          <w:szCs w:val="30"/>
        </w:rPr>
      </w:pPr>
    </w:p>
    <w:p>
      <w:pPr>
        <w:ind w:firstLine="630"/>
        <w:jc w:val="left"/>
        <w:rPr>
          <w:rFonts w:hint="eastAsia" w:ascii="黑体" w:hAnsi="黑体" w:eastAsia="黑体"/>
          <w:sz w:val="30"/>
          <w:szCs w:val="30"/>
        </w:rPr>
      </w:pPr>
      <w:r>
        <w:rPr>
          <w:rFonts w:hint="eastAsia" w:ascii="黑体" w:hAnsi="黑体" w:eastAsia="黑体"/>
          <w:sz w:val="30"/>
          <w:szCs w:val="30"/>
        </w:rPr>
        <w:t>一、收入决算情况说明</w:t>
      </w:r>
    </w:p>
    <w:p>
      <w:pPr>
        <w:ind w:firstLine="630"/>
        <w:jc w:val="left"/>
        <w:rPr>
          <w:rFonts w:hint="eastAsia" w:ascii="仿宋" w:hAnsi="仿宋" w:eastAsia="仿宋"/>
          <w:sz w:val="30"/>
          <w:szCs w:val="30"/>
        </w:rPr>
      </w:pPr>
      <w:r>
        <w:rPr>
          <w:rFonts w:hint="eastAsia" w:ascii="仿宋" w:hAnsi="仿宋" w:eastAsia="仿宋"/>
          <w:sz w:val="30"/>
          <w:szCs w:val="30"/>
        </w:rPr>
        <w:t>本部门2019年度收入总计</w:t>
      </w:r>
      <w:r>
        <w:rPr>
          <w:rFonts w:hint="eastAsia" w:ascii="仿宋" w:hAnsi="仿宋" w:eastAsia="仿宋"/>
          <w:sz w:val="30"/>
          <w:szCs w:val="30"/>
          <w:lang w:val="en-US" w:eastAsia="zh-CN"/>
        </w:rPr>
        <w:t>188.01</w:t>
      </w:r>
      <w:r>
        <w:rPr>
          <w:rFonts w:hint="eastAsia" w:ascii="仿宋" w:hAnsi="仿宋" w:eastAsia="仿宋"/>
          <w:sz w:val="30"/>
          <w:szCs w:val="30"/>
        </w:rPr>
        <w:t>万元，其中年初结转和结余</w:t>
      </w:r>
      <w:r>
        <w:rPr>
          <w:rFonts w:hint="eastAsia" w:ascii="仿宋" w:hAnsi="仿宋" w:eastAsia="仿宋"/>
          <w:sz w:val="30"/>
          <w:szCs w:val="30"/>
          <w:lang w:val="en-US" w:eastAsia="zh-CN"/>
        </w:rPr>
        <w:t>31.78</w:t>
      </w:r>
      <w:r>
        <w:rPr>
          <w:rFonts w:hint="eastAsia" w:ascii="仿宋" w:hAnsi="仿宋" w:eastAsia="仿宋"/>
          <w:sz w:val="30"/>
          <w:szCs w:val="30"/>
        </w:rPr>
        <w:t>万元，较2018年减少</w:t>
      </w:r>
      <w:r>
        <w:rPr>
          <w:rFonts w:hint="eastAsia" w:ascii="仿宋" w:hAnsi="仿宋" w:eastAsia="仿宋"/>
          <w:sz w:val="30"/>
          <w:szCs w:val="30"/>
          <w:lang w:val="en-US" w:eastAsia="zh-CN"/>
        </w:rPr>
        <w:t>86.06</w:t>
      </w:r>
      <w:r>
        <w:rPr>
          <w:rFonts w:hint="eastAsia" w:ascii="仿宋" w:hAnsi="仿宋" w:eastAsia="仿宋"/>
          <w:sz w:val="30"/>
          <w:szCs w:val="30"/>
        </w:rPr>
        <w:t>万元，下降</w:t>
      </w:r>
      <w:r>
        <w:rPr>
          <w:rFonts w:hint="eastAsia" w:ascii="仿宋" w:hAnsi="仿宋" w:eastAsia="仿宋"/>
          <w:sz w:val="30"/>
          <w:szCs w:val="30"/>
          <w:lang w:val="en-US" w:eastAsia="zh-CN"/>
        </w:rPr>
        <w:t>31.4</w:t>
      </w:r>
      <w:r>
        <w:rPr>
          <w:rFonts w:hint="eastAsia" w:ascii="仿宋" w:hAnsi="仿宋" w:eastAsia="仿宋"/>
          <w:sz w:val="30"/>
          <w:szCs w:val="30"/>
        </w:rPr>
        <w:t>%；本年收入合计</w:t>
      </w:r>
      <w:r>
        <w:rPr>
          <w:rFonts w:hint="eastAsia" w:ascii="仿宋" w:hAnsi="仿宋" w:eastAsia="仿宋"/>
          <w:sz w:val="30"/>
          <w:szCs w:val="30"/>
          <w:lang w:val="en-US" w:eastAsia="zh-CN"/>
        </w:rPr>
        <w:t>156.23</w:t>
      </w:r>
      <w:r>
        <w:rPr>
          <w:rFonts w:hint="eastAsia" w:ascii="仿宋" w:hAnsi="仿宋" w:eastAsia="仿宋"/>
          <w:sz w:val="30"/>
          <w:szCs w:val="30"/>
        </w:rPr>
        <w:t>万元，较2018年减少</w:t>
      </w:r>
      <w:r>
        <w:rPr>
          <w:rFonts w:hint="eastAsia" w:ascii="仿宋" w:hAnsi="仿宋" w:eastAsia="仿宋"/>
          <w:sz w:val="30"/>
          <w:szCs w:val="30"/>
          <w:lang w:val="en-US" w:eastAsia="zh-CN"/>
        </w:rPr>
        <w:t>97.25</w:t>
      </w:r>
      <w:r>
        <w:rPr>
          <w:rFonts w:hint="eastAsia" w:ascii="仿宋" w:hAnsi="仿宋" w:eastAsia="仿宋"/>
          <w:sz w:val="30"/>
          <w:szCs w:val="30"/>
        </w:rPr>
        <w:t>万元，下降</w:t>
      </w:r>
      <w:r>
        <w:rPr>
          <w:rFonts w:hint="eastAsia" w:ascii="仿宋" w:hAnsi="仿宋" w:eastAsia="仿宋"/>
          <w:sz w:val="30"/>
          <w:szCs w:val="30"/>
          <w:lang w:val="en-US" w:eastAsia="zh-CN"/>
        </w:rPr>
        <w:t>38.36</w:t>
      </w:r>
      <w:r>
        <w:rPr>
          <w:rFonts w:hint="eastAsia" w:ascii="仿宋" w:hAnsi="仿宋" w:eastAsia="仿宋"/>
          <w:sz w:val="30"/>
          <w:szCs w:val="30"/>
        </w:rPr>
        <w:t>%，主要原因是：</w:t>
      </w:r>
      <w:r>
        <w:rPr>
          <w:rFonts w:hint="eastAsia" w:ascii="仿宋" w:hAnsi="仿宋" w:eastAsia="仿宋"/>
          <w:sz w:val="30"/>
          <w:szCs w:val="30"/>
          <w:lang w:eastAsia="zh-CN"/>
        </w:rPr>
        <w:t>厉行节约，精简开支</w:t>
      </w:r>
      <w:r>
        <w:rPr>
          <w:rFonts w:hint="eastAsia" w:ascii="仿宋" w:hAnsi="仿宋" w:eastAsia="仿宋"/>
          <w:sz w:val="30"/>
          <w:szCs w:val="30"/>
        </w:rPr>
        <w:t>。</w:t>
      </w:r>
    </w:p>
    <w:p>
      <w:pPr>
        <w:ind w:firstLine="630"/>
        <w:jc w:val="left"/>
        <w:rPr>
          <w:rFonts w:hint="eastAsia" w:ascii="仿宋" w:hAnsi="仿宋" w:eastAsia="仿宋"/>
          <w:sz w:val="30"/>
          <w:szCs w:val="30"/>
        </w:rPr>
      </w:pPr>
      <w:r>
        <w:rPr>
          <w:rFonts w:hint="eastAsia" w:ascii="仿宋" w:hAnsi="仿宋" w:eastAsia="仿宋"/>
          <w:sz w:val="30"/>
          <w:szCs w:val="30"/>
        </w:rPr>
        <w:t>本年收入的具体构成为：财政拨款收入</w:t>
      </w:r>
      <w:r>
        <w:rPr>
          <w:rFonts w:hint="eastAsia" w:ascii="仿宋" w:hAnsi="仿宋" w:eastAsia="仿宋"/>
          <w:sz w:val="30"/>
          <w:szCs w:val="30"/>
          <w:lang w:val="en-US" w:eastAsia="zh-CN"/>
        </w:rPr>
        <w:t>156.23</w:t>
      </w:r>
      <w:r>
        <w:rPr>
          <w:rFonts w:hint="eastAsia" w:ascii="仿宋" w:hAnsi="仿宋" w:eastAsia="仿宋"/>
          <w:sz w:val="30"/>
          <w:szCs w:val="30"/>
        </w:rPr>
        <w:t>万元，占</w:t>
      </w:r>
      <w:r>
        <w:rPr>
          <w:rFonts w:hint="eastAsia" w:ascii="仿宋" w:hAnsi="仿宋" w:eastAsia="仿宋"/>
          <w:sz w:val="30"/>
          <w:szCs w:val="30"/>
          <w:lang w:val="en-US" w:eastAsia="zh-CN"/>
        </w:rPr>
        <w:t>100</w:t>
      </w:r>
      <w:r>
        <w:rPr>
          <w:rFonts w:hint="eastAsia" w:ascii="仿宋" w:hAnsi="仿宋" w:eastAsia="仿宋"/>
          <w:sz w:val="30"/>
          <w:szCs w:val="30"/>
        </w:rPr>
        <w:t>%；事业收入</w:t>
      </w:r>
      <w:r>
        <w:rPr>
          <w:rFonts w:hint="eastAsia" w:ascii="仿宋" w:hAnsi="仿宋" w:eastAsia="仿宋"/>
          <w:sz w:val="30"/>
          <w:szCs w:val="30"/>
          <w:lang w:val="en-US" w:eastAsia="zh-CN"/>
        </w:rPr>
        <w:t>0</w:t>
      </w:r>
      <w:r>
        <w:rPr>
          <w:rFonts w:hint="eastAsia" w:ascii="仿宋" w:hAnsi="仿宋" w:eastAsia="仿宋"/>
          <w:sz w:val="30"/>
          <w:szCs w:val="30"/>
        </w:rPr>
        <w:t xml:space="preserve">万元，占 </w:t>
      </w:r>
      <w:r>
        <w:rPr>
          <w:rFonts w:hint="eastAsia" w:ascii="仿宋" w:hAnsi="仿宋" w:eastAsia="仿宋"/>
          <w:sz w:val="30"/>
          <w:szCs w:val="30"/>
          <w:lang w:val="en-US" w:eastAsia="zh-CN"/>
        </w:rPr>
        <w:t>0</w:t>
      </w:r>
      <w:r>
        <w:rPr>
          <w:rFonts w:hint="eastAsia" w:ascii="仿宋" w:hAnsi="仿宋" w:eastAsia="仿宋"/>
          <w:sz w:val="30"/>
          <w:szCs w:val="30"/>
        </w:rPr>
        <w:t xml:space="preserve"> %；经营收入 </w:t>
      </w:r>
      <w:r>
        <w:rPr>
          <w:rFonts w:hint="eastAsia" w:ascii="仿宋" w:hAnsi="仿宋" w:eastAsia="仿宋"/>
          <w:sz w:val="30"/>
          <w:szCs w:val="30"/>
          <w:lang w:val="en-US" w:eastAsia="zh-CN"/>
        </w:rPr>
        <w:t>0</w:t>
      </w:r>
      <w:r>
        <w:rPr>
          <w:rFonts w:hint="eastAsia" w:ascii="仿宋" w:hAnsi="仿宋" w:eastAsia="仿宋"/>
          <w:sz w:val="30"/>
          <w:szCs w:val="30"/>
        </w:rPr>
        <w:t xml:space="preserve">  万元，占 </w:t>
      </w:r>
      <w:r>
        <w:rPr>
          <w:rFonts w:hint="eastAsia" w:ascii="仿宋" w:hAnsi="仿宋" w:eastAsia="仿宋"/>
          <w:sz w:val="30"/>
          <w:szCs w:val="30"/>
          <w:lang w:val="en-US" w:eastAsia="zh-CN"/>
        </w:rPr>
        <w:t>0</w:t>
      </w:r>
      <w:r>
        <w:rPr>
          <w:rFonts w:hint="eastAsia" w:ascii="仿宋" w:hAnsi="仿宋" w:eastAsia="仿宋"/>
          <w:sz w:val="30"/>
          <w:szCs w:val="30"/>
        </w:rPr>
        <w:t xml:space="preserve"> %；其他收入</w:t>
      </w:r>
      <w:r>
        <w:rPr>
          <w:rFonts w:hint="eastAsia" w:ascii="仿宋" w:hAnsi="仿宋" w:eastAsia="仿宋"/>
          <w:sz w:val="30"/>
          <w:szCs w:val="30"/>
          <w:lang w:val="en-US" w:eastAsia="zh-CN"/>
        </w:rPr>
        <w:t>0</w:t>
      </w:r>
      <w:r>
        <w:rPr>
          <w:rFonts w:hint="eastAsia" w:ascii="仿宋" w:hAnsi="仿宋" w:eastAsia="仿宋"/>
          <w:sz w:val="30"/>
          <w:szCs w:val="30"/>
        </w:rPr>
        <w:t xml:space="preserve">万元，占 </w:t>
      </w:r>
      <w:r>
        <w:rPr>
          <w:rFonts w:hint="eastAsia" w:ascii="仿宋" w:hAnsi="仿宋" w:eastAsia="仿宋"/>
          <w:sz w:val="30"/>
          <w:szCs w:val="30"/>
          <w:lang w:val="en-US" w:eastAsia="zh-CN"/>
        </w:rPr>
        <w:t>0</w:t>
      </w:r>
      <w:r>
        <w:rPr>
          <w:rFonts w:hint="eastAsia" w:ascii="仿宋" w:hAnsi="仿宋" w:eastAsia="仿宋"/>
          <w:sz w:val="30"/>
          <w:szCs w:val="30"/>
        </w:rPr>
        <w:t xml:space="preserve"> %。  </w:t>
      </w:r>
    </w:p>
    <w:p>
      <w:pPr>
        <w:ind w:firstLine="630"/>
        <w:jc w:val="left"/>
        <w:rPr>
          <w:rFonts w:hint="eastAsia" w:ascii="黑体" w:hAnsi="黑体" w:eastAsia="黑体"/>
          <w:sz w:val="30"/>
          <w:szCs w:val="30"/>
        </w:rPr>
      </w:pPr>
      <w:r>
        <w:rPr>
          <w:rFonts w:hint="eastAsia" w:ascii="黑体" w:hAnsi="黑体" w:eastAsia="黑体"/>
          <w:sz w:val="30"/>
          <w:szCs w:val="30"/>
        </w:rPr>
        <w:t>二、支出决算情况说明</w:t>
      </w:r>
    </w:p>
    <w:p>
      <w:pPr>
        <w:ind w:firstLine="630"/>
        <w:jc w:val="left"/>
        <w:rPr>
          <w:rFonts w:hint="eastAsia" w:ascii="仿宋" w:hAnsi="仿宋" w:eastAsia="仿宋"/>
          <w:sz w:val="30"/>
          <w:szCs w:val="30"/>
        </w:rPr>
      </w:pPr>
      <w:r>
        <w:rPr>
          <w:rFonts w:hint="eastAsia" w:ascii="仿宋" w:hAnsi="仿宋" w:eastAsia="仿宋"/>
          <w:sz w:val="30"/>
          <w:szCs w:val="30"/>
        </w:rPr>
        <w:t>本部门2019年度支出总计</w:t>
      </w:r>
      <w:r>
        <w:rPr>
          <w:rFonts w:hint="eastAsia" w:ascii="仿宋" w:hAnsi="仿宋" w:eastAsia="仿宋"/>
          <w:sz w:val="30"/>
          <w:szCs w:val="30"/>
          <w:lang w:val="en-US" w:eastAsia="zh-CN"/>
        </w:rPr>
        <w:t>161.8</w:t>
      </w:r>
      <w:r>
        <w:rPr>
          <w:rFonts w:hint="eastAsia" w:ascii="仿宋" w:hAnsi="仿宋" w:eastAsia="仿宋"/>
          <w:sz w:val="30"/>
          <w:szCs w:val="30"/>
        </w:rPr>
        <w:t xml:space="preserve">万元，其中本年支出合计   </w:t>
      </w:r>
      <w:r>
        <w:rPr>
          <w:rFonts w:hint="eastAsia" w:ascii="仿宋" w:hAnsi="仿宋" w:eastAsia="仿宋"/>
          <w:sz w:val="30"/>
          <w:szCs w:val="30"/>
          <w:lang w:val="en-US" w:eastAsia="zh-CN"/>
        </w:rPr>
        <w:t>161.8</w:t>
      </w:r>
      <w:r>
        <w:rPr>
          <w:rFonts w:hint="eastAsia" w:ascii="仿宋" w:hAnsi="仿宋" w:eastAsia="仿宋"/>
          <w:sz w:val="30"/>
          <w:szCs w:val="30"/>
        </w:rPr>
        <w:t>万元，较2018年减少</w:t>
      </w:r>
      <w:r>
        <w:rPr>
          <w:rFonts w:hint="eastAsia" w:ascii="仿宋" w:hAnsi="仿宋" w:eastAsia="仿宋"/>
          <w:sz w:val="30"/>
          <w:szCs w:val="30"/>
          <w:lang w:val="en-US" w:eastAsia="zh-CN"/>
        </w:rPr>
        <w:t>80.49</w:t>
      </w:r>
      <w:r>
        <w:rPr>
          <w:rFonts w:hint="eastAsia" w:ascii="仿宋" w:hAnsi="仿宋" w:eastAsia="仿宋"/>
          <w:sz w:val="30"/>
          <w:szCs w:val="30"/>
        </w:rPr>
        <w:t>万元，下降</w:t>
      </w:r>
      <w:r>
        <w:rPr>
          <w:rFonts w:hint="eastAsia" w:ascii="仿宋" w:hAnsi="仿宋" w:eastAsia="仿宋"/>
          <w:sz w:val="30"/>
          <w:szCs w:val="30"/>
          <w:lang w:val="en-US" w:eastAsia="zh-CN"/>
        </w:rPr>
        <w:t>33.22</w:t>
      </w:r>
      <w:r>
        <w:rPr>
          <w:rFonts w:hint="eastAsia" w:ascii="仿宋" w:hAnsi="仿宋" w:eastAsia="仿宋"/>
          <w:sz w:val="30"/>
          <w:szCs w:val="30"/>
        </w:rPr>
        <w:t>%，主要原因是：</w:t>
      </w:r>
      <w:r>
        <w:rPr>
          <w:rFonts w:hint="eastAsia" w:ascii="仿宋" w:hAnsi="仿宋" w:eastAsia="仿宋"/>
          <w:sz w:val="30"/>
          <w:szCs w:val="30"/>
          <w:lang w:eastAsia="zh-CN"/>
        </w:rPr>
        <w:t>厉行节约，精简开支</w:t>
      </w:r>
      <w:r>
        <w:rPr>
          <w:rFonts w:hint="eastAsia" w:ascii="仿宋" w:hAnsi="仿宋" w:eastAsia="仿宋"/>
          <w:sz w:val="30"/>
          <w:szCs w:val="30"/>
        </w:rPr>
        <w:t>；年末结转和结余</w:t>
      </w:r>
      <w:r>
        <w:rPr>
          <w:rFonts w:hint="eastAsia" w:ascii="仿宋" w:hAnsi="仿宋" w:eastAsia="仿宋"/>
          <w:sz w:val="30"/>
          <w:szCs w:val="30"/>
          <w:lang w:val="en-US" w:eastAsia="zh-CN"/>
        </w:rPr>
        <w:t>26.21</w:t>
      </w:r>
      <w:r>
        <w:rPr>
          <w:rFonts w:hint="eastAsia" w:ascii="仿宋" w:hAnsi="仿宋" w:eastAsia="仿宋"/>
          <w:sz w:val="30"/>
          <w:szCs w:val="30"/>
        </w:rPr>
        <w:t>万元，较2018年减少</w:t>
      </w:r>
      <w:r>
        <w:rPr>
          <w:rFonts w:hint="eastAsia" w:ascii="仿宋" w:hAnsi="仿宋" w:eastAsia="仿宋"/>
          <w:sz w:val="30"/>
          <w:szCs w:val="30"/>
          <w:lang w:val="en-US" w:eastAsia="zh-CN"/>
        </w:rPr>
        <w:t>5.57</w:t>
      </w:r>
      <w:r>
        <w:rPr>
          <w:rFonts w:hint="eastAsia" w:ascii="仿宋" w:hAnsi="仿宋" w:eastAsia="仿宋"/>
          <w:sz w:val="30"/>
          <w:szCs w:val="30"/>
        </w:rPr>
        <w:t>万元，下降</w:t>
      </w:r>
      <w:r>
        <w:rPr>
          <w:rFonts w:hint="eastAsia" w:ascii="仿宋" w:hAnsi="仿宋" w:eastAsia="仿宋"/>
          <w:sz w:val="30"/>
          <w:szCs w:val="30"/>
          <w:lang w:val="en-US" w:eastAsia="zh-CN"/>
        </w:rPr>
        <w:t>17.52</w:t>
      </w:r>
      <w:r>
        <w:rPr>
          <w:rFonts w:hint="eastAsia" w:ascii="仿宋" w:hAnsi="仿宋" w:eastAsia="仿宋"/>
          <w:sz w:val="30"/>
          <w:szCs w:val="30"/>
        </w:rPr>
        <w:t>%，主要原因是：</w:t>
      </w:r>
      <w:r>
        <w:rPr>
          <w:rFonts w:hint="eastAsia" w:ascii="仿宋" w:hAnsi="仿宋" w:eastAsia="仿宋"/>
          <w:sz w:val="30"/>
          <w:szCs w:val="30"/>
          <w:lang w:eastAsia="zh-CN"/>
        </w:rPr>
        <w:t>预算执行率提高</w:t>
      </w:r>
      <w:r>
        <w:rPr>
          <w:rFonts w:hint="eastAsia" w:ascii="仿宋" w:hAnsi="仿宋" w:eastAsia="仿宋"/>
          <w:sz w:val="30"/>
          <w:szCs w:val="30"/>
        </w:rPr>
        <w:t>。</w:t>
      </w:r>
    </w:p>
    <w:p>
      <w:pPr>
        <w:ind w:firstLine="630"/>
        <w:jc w:val="left"/>
        <w:rPr>
          <w:rFonts w:hint="eastAsia" w:ascii="仿宋" w:hAnsi="仿宋" w:eastAsia="仿宋"/>
          <w:sz w:val="30"/>
          <w:szCs w:val="30"/>
        </w:rPr>
      </w:pPr>
      <w:r>
        <w:rPr>
          <w:rFonts w:hint="eastAsia" w:ascii="仿宋" w:hAnsi="仿宋" w:eastAsia="仿宋"/>
          <w:sz w:val="30"/>
          <w:szCs w:val="30"/>
        </w:rPr>
        <w:t>本年支出的具体构成为：基本支出</w:t>
      </w:r>
      <w:r>
        <w:rPr>
          <w:rFonts w:hint="eastAsia" w:ascii="仿宋" w:hAnsi="仿宋" w:eastAsia="仿宋"/>
          <w:sz w:val="30"/>
          <w:szCs w:val="30"/>
          <w:lang w:val="en-US" w:eastAsia="zh-CN"/>
        </w:rPr>
        <w:t>156.12</w:t>
      </w:r>
      <w:r>
        <w:rPr>
          <w:rFonts w:hint="eastAsia" w:ascii="仿宋" w:hAnsi="仿宋" w:eastAsia="仿宋"/>
          <w:sz w:val="30"/>
          <w:szCs w:val="30"/>
        </w:rPr>
        <w:t>万元，占</w:t>
      </w:r>
      <w:r>
        <w:rPr>
          <w:rFonts w:hint="eastAsia" w:ascii="仿宋" w:hAnsi="仿宋" w:eastAsia="仿宋"/>
          <w:sz w:val="30"/>
          <w:szCs w:val="30"/>
          <w:lang w:val="en-US" w:eastAsia="zh-CN"/>
        </w:rPr>
        <w:t>96.49</w:t>
      </w:r>
      <w:r>
        <w:rPr>
          <w:rFonts w:hint="eastAsia" w:ascii="仿宋" w:hAnsi="仿宋" w:eastAsia="仿宋"/>
          <w:sz w:val="30"/>
          <w:szCs w:val="30"/>
        </w:rPr>
        <w:t>%；项目支出</w:t>
      </w:r>
      <w:r>
        <w:rPr>
          <w:rFonts w:hint="eastAsia" w:ascii="仿宋" w:hAnsi="仿宋" w:eastAsia="仿宋"/>
          <w:sz w:val="30"/>
          <w:szCs w:val="30"/>
          <w:lang w:val="en-US" w:eastAsia="zh-CN"/>
        </w:rPr>
        <w:t>5.68</w:t>
      </w:r>
      <w:r>
        <w:rPr>
          <w:rFonts w:hint="eastAsia" w:ascii="仿宋" w:hAnsi="仿宋" w:eastAsia="仿宋"/>
          <w:sz w:val="30"/>
          <w:szCs w:val="30"/>
        </w:rPr>
        <w:t>万元，占</w:t>
      </w:r>
      <w:r>
        <w:rPr>
          <w:rFonts w:hint="eastAsia" w:ascii="仿宋" w:hAnsi="仿宋" w:eastAsia="仿宋"/>
          <w:sz w:val="30"/>
          <w:szCs w:val="30"/>
          <w:lang w:val="en-US" w:eastAsia="zh-CN"/>
        </w:rPr>
        <w:t>3.51</w:t>
      </w:r>
      <w:r>
        <w:rPr>
          <w:rFonts w:hint="eastAsia" w:ascii="仿宋" w:hAnsi="仿宋" w:eastAsia="仿宋"/>
          <w:sz w:val="30"/>
          <w:szCs w:val="30"/>
        </w:rPr>
        <w:t xml:space="preserve">%；经营支出 </w:t>
      </w:r>
      <w:r>
        <w:rPr>
          <w:rFonts w:hint="eastAsia" w:ascii="仿宋" w:hAnsi="仿宋" w:eastAsia="仿宋"/>
          <w:sz w:val="30"/>
          <w:szCs w:val="30"/>
          <w:lang w:val="en-US" w:eastAsia="zh-CN"/>
        </w:rPr>
        <w:t>0</w:t>
      </w:r>
      <w:r>
        <w:rPr>
          <w:rFonts w:hint="eastAsia" w:ascii="仿宋" w:hAnsi="仿宋" w:eastAsia="仿宋"/>
          <w:sz w:val="30"/>
          <w:szCs w:val="30"/>
        </w:rPr>
        <w:t xml:space="preserve"> 万元，占</w:t>
      </w:r>
      <w:r>
        <w:rPr>
          <w:rFonts w:hint="eastAsia" w:ascii="仿宋" w:hAnsi="仿宋" w:eastAsia="仿宋"/>
          <w:sz w:val="30"/>
          <w:szCs w:val="30"/>
          <w:lang w:val="en-US" w:eastAsia="zh-CN"/>
        </w:rPr>
        <w:t>0</w:t>
      </w:r>
      <w:r>
        <w:rPr>
          <w:rFonts w:hint="eastAsia" w:ascii="仿宋" w:hAnsi="仿宋" w:eastAsia="仿宋"/>
          <w:sz w:val="30"/>
          <w:szCs w:val="30"/>
        </w:rPr>
        <w:t xml:space="preserve"> %；其他支出（对附属单位补助支出、上缴上级支出）</w:t>
      </w:r>
      <w:r>
        <w:rPr>
          <w:rFonts w:hint="eastAsia" w:ascii="仿宋" w:hAnsi="仿宋" w:eastAsia="仿宋"/>
          <w:sz w:val="30"/>
          <w:szCs w:val="30"/>
          <w:lang w:val="en-US" w:eastAsia="zh-CN"/>
        </w:rPr>
        <w:t>0</w:t>
      </w:r>
      <w:r>
        <w:rPr>
          <w:rFonts w:hint="eastAsia" w:ascii="仿宋" w:hAnsi="仿宋" w:eastAsia="仿宋"/>
          <w:sz w:val="30"/>
          <w:szCs w:val="30"/>
        </w:rPr>
        <w:t xml:space="preserve"> 万元，占</w:t>
      </w:r>
      <w:r>
        <w:rPr>
          <w:rFonts w:hint="eastAsia" w:ascii="仿宋" w:hAnsi="仿宋" w:eastAsia="仿宋"/>
          <w:sz w:val="30"/>
          <w:szCs w:val="30"/>
          <w:lang w:val="en-US" w:eastAsia="zh-CN"/>
        </w:rPr>
        <w:t>0</w:t>
      </w:r>
      <w:r>
        <w:rPr>
          <w:rFonts w:hint="eastAsia" w:ascii="仿宋" w:hAnsi="仿宋" w:eastAsia="仿宋"/>
          <w:sz w:val="30"/>
          <w:szCs w:val="30"/>
        </w:rPr>
        <w:t>%。</w:t>
      </w:r>
    </w:p>
    <w:p>
      <w:pPr>
        <w:ind w:firstLine="630"/>
        <w:jc w:val="left"/>
        <w:rPr>
          <w:rFonts w:hint="eastAsia" w:ascii="黑体" w:hAnsi="黑体" w:eastAsia="黑体"/>
          <w:sz w:val="30"/>
          <w:szCs w:val="30"/>
        </w:rPr>
      </w:pPr>
      <w:r>
        <w:rPr>
          <w:rFonts w:hint="eastAsia" w:ascii="黑体" w:hAnsi="黑体" w:eastAsia="黑体"/>
          <w:sz w:val="30"/>
          <w:szCs w:val="30"/>
        </w:rPr>
        <w:t>三、财政拨款支出决算情况说明</w:t>
      </w:r>
    </w:p>
    <w:p>
      <w:pPr>
        <w:ind w:firstLine="630"/>
        <w:jc w:val="left"/>
        <w:rPr>
          <w:rFonts w:hint="eastAsia" w:ascii="仿宋" w:hAnsi="仿宋" w:eastAsia="仿宋"/>
          <w:sz w:val="30"/>
          <w:szCs w:val="30"/>
        </w:rPr>
      </w:pPr>
      <w:r>
        <w:rPr>
          <w:rFonts w:hint="eastAsia" w:ascii="仿宋" w:hAnsi="仿宋" w:eastAsia="仿宋"/>
          <w:sz w:val="30"/>
          <w:szCs w:val="30"/>
        </w:rPr>
        <w:t>本部门2019年度财政拨款本年支出年初预算数为</w:t>
      </w:r>
      <w:r>
        <w:rPr>
          <w:rFonts w:hint="eastAsia" w:ascii="仿宋" w:hAnsi="仿宋" w:eastAsia="仿宋"/>
          <w:sz w:val="30"/>
          <w:szCs w:val="30"/>
          <w:lang w:val="en-US" w:eastAsia="zh-CN"/>
        </w:rPr>
        <w:t>157.49</w:t>
      </w:r>
      <w:r>
        <w:rPr>
          <w:rFonts w:hint="eastAsia" w:ascii="仿宋" w:hAnsi="仿宋" w:eastAsia="仿宋"/>
          <w:sz w:val="30"/>
          <w:szCs w:val="30"/>
        </w:rPr>
        <w:t>万元，决算数为</w:t>
      </w:r>
      <w:r>
        <w:rPr>
          <w:rFonts w:hint="eastAsia" w:ascii="仿宋" w:hAnsi="仿宋" w:eastAsia="仿宋"/>
          <w:sz w:val="30"/>
          <w:szCs w:val="30"/>
          <w:lang w:val="en-US" w:eastAsia="zh-CN"/>
        </w:rPr>
        <w:t>161.8</w:t>
      </w:r>
      <w:r>
        <w:rPr>
          <w:rFonts w:hint="eastAsia" w:ascii="仿宋" w:hAnsi="仿宋" w:eastAsia="仿宋"/>
          <w:sz w:val="30"/>
          <w:szCs w:val="30"/>
        </w:rPr>
        <w:t>万元，完成年初预算的</w:t>
      </w:r>
      <w:r>
        <w:rPr>
          <w:rFonts w:hint="eastAsia" w:ascii="仿宋" w:hAnsi="仿宋" w:eastAsia="仿宋"/>
          <w:sz w:val="30"/>
          <w:szCs w:val="30"/>
          <w:lang w:val="en-US" w:eastAsia="zh-CN"/>
        </w:rPr>
        <w:t>102.73</w:t>
      </w:r>
      <w:r>
        <w:rPr>
          <w:rFonts w:hint="eastAsia" w:ascii="仿宋" w:hAnsi="仿宋" w:eastAsia="仿宋"/>
          <w:sz w:val="30"/>
          <w:szCs w:val="30"/>
        </w:rPr>
        <w:t>%。其中：</w:t>
      </w:r>
    </w:p>
    <w:p>
      <w:pPr>
        <w:ind w:firstLine="630"/>
        <w:jc w:val="left"/>
        <w:rPr>
          <w:rFonts w:hint="eastAsia" w:ascii="仿宋" w:hAnsi="仿宋" w:eastAsia="仿宋"/>
          <w:sz w:val="30"/>
          <w:szCs w:val="30"/>
        </w:rPr>
      </w:pPr>
      <w:r>
        <w:rPr>
          <w:rFonts w:hint="eastAsia" w:ascii="仿宋" w:hAnsi="仿宋" w:eastAsia="仿宋"/>
          <w:sz w:val="30"/>
          <w:szCs w:val="30"/>
        </w:rPr>
        <w:t>（一）社会保障和就业支出年初预算数为</w:t>
      </w:r>
      <w:r>
        <w:rPr>
          <w:rFonts w:hint="eastAsia" w:ascii="仿宋" w:hAnsi="仿宋" w:eastAsia="仿宋"/>
          <w:sz w:val="30"/>
          <w:szCs w:val="30"/>
          <w:lang w:val="en-US" w:eastAsia="zh-CN"/>
        </w:rPr>
        <w:t>148.89</w:t>
      </w:r>
      <w:r>
        <w:rPr>
          <w:rFonts w:hint="eastAsia" w:ascii="仿宋" w:hAnsi="仿宋" w:eastAsia="仿宋"/>
          <w:sz w:val="30"/>
          <w:szCs w:val="30"/>
        </w:rPr>
        <w:t>万元，决算数为</w:t>
      </w:r>
      <w:r>
        <w:rPr>
          <w:rFonts w:hint="eastAsia" w:ascii="仿宋" w:hAnsi="仿宋" w:eastAsia="仿宋"/>
          <w:sz w:val="30"/>
          <w:szCs w:val="30"/>
          <w:lang w:val="en-US" w:eastAsia="zh-CN"/>
        </w:rPr>
        <w:t>152.95</w:t>
      </w:r>
      <w:r>
        <w:rPr>
          <w:rFonts w:hint="eastAsia" w:ascii="仿宋" w:hAnsi="仿宋" w:eastAsia="仿宋"/>
          <w:sz w:val="30"/>
          <w:szCs w:val="30"/>
        </w:rPr>
        <w:t>万元，完成年初预算的</w:t>
      </w:r>
      <w:r>
        <w:rPr>
          <w:rFonts w:hint="eastAsia" w:ascii="仿宋" w:hAnsi="仿宋" w:eastAsia="仿宋"/>
          <w:sz w:val="30"/>
          <w:szCs w:val="30"/>
          <w:lang w:val="en-US" w:eastAsia="zh-CN"/>
        </w:rPr>
        <w:t>102.72</w:t>
      </w:r>
      <w:r>
        <w:rPr>
          <w:rFonts w:hint="eastAsia" w:ascii="仿宋" w:hAnsi="仿宋" w:eastAsia="仿宋"/>
          <w:sz w:val="30"/>
          <w:szCs w:val="30"/>
        </w:rPr>
        <w:t>%，主要原因是：</w:t>
      </w:r>
      <w:r>
        <w:rPr>
          <w:rFonts w:hint="eastAsia" w:ascii="仿宋" w:hAnsi="仿宋" w:eastAsia="仿宋"/>
          <w:sz w:val="30"/>
          <w:szCs w:val="30"/>
          <w:lang w:eastAsia="zh-CN"/>
        </w:rPr>
        <w:t>社会保险费增加</w:t>
      </w:r>
      <w:r>
        <w:rPr>
          <w:rFonts w:hint="eastAsia" w:ascii="仿宋" w:hAnsi="仿宋" w:eastAsia="仿宋"/>
          <w:sz w:val="30"/>
          <w:szCs w:val="30"/>
        </w:rPr>
        <w:t>。</w:t>
      </w:r>
    </w:p>
    <w:p>
      <w:pPr>
        <w:ind w:firstLine="630"/>
        <w:jc w:val="left"/>
        <w:rPr>
          <w:rFonts w:hint="eastAsia" w:ascii="仿宋" w:hAnsi="仿宋" w:eastAsia="仿宋"/>
          <w:sz w:val="30"/>
          <w:szCs w:val="30"/>
        </w:rPr>
      </w:pPr>
      <w:r>
        <w:rPr>
          <w:rFonts w:hint="eastAsia" w:ascii="仿宋" w:hAnsi="仿宋" w:eastAsia="仿宋"/>
          <w:sz w:val="30"/>
          <w:szCs w:val="30"/>
        </w:rPr>
        <w:t>（二）住房保障支出年初预算数为</w:t>
      </w:r>
      <w:r>
        <w:rPr>
          <w:rFonts w:hint="eastAsia" w:ascii="仿宋" w:hAnsi="仿宋" w:eastAsia="仿宋"/>
          <w:sz w:val="30"/>
          <w:szCs w:val="30"/>
          <w:lang w:val="en-US" w:eastAsia="zh-CN"/>
        </w:rPr>
        <w:t>8.6</w:t>
      </w:r>
      <w:r>
        <w:rPr>
          <w:rFonts w:hint="eastAsia" w:ascii="仿宋" w:hAnsi="仿宋" w:eastAsia="仿宋"/>
          <w:sz w:val="30"/>
          <w:szCs w:val="30"/>
        </w:rPr>
        <w:t>万元，决算数为</w:t>
      </w:r>
      <w:r>
        <w:rPr>
          <w:rFonts w:hint="eastAsia" w:ascii="仿宋" w:hAnsi="仿宋" w:eastAsia="仿宋"/>
          <w:sz w:val="30"/>
          <w:szCs w:val="30"/>
          <w:lang w:val="en-US" w:eastAsia="zh-CN"/>
        </w:rPr>
        <w:t>8.84</w:t>
      </w:r>
      <w:r>
        <w:rPr>
          <w:rFonts w:hint="eastAsia" w:ascii="仿宋" w:hAnsi="仿宋" w:eastAsia="仿宋"/>
          <w:sz w:val="30"/>
          <w:szCs w:val="30"/>
        </w:rPr>
        <w:t>万元，完成年初预算的</w:t>
      </w:r>
      <w:r>
        <w:rPr>
          <w:rFonts w:hint="eastAsia" w:ascii="仿宋" w:hAnsi="仿宋" w:eastAsia="仿宋"/>
          <w:sz w:val="30"/>
          <w:szCs w:val="30"/>
          <w:lang w:val="en-US" w:eastAsia="zh-CN"/>
        </w:rPr>
        <w:t>102.79</w:t>
      </w:r>
      <w:r>
        <w:rPr>
          <w:rFonts w:hint="eastAsia" w:ascii="仿宋" w:hAnsi="仿宋" w:eastAsia="仿宋"/>
          <w:sz w:val="30"/>
          <w:szCs w:val="30"/>
        </w:rPr>
        <w:t>%，主要原因是：</w:t>
      </w:r>
      <w:r>
        <w:rPr>
          <w:rFonts w:hint="eastAsia" w:ascii="仿宋" w:hAnsi="仿宋" w:eastAsia="仿宋"/>
          <w:sz w:val="30"/>
          <w:szCs w:val="30"/>
          <w:lang w:eastAsia="zh-CN"/>
        </w:rPr>
        <w:t>住房公积金增加</w:t>
      </w:r>
      <w:r>
        <w:rPr>
          <w:rFonts w:hint="eastAsia" w:ascii="仿宋" w:hAnsi="仿宋" w:eastAsia="仿宋"/>
          <w:sz w:val="30"/>
          <w:szCs w:val="30"/>
        </w:rPr>
        <w:t>。</w:t>
      </w:r>
    </w:p>
    <w:p>
      <w:pPr>
        <w:ind w:firstLine="585"/>
        <w:jc w:val="left"/>
        <w:rPr>
          <w:rFonts w:hint="eastAsia" w:ascii="黑体" w:hAnsi="黑体" w:eastAsia="黑体"/>
          <w:sz w:val="30"/>
          <w:szCs w:val="30"/>
        </w:rPr>
      </w:pPr>
      <w:r>
        <w:rPr>
          <w:rFonts w:hint="eastAsia" w:ascii="黑体" w:hAnsi="黑体" w:eastAsia="黑体"/>
          <w:sz w:val="30"/>
          <w:szCs w:val="30"/>
        </w:rPr>
        <w:t>四、一般公共预算财政拨款基本支出决算情况说明</w:t>
      </w:r>
    </w:p>
    <w:p>
      <w:pPr>
        <w:ind w:firstLine="585"/>
        <w:jc w:val="left"/>
        <w:rPr>
          <w:rFonts w:hint="eastAsia" w:ascii="仿宋" w:hAnsi="仿宋" w:eastAsia="仿宋"/>
          <w:sz w:val="30"/>
          <w:szCs w:val="30"/>
        </w:rPr>
      </w:pPr>
      <w:r>
        <w:rPr>
          <w:rFonts w:hint="eastAsia" w:ascii="仿宋" w:hAnsi="仿宋" w:eastAsia="仿宋"/>
          <w:sz w:val="30"/>
          <w:szCs w:val="30"/>
        </w:rPr>
        <w:t>本部门2019年度一般公共预算财政拨款基本支出</w:t>
      </w:r>
      <w:r>
        <w:rPr>
          <w:rFonts w:hint="eastAsia" w:ascii="仿宋" w:hAnsi="仿宋" w:eastAsia="仿宋"/>
          <w:sz w:val="30"/>
          <w:szCs w:val="30"/>
          <w:lang w:val="en-US" w:eastAsia="zh-CN"/>
        </w:rPr>
        <w:t>156.12</w:t>
      </w:r>
      <w:r>
        <w:rPr>
          <w:rFonts w:hint="eastAsia" w:ascii="仿宋" w:hAnsi="仿宋" w:eastAsia="仿宋"/>
          <w:sz w:val="30"/>
          <w:szCs w:val="30"/>
        </w:rPr>
        <w:t>万元，其中：</w:t>
      </w:r>
    </w:p>
    <w:p>
      <w:pPr>
        <w:ind w:firstLine="585"/>
        <w:jc w:val="left"/>
        <w:rPr>
          <w:rFonts w:hint="eastAsia" w:ascii="仿宋" w:hAnsi="仿宋" w:eastAsia="仿宋"/>
          <w:sz w:val="30"/>
          <w:szCs w:val="30"/>
        </w:rPr>
      </w:pPr>
      <w:r>
        <w:rPr>
          <w:rFonts w:hint="eastAsia" w:ascii="仿宋" w:hAnsi="仿宋" w:eastAsia="仿宋"/>
          <w:sz w:val="30"/>
          <w:szCs w:val="30"/>
        </w:rPr>
        <w:t>（一）工资福利支出</w:t>
      </w:r>
      <w:r>
        <w:rPr>
          <w:rFonts w:hint="eastAsia" w:ascii="仿宋" w:hAnsi="仿宋" w:eastAsia="仿宋"/>
          <w:sz w:val="30"/>
          <w:szCs w:val="30"/>
          <w:lang w:val="en-US" w:eastAsia="zh-CN"/>
        </w:rPr>
        <w:t>154.25</w:t>
      </w:r>
      <w:r>
        <w:rPr>
          <w:rFonts w:hint="eastAsia" w:ascii="仿宋" w:hAnsi="仿宋" w:eastAsia="仿宋"/>
          <w:sz w:val="30"/>
          <w:szCs w:val="30"/>
        </w:rPr>
        <w:t>万元，较2018年减少</w:t>
      </w:r>
      <w:r>
        <w:rPr>
          <w:rFonts w:hint="eastAsia" w:ascii="仿宋" w:hAnsi="仿宋" w:eastAsia="仿宋"/>
          <w:sz w:val="30"/>
          <w:szCs w:val="30"/>
          <w:lang w:val="en-US" w:eastAsia="zh-CN"/>
        </w:rPr>
        <w:t>24.28</w:t>
      </w:r>
      <w:r>
        <w:rPr>
          <w:rFonts w:hint="eastAsia" w:ascii="仿宋" w:hAnsi="仿宋" w:eastAsia="仿宋"/>
          <w:sz w:val="30"/>
          <w:szCs w:val="30"/>
        </w:rPr>
        <w:t>万元，下降</w:t>
      </w:r>
      <w:r>
        <w:rPr>
          <w:rFonts w:hint="eastAsia" w:ascii="仿宋" w:hAnsi="仿宋" w:eastAsia="仿宋"/>
          <w:sz w:val="30"/>
          <w:szCs w:val="30"/>
          <w:lang w:val="en-US" w:eastAsia="zh-CN"/>
        </w:rPr>
        <w:t>13.6</w:t>
      </w:r>
      <w:r>
        <w:rPr>
          <w:rFonts w:hint="eastAsia" w:ascii="仿宋" w:hAnsi="仿宋" w:eastAsia="仿宋"/>
          <w:sz w:val="30"/>
          <w:szCs w:val="30"/>
        </w:rPr>
        <w:t>%，主要原因是：</w:t>
      </w:r>
      <w:r>
        <w:rPr>
          <w:rFonts w:hint="eastAsia" w:ascii="仿宋" w:hAnsi="仿宋" w:eastAsia="仿宋"/>
          <w:sz w:val="30"/>
          <w:szCs w:val="30"/>
          <w:lang w:eastAsia="zh-CN"/>
        </w:rPr>
        <w:t>人员变动</w:t>
      </w:r>
      <w:r>
        <w:rPr>
          <w:rFonts w:hint="eastAsia" w:ascii="仿宋" w:hAnsi="仿宋" w:eastAsia="仿宋"/>
          <w:sz w:val="30"/>
          <w:szCs w:val="30"/>
        </w:rPr>
        <w:t>。</w:t>
      </w:r>
    </w:p>
    <w:p>
      <w:pPr>
        <w:ind w:firstLine="585"/>
        <w:jc w:val="left"/>
        <w:rPr>
          <w:rFonts w:hint="eastAsia" w:ascii="仿宋" w:hAnsi="仿宋" w:eastAsia="仿宋"/>
          <w:sz w:val="30"/>
          <w:szCs w:val="30"/>
        </w:rPr>
      </w:pPr>
      <w:r>
        <w:rPr>
          <w:rFonts w:hint="eastAsia" w:ascii="仿宋" w:hAnsi="仿宋" w:eastAsia="仿宋"/>
          <w:sz w:val="30"/>
          <w:szCs w:val="30"/>
        </w:rPr>
        <w:t>（二）商品和服务支出</w:t>
      </w:r>
      <w:r>
        <w:rPr>
          <w:rFonts w:hint="eastAsia" w:ascii="仿宋" w:hAnsi="仿宋" w:eastAsia="仿宋"/>
          <w:sz w:val="30"/>
          <w:szCs w:val="30"/>
          <w:lang w:val="en-US" w:eastAsia="zh-CN"/>
        </w:rPr>
        <w:t>2.75</w:t>
      </w:r>
      <w:r>
        <w:rPr>
          <w:rFonts w:hint="eastAsia" w:ascii="仿宋" w:hAnsi="仿宋" w:eastAsia="仿宋"/>
          <w:sz w:val="30"/>
          <w:szCs w:val="30"/>
        </w:rPr>
        <w:t>万元，较2018年减少</w:t>
      </w:r>
      <w:r>
        <w:rPr>
          <w:rFonts w:hint="eastAsia" w:ascii="仿宋" w:hAnsi="仿宋" w:eastAsia="仿宋"/>
          <w:sz w:val="30"/>
          <w:szCs w:val="30"/>
          <w:lang w:val="en-US" w:eastAsia="zh-CN"/>
        </w:rPr>
        <w:t>8.17</w:t>
      </w:r>
      <w:r>
        <w:rPr>
          <w:rFonts w:hint="eastAsia" w:ascii="仿宋" w:hAnsi="仿宋" w:eastAsia="仿宋"/>
          <w:sz w:val="30"/>
          <w:szCs w:val="30"/>
        </w:rPr>
        <w:t>万元，下降</w:t>
      </w:r>
      <w:r>
        <w:rPr>
          <w:rFonts w:hint="eastAsia" w:ascii="仿宋" w:hAnsi="仿宋" w:eastAsia="仿宋"/>
          <w:sz w:val="30"/>
          <w:szCs w:val="30"/>
          <w:lang w:val="en-US" w:eastAsia="zh-CN"/>
        </w:rPr>
        <w:t>74.81</w:t>
      </w:r>
      <w:r>
        <w:rPr>
          <w:rFonts w:hint="eastAsia" w:ascii="仿宋" w:hAnsi="仿宋" w:eastAsia="仿宋"/>
          <w:sz w:val="30"/>
          <w:szCs w:val="30"/>
        </w:rPr>
        <w:t xml:space="preserve"> %，主要原因是：</w:t>
      </w:r>
      <w:r>
        <w:rPr>
          <w:rFonts w:hint="eastAsia" w:ascii="仿宋" w:hAnsi="仿宋" w:eastAsia="仿宋"/>
          <w:sz w:val="30"/>
          <w:szCs w:val="30"/>
          <w:lang w:eastAsia="zh-CN"/>
        </w:rPr>
        <w:t>精简开支</w:t>
      </w:r>
      <w:r>
        <w:rPr>
          <w:rFonts w:hint="eastAsia" w:ascii="仿宋" w:hAnsi="仿宋" w:eastAsia="仿宋"/>
          <w:sz w:val="30"/>
          <w:szCs w:val="30"/>
        </w:rPr>
        <w:t>。</w:t>
      </w:r>
    </w:p>
    <w:p>
      <w:pPr>
        <w:ind w:firstLine="585"/>
        <w:jc w:val="left"/>
        <w:rPr>
          <w:rFonts w:hint="eastAsia" w:ascii="仿宋" w:hAnsi="仿宋" w:eastAsia="仿宋"/>
          <w:sz w:val="30"/>
          <w:szCs w:val="30"/>
        </w:rPr>
      </w:pPr>
      <w:r>
        <w:rPr>
          <w:rFonts w:hint="eastAsia" w:ascii="仿宋" w:hAnsi="仿宋" w:eastAsia="仿宋"/>
          <w:sz w:val="30"/>
          <w:szCs w:val="30"/>
        </w:rPr>
        <w:t>（三）对个人和家庭补助支出</w:t>
      </w:r>
      <w:r>
        <w:rPr>
          <w:rFonts w:hint="eastAsia" w:ascii="仿宋" w:hAnsi="仿宋" w:eastAsia="仿宋"/>
          <w:sz w:val="30"/>
          <w:szCs w:val="30"/>
          <w:lang w:val="en-US" w:eastAsia="zh-CN"/>
        </w:rPr>
        <w:t>1.04</w:t>
      </w:r>
      <w:r>
        <w:rPr>
          <w:rFonts w:hint="eastAsia" w:ascii="仿宋" w:hAnsi="仿宋" w:eastAsia="仿宋"/>
          <w:sz w:val="30"/>
          <w:szCs w:val="30"/>
        </w:rPr>
        <w:t>万元，较2018年</w:t>
      </w:r>
      <w:r>
        <w:rPr>
          <w:rFonts w:hint="eastAsia" w:ascii="仿宋" w:hAnsi="仿宋" w:eastAsia="仿宋"/>
          <w:sz w:val="30"/>
          <w:szCs w:val="30"/>
          <w:lang w:eastAsia="zh-CN"/>
        </w:rPr>
        <w:t>增加</w:t>
      </w:r>
      <w:r>
        <w:rPr>
          <w:rFonts w:hint="eastAsia" w:ascii="仿宋" w:hAnsi="仿宋" w:eastAsia="仿宋"/>
          <w:sz w:val="30"/>
          <w:szCs w:val="30"/>
          <w:lang w:val="en-US" w:eastAsia="zh-CN"/>
        </w:rPr>
        <w:t>0.36</w:t>
      </w:r>
      <w:r>
        <w:rPr>
          <w:rFonts w:hint="eastAsia" w:ascii="仿宋" w:hAnsi="仿宋" w:eastAsia="仿宋"/>
          <w:sz w:val="30"/>
          <w:szCs w:val="30"/>
        </w:rPr>
        <w:t>万元，增长</w:t>
      </w:r>
      <w:r>
        <w:rPr>
          <w:rFonts w:hint="eastAsia" w:ascii="仿宋" w:hAnsi="仿宋" w:eastAsia="仿宋"/>
          <w:sz w:val="30"/>
          <w:szCs w:val="30"/>
          <w:lang w:val="en-US" w:eastAsia="zh-CN"/>
        </w:rPr>
        <w:t>34.61</w:t>
      </w:r>
      <w:r>
        <w:rPr>
          <w:rFonts w:hint="eastAsia" w:ascii="仿宋" w:hAnsi="仿宋" w:eastAsia="仿宋"/>
          <w:sz w:val="30"/>
          <w:szCs w:val="30"/>
        </w:rPr>
        <w:t>%，主要原因是：</w:t>
      </w:r>
      <w:r>
        <w:rPr>
          <w:rFonts w:hint="eastAsia" w:ascii="仿宋" w:hAnsi="仿宋" w:eastAsia="仿宋"/>
          <w:sz w:val="30"/>
          <w:szCs w:val="30"/>
          <w:lang w:eastAsia="zh-CN"/>
        </w:rPr>
        <w:t>退休人员增加</w:t>
      </w:r>
      <w:r>
        <w:rPr>
          <w:rFonts w:hint="eastAsia" w:ascii="仿宋" w:hAnsi="仿宋" w:eastAsia="仿宋"/>
          <w:sz w:val="30"/>
          <w:szCs w:val="30"/>
        </w:rPr>
        <w:t>。</w:t>
      </w:r>
    </w:p>
    <w:p>
      <w:pPr>
        <w:ind w:firstLine="585"/>
        <w:jc w:val="left"/>
        <w:rPr>
          <w:rFonts w:hint="eastAsia" w:ascii="仿宋" w:hAnsi="仿宋" w:eastAsia="仿宋"/>
          <w:sz w:val="30"/>
          <w:szCs w:val="30"/>
        </w:rPr>
      </w:pPr>
      <w:r>
        <w:rPr>
          <w:rFonts w:hint="eastAsia" w:ascii="仿宋" w:hAnsi="仿宋" w:eastAsia="仿宋"/>
          <w:sz w:val="30"/>
          <w:szCs w:val="30"/>
        </w:rPr>
        <w:t>（四）资本性支出</w:t>
      </w:r>
      <w:r>
        <w:rPr>
          <w:rFonts w:hint="eastAsia" w:ascii="仿宋" w:hAnsi="仿宋" w:eastAsia="仿宋"/>
          <w:sz w:val="30"/>
          <w:szCs w:val="30"/>
          <w:lang w:val="en-US" w:eastAsia="zh-CN"/>
        </w:rPr>
        <w:t>3.75</w:t>
      </w:r>
      <w:r>
        <w:rPr>
          <w:rFonts w:hint="eastAsia" w:ascii="仿宋" w:hAnsi="仿宋" w:eastAsia="仿宋"/>
          <w:sz w:val="30"/>
          <w:szCs w:val="30"/>
        </w:rPr>
        <w:t>万元，较2018年增加</w:t>
      </w:r>
      <w:r>
        <w:rPr>
          <w:rFonts w:hint="eastAsia" w:ascii="仿宋" w:hAnsi="仿宋" w:eastAsia="仿宋"/>
          <w:sz w:val="30"/>
          <w:szCs w:val="30"/>
          <w:lang w:val="en-US" w:eastAsia="zh-CN"/>
        </w:rPr>
        <w:t>2.72</w:t>
      </w:r>
      <w:r>
        <w:rPr>
          <w:rFonts w:hint="eastAsia" w:ascii="仿宋" w:hAnsi="仿宋" w:eastAsia="仿宋"/>
          <w:sz w:val="30"/>
          <w:szCs w:val="30"/>
        </w:rPr>
        <w:t xml:space="preserve"> 万元，增长</w:t>
      </w:r>
      <w:r>
        <w:rPr>
          <w:rFonts w:hint="eastAsia" w:ascii="仿宋" w:hAnsi="仿宋" w:eastAsia="仿宋"/>
          <w:sz w:val="30"/>
          <w:szCs w:val="30"/>
          <w:lang w:val="en-US" w:eastAsia="zh-CN"/>
        </w:rPr>
        <w:t>72.53</w:t>
      </w:r>
      <w:r>
        <w:rPr>
          <w:rFonts w:hint="eastAsia" w:ascii="仿宋" w:hAnsi="仿宋" w:eastAsia="仿宋"/>
          <w:sz w:val="30"/>
          <w:szCs w:val="30"/>
        </w:rPr>
        <w:t>%，主要原因是：</w:t>
      </w:r>
      <w:r>
        <w:rPr>
          <w:rFonts w:hint="eastAsia" w:ascii="仿宋" w:hAnsi="仿宋" w:eastAsia="仿宋"/>
          <w:sz w:val="30"/>
          <w:szCs w:val="30"/>
          <w:lang w:eastAsia="zh-CN"/>
        </w:rPr>
        <w:t>购买了办公设备</w:t>
      </w:r>
      <w:r>
        <w:rPr>
          <w:rFonts w:hint="eastAsia" w:ascii="仿宋" w:hAnsi="仿宋" w:eastAsia="仿宋"/>
          <w:sz w:val="30"/>
          <w:szCs w:val="30"/>
        </w:rPr>
        <w:t>。</w:t>
      </w:r>
    </w:p>
    <w:p>
      <w:pPr>
        <w:ind w:firstLine="630"/>
        <w:jc w:val="left"/>
        <w:rPr>
          <w:rFonts w:hint="eastAsia" w:ascii="黑体" w:hAnsi="黑体" w:eastAsia="黑体"/>
          <w:sz w:val="30"/>
          <w:szCs w:val="30"/>
        </w:rPr>
      </w:pPr>
      <w:r>
        <w:rPr>
          <w:rFonts w:hint="eastAsia" w:ascii="黑体" w:hAnsi="黑体" w:eastAsia="黑体"/>
          <w:sz w:val="30"/>
          <w:szCs w:val="30"/>
        </w:rPr>
        <w:t>五、一般公共预算财政拨款“三公”经费支出决算情况说明</w:t>
      </w:r>
    </w:p>
    <w:p>
      <w:pPr>
        <w:ind w:firstLine="630"/>
        <w:jc w:val="left"/>
        <w:rPr>
          <w:rFonts w:hint="eastAsia" w:ascii="仿宋" w:hAnsi="仿宋" w:eastAsia="仿宋"/>
          <w:sz w:val="30"/>
          <w:szCs w:val="30"/>
        </w:rPr>
      </w:pPr>
      <w:r>
        <w:rPr>
          <w:rFonts w:hint="eastAsia" w:ascii="仿宋" w:hAnsi="仿宋" w:eastAsia="仿宋"/>
          <w:sz w:val="30"/>
          <w:szCs w:val="30"/>
        </w:rPr>
        <w:t>本部门2019年度一般公共预算财政拨款“三公”经费支出年初预算数为</w:t>
      </w:r>
      <w:r>
        <w:rPr>
          <w:rFonts w:hint="eastAsia" w:ascii="仿宋" w:hAnsi="仿宋" w:eastAsia="仿宋"/>
          <w:sz w:val="30"/>
          <w:szCs w:val="30"/>
          <w:lang w:val="en-US" w:eastAsia="zh-CN"/>
        </w:rPr>
        <w:t>0</w:t>
      </w:r>
      <w:r>
        <w:rPr>
          <w:rFonts w:hint="eastAsia" w:ascii="仿宋" w:hAnsi="仿宋" w:eastAsia="仿宋"/>
          <w:sz w:val="30"/>
          <w:szCs w:val="30"/>
        </w:rPr>
        <w:t>万元，决算数为</w:t>
      </w:r>
      <w:r>
        <w:rPr>
          <w:rFonts w:hint="eastAsia" w:ascii="仿宋" w:hAnsi="仿宋" w:eastAsia="仿宋"/>
          <w:sz w:val="30"/>
          <w:szCs w:val="30"/>
          <w:lang w:val="en-US" w:eastAsia="zh-CN"/>
        </w:rPr>
        <w:t>0</w:t>
      </w:r>
      <w:r>
        <w:rPr>
          <w:rFonts w:hint="eastAsia" w:ascii="仿宋" w:hAnsi="仿宋" w:eastAsia="仿宋"/>
          <w:sz w:val="30"/>
          <w:szCs w:val="30"/>
        </w:rPr>
        <w:t>万元，完成年初预算的</w:t>
      </w:r>
      <w:r>
        <w:rPr>
          <w:rFonts w:hint="eastAsia" w:ascii="仿宋" w:hAnsi="仿宋" w:eastAsia="仿宋"/>
          <w:sz w:val="30"/>
          <w:szCs w:val="30"/>
          <w:lang w:val="en-US" w:eastAsia="zh-CN"/>
        </w:rPr>
        <w:t>0</w:t>
      </w:r>
      <w:r>
        <w:rPr>
          <w:rFonts w:hint="eastAsia" w:ascii="仿宋" w:hAnsi="仿宋" w:eastAsia="仿宋"/>
          <w:sz w:val="30"/>
          <w:szCs w:val="30"/>
        </w:rPr>
        <w:t>%，决算数较2018年增加</w:t>
      </w:r>
      <w:r>
        <w:rPr>
          <w:rFonts w:hint="eastAsia" w:ascii="仿宋" w:hAnsi="仿宋" w:eastAsia="仿宋"/>
          <w:sz w:val="30"/>
          <w:szCs w:val="30"/>
          <w:lang w:val="en-US" w:eastAsia="zh-CN"/>
        </w:rPr>
        <w:t>0</w:t>
      </w:r>
      <w:r>
        <w:rPr>
          <w:rFonts w:hint="eastAsia" w:ascii="仿宋" w:hAnsi="仿宋" w:eastAsia="仿宋"/>
          <w:sz w:val="30"/>
          <w:szCs w:val="30"/>
        </w:rPr>
        <w:t>万元，增长</w:t>
      </w:r>
      <w:r>
        <w:rPr>
          <w:rFonts w:hint="eastAsia" w:ascii="仿宋" w:hAnsi="仿宋" w:eastAsia="仿宋"/>
          <w:sz w:val="30"/>
          <w:szCs w:val="30"/>
          <w:lang w:val="en-US" w:eastAsia="zh-CN"/>
        </w:rPr>
        <w:t>0</w:t>
      </w:r>
      <w:r>
        <w:rPr>
          <w:rFonts w:hint="eastAsia" w:ascii="仿宋" w:hAnsi="仿宋" w:eastAsia="仿宋"/>
          <w:sz w:val="30"/>
          <w:szCs w:val="30"/>
        </w:rPr>
        <w:t>%，其中：</w:t>
      </w:r>
    </w:p>
    <w:p>
      <w:pPr>
        <w:ind w:firstLine="630"/>
        <w:jc w:val="left"/>
        <w:rPr>
          <w:rFonts w:hint="eastAsia" w:ascii="仿宋" w:hAnsi="仿宋" w:eastAsia="仿宋"/>
          <w:sz w:val="30"/>
          <w:szCs w:val="30"/>
        </w:rPr>
      </w:pPr>
      <w:r>
        <w:rPr>
          <w:rFonts w:hint="eastAsia" w:ascii="仿宋" w:hAnsi="仿宋" w:eastAsia="仿宋"/>
          <w:sz w:val="30"/>
          <w:szCs w:val="30"/>
        </w:rPr>
        <w:t>（一）因公出国（境）支出年初预算数为</w:t>
      </w:r>
      <w:r>
        <w:rPr>
          <w:rFonts w:hint="eastAsia" w:ascii="仿宋" w:hAnsi="仿宋" w:eastAsia="仿宋"/>
          <w:sz w:val="30"/>
          <w:szCs w:val="30"/>
          <w:lang w:val="en-US" w:eastAsia="zh-CN"/>
        </w:rPr>
        <w:t>0</w:t>
      </w:r>
      <w:r>
        <w:rPr>
          <w:rFonts w:hint="eastAsia" w:ascii="仿宋" w:hAnsi="仿宋" w:eastAsia="仿宋"/>
          <w:sz w:val="30"/>
          <w:szCs w:val="30"/>
        </w:rPr>
        <w:t xml:space="preserve">万元，决算数为  </w:t>
      </w:r>
      <w:r>
        <w:rPr>
          <w:rFonts w:hint="eastAsia" w:ascii="仿宋" w:hAnsi="仿宋" w:eastAsia="仿宋"/>
          <w:sz w:val="30"/>
          <w:szCs w:val="30"/>
          <w:lang w:val="en-US" w:eastAsia="zh-CN"/>
        </w:rPr>
        <w:t>0</w:t>
      </w:r>
      <w:r>
        <w:rPr>
          <w:rFonts w:hint="eastAsia" w:ascii="仿宋" w:hAnsi="仿宋" w:eastAsia="仿宋"/>
          <w:sz w:val="30"/>
          <w:szCs w:val="30"/>
        </w:rPr>
        <w:t>万元，完成年初预算的</w:t>
      </w:r>
      <w:r>
        <w:rPr>
          <w:rFonts w:hint="eastAsia" w:ascii="仿宋" w:hAnsi="仿宋" w:eastAsia="仿宋"/>
          <w:sz w:val="30"/>
          <w:szCs w:val="30"/>
          <w:lang w:val="en-US" w:eastAsia="zh-CN"/>
        </w:rPr>
        <w:t>0</w:t>
      </w:r>
      <w:r>
        <w:rPr>
          <w:rFonts w:hint="eastAsia" w:ascii="仿宋" w:hAnsi="仿宋" w:eastAsia="仿宋"/>
          <w:sz w:val="30"/>
          <w:szCs w:val="30"/>
        </w:rPr>
        <w:t xml:space="preserve"> %，决算数较2018年增加</w:t>
      </w:r>
      <w:r>
        <w:rPr>
          <w:rFonts w:hint="eastAsia" w:ascii="仿宋" w:hAnsi="仿宋" w:eastAsia="仿宋"/>
          <w:sz w:val="30"/>
          <w:szCs w:val="30"/>
          <w:lang w:val="en-US" w:eastAsia="zh-CN"/>
        </w:rPr>
        <w:t>0</w:t>
      </w:r>
      <w:r>
        <w:rPr>
          <w:rFonts w:hint="eastAsia" w:ascii="仿宋" w:hAnsi="仿宋" w:eastAsia="仿宋"/>
          <w:sz w:val="30"/>
          <w:szCs w:val="30"/>
        </w:rPr>
        <w:t>万元，增长</w:t>
      </w:r>
      <w:r>
        <w:rPr>
          <w:rFonts w:hint="eastAsia" w:ascii="仿宋" w:hAnsi="仿宋" w:eastAsia="仿宋"/>
          <w:sz w:val="30"/>
          <w:szCs w:val="30"/>
          <w:lang w:val="en-US" w:eastAsia="zh-CN"/>
        </w:rPr>
        <w:t>0</w:t>
      </w:r>
      <w:r>
        <w:rPr>
          <w:rFonts w:hint="eastAsia" w:ascii="仿宋" w:hAnsi="仿宋" w:eastAsia="仿宋"/>
          <w:sz w:val="30"/>
          <w:szCs w:val="30"/>
        </w:rPr>
        <w:t>%。</w:t>
      </w:r>
    </w:p>
    <w:p>
      <w:pPr>
        <w:ind w:firstLine="630"/>
        <w:jc w:val="left"/>
        <w:rPr>
          <w:rFonts w:hint="eastAsia" w:ascii="仿宋" w:hAnsi="仿宋" w:eastAsia="仿宋"/>
          <w:sz w:val="30"/>
          <w:szCs w:val="30"/>
        </w:rPr>
      </w:pPr>
      <w:r>
        <w:rPr>
          <w:rFonts w:hint="eastAsia" w:ascii="仿宋" w:hAnsi="仿宋" w:eastAsia="仿宋"/>
          <w:sz w:val="30"/>
          <w:szCs w:val="30"/>
        </w:rPr>
        <w:t>（二）公务接待费支出年初预算数为</w:t>
      </w:r>
      <w:r>
        <w:rPr>
          <w:rFonts w:hint="eastAsia" w:ascii="仿宋" w:hAnsi="仿宋" w:eastAsia="仿宋"/>
          <w:sz w:val="30"/>
          <w:szCs w:val="30"/>
          <w:lang w:val="en-US" w:eastAsia="zh-CN"/>
        </w:rPr>
        <w:t>0</w:t>
      </w:r>
      <w:r>
        <w:rPr>
          <w:rFonts w:hint="eastAsia" w:ascii="仿宋" w:hAnsi="仿宋" w:eastAsia="仿宋"/>
          <w:sz w:val="30"/>
          <w:szCs w:val="30"/>
        </w:rPr>
        <w:t>万元，决算数为</w:t>
      </w:r>
      <w:r>
        <w:rPr>
          <w:rFonts w:hint="eastAsia" w:ascii="仿宋" w:hAnsi="仿宋" w:eastAsia="仿宋"/>
          <w:sz w:val="30"/>
          <w:szCs w:val="30"/>
          <w:lang w:val="en-US" w:eastAsia="zh-CN"/>
        </w:rPr>
        <w:t>0</w:t>
      </w:r>
      <w:r>
        <w:rPr>
          <w:rFonts w:hint="eastAsia" w:ascii="仿宋" w:hAnsi="仿宋" w:eastAsia="仿宋"/>
          <w:sz w:val="30"/>
          <w:szCs w:val="30"/>
        </w:rPr>
        <w:t>万元，决算数较2018年增加</w:t>
      </w:r>
      <w:r>
        <w:rPr>
          <w:rFonts w:hint="eastAsia" w:ascii="仿宋" w:hAnsi="仿宋" w:eastAsia="仿宋"/>
          <w:sz w:val="30"/>
          <w:szCs w:val="30"/>
          <w:lang w:val="en-US" w:eastAsia="zh-CN"/>
        </w:rPr>
        <w:t>0</w:t>
      </w:r>
      <w:r>
        <w:rPr>
          <w:rFonts w:hint="eastAsia" w:ascii="仿宋" w:hAnsi="仿宋" w:eastAsia="仿宋"/>
          <w:sz w:val="30"/>
          <w:szCs w:val="30"/>
        </w:rPr>
        <w:t>万元，增长</w:t>
      </w:r>
      <w:r>
        <w:rPr>
          <w:rFonts w:hint="eastAsia" w:ascii="仿宋" w:hAnsi="仿宋" w:eastAsia="仿宋"/>
          <w:sz w:val="30"/>
          <w:szCs w:val="30"/>
          <w:lang w:val="en-US" w:eastAsia="zh-CN"/>
        </w:rPr>
        <w:t>0</w:t>
      </w:r>
      <w:r>
        <w:rPr>
          <w:rFonts w:hint="eastAsia" w:ascii="仿宋" w:hAnsi="仿宋" w:eastAsia="仿宋"/>
          <w:sz w:val="30"/>
          <w:szCs w:val="30"/>
        </w:rPr>
        <w:t>%。</w:t>
      </w:r>
    </w:p>
    <w:p>
      <w:pPr>
        <w:ind w:firstLine="630"/>
        <w:jc w:val="left"/>
        <w:rPr>
          <w:rFonts w:hint="eastAsia" w:ascii="仿宋" w:hAnsi="仿宋" w:eastAsia="仿宋"/>
          <w:sz w:val="30"/>
          <w:szCs w:val="30"/>
        </w:rPr>
      </w:pPr>
      <w:r>
        <w:rPr>
          <w:rFonts w:hint="eastAsia" w:ascii="仿宋" w:hAnsi="仿宋" w:eastAsia="仿宋"/>
          <w:sz w:val="30"/>
          <w:szCs w:val="30"/>
        </w:rPr>
        <w:t>（三）公务用车购置及运行维护费支出</w:t>
      </w:r>
      <w:r>
        <w:rPr>
          <w:rFonts w:hint="eastAsia" w:ascii="仿宋" w:hAnsi="仿宋" w:eastAsia="仿宋"/>
          <w:sz w:val="30"/>
          <w:szCs w:val="30"/>
          <w:lang w:val="en-US" w:eastAsia="zh-CN"/>
        </w:rPr>
        <w:t>0</w:t>
      </w:r>
      <w:r>
        <w:rPr>
          <w:rFonts w:hint="eastAsia" w:ascii="仿宋" w:hAnsi="仿宋" w:eastAsia="仿宋"/>
          <w:sz w:val="30"/>
          <w:szCs w:val="30"/>
        </w:rPr>
        <w:t xml:space="preserve"> 万元，其中公务用车购置年初预算数为</w:t>
      </w:r>
      <w:r>
        <w:rPr>
          <w:rFonts w:hint="eastAsia" w:ascii="仿宋" w:hAnsi="仿宋" w:eastAsia="仿宋"/>
          <w:sz w:val="30"/>
          <w:szCs w:val="30"/>
          <w:lang w:val="en-US" w:eastAsia="zh-CN"/>
        </w:rPr>
        <w:t>0</w:t>
      </w:r>
      <w:r>
        <w:rPr>
          <w:rFonts w:hint="eastAsia" w:ascii="仿宋" w:hAnsi="仿宋" w:eastAsia="仿宋"/>
          <w:sz w:val="30"/>
          <w:szCs w:val="30"/>
        </w:rPr>
        <w:t>万元，决算数为</w:t>
      </w:r>
      <w:r>
        <w:rPr>
          <w:rFonts w:hint="eastAsia" w:ascii="仿宋" w:hAnsi="仿宋" w:eastAsia="仿宋"/>
          <w:sz w:val="30"/>
          <w:szCs w:val="30"/>
          <w:lang w:val="en-US" w:eastAsia="zh-CN"/>
        </w:rPr>
        <w:t>0</w:t>
      </w:r>
      <w:r>
        <w:rPr>
          <w:rFonts w:hint="eastAsia" w:ascii="仿宋" w:hAnsi="仿宋" w:eastAsia="仿宋"/>
          <w:sz w:val="30"/>
          <w:szCs w:val="30"/>
        </w:rPr>
        <w:t>万元，完成年初预算的</w:t>
      </w:r>
      <w:r>
        <w:rPr>
          <w:rFonts w:hint="eastAsia" w:ascii="仿宋" w:hAnsi="仿宋" w:eastAsia="仿宋"/>
          <w:sz w:val="30"/>
          <w:szCs w:val="30"/>
          <w:lang w:val="en-US" w:eastAsia="zh-CN"/>
        </w:rPr>
        <w:t>0</w:t>
      </w:r>
      <w:r>
        <w:rPr>
          <w:rFonts w:hint="eastAsia" w:ascii="仿宋" w:hAnsi="仿宋" w:eastAsia="仿宋"/>
          <w:sz w:val="30"/>
          <w:szCs w:val="30"/>
        </w:rPr>
        <w:t xml:space="preserve"> %，决算数较2018年增加</w:t>
      </w:r>
      <w:r>
        <w:rPr>
          <w:rFonts w:hint="eastAsia" w:ascii="仿宋" w:hAnsi="仿宋" w:eastAsia="仿宋"/>
          <w:sz w:val="30"/>
          <w:szCs w:val="30"/>
          <w:lang w:val="en-US" w:eastAsia="zh-CN"/>
        </w:rPr>
        <w:t>0</w:t>
      </w:r>
      <w:r>
        <w:rPr>
          <w:rFonts w:hint="eastAsia" w:ascii="仿宋" w:hAnsi="仿宋" w:eastAsia="仿宋"/>
          <w:sz w:val="30"/>
          <w:szCs w:val="30"/>
        </w:rPr>
        <w:t>万元，增长</w:t>
      </w:r>
      <w:r>
        <w:rPr>
          <w:rFonts w:hint="eastAsia" w:ascii="仿宋" w:hAnsi="仿宋" w:eastAsia="仿宋"/>
          <w:sz w:val="30"/>
          <w:szCs w:val="30"/>
          <w:lang w:val="en-US" w:eastAsia="zh-CN"/>
        </w:rPr>
        <w:t>0</w:t>
      </w:r>
      <w:r>
        <w:rPr>
          <w:rFonts w:hint="eastAsia" w:ascii="仿宋" w:hAnsi="仿宋" w:eastAsia="仿宋"/>
          <w:sz w:val="30"/>
          <w:szCs w:val="30"/>
        </w:rPr>
        <w:t>%；公务用车运行维护费支出年初预算数为</w:t>
      </w:r>
      <w:r>
        <w:rPr>
          <w:rFonts w:hint="eastAsia" w:ascii="仿宋" w:hAnsi="仿宋" w:eastAsia="仿宋"/>
          <w:sz w:val="30"/>
          <w:szCs w:val="30"/>
          <w:lang w:val="en-US" w:eastAsia="zh-CN"/>
        </w:rPr>
        <w:t>0</w:t>
      </w:r>
      <w:r>
        <w:rPr>
          <w:rFonts w:hint="eastAsia" w:ascii="仿宋" w:hAnsi="仿宋" w:eastAsia="仿宋"/>
          <w:sz w:val="30"/>
          <w:szCs w:val="30"/>
        </w:rPr>
        <w:t>万元，决算数为</w:t>
      </w:r>
      <w:r>
        <w:rPr>
          <w:rFonts w:hint="eastAsia" w:ascii="仿宋" w:hAnsi="仿宋" w:eastAsia="仿宋"/>
          <w:sz w:val="30"/>
          <w:szCs w:val="30"/>
          <w:lang w:val="en-US" w:eastAsia="zh-CN"/>
        </w:rPr>
        <w:t>0</w:t>
      </w:r>
      <w:r>
        <w:rPr>
          <w:rFonts w:hint="eastAsia" w:ascii="仿宋" w:hAnsi="仿宋" w:eastAsia="仿宋"/>
          <w:sz w:val="30"/>
          <w:szCs w:val="30"/>
        </w:rPr>
        <w:t>万元，决算数较2018年增加</w:t>
      </w:r>
      <w:r>
        <w:rPr>
          <w:rFonts w:hint="eastAsia" w:ascii="仿宋" w:hAnsi="仿宋" w:eastAsia="仿宋"/>
          <w:sz w:val="30"/>
          <w:szCs w:val="30"/>
          <w:lang w:val="en-US" w:eastAsia="zh-CN"/>
        </w:rPr>
        <w:t>0</w:t>
      </w:r>
      <w:r>
        <w:rPr>
          <w:rFonts w:hint="eastAsia" w:ascii="仿宋" w:hAnsi="仿宋" w:eastAsia="仿宋"/>
          <w:sz w:val="30"/>
          <w:szCs w:val="30"/>
        </w:rPr>
        <w:t>万元，增长</w:t>
      </w:r>
      <w:r>
        <w:rPr>
          <w:rFonts w:hint="eastAsia" w:ascii="仿宋" w:hAnsi="仿宋" w:eastAsia="仿宋"/>
          <w:sz w:val="30"/>
          <w:szCs w:val="30"/>
          <w:lang w:val="en-US" w:eastAsia="zh-CN"/>
        </w:rPr>
        <w:t>0</w:t>
      </w:r>
      <w:r>
        <w:rPr>
          <w:rFonts w:hint="eastAsia" w:ascii="仿宋" w:hAnsi="仿宋" w:eastAsia="仿宋"/>
          <w:sz w:val="30"/>
          <w:szCs w:val="30"/>
        </w:rPr>
        <w:t>%。</w:t>
      </w:r>
    </w:p>
    <w:p>
      <w:pPr>
        <w:ind w:firstLine="630"/>
        <w:jc w:val="left"/>
        <w:rPr>
          <w:rFonts w:hint="eastAsia" w:ascii="黑体" w:hAnsi="黑体" w:eastAsia="黑体"/>
          <w:sz w:val="30"/>
          <w:szCs w:val="30"/>
        </w:rPr>
      </w:pPr>
      <w:r>
        <w:rPr>
          <w:rFonts w:hint="eastAsia" w:ascii="黑体" w:hAnsi="黑体" w:eastAsia="黑体"/>
          <w:sz w:val="30"/>
          <w:szCs w:val="30"/>
        </w:rPr>
        <w:t>六、机关运行经费支出情况说明</w:t>
      </w:r>
    </w:p>
    <w:p>
      <w:pPr>
        <w:ind w:firstLine="630"/>
        <w:jc w:val="left"/>
        <w:rPr>
          <w:rFonts w:hint="eastAsia" w:ascii="仿宋" w:hAnsi="仿宋" w:eastAsia="仿宋"/>
          <w:sz w:val="30"/>
          <w:szCs w:val="30"/>
        </w:rPr>
      </w:pPr>
      <w:r>
        <w:rPr>
          <w:rFonts w:hint="eastAsia" w:ascii="仿宋" w:hAnsi="仿宋" w:eastAsia="仿宋"/>
          <w:sz w:val="30"/>
          <w:szCs w:val="30"/>
        </w:rPr>
        <w:t>本部门2019年度机关运行经费支出</w:t>
      </w:r>
      <w:r>
        <w:rPr>
          <w:rFonts w:hint="eastAsia" w:ascii="仿宋" w:hAnsi="仿宋" w:eastAsia="仿宋"/>
          <w:sz w:val="30"/>
          <w:szCs w:val="30"/>
          <w:lang w:val="en-US" w:eastAsia="zh-CN"/>
        </w:rPr>
        <w:t>0.8</w:t>
      </w:r>
      <w:r>
        <w:rPr>
          <w:rFonts w:hint="eastAsia" w:ascii="仿宋" w:hAnsi="仿宋" w:eastAsia="仿宋"/>
          <w:sz w:val="30"/>
          <w:szCs w:val="30"/>
        </w:rPr>
        <w:t>万元（与部门决算中行政单位和参照公务员法管理事业单位一般公共预算财政拨款基本支出中公用经费之和保持一致），较年初预算数减少</w:t>
      </w:r>
      <w:r>
        <w:rPr>
          <w:rFonts w:hint="eastAsia" w:ascii="仿宋" w:hAnsi="仿宋" w:eastAsia="仿宋"/>
          <w:sz w:val="30"/>
          <w:szCs w:val="30"/>
          <w:lang w:val="en-US" w:eastAsia="zh-CN"/>
        </w:rPr>
        <w:t>12.31</w:t>
      </w:r>
      <w:r>
        <w:rPr>
          <w:rFonts w:hint="eastAsia" w:ascii="仿宋" w:hAnsi="仿宋" w:eastAsia="仿宋"/>
          <w:sz w:val="30"/>
          <w:szCs w:val="30"/>
        </w:rPr>
        <w:t>万元，</w:t>
      </w:r>
      <w:r>
        <w:rPr>
          <w:rFonts w:hint="eastAsia" w:ascii="仿宋" w:hAnsi="仿宋" w:eastAsia="仿宋"/>
          <w:sz w:val="30"/>
          <w:szCs w:val="30"/>
          <w:lang w:eastAsia="zh-CN"/>
        </w:rPr>
        <w:t>下降</w:t>
      </w:r>
      <w:r>
        <w:rPr>
          <w:rFonts w:hint="eastAsia" w:ascii="仿宋" w:hAnsi="仿宋" w:eastAsia="仿宋"/>
          <w:sz w:val="30"/>
          <w:szCs w:val="30"/>
          <w:lang w:val="en-US" w:eastAsia="zh-CN"/>
        </w:rPr>
        <w:t>93.72</w:t>
      </w:r>
      <w:r>
        <w:rPr>
          <w:rFonts w:hint="eastAsia" w:ascii="仿宋" w:hAnsi="仿宋" w:eastAsia="仿宋"/>
          <w:sz w:val="30"/>
          <w:szCs w:val="30"/>
        </w:rPr>
        <w:t xml:space="preserve">%，主要原因是：落实过紧日子要求压减支出。 </w:t>
      </w:r>
    </w:p>
    <w:p>
      <w:pPr>
        <w:ind w:firstLine="630"/>
        <w:jc w:val="left"/>
        <w:rPr>
          <w:rFonts w:ascii="黑体" w:hAnsi="黑体" w:eastAsia="黑体"/>
          <w:sz w:val="30"/>
          <w:szCs w:val="30"/>
        </w:rPr>
      </w:pPr>
      <w:r>
        <w:rPr>
          <w:rFonts w:hint="eastAsia" w:ascii="黑体" w:hAnsi="黑体" w:eastAsia="黑体"/>
          <w:sz w:val="30"/>
          <w:szCs w:val="30"/>
        </w:rPr>
        <w:t>七、政府采购支出情况说明</w:t>
      </w:r>
    </w:p>
    <w:p>
      <w:pPr>
        <w:pStyle w:val="7"/>
        <w:spacing w:line="600" w:lineRule="atLeast"/>
        <w:ind w:firstLine="600"/>
        <w:rPr>
          <w:rFonts w:hint="eastAsia" w:ascii="仿宋" w:hAnsi="仿宋" w:eastAsia="仿宋"/>
          <w:sz w:val="30"/>
          <w:szCs w:val="30"/>
        </w:rPr>
      </w:pPr>
      <w:r>
        <w:rPr>
          <w:rFonts w:hint="eastAsia" w:ascii="仿宋" w:hAnsi="仿宋" w:eastAsia="仿宋"/>
          <w:sz w:val="30"/>
          <w:szCs w:val="30"/>
        </w:rPr>
        <w:t>本部门2019年度政府采购支出总额</w:t>
      </w:r>
      <w:r>
        <w:rPr>
          <w:rFonts w:hint="eastAsia" w:ascii="仿宋" w:hAnsi="仿宋" w:eastAsia="仿宋"/>
          <w:sz w:val="30"/>
          <w:szCs w:val="30"/>
          <w:lang w:val="en-US" w:eastAsia="zh-CN"/>
        </w:rPr>
        <w:t>8.32</w:t>
      </w:r>
      <w:r>
        <w:rPr>
          <w:rFonts w:hint="eastAsia" w:ascii="仿宋" w:hAnsi="仿宋" w:eastAsia="仿宋"/>
          <w:sz w:val="30"/>
          <w:szCs w:val="30"/>
        </w:rPr>
        <w:t>万元，其中：政府采购货物支出</w:t>
      </w:r>
      <w:r>
        <w:rPr>
          <w:rFonts w:hint="eastAsia" w:ascii="仿宋" w:hAnsi="仿宋" w:eastAsia="仿宋"/>
          <w:sz w:val="30"/>
          <w:szCs w:val="30"/>
          <w:lang w:val="en-US" w:eastAsia="zh-CN"/>
        </w:rPr>
        <w:t>8.32</w:t>
      </w:r>
      <w:r>
        <w:rPr>
          <w:rFonts w:hint="eastAsia" w:ascii="仿宋" w:hAnsi="仿宋" w:eastAsia="仿宋"/>
          <w:sz w:val="30"/>
          <w:szCs w:val="30"/>
        </w:rPr>
        <w:t xml:space="preserve">万元、政府采购工程支出 </w:t>
      </w:r>
      <w:r>
        <w:rPr>
          <w:rFonts w:hint="eastAsia" w:ascii="仿宋" w:hAnsi="仿宋" w:eastAsia="仿宋"/>
          <w:sz w:val="30"/>
          <w:szCs w:val="30"/>
          <w:lang w:val="en-US" w:eastAsia="zh-CN"/>
        </w:rPr>
        <w:t>0</w:t>
      </w:r>
      <w:r>
        <w:rPr>
          <w:rFonts w:hint="eastAsia" w:ascii="仿宋" w:hAnsi="仿宋" w:eastAsia="仿宋"/>
          <w:sz w:val="30"/>
          <w:szCs w:val="30"/>
        </w:rPr>
        <w:t xml:space="preserve"> 万元、政府采购服务支出 </w:t>
      </w:r>
      <w:r>
        <w:rPr>
          <w:rFonts w:hint="eastAsia" w:ascii="仿宋" w:hAnsi="仿宋" w:eastAsia="仿宋"/>
          <w:sz w:val="30"/>
          <w:szCs w:val="30"/>
          <w:lang w:val="en-US" w:eastAsia="zh-CN"/>
        </w:rPr>
        <w:t>0</w:t>
      </w:r>
      <w:r>
        <w:rPr>
          <w:rFonts w:hint="eastAsia" w:ascii="仿宋" w:hAnsi="仿宋" w:eastAsia="仿宋"/>
          <w:sz w:val="30"/>
          <w:szCs w:val="30"/>
        </w:rPr>
        <w:t xml:space="preserve"> 万元。授予中小企业合同金额</w:t>
      </w:r>
      <w:r>
        <w:rPr>
          <w:rFonts w:hint="eastAsia" w:ascii="仿宋" w:hAnsi="仿宋" w:eastAsia="仿宋"/>
          <w:sz w:val="30"/>
          <w:szCs w:val="30"/>
          <w:lang w:val="en-US" w:eastAsia="zh-CN"/>
        </w:rPr>
        <w:t>0</w:t>
      </w:r>
      <w:r>
        <w:rPr>
          <w:rFonts w:hint="eastAsia" w:ascii="仿宋" w:hAnsi="仿宋" w:eastAsia="仿宋"/>
          <w:sz w:val="30"/>
          <w:szCs w:val="30"/>
        </w:rPr>
        <w:t xml:space="preserve">万元，占政府采购支出总额的 </w:t>
      </w:r>
      <w:r>
        <w:rPr>
          <w:rFonts w:hint="eastAsia" w:ascii="仿宋" w:hAnsi="仿宋" w:eastAsia="仿宋"/>
          <w:sz w:val="30"/>
          <w:szCs w:val="30"/>
          <w:lang w:val="en-US" w:eastAsia="zh-CN"/>
        </w:rPr>
        <w:t>0</w:t>
      </w:r>
      <w:r>
        <w:rPr>
          <w:rFonts w:hint="eastAsia" w:ascii="仿宋" w:hAnsi="仿宋" w:eastAsia="仿宋"/>
          <w:sz w:val="30"/>
          <w:szCs w:val="30"/>
        </w:rPr>
        <w:t xml:space="preserve"> %，其中：授予小微企业合同金额</w:t>
      </w:r>
      <w:r>
        <w:rPr>
          <w:rFonts w:hint="eastAsia" w:ascii="仿宋" w:hAnsi="仿宋" w:eastAsia="仿宋"/>
          <w:sz w:val="30"/>
          <w:szCs w:val="30"/>
          <w:lang w:val="en-US" w:eastAsia="zh-CN"/>
        </w:rPr>
        <w:t>8.32</w:t>
      </w:r>
      <w:r>
        <w:rPr>
          <w:rFonts w:hint="eastAsia" w:ascii="仿宋" w:hAnsi="仿宋" w:eastAsia="仿宋"/>
          <w:sz w:val="30"/>
          <w:szCs w:val="30"/>
        </w:rPr>
        <w:t>万元，占政府采购支出总额的</w:t>
      </w:r>
      <w:r>
        <w:rPr>
          <w:rFonts w:hint="eastAsia" w:ascii="仿宋" w:hAnsi="仿宋" w:eastAsia="仿宋"/>
          <w:sz w:val="30"/>
          <w:szCs w:val="30"/>
          <w:lang w:val="en-US" w:eastAsia="zh-CN"/>
        </w:rPr>
        <w:t>100</w:t>
      </w:r>
      <w:r>
        <w:rPr>
          <w:rFonts w:hint="eastAsia" w:ascii="仿宋" w:hAnsi="仿宋" w:eastAsia="仿宋"/>
          <w:sz w:val="30"/>
          <w:szCs w:val="30"/>
        </w:rPr>
        <w:t>%。（市级部门公开的政府采购金额的计算口径为：本部门纳入2019年部门预算范围的各项政府采购支出金额之和，不包括涉密采购项目的支出金额。）</w:t>
      </w:r>
    </w:p>
    <w:p>
      <w:pPr>
        <w:ind w:firstLine="630"/>
        <w:jc w:val="left"/>
        <w:rPr>
          <w:rFonts w:hint="eastAsia" w:ascii="黑体" w:hAnsi="黑体" w:eastAsia="黑体"/>
          <w:sz w:val="30"/>
          <w:szCs w:val="30"/>
        </w:rPr>
      </w:pPr>
      <w:r>
        <w:rPr>
          <w:rFonts w:hint="eastAsia" w:ascii="黑体" w:hAnsi="黑体" w:eastAsia="黑体"/>
          <w:sz w:val="30"/>
          <w:szCs w:val="30"/>
        </w:rPr>
        <w:t>八、国有资产占用情况说明。</w:t>
      </w:r>
    </w:p>
    <w:p>
      <w:pPr>
        <w:ind w:firstLine="630"/>
        <w:jc w:val="left"/>
        <w:rPr>
          <w:rFonts w:hint="eastAsia" w:ascii="仿宋" w:hAnsi="仿宋" w:eastAsia="仿宋"/>
          <w:kern w:val="0"/>
          <w:sz w:val="30"/>
          <w:szCs w:val="30"/>
        </w:rPr>
      </w:pPr>
      <w:r>
        <w:rPr>
          <w:rFonts w:hint="eastAsia" w:ascii="仿宋" w:hAnsi="仿宋" w:eastAsia="仿宋"/>
          <w:kern w:val="0"/>
          <w:sz w:val="30"/>
          <w:szCs w:val="30"/>
        </w:rPr>
        <w:t>截止2019年12月31日，本部门共有车辆</w:t>
      </w:r>
      <w:r>
        <w:rPr>
          <w:rFonts w:hint="eastAsia" w:ascii="仿宋" w:hAnsi="仿宋" w:eastAsia="仿宋"/>
          <w:kern w:val="0"/>
          <w:sz w:val="30"/>
          <w:szCs w:val="30"/>
          <w:lang w:val="en-US" w:eastAsia="zh-CN"/>
        </w:rPr>
        <w:t>0</w:t>
      </w:r>
      <w:r>
        <w:rPr>
          <w:rFonts w:hint="eastAsia" w:ascii="仿宋" w:hAnsi="仿宋" w:eastAsia="仿宋"/>
          <w:kern w:val="0"/>
          <w:sz w:val="30"/>
          <w:szCs w:val="30"/>
        </w:rPr>
        <w:t>辆；单位价值50万元以上通用设备</w:t>
      </w:r>
      <w:r>
        <w:rPr>
          <w:rFonts w:hint="eastAsia" w:ascii="仿宋" w:hAnsi="仿宋" w:eastAsia="仿宋"/>
          <w:kern w:val="0"/>
          <w:sz w:val="30"/>
          <w:szCs w:val="30"/>
          <w:lang w:val="en-US" w:eastAsia="zh-CN"/>
        </w:rPr>
        <w:t>0</w:t>
      </w:r>
      <w:r>
        <w:rPr>
          <w:rFonts w:hint="eastAsia" w:ascii="仿宋" w:hAnsi="仿宋" w:eastAsia="仿宋"/>
          <w:kern w:val="0"/>
          <w:sz w:val="30"/>
          <w:szCs w:val="30"/>
        </w:rPr>
        <w:t>台（套）；单位价值100万元以上专用设备</w:t>
      </w:r>
      <w:r>
        <w:rPr>
          <w:rFonts w:hint="eastAsia" w:ascii="仿宋" w:hAnsi="仿宋" w:eastAsia="仿宋"/>
          <w:kern w:val="0"/>
          <w:sz w:val="30"/>
          <w:szCs w:val="30"/>
          <w:lang w:val="en-US" w:eastAsia="zh-CN"/>
        </w:rPr>
        <w:t>0</w:t>
      </w:r>
      <w:r>
        <w:rPr>
          <w:rFonts w:hint="eastAsia" w:ascii="仿宋" w:hAnsi="仿宋" w:eastAsia="仿宋"/>
          <w:kern w:val="0"/>
          <w:sz w:val="30"/>
          <w:szCs w:val="30"/>
        </w:rPr>
        <w:t>台（套）。</w:t>
      </w:r>
    </w:p>
    <w:p>
      <w:pPr>
        <w:ind w:firstLine="630"/>
        <w:jc w:val="left"/>
        <w:rPr>
          <w:rFonts w:hint="eastAsia" w:ascii="黑体" w:hAnsi="黑体" w:eastAsia="黑体"/>
          <w:sz w:val="30"/>
          <w:szCs w:val="30"/>
        </w:rPr>
      </w:pPr>
      <w:r>
        <w:rPr>
          <w:rFonts w:hint="eastAsia" w:ascii="黑体" w:hAnsi="黑体" w:eastAsia="黑体"/>
          <w:sz w:val="30"/>
          <w:szCs w:val="30"/>
        </w:rPr>
        <w:t>九、预算绩效情况说明</w:t>
      </w:r>
    </w:p>
    <w:p>
      <w:pPr>
        <w:autoSpaceDE w:val="0"/>
        <w:autoSpaceDN w:val="0"/>
        <w:adjustRightInd w:val="0"/>
        <w:spacing w:line="360" w:lineRule="auto"/>
        <w:jc w:val="left"/>
        <w:rPr>
          <w:rFonts w:hint="eastAsia" w:ascii="仿宋" w:hAnsi="仿宋" w:eastAsia="仿宋" w:cs="仿宋_GB2312"/>
          <w:kern w:val="0"/>
          <w:sz w:val="30"/>
          <w:szCs w:val="30"/>
        </w:rPr>
      </w:pPr>
      <w:r>
        <w:rPr>
          <w:rFonts w:hint="eastAsia" w:ascii="仿宋" w:hAnsi="仿宋" w:eastAsia="仿宋" w:cs="仿宋_GB2312"/>
          <w:kern w:val="0"/>
          <w:sz w:val="30"/>
          <w:szCs w:val="30"/>
        </w:rPr>
        <w:t xml:space="preserve">   （一）绩效管理工作开展情况。</w:t>
      </w:r>
    </w:p>
    <w:p>
      <w:pPr>
        <w:pStyle w:val="7"/>
        <w:spacing w:line="700" w:lineRule="exact"/>
        <w:ind w:firstLine="600" w:firstLineChars="200"/>
        <w:rPr>
          <w:rFonts w:ascii="仿宋" w:hAnsi="仿宋" w:eastAsia="仿宋" w:cs="仿宋_GB2312"/>
          <w:kern w:val="0"/>
          <w:sz w:val="30"/>
          <w:szCs w:val="30"/>
        </w:rPr>
      </w:pPr>
      <w:r>
        <w:rPr>
          <w:rFonts w:hint="eastAsia" w:ascii="仿宋" w:hAnsi="仿宋" w:eastAsia="仿宋"/>
          <w:sz w:val="30"/>
          <w:szCs w:val="30"/>
        </w:rPr>
        <w:t>根据预算绩效管理要求，我部门组织对201</w:t>
      </w:r>
      <w:r>
        <w:rPr>
          <w:rFonts w:hint="eastAsia" w:ascii="仿宋" w:hAnsi="仿宋" w:eastAsia="仿宋"/>
          <w:sz w:val="30"/>
          <w:szCs w:val="30"/>
          <w:lang w:val="en-US" w:eastAsia="zh-CN"/>
        </w:rPr>
        <w:t>9</w:t>
      </w:r>
      <w:r>
        <w:rPr>
          <w:rFonts w:hint="eastAsia" w:ascii="仿宋" w:hAnsi="仿宋" w:eastAsia="仿宋"/>
          <w:sz w:val="30"/>
          <w:szCs w:val="30"/>
        </w:rPr>
        <w:t>年度一般公共预算项目支出全部开展绩效自评，形成评价结论，我部门无预算金额200万元以上的项目支出。</w:t>
      </w:r>
    </w:p>
    <w:p>
      <w:pPr>
        <w:autoSpaceDE w:val="0"/>
        <w:autoSpaceDN w:val="0"/>
        <w:adjustRightInd w:val="0"/>
        <w:spacing w:line="360" w:lineRule="auto"/>
        <w:jc w:val="left"/>
        <w:rPr>
          <w:rFonts w:hint="eastAsia" w:ascii="仿宋" w:hAnsi="仿宋" w:eastAsia="仿宋" w:cs="仿宋_GB2312"/>
          <w:kern w:val="0"/>
          <w:sz w:val="30"/>
          <w:szCs w:val="30"/>
        </w:rPr>
      </w:pPr>
      <w:r>
        <w:rPr>
          <w:rFonts w:hint="eastAsia" w:ascii="仿宋" w:hAnsi="仿宋" w:eastAsia="仿宋" w:cs="仿宋_GB2312"/>
          <w:kern w:val="0"/>
          <w:sz w:val="30"/>
          <w:szCs w:val="30"/>
        </w:rPr>
        <w:t xml:space="preserve">   （二）部门决算中项目绩效自评结果。</w:t>
      </w:r>
    </w:p>
    <w:p>
      <w:pPr>
        <w:ind w:firstLine="900" w:firstLineChars="300"/>
        <w:rPr>
          <w:rFonts w:hint="eastAsia" w:ascii="仿宋" w:hAnsi="仿宋" w:eastAsia="仿宋" w:cs="Times New Roman"/>
          <w:kern w:val="0"/>
          <w:sz w:val="30"/>
          <w:szCs w:val="30"/>
          <w:lang w:val="en-US" w:eastAsia="zh-CN" w:bidi="ar-SA"/>
        </w:rPr>
      </w:pPr>
      <w:r>
        <w:rPr>
          <w:rFonts w:hint="eastAsia" w:ascii="仿宋" w:hAnsi="仿宋" w:eastAsia="仿宋" w:cs="Times New Roman"/>
          <w:kern w:val="0"/>
          <w:sz w:val="30"/>
          <w:szCs w:val="30"/>
          <w:lang w:val="en-US" w:eastAsia="zh-CN" w:bidi="ar-SA"/>
        </w:rPr>
        <w:t>无。</w:t>
      </w:r>
    </w:p>
    <w:p>
      <w:pPr>
        <w:rPr>
          <w:rFonts w:hint="eastAsia"/>
        </w:rPr>
      </w:pPr>
    </w:p>
    <w:p>
      <w:pPr>
        <w:rPr>
          <w:rFonts w:hint="eastAsia"/>
        </w:rPr>
      </w:pPr>
    </w:p>
    <w:p>
      <w:pPr>
        <w:rPr>
          <w:rFonts w:hint="eastAsia"/>
        </w:rPr>
      </w:pPr>
    </w:p>
    <w:p>
      <w:pPr>
        <w:rPr>
          <w:rFonts w:hint="eastAsia"/>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r>
        <w:rPr>
          <w:rFonts w:hint="eastAsia" w:ascii="宋体" w:hAnsi="宋体"/>
          <w:b/>
          <w:sz w:val="32"/>
          <w:szCs w:val="32"/>
        </w:rPr>
        <w:t>第四部分  名词解释</w:t>
      </w:r>
    </w:p>
    <w:p>
      <w:pPr>
        <w:pStyle w:val="7"/>
        <w:spacing w:line="600" w:lineRule="atLeast"/>
        <w:ind w:firstLine="600"/>
        <w:rPr>
          <w:rFonts w:hint="eastAsia" w:ascii="仿宋" w:hAnsi="仿宋" w:eastAsia="仿宋"/>
          <w:sz w:val="30"/>
          <w:szCs w:val="30"/>
        </w:rPr>
      </w:pPr>
    </w:p>
    <w:p>
      <w:pPr>
        <w:widowControl/>
        <w:numPr>
          <w:ilvl w:val="0"/>
          <w:numId w:val="1"/>
        </w:numPr>
        <w:spacing w:line="580" w:lineRule="exact"/>
        <w:jc w:val="left"/>
        <w:rPr>
          <w:rFonts w:hint="eastAsia" w:ascii="仿宋" w:hAnsi="仿宋" w:eastAsia="仿宋"/>
          <w:kern w:val="0"/>
          <w:sz w:val="30"/>
          <w:szCs w:val="30"/>
        </w:rPr>
      </w:pPr>
      <w:r>
        <w:rPr>
          <w:rFonts w:hint="eastAsia" w:ascii="仿宋" w:hAnsi="仿宋" w:eastAsia="仿宋"/>
          <w:kern w:val="0"/>
          <w:sz w:val="30"/>
          <w:szCs w:val="30"/>
        </w:rPr>
        <w:t xml:space="preserve"> 一般公共服务支出反映政府提供一般公共服务的支出。</w:t>
      </w:r>
    </w:p>
    <w:p>
      <w:pPr>
        <w:widowControl/>
        <w:numPr>
          <w:ilvl w:val="0"/>
          <w:numId w:val="1"/>
        </w:numPr>
        <w:spacing w:line="580" w:lineRule="exact"/>
        <w:jc w:val="left"/>
        <w:rPr>
          <w:rFonts w:hint="eastAsia" w:ascii="仿宋" w:hAnsi="仿宋" w:eastAsia="仿宋"/>
          <w:sz w:val="30"/>
          <w:szCs w:val="30"/>
        </w:rPr>
      </w:pPr>
      <w:r>
        <w:rPr>
          <w:rFonts w:hint="eastAsia" w:ascii="仿宋" w:hAnsi="仿宋" w:eastAsia="仿宋"/>
          <w:kern w:val="0"/>
          <w:sz w:val="30"/>
          <w:szCs w:val="30"/>
        </w:rPr>
        <w:t>社会保障和就业支出反映政府在社会保障与就业方面的支出。</w:t>
      </w:r>
    </w:p>
    <w:p>
      <w:pPr>
        <w:widowControl/>
        <w:numPr>
          <w:ilvl w:val="0"/>
          <w:numId w:val="1"/>
        </w:numPr>
        <w:spacing w:line="580" w:lineRule="exact"/>
        <w:jc w:val="left"/>
        <w:rPr>
          <w:rFonts w:hint="eastAsia" w:ascii="仿宋" w:hAnsi="仿宋" w:eastAsia="仿宋"/>
          <w:sz w:val="30"/>
          <w:szCs w:val="30"/>
        </w:rPr>
      </w:pPr>
      <w:r>
        <w:rPr>
          <w:rFonts w:hint="eastAsia" w:ascii="仿宋" w:hAnsi="仿宋" w:eastAsia="仿宋"/>
          <w:kern w:val="0"/>
          <w:sz w:val="30"/>
          <w:szCs w:val="30"/>
        </w:rPr>
        <w:t>工资福利支出反映单位开支的在职职工与编制外长期聘用人员的各类劳动报酬，以及为上述人员缴纳的各项社会保险费等。</w:t>
      </w:r>
    </w:p>
    <w:p>
      <w:pPr>
        <w:widowControl/>
        <w:numPr>
          <w:ilvl w:val="0"/>
          <w:numId w:val="1"/>
        </w:numPr>
        <w:spacing w:line="580" w:lineRule="exact"/>
        <w:jc w:val="left"/>
        <w:rPr>
          <w:rFonts w:hint="eastAsia" w:ascii="仿宋" w:hAnsi="仿宋" w:eastAsia="仿宋"/>
          <w:sz w:val="30"/>
          <w:szCs w:val="30"/>
        </w:rPr>
      </w:pPr>
      <w:r>
        <w:rPr>
          <w:rFonts w:hint="eastAsia" w:ascii="仿宋" w:hAnsi="仿宋" w:eastAsia="仿宋"/>
          <w:kern w:val="0"/>
          <w:sz w:val="30"/>
          <w:szCs w:val="30"/>
        </w:rPr>
        <w:t>商品和服务支出反映单位购买商品和服务支出。（不包括用于购置固定资产的支出、战略性和应急储备支出，但军事方面的耐用水费品和设备的购置费、军事性建设费以及军事建筑物的购置费等在本科目中反映）。</w:t>
      </w:r>
    </w:p>
    <w:p>
      <w:pPr>
        <w:widowControl/>
        <w:numPr>
          <w:ilvl w:val="0"/>
          <w:numId w:val="1"/>
        </w:numPr>
        <w:spacing w:line="580" w:lineRule="exact"/>
        <w:jc w:val="left"/>
        <w:rPr>
          <w:rFonts w:hint="eastAsia" w:ascii="仿宋" w:hAnsi="仿宋" w:eastAsia="仿宋"/>
          <w:sz w:val="30"/>
          <w:szCs w:val="30"/>
        </w:rPr>
      </w:pPr>
      <w:r>
        <w:rPr>
          <w:rFonts w:hint="eastAsia" w:ascii="仿宋" w:hAnsi="仿宋" w:eastAsia="仿宋"/>
          <w:kern w:val="0"/>
          <w:sz w:val="30"/>
          <w:szCs w:val="30"/>
        </w:rPr>
        <w:t>对个人和家庭的补助反映政府用于对个人和家庭的补助支出。</w:t>
      </w:r>
    </w:p>
    <w:p>
      <w:pPr>
        <w:widowControl/>
        <w:numPr>
          <w:ilvl w:val="0"/>
          <w:numId w:val="1"/>
        </w:numPr>
        <w:spacing w:line="580" w:lineRule="exact"/>
        <w:jc w:val="left"/>
        <w:rPr>
          <w:rFonts w:hint="eastAsia" w:ascii="仿宋" w:hAnsi="仿宋" w:eastAsia="仿宋"/>
          <w:sz w:val="30"/>
          <w:szCs w:val="30"/>
        </w:rPr>
      </w:pPr>
      <w:r>
        <w:rPr>
          <w:rFonts w:hint="eastAsia" w:ascii="仿宋" w:hAnsi="仿宋" w:eastAsia="仿宋"/>
          <w:kern w:val="0"/>
          <w:sz w:val="30"/>
          <w:szCs w:val="30"/>
        </w:rPr>
        <w:t>“三公”经费是指使用一般公共预算财政拨款安排的因公出国（境）费、公务用车购置及运行维护费和公务接待费。其中，因公出国（境）费用反映单位公务出国（境）的国际旅费、国外城市间交通费、住宿费、伙食费、培训费、公杂费等支出；公务用车购置及运行维护费反映单位公务用车车辆购置支出（含车辆购置税）及租用费、燃料费、维修费、过桥过路费、保险费、安全奖励费用等支出；公务接待费反映单位按规定开支的各类公务接待（含外宾接待）费用。</w:t>
      </w:r>
    </w:p>
    <w:p>
      <w:pPr>
        <w:widowControl/>
        <w:numPr>
          <w:ilvl w:val="0"/>
          <w:numId w:val="1"/>
        </w:numPr>
        <w:spacing w:line="580" w:lineRule="exact"/>
        <w:jc w:val="left"/>
        <w:rPr>
          <w:rFonts w:ascii="仿宋" w:hAnsi="仿宋" w:eastAsia="仿宋"/>
          <w:sz w:val="30"/>
          <w:szCs w:val="30"/>
        </w:rPr>
      </w:pPr>
      <w:r>
        <w:rPr>
          <w:rFonts w:hint="eastAsia" w:ascii="仿宋" w:hAnsi="仿宋" w:eastAsia="仿宋"/>
          <w:kern w:val="0"/>
          <w:sz w:val="30"/>
          <w:szCs w:val="30"/>
        </w:rPr>
        <w:t>机关运行经费指行政单位和参照公务员法管理的事业单位为保障单位运行使用一般公共预算财政</w:t>
      </w:r>
      <w:r>
        <w:rPr>
          <w:rFonts w:hint="eastAsia" w:ascii="仿宋" w:hAnsi="仿宋" w:eastAsia="仿宋"/>
          <w:kern w:val="0"/>
          <w:sz w:val="30"/>
          <w:szCs w:val="30"/>
          <w:lang w:eastAsia="zh-CN"/>
        </w:rPr>
        <w:t>拨款</w:t>
      </w:r>
      <w:r>
        <w:rPr>
          <w:rFonts w:hint="eastAsia" w:ascii="仿宋" w:hAnsi="仿宋" w:eastAsia="仿宋"/>
          <w:kern w:val="0"/>
          <w:sz w:val="30"/>
          <w:szCs w:val="30"/>
        </w:rPr>
        <w:t>安排的基本支出中的日常公用经费支出。包括办公及印刷费、邮电费、差旅费、会议费、福利费、日常维修费、专用材料及一般设备购置费、办公用房水电费、办公用房取暖费、办公用房物业管理费、公务用车运行维护费以及其他费用。</w:t>
      </w:r>
      <w:bookmarkStart w:id="0" w:name="_GoBack"/>
      <w:bookmarkEnd w:id="0"/>
    </w:p>
    <w:p>
      <w:pPr>
        <w:widowControl/>
        <w:spacing w:line="580" w:lineRule="exact"/>
        <w:jc w:val="left"/>
        <w:rPr>
          <w:rFonts w:hint="eastAsia" w:ascii="仿宋" w:hAnsi="仿宋" w:eastAsia="仿宋"/>
          <w:kern w:val="0"/>
          <w:sz w:val="30"/>
          <w:szCs w:val="30"/>
        </w:rPr>
      </w:pPr>
    </w:p>
    <w:p>
      <w:pPr>
        <w:ind w:firstLine="630"/>
        <w:jc w:val="left"/>
        <w:rPr>
          <w:rFonts w:ascii="仿宋" w:hAnsi="仿宋" w:eastAsia="仿宋"/>
          <w:sz w:val="30"/>
          <w:szCs w:val="30"/>
        </w:rPr>
      </w:pPr>
    </w:p>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Align="top"/>
      <w:pBdr>
        <w:between w:val="none" w:color="auto" w:sz="0" w:space="0"/>
      </w:pBdr>
    </w:pPr>
    <w:r>
      <w:fldChar w:fldCharType="begin"/>
    </w:r>
    <w:r>
      <w:rPr>
        <w:rStyle w:val="6"/>
      </w:rPr>
      <w:instrText xml:space="preserve"> PAGE  </w:instrText>
    </w:r>
    <w:r>
      <w:fldChar w:fldCharType="separate"/>
    </w:r>
    <w:r>
      <w:rPr>
        <w:rStyle w:val="6"/>
      </w:rPr>
      <w:t>- 1 -</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2C512F"/>
    <w:multiLevelType w:val="multilevel"/>
    <w:tmpl w:val="3B2C512F"/>
    <w:lvl w:ilvl="0" w:tentative="0">
      <w:start w:val="1"/>
      <w:numFmt w:val="decimal"/>
      <w:lvlText w:val="%1、"/>
      <w:lvlJc w:val="left"/>
      <w:pPr>
        <w:ind w:left="1155" w:hanging="720"/>
      </w:pPr>
      <w:rPr>
        <w:rFonts w:hint="default"/>
      </w:rPr>
    </w:lvl>
    <w:lvl w:ilvl="1" w:tentative="0">
      <w:start w:val="1"/>
      <w:numFmt w:val="lowerLetter"/>
      <w:lvlText w:val="%2)"/>
      <w:lvlJc w:val="left"/>
      <w:pPr>
        <w:ind w:left="1275" w:hanging="420"/>
      </w:pPr>
    </w:lvl>
    <w:lvl w:ilvl="2" w:tentative="0">
      <w:start w:val="1"/>
      <w:numFmt w:val="lowerRoman"/>
      <w:lvlText w:val="%3."/>
      <w:lvlJc w:val="right"/>
      <w:pPr>
        <w:ind w:left="1695" w:hanging="420"/>
      </w:pPr>
    </w:lvl>
    <w:lvl w:ilvl="3" w:tentative="0">
      <w:start w:val="1"/>
      <w:numFmt w:val="decimal"/>
      <w:lvlText w:val="%4."/>
      <w:lvlJc w:val="left"/>
      <w:pPr>
        <w:ind w:left="2115" w:hanging="420"/>
      </w:pPr>
    </w:lvl>
    <w:lvl w:ilvl="4" w:tentative="0">
      <w:start w:val="1"/>
      <w:numFmt w:val="lowerLetter"/>
      <w:lvlText w:val="%5)"/>
      <w:lvlJc w:val="left"/>
      <w:pPr>
        <w:ind w:left="2535" w:hanging="420"/>
      </w:pPr>
    </w:lvl>
    <w:lvl w:ilvl="5" w:tentative="0">
      <w:start w:val="1"/>
      <w:numFmt w:val="lowerRoman"/>
      <w:lvlText w:val="%6."/>
      <w:lvlJc w:val="right"/>
      <w:pPr>
        <w:ind w:left="2955" w:hanging="420"/>
      </w:pPr>
    </w:lvl>
    <w:lvl w:ilvl="6" w:tentative="0">
      <w:start w:val="1"/>
      <w:numFmt w:val="decimal"/>
      <w:lvlText w:val="%7."/>
      <w:lvlJc w:val="left"/>
      <w:pPr>
        <w:ind w:left="3375" w:hanging="420"/>
      </w:pPr>
    </w:lvl>
    <w:lvl w:ilvl="7" w:tentative="0">
      <w:start w:val="1"/>
      <w:numFmt w:val="lowerLetter"/>
      <w:lvlText w:val="%8)"/>
      <w:lvlJc w:val="left"/>
      <w:pPr>
        <w:ind w:left="3795" w:hanging="420"/>
      </w:pPr>
    </w:lvl>
    <w:lvl w:ilvl="8" w:tentative="0">
      <w:start w:val="1"/>
      <w:numFmt w:val="lowerRoman"/>
      <w:lvlText w:val="%9."/>
      <w:lvlJc w:val="right"/>
      <w:pPr>
        <w:ind w:left="42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iYWQ5OTVkZmQxNTAzYmZkZjc0MDhhYmJjYzlkZjkifQ=="/>
  </w:docVars>
  <w:rsids>
    <w:rsidRoot w:val="00000000"/>
    <w:rsid w:val="092F6441"/>
    <w:rsid w:val="09311128"/>
    <w:rsid w:val="0B2A3450"/>
    <w:rsid w:val="0B414CF9"/>
    <w:rsid w:val="0D193FAC"/>
    <w:rsid w:val="0D7A5F73"/>
    <w:rsid w:val="116867E4"/>
    <w:rsid w:val="13436F31"/>
    <w:rsid w:val="151D332E"/>
    <w:rsid w:val="15A95AD3"/>
    <w:rsid w:val="163E574B"/>
    <w:rsid w:val="1A6976B9"/>
    <w:rsid w:val="1B2F1E55"/>
    <w:rsid w:val="1D581479"/>
    <w:rsid w:val="1DD71B90"/>
    <w:rsid w:val="25985A97"/>
    <w:rsid w:val="2C727F75"/>
    <w:rsid w:val="30C67567"/>
    <w:rsid w:val="35860FEC"/>
    <w:rsid w:val="38792E84"/>
    <w:rsid w:val="387D05DE"/>
    <w:rsid w:val="3C5527D0"/>
    <w:rsid w:val="3D3906A6"/>
    <w:rsid w:val="407F23D4"/>
    <w:rsid w:val="40D21501"/>
    <w:rsid w:val="44A41362"/>
    <w:rsid w:val="483404DD"/>
    <w:rsid w:val="49794DBE"/>
    <w:rsid w:val="498B5C33"/>
    <w:rsid w:val="49C81687"/>
    <w:rsid w:val="4DAE0FBB"/>
    <w:rsid w:val="4F794C46"/>
    <w:rsid w:val="529675AC"/>
    <w:rsid w:val="58515A82"/>
    <w:rsid w:val="5864623A"/>
    <w:rsid w:val="5B563C7A"/>
    <w:rsid w:val="5EB21A9F"/>
    <w:rsid w:val="61C004D1"/>
    <w:rsid w:val="622913AD"/>
    <w:rsid w:val="639653BA"/>
    <w:rsid w:val="642A2359"/>
    <w:rsid w:val="663D37D4"/>
    <w:rsid w:val="689E1DA2"/>
    <w:rsid w:val="68D56980"/>
    <w:rsid w:val="6BE4495E"/>
    <w:rsid w:val="708B2039"/>
    <w:rsid w:val="730E7EB9"/>
    <w:rsid w:val="765A1A9C"/>
    <w:rsid w:val="7B02087C"/>
    <w:rsid w:val="7BA21810"/>
    <w:rsid w:val="7D164F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page number"/>
    <w:basedOn w:val="5"/>
    <w:qFormat/>
    <w:uiPriority w:val="0"/>
  </w:style>
  <w:style w:type="paragraph" w:customStyle="1" w:styleId="7">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image" Target="media/image12.png"/><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2637</Words>
  <Characters>2940</Characters>
  <Lines>0</Lines>
  <Paragraphs>0</Paragraphs>
  <TotalTime>13</TotalTime>
  <ScaleCrop>false</ScaleCrop>
  <LinksUpToDate>false</LinksUpToDate>
  <CharactersWithSpaces>3061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2020-10-21T02:16:00Z</dcterms:created>
  <dc:creator>S2</dc:creator>
  <cp:lastModifiedBy>Administrator</cp:lastModifiedBy>
  <dcterms:modified xsi:type="dcterms:W3CDTF">2023-07-26T02:04:37Z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F913AD37D3984EB8B9F919AD0D21A0DA_12</vt:lpwstr>
  </property>
</Properties>
</file>