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ind w:firstLine="253"/>
        <w:rPr>
          <w:rFonts w:hint="eastAsia" w:ascii="黑体" w:hAnsi="黑体" w:eastAsia="黑体" w:cs="黑体"/>
          <w:sz w:val="28"/>
          <w:szCs w:val="28"/>
        </w:rPr>
      </w:pPr>
      <w:r>
        <w:rPr>
          <w:rFonts w:hint="eastAsia" w:ascii="黑体" w:hAnsi="黑体" w:eastAsia="黑体" w:cs="黑体"/>
          <w:spacing w:val="-13"/>
          <w:w w:val="97"/>
          <w:sz w:val="28"/>
          <w:szCs w:val="28"/>
        </w:rPr>
        <w:t>附</w:t>
      </w:r>
      <w:r>
        <w:rPr>
          <w:rFonts w:hint="eastAsia" w:ascii="黑体" w:hAnsi="黑体" w:eastAsia="黑体" w:cs="黑体"/>
          <w:spacing w:val="-55"/>
          <w:sz w:val="28"/>
          <w:szCs w:val="28"/>
        </w:rPr>
        <w:t xml:space="preserve"> </w:t>
      </w:r>
      <w:r>
        <w:rPr>
          <w:rFonts w:hint="eastAsia" w:ascii="黑体" w:hAnsi="黑体" w:eastAsia="黑体" w:cs="黑体"/>
          <w:spacing w:val="-13"/>
          <w:w w:val="97"/>
          <w:sz w:val="28"/>
          <w:szCs w:val="28"/>
        </w:rPr>
        <w:t>件</w:t>
      </w:r>
      <w:r>
        <w:rPr>
          <w:rFonts w:hint="eastAsia" w:ascii="黑体" w:hAnsi="黑体" w:eastAsia="黑体" w:cs="黑体"/>
          <w:spacing w:val="1"/>
          <w:sz w:val="28"/>
          <w:szCs w:val="28"/>
        </w:rPr>
        <w:t xml:space="preserve"> </w:t>
      </w:r>
      <w:r>
        <w:rPr>
          <w:rFonts w:hint="eastAsia" w:ascii="黑体" w:hAnsi="黑体" w:eastAsia="黑体" w:cs="黑体"/>
          <w:spacing w:val="-13"/>
          <w:w w:val="97"/>
          <w:sz w:val="28"/>
          <w:szCs w:val="28"/>
        </w:rPr>
        <w:t>1</w:t>
      </w:r>
      <w:r>
        <w:rPr>
          <w:rFonts w:hint="eastAsia" w:ascii="黑体" w:hAnsi="黑体" w:eastAsia="黑体" w:cs="黑体"/>
          <w:spacing w:val="-104"/>
          <w:sz w:val="28"/>
          <w:szCs w:val="28"/>
        </w:rPr>
        <w:t xml:space="preserve"> </w:t>
      </w:r>
      <w:r>
        <w:rPr>
          <w:rFonts w:hint="eastAsia" w:ascii="黑体" w:hAnsi="黑体" w:eastAsia="黑体" w:cs="黑体"/>
          <w:spacing w:val="-13"/>
          <w:w w:val="97"/>
          <w:sz w:val="28"/>
          <w:szCs w:val="28"/>
        </w:rPr>
        <w:t>∶</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both"/>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青云谱区人民政府岱山街道办事处</w:t>
      </w:r>
    </w:p>
    <w:p>
      <w:pPr>
        <w:keepNext w:val="0"/>
        <w:keepLines w:val="0"/>
        <w:pageBreakBefore w:val="0"/>
        <w:widowControl w:val="0"/>
        <w:kinsoku/>
        <w:wordWrap/>
        <w:overflowPunct/>
        <w:topLinePunct w:val="0"/>
        <w:autoSpaceDE/>
        <w:autoSpaceDN/>
        <w:bidi w:val="0"/>
        <w:adjustRightInd/>
        <w:snapToGrid/>
        <w:spacing w:line="240" w:lineRule="auto"/>
        <w:ind w:firstLine="2640" w:firstLineChars="600"/>
        <w:jc w:val="both"/>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2020年度部门决算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widowControl/>
        <w:suppressLineNumbers w:val="0"/>
        <w:ind w:firstLine="643" w:firstLineChars="200"/>
        <w:jc w:val="left"/>
      </w:pPr>
      <w:r>
        <w:rPr>
          <w:rFonts w:hint="eastAsia" w:ascii="黑体" w:hAnsi="黑体" w:eastAsia="黑体" w:cs="Times New Roman"/>
          <w:b/>
          <w:snapToGrid/>
          <w:kern w:val="2"/>
          <w:sz w:val="32"/>
          <w:szCs w:val="32"/>
          <w:lang w:val="en-US" w:eastAsia="zh-CN" w:bidi="ar-SA"/>
        </w:rPr>
        <w:t>第一部分   岱山街道办事处概况</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04" w:firstLineChars="200"/>
        <w:jc w:val="left"/>
        <w:textAlignment w:val="auto"/>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2020 年度部门决算表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2020 年度部门决算情况说明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pStyle w:val="2"/>
        <w:rPr>
          <w:rFonts w:hint="eastAsia" w:ascii="仿宋" w:hAnsi="仿宋" w:eastAsia="仿宋" w:cs="Times New Roman"/>
          <w:snapToGrid/>
          <w:kern w:val="2"/>
          <w:sz w:val="32"/>
          <w:szCs w:val="30"/>
          <w:lang w:val="en-US" w:eastAsia="zh-CN" w:bidi="ar-SA"/>
        </w:rPr>
      </w:pPr>
    </w:p>
    <w:p>
      <w:pPr>
        <w:pStyle w:val="2"/>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sectPr>
          <w:headerReference r:id="rId5" w:type="default"/>
          <w:footerReference r:id="rId6"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 xml:space="preserve">第一部分    </w:t>
      </w:r>
      <w:r>
        <w:rPr>
          <w:rFonts w:hint="eastAsia" w:ascii="黑体" w:hAnsi="黑体" w:eastAsia="黑体" w:cs="Times New Roman"/>
          <w:b/>
          <w:snapToGrid/>
          <w:kern w:val="2"/>
          <w:sz w:val="32"/>
          <w:szCs w:val="32"/>
          <w:lang w:val="en-US" w:eastAsia="zh-CN" w:bidi="ar-SA"/>
        </w:rPr>
        <w:t>岱山街道办事处</w:t>
      </w:r>
      <w:r>
        <w:rPr>
          <w:rFonts w:hint="eastAsia" w:ascii="宋体" w:hAnsi="宋体" w:eastAsia="宋体" w:cs="Times New Roman"/>
          <w:b/>
          <w:snapToGrid/>
          <w:kern w:val="2"/>
          <w:sz w:val="32"/>
          <w:szCs w:val="30"/>
          <w:lang w:val="en-US" w:eastAsia="zh-CN" w:bidi="ar-SA"/>
        </w:rPr>
        <w:t>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一、部门主要职能</w:t>
      </w:r>
    </w:p>
    <w:p>
      <w:pPr>
        <w:keepNext w:val="0"/>
        <w:keepLines w:val="0"/>
        <w:widowControl/>
        <w:suppressLineNumbers w:val="0"/>
        <w:jc w:val="left"/>
      </w:pPr>
      <w:r>
        <w:rPr>
          <w:rFonts w:hint="eastAsia" w:ascii="仿宋" w:hAnsi="仿宋" w:eastAsia="仿宋" w:cs="Times New Roman"/>
          <w:snapToGrid/>
          <w:kern w:val="2"/>
          <w:sz w:val="32"/>
          <w:szCs w:val="30"/>
          <w:lang w:val="en-US" w:eastAsia="zh-CN" w:bidi="ar-SA"/>
        </w:rPr>
        <w:t>（一 ）</w:t>
      </w:r>
      <w:r>
        <w:rPr>
          <w:rFonts w:ascii="仿宋" w:hAnsi="仿宋" w:eastAsia="仿宋" w:cs="仿宋"/>
          <w:snapToGrid w:val="0"/>
          <w:color w:val="000000"/>
          <w:kern w:val="0"/>
          <w:sz w:val="28"/>
          <w:szCs w:val="28"/>
          <w:lang w:val="en-US" w:eastAsia="zh-CN" w:bidi="ar"/>
        </w:rPr>
        <w:t xml:space="preserve">贯彻执行党的路线、方针和政策，认真执行上级党委和政府的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 xml:space="preserve">各项决议，负责党的思想、组织、作风建设，负责对本街道党员的教育和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 xml:space="preserve">管理工作，负责纪检监察工作，做好党的统一战线工作，发挥工、青、妇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等群众组织的积极作用。</w:t>
      </w:r>
    </w:p>
    <w:p>
      <w:pPr>
        <w:keepNext w:val="0"/>
        <w:keepLines w:val="0"/>
        <w:widowControl/>
        <w:suppressLineNumbers w:val="0"/>
        <w:jc w:val="left"/>
      </w:pPr>
      <w:r>
        <w:rPr>
          <w:rFonts w:ascii="楷体" w:hAnsi="楷体" w:eastAsia="楷体" w:cs="楷体"/>
          <w:b/>
          <w:bCs/>
          <w:snapToGrid w:val="0"/>
          <w:color w:val="000000"/>
          <w:kern w:val="0"/>
          <w:sz w:val="28"/>
          <w:szCs w:val="28"/>
          <w:lang w:val="en-US" w:eastAsia="zh-CN" w:bidi="ar"/>
        </w:rPr>
        <w:t>（二）</w:t>
      </w:r>
      <w:r>
        <w:rPr>
          <w:rFonts w:ascii="仿宋" w:hAnsi="仿宋" w:eastAsia="仿宋" w:cs="仿宋"/>
          <w:snapToGrid w:val="0"/>
          <w:color w:val="000000"/>
          <w:kern w:val="0"/>
          <w:sz w:val="28"/>
          <w:szCs w:val="28"/>
          <w:lang w:val="en-US" w:eastAsia="zh-CN" w:bidi="ar"/>
        </w:rPr>
        <w:t xml:space="preserve">做好国防教育征兵、民兵预备役工作，负责辖区计划生育与流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 xml:space="preserve">动人口管理服务工作。以经济建设为中心，做好招商引资，纪检发展第三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 xml:space="preserve">产业、社区（村）服务事业，不断加强精神文明建设，提高市民素质。 </w:t>
      </w:r>
    </w:p>
    <w:p>
      <w:pPr>
        <w:keepNext w:val="0"/>
        <w:keepLines w:val="0"/>
        <w:widowControl/>
        <w:suppressLineNumbers w:val="0"/>
        <w:jc w:val="left"/>
      </w:pPr>
      <w:r>
        <w:rPr>
          <w:rFonts w:hint="eastAsia" w:ascii="楷体" w:hAnsi="楷体" w:eastAsia="楷体" w:cs="楷体"/>
          <w:b/>
          <w:bCs/>
          <w:snapToGrid w:val="0"/>
          <w:color w:val="000000"/>
          <w:kern w:val="0"/>
          <w:sz w:val="28"/>
          <w:szCs w:val="28"/>
          <w:lang w:val="en-US" w:eastAsia="zh-CN" w:bidi="ar"/>
        </w:rPr>
        <w:t>（三）</w:t>
      </w:r>
      <w:r>
        <w:rPr>
          <w:rFonts w:hint="eastAsia" w:ascii="仿宋" w:hAnsi="仿宋" w:eastAsia="仿宋" w:cs="仿宋"/>
          <w:snapToGrid w:val="0"/>
          <w:color w:val="000000"/>
          <w:kern w:val="0"/>
          <w:sz w:val="28"/>
          <w:szCs w:val="28"/>
          <w:lang w:val="en-US" w:eastAsia="zh-CN" w:bidi="ar"/>
        </w:rPr>
        <w:t xml:space="preserve">参与城市规划、建设、改造和管理工作，做好辖区市容环境卫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 xml:space="preserve">生，做好信访服务工作，认真出来来信，接待来访，及时向区政府汇报有 </w:t>
      </w: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关情况与问题，热情为群众服务。</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纳入本套部门决算汇编范围的单位共 1个，包括岱山街道办事处本级和社区服务中心.</w:t>
      </w:r>
    </w:p>
    <w:p>
      <w:pPr>
        <w:keepNext w:val="0"/>
        <w:keepLines w:val="0"/>
        <w:pageBreakBefore w:val="0"/>
        <w:widowControl/>
        <w:wordWrap/>
        <w:overflowPunct/>
        <w:topLinePunct w:val="0"/>
        <w:bidi w:val="0"/>
        <w:spacing w:line="240" w:lineRule="auto"/>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年年末实有人数  </w:t>
      </w:r>
      <w:r>
        <w:rPr>
          <w:rFonts w:hint="eastAsia" w:ascii="仿宋" w:hAnsi="仿宋" w:eastAsia="仿宋"/>
          <w:sz w:val="30"/>
          <w:szCs w:val="30"/>
          <w:lang w:val="en-US" w:eastAsia="zh-CN"/>
        </w:rPr>
        <w:t>32</w:t>
      </w:r>
      <w:r>
        <w:rPr>
          <w:rFonts w:hint="eastAsia" w:ascii="仿宋" w:hAnsi="仿宋" w:eastAsia="仿宋"/>
          <w:sz w:val="30"/>
          <w:szCs w:val="30"/>
        </w:rPr>
        <w:t xml:space="preserve"> 人，其中在职人员  </w:t>
      </w:r>
      <w:r>
        <w:rPr>
          <w:rFonts w:hint="eastAsia" w:ascii="仿宋" w:hAnsi="仿宋" w:eastAsia="仿宋"/>
          <w:sz w:val="30"/>
          <w:szCs w:val="30"/>
          <w:lang w:val="en-US" w:eastAsia="zh-CN"/>
        </w:rPr>
        <w:t>32</w:t>
      </w:r>
      <w:r>
        <w:rPr>
          <w:rFonts w:hint="eastAsia" w:ascii="仿宋" w:hAnsi="仿宋" w:eastAsia="仿宋"/>
          <w:sz w:val="30"/>
          <w:szCs w:val="30"/>
        </w:rPr>
        <w:t xml:space="preserve">人，离休人员 </w:t>
      </w:r>
      <w:r>
        <w:rPr>
          <w:rFonts w:hint="eastAsia" w:ascii="仿宋" w:hAnsi="仿宋" w:eastAsia="仿宋"/>
          <w:sz w:val="30"/>
          <w:szCs w:val="30"/>
          <w:lang w:val="en-US" w:eastAsia="zh-CN"/>
        </w:rPr>
        <w:t>0</w:t>
      </w:r>
      <w:r>
        <w:rPr>
          <w:rFonts w:hint="eastAsia" w:ascii="仿宋" w:hAnsi="仿宋" w:eastAsia="仿宋"/>
          <w:sz w:val="30"/>
          <w:szCs w:val="30"/>
        </w:rPr>
        <w:t xml:space="preserve"> 人，退休人员  </w:t>
      </w:r>
      <w:r>
        <w:rPr>
          <w:rFonts w:hint="eastAsia" w:ascii="仿宋" w:hAnsi="仿宋" w:eastAsia="仿宋"/>
          <w:sz w:val="30"/>
          <w:szCs w:val="30"/>
          <w:lang w:val="en-US" w:eastAsia="zh-CN"/>
        </w:rPr>
        <w:t>3</w:t>
      </w:r>
      <w:r>
        <w:rPr>
          <w:rFonts w:hint="eastAsia" w:ascii="仿宋" w:hAnsi="仿宋" w:eastAsia="仿宋"/>
          <w:sz w:val="30"/>
          <w:szCs w:val="30"/>
        </w:rPr>
        <w:t xml:space="preserve"> 人；年末其他人员</w:t>
      </w:r>
      <w:r>
        <w:rPr>
          <w:rFonts w:hint="eastAsia" w:ascii="仿宋" w:hAnsi="仿宋" w:eastAsia="仿宋"/>
          <w:sz w:val="30"/>
          <w:szCs w:val="30"/>
          <w:lang w:val="en-US" w:eastAsia="zh-CN"/>
        </w:rPr>
        <w:t>0</w:t>
      </w:r>
      <w:r>
        <w:rPr>
          <w:rFonts w:hint="eastAsia" w:ascii="仿宋" w:hAnsi="仿宋" w:eastAsia="仿宋"/>
          <w:sz w:val="30"/>
          <w:szCs w:val="30"/>
        </w:rPr>
        <w:t xml:space="preserve">  人；年末学生人数 </w:t>
      </w:r>
      <w:r>
        <w:rPr>
          <w:rFonts w:hint="eastAsia" w:ascii="仿宋" w:hAnsi="仿宋" w:eastAsia="仿宋"/>
          <w:sz w:val="30"/>
          <w:szCs w:val="30"/>
          <w:lang w:val="en-US" w:eastAsia="zh-CN"/>
        </w:rPr>
        <w:t>0</w:t>
      </w:r>
      <w:r>
        <w:rPr>
          <w:rFonts w:hint="eastAsia" w:ascii="仿宋" w:hAnsi="仿宋" w:eastAsia="仿宋"/>
          <w:sz w:val="30"/>
          <w:szCs w:val="30"/>
        </w:rPr>
        <w:t xml:space="preserve">  人。</w:t>
      </w:r>
    </w:p>
    <w:p>
      <w:pPr>
        <w:keepNext w:val="0"/>
        <w:keepLines w:val="0"/>
        <w:pageBreakBefore w:val="0"/>
        <w:widowControl/>
        <w:wordWrap/>
        <w:overflowPunct/>
        <w:topLinePunct w:val="0"/>
        <w:bidi w:val="0"/>
        <w:spacing w:line="240" w:lineRule="auto"/>
        <w:ind w:firstLine="630"/>
        <w:jc w:val="left"/>
        <w:rPr>
          <w:rFonts w:hint="eastAsia" w:ascii="仿宋" w:hAnsi="仿宋" w:eastAsia="仿宋"/>
          <w:sz w:val="30"/>
          <w:szCs w:val="30"/>
        </w:rPr>
      </w:pPr>
    </w:p>
    <w:p>
      <w:pPr>
        <w:keepNext w:val="0"/>
        <w:keepLines w:val="0"/>
        <w:pageBreakBefore w:val="0"/>
        <w:widowControl/>
        <w:wordWrap/>
        <w:overflowPunct/>
        <w:topLinePunct w:val="0"/>
        <w:bidi w:val="0"/>
        <w:spacing w:line="240" w:lineRule="auto"/>
        <w:ind w:firstLine="630"/>
        <w:jc w:val="left"/>
        <w:rPr>
          <w:rFonts w:hint="eastAsia" w:ascii="仿宋" w:hAnsi="仿宋" w:eastAsia="仿宋"/>
          <w:sz w:val="30"/>
          <w:szCs w:val="30"/>
        </w:rPr>
      </w:pPr>
    </w:p>
    <w:p>
      <w:pPr>
        <w:keepNext w:val="0"/>
        <w:keepLines w:val="0"/>
        <w:pageBreakBefore w:val="0"/>
        <w:widowControl/>
        <w:wordWrap/>
        <w:overflowPunct/>
        <w:topLinePunct w:val="0"/>
        <w:bidi w:val="0"/>
        <w:spacing w:line="240" w:lineRule="auto"/>
        <w:ind w:firstLine="630"/>
        <w:jc w:val="left"/>
        <w:rPr>
          <w:rFonts w:hint="eastAsia" w:ascii="仿宋" w:hAnsi="仿宋" w:eastAsia="仿宋"/>
          <w:sz w:val="30"/>
          <w:szCs w:val="30"/>
        </w:rPr>
      </w:pP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tabs>
          <w:tab w:val="left" w:pos="6221"/>
        </w:tabs>
        <w:wordWrap/>
        <w:overflowPunct/>
        <w:topLinePunct w:val="0"/>
        <w:bidi w:val="0"/>
        <w:spacing w:line="240" w:lineRule="auto"/>
        <w:jc w:val="left"/>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ab/>
      </w: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pStyle w:val="2"/>
        <w:rPr>
          <w:rFonts w:hint="eastAsia" w:ascii="宋体" w:hAnsi="宋体" w:eastAsia="宋体" w:cs="Times New Roman"/>
          <w:b/>
          <w:snapToGrid/>
          <w:kern w:val="2"/>
          <w:sz w:val="32"/>
          <w:szCs w:val="30"/>
          <w:lang w:val="en-US" w:eastAsia="zh-CN" w:bidi="ar-SA"/>
        </w:rPr>
      </w:pP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mc:AlternateContent>
          <mc:Choice Requires="wps">
            <w:drawing>
              <wp:anchor distT="0" distB="0" distL="114300" distR="114300" simplePos="0" relativeHeight="251659264"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7216;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1206500</wp:posOffset>
                </wp:positionH>
                <wp:positionV relativeFrom="page">
                  <wp:posOffset>7898765</wp:posOffset>
                </wp:positionV>
                <wp:extent cx="5017135" cy="12700"/>
                <wp:effectExtent l="0" t="0" r="0" b="0"/>
                <wp:wrapNone/>
                <wp:docPr id="2" name="任意多边形 2"/>
                <wp:cNvGraphicFramePr/>
                <a:graphic xmlns:a="http://schemas.openxmlformats.org/drawingml/2006/main">
                  <a:graphicData uri="http://schemas.microsoft.com/office/word/2010/wordprocessingShape">
                    <wps:wsp>
                      <wps:cNvSpPr/>
                      <wps:spPr>
                        <a:xfrm>
                          <a:off x="0" y="0"/>
                          <a:ext cx="5017135" cy="12700"/>
                        </a:xfrm>
                        <a:custGeom>
                          <a:avLst/>
                          <a:gdLst/>
                          <a:ahLst/>
                          <a:cxnLst/>
                          <a:pathLst>
                            <a:path w="7900" h="20">
                              <a:moveTo>
                                <a:pt x="0" y="10"/>
                              </a:moveTo>
                              <a:lnTo>
                                <a:pt x="590" y="10"/>
                              </a:lnTo>
                              <a:moveTo>
                                <a:pt x="590" y="10"/>
                              </a:moveTo>
                              <a:lnTo>
                                <a:pt x="1980" y="10"/>
                              </a:lnTo>
                              <a:moveTo>
                                <a:pt x="1980" y="10"/>
                              </a:moveTo>
                              <a:lnTo>
                                <a:pt x="2879" y="10"/>
                              </a:lnTo>
                              <a:moveTo>
                                <a:pt x="2879" y="10"/>
                              </a:moveTo>
                              <a:lnTo>
                                <a:pt x="3729" y="10"/>
                              </a:lnTo>
                              <a:moveTo>
                                <a:pt x="3729" y="10"/>
                              </a:moveTo>
                              <a:lnTo>
                                <a:pt x="4600" y="10"/>
                              </a:lnTo>
                              <a:moveTo>
                                <a:pt x="4600" y="10"/>
                              </a:moveTo>
                              <a:lnTo>
                                <a:pt x="5420" y="10"/>
                              </a:lnTo>
                              <a:moveTo>
                                <a:pt x="5420" y="10"/>
                              </a:moveTo>
                              <a:lnTo>
                                <a:pt x="6230" y="10"/>
                              </a:lnTo>
                              <a:moveTo>
                                <a:pt x="6230" y="10"/>
                              </a:moveTo>
                              <a:lnTo>
                                <a:pt x="7019" y="10"/>
                              </a:lnTo>
                              <a:moveTo>
                                <a:pt x="7019" y="10"/>
                              </a:moveTo>
                              <a:lnTo>
                                <a:pt x="7900" y="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5pt;margin-top:621.95pt;height:1pt;width:395.05pt;mso-position-horizontal-relative:page;mso-position-vertical-relative:page;z-index:251668480;mso-width-relative:page;mso-height-relative:page;" filled="f" stroked="t" coordsize="7900,20" o:allowincell="f" o:gfxdata="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TAcbB2gAAAA0BAAAPAAAAAAAAAAEAIAAAACIAAABkcnMvZG93bnJldi54bWxQSwEC&#10;FAAUAAAACACHTuJAeuXIKZ0CAABGBwAADgAAAAAAAAABACAAAAApAQAAZHJzL2Uyb0RvYy54bWxQ&#10;SwUGAAAAAAYABgBZAQAAOAYAAAAA&#10;" path="m0,10l590,10m590,10l1980,10m1980,10l2879,10m2879,10l3729,10m3729,10l4600,10m4600,10l5420,10m5420,10l6230,10m6230,10l7019,10m7019,10l7900,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5648"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5648;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3360;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3600"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3600;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233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257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257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643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155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131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667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667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7456"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7456;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0528"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70528;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0288;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4624;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5408;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9504"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9504;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MnqV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4384;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宋体" w:hAnsi="宋体" w:eastAsia="宋体" w:cs="Times New Roman"/>
          <w:b/>
          <w:snapToGrid/>
          <w:kern w:val="2"/>
          <w:sz w:val="32"/>
          <w:szCs w:val="30"/>
          <w:lang w:val="en-US" w:eastAsia="zh-CN" w:bidi="ar-SA"/>
        </w:rPr>
        <w:t>第二部分  2020年度部门决算表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513705" cy="7372350"/>
            <wp:effectExtent l="0" t="0" r="1079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0"/>
                    <a:stretch>
                      <a:fillRect/>
                    </a:stretch>
                  </pic:blipFill>
                  <pic:spPr>
                    <a:xfrm>
                      <a:off x="0" y="0"/>
                      <a:ext cx="5513705" cy="737235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6036945" cy="8131810"/>
            <wp:effectExtent l="0" t="0" r="1905" b="254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1"/>
                    <a:stretch>
                      <a:fillRect/>
                    </a:stretch>
                  </pic:blipFill>
                  <pic:spPr>
                    <a:xfrm>
                      <a:off x="0" y="0"/>
                      <a:ext cx="6036945" cy="813181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633720" cy="8564245"/>
            <wp:effectExtent l="0" t="0" r="5080" b="825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2"/>
                    <a:stretch>
                      <a:fillRect/>
                    </a:stretch>
                  </pic:blipFill>
                  <pic:spPr>
                    <a:xfrm>
                      <a:off x="0" y="0"/>
                      <a:ext cx="5633720" cy="856424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666105" cy="7747000"/>
            <wp:effectExtent l="0" t="0" r="10795" b="635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3"/>
                    <a:stretch>
                      <a:fillRect/>
                    </a:stretch>
                  </pic:blipFill>
                  <pic:spPr>
                    <a:xfrm>
                      <a:off x="0" y="0"/>
                      <a:ext cx="5666105" cy="774700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362575" cy="6539865"/>
            <wp:effectExtent l="0" t="0" r="9525" b="1333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4"/>
                    <a:stretch>
                      <a:fillRect/>
                    </a:stretch>
                  </pic:blipFill>
                  <pic:spPr>
                    <a:xfrm>
                      <a:off x="0" y="0"/>
                      <a:ext cx="5362575" cy="653986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649595" cy="7587615"/>
            <wp:effectExtent l="0" t="0" r="8255" b="1333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5"/>
                    <a:stretch>
                      <a:fillRect/>
                    </a:stretch>
                  </pic:blipFill>
                  <pic:spPr>
                    <a:xfrm>
                      <a:off x="0" y="0"/>
                      <a:ext cx="5649595" cy="758761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626735" cy="6554470"/>
            <wp:effectExtent l="0" t="0" r="12065" b="17780"/>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16"/>
                    <a:stretch>
                      <a:fillRect/>
                    </a:stretch>
                  </pic:blipFill>
                  <pic:spPr>
                    <a:xfrm>
                      <a:off x="0" y="0"/>
                      <a:ext cx="5626735" cy="655447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520690" cy="2936240"/>
            <wp:effectExtent l="0" t="0" r="3810" b="16510"/>
            <wp:docPr id="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pic:cNvPicPr>
                      <a:picLocks noChangeAspect="1"/>
                    </pic:cNvPicPr>
                  </pic:nvPicPr>
                  <pic:blipFill>
                    <a:blip r:embed="rId17"/>
                    <a:stretch>
                      <a:fillRect/>
                    </a:stretch>
                  </pic:blipFill>
                  <pic:spPr>
                    <a:xfrm>
                      <a:off x="0" y="0"/>
                      <a:ext cx="5520690" cy="293624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519420" cy="2201545"/>
            <wp:effectExtent l="0" t="0" r="5080" b="8255"/>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8"/>
                    <a:stretch>
                      <a:fillRect/>
                    </a:stretch>
                  </pic:blipFill>
                  <pic:spPr>
                    <a:xfrm>
                      <a:off x="0" y="0"/>
                      <a:ext cx="5519420" cy="220154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516245" cy="3092450"/>
            <wp:effectExtent l="0" t="0" r="8255" b="12700"/>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pic:cNvPicPr>
                  </pic:nvPicPr>
                  <pic:blipFill>
                    <a:blip r:embed="rId19"/>
                    <a:stretch>
                      <a:fillRect/>
                    </a:stretch>
                  </pic:blipFill>
                  <pic:spPr>
                    <a:xfrm>
                      <a:off x="0" y="0"/>
                      <a:ext cx="5516245" cy="309245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第三部分    2020 年度部门决算情况说明</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本部门 2020年度收入总计1406.65 万元，其中年初结转和结余 1248.37万元，较 2019年减少1526万元，下降144.9%; </w:t>
      </w:r>
    </w:p>
    <w:p>
      <w:pPr>
        <w:keepNext w:val="0"/>
        <w:keepLines w:val="0"/>
        <w:widowControl/>
        <w:suppressLineNumbers w:val="0"/>
        <w:jc w:val="left"/>
        <w:rPr>
          <w:rFonts w:hint="default"/>
          <w:lang w:val="en-US"/>
        </w:rPr>
      </w:pPr>
      <w:r>
        <w:rPr>
          <w:rFonts w:hint="eastAsia" w:ascii="仿宋" w:hAnsi="仿宋" w:eastAsia="仿宋" w:cs="Times New Roman"/>
          <w:snapToGrid/>
          <w:kern w:val="2"/>
          <w:sz w:val="32"/>
          <w:szCs w:val="30"/>
          <w:lang w:val="en-US" w:eastAsia="zh-CN" w:bidi="ar-SA"/>
        </w:rPr>
        <w:t>本年收入合计 1406.65万元，较 2019年增加1526万元，下 降144.9 %，主要原因是:</w:t>
      </w:r>
      <w:r>
        <w:rPr>
          <w:rFonts w:ascii="仿宋" w:hAnsi="仿宋" w:eastAsia="仿宋" w:cs="仿宋"/>
          <w:snapToGrid w:val="0"/>
          <w:color w:val="000000"/>
          <w:kern w:val="0"/>
          <w:sz w:val="28"/>
          <w:szCs w:val="28"/>
          <w:lang w:val="en-US" w:eastAsia="zh-CN" w:bidi="ar"/>
        </w:rPr>
        <w:t>2019年有警民路项目工程和社区改造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本年收入的具体构成为∶ 财政拨款收入1167.83 万元，占 83.02%;事 业收入238.82万元，占16.98 %;经营收入 0万元，占0 %;其他收入 0万 元 ， 占0 %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二、支出决算情况说明</w:t>
      </w:r>
    </w:p>
    <w:p>
      <w:pPr>
        <w:keepNext w:val="0"/>
        <w:keepLines w:val="0"/>
        <w:widowControl/>
        <w:suppressLineNumbers w:val="0"/>
        <w:jc w:val="left"/>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2020年度支出总计 1677.27万元，其中本年支出合计 1677.27 万元，较 2019年增加（减少1478.61）万元，下降53.14%，主要  原因是∶</w:t>
      </w:r>
      <w:r>
        <w:rPr>
          <w:rFonts w:ascii="仿宋" w:hAnsi="仿宋" w:eastAsia="仿宋" w:cs="仿宋"/>
          <w:snapToGrid w:val="0"/>
          <w:color w:val="000000"/>
          <w:kern w:val="0"/>
          <w:sz w:val="28"/>
          <w:szCs w:val="28"/>
          <w:lang w:val="en-US" w:eastAsia="zh-CN" w:bidi="ar"/>
        </w:rPr>
        <w:t>2019年有警民路项目工程和社区改造</w:t>
      </w:r>
      <w:r>
        <w:rPr>
          <w:rFonts w:hint="eastAsia" w:ascii="仿宋" w:hAnsi="仿宋" w:eastAsia="仿宋" w:cs="Times New Roman"/>
          <w:snapToGrid/>
          <w:kern w:val="2"/>
          <w:sz w:val="32"/>
          <w:szCs w:val="30"/>
          <w:lang w:val="en-US" w:eastAsia="zh-CN" w:bidi="ar-SA"/>
        </w:rPr>
        <w:t xml:space="preserve">;年末结转和结余1248.37 万元，较 2019年减少1526 万元，下降144.9 %，主要原因是∶ </w:t>
      </w:r>
      <w:r>
        <w:rPr>
          <w:rFonts w:ascii="仿宋" w:hAnsi="仿宋" w:eastAsia="仿宋" w:cs="仿宋"/>
          <w:snapToGrid w:val="0"/>
          <w:color w:val="000000"/>
          <w:kern w:val="0"/>
          <w:sz w:val="28"/>
          <w:szCs w:val="28"/>
          <w:lang w:val="en-US" w:eastAsia="zh-CN" w:bidi="ar"/>
        </w:rPr>
        <w:t>2019年有警民路项目工程和社区改造</w:t>
      </w:r>
      <w:r>
        <w:rPr>
          <w:rFonts w:hint="eastAsia" w:ascii="仿宋" w:hAnsi="仿宋" w:eastAsia="仿宋" w:cs="Times New Roman"/>
          <w:snapToGrid/>
          <w:kern w:val="2"/>
          <w:sz w:val="32"/>
          <w:szCs w:val="30"/>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本年支出的具体构成为∶ 基本支出 1122.6万元，占 66.9%; 项目支 出 554.67万元，占33.06 %; 经营支出 0万元，占 0%; 其他支出（对 附属单位补助支出、上缴上级支出） 万元，占0 %。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 年度财政拨款本年支出年初预算数为 746.47万元， 决算数为 924.38万元，完成年初预算的123.83%。其中∶</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（一）一般公共服务支出年初预算数为446.47万元，决算数为 468.32万元，完成年初预算的 104.89%，主要原因是∶ 社区改造/资产运行维护支出增加。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（二）公共安全支出年初预算数为 0万元，决算数为 5.2万元，完成年初预算的0%，主要原因是∶宣传及人员经费。</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2020年度一般公共预算财政拨款基本支出 922.75万 元，其中∶</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工资福利支出 473.37万元，较 2019年增加93.57万元，增长12.46 %，主要原因是∶人员经费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商品和服务支出 112.83万元，较  2019年增加万 48.92元，增长56.64%，主要原因是∶办公设施 设备购置经费增加.资产运行维护支出增加等。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jc w:val="left"/>
        <w:textAlignment w:val="auto"/>
        <w:rPr>
          <w:rFonts w:hint="default"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（三）对个人和家庭补助支出 336.52万元，较  2019年增加259.15 万元，增长99.96%，主要原因是∶发放退休人员离世抚恤金.在职人员生活补助.医疗费补助等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（四）资本性支出 0万元，较  2019年增加（减少）0万元，增长（下降）0 %，主要原因是∶……。</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本部门2020年度一般公共预算财政拨款“三公”经费支出年初 预算数为0 万元，决算数为 0万元，完成预算的 %，决算数较2019 年增加（减少） 0万元，增长（下降）0 %，其中∶无。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（一）因公出国（境）支出年初预算数为0 万元，决算数 为0 万元，完成预算的0 %，决算数较  2019年增加（减少） 万 0元，增长（下降） 0%。决算数较年初预算数增加（减少）的主 要原因是∶ 无发生。全年安排因公出国（境）团组 0个，累计 0人 次，主要为∶无。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（二）公务接待费支出年初预算数为 0万元，决算数为 0万 0元，完成预算的0 %，决算数较  2019年增加（减少） 0万元，增 长（下降）0 %。决算数较年初预算数增加（减少）的主要原因 是∶ 无。全年国内公务接待 0批，累计接待0 人次，其中外事 0接待0 批，累计接待 0人次，主要为∶ 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（三）公务用车购置及运行维护费支出 0万元，其中公务用 0车购置年初预算数为 0万元，决算数为 0万元，完成预算的0 %， 决算数较  2019年增加（减少）0 万元，增长（下降）0 %，主要原 因是无，全年购置公务用车0 辆。决算数较年初预算数增加（减少）的主要原因是∶无;公务用车运行维护费支出年初预算数为0 万元，决算数为0 万元，完成预算的0 %，决算数较 2019年增加（减 少）0 万元，增长（下降）0 %，主要原因是:无，年末公务用车保有0 辆。决算数较年初预算数增加（减少）的主要原因是∶无。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本部门 2020年度机关运行经费支出112.83 万元（与部门决算 中行政单位和参照公务员法管理事业单位一般公共预算财政  拨款基本支出中公用经费之和保持一致），较年初预算数减少37.17万元，降低11.67%，主要原因是∶ 办公设施 设备购置经费增加（减少）/资产运行维护支出增加（减少）/ 信息系统运行维护支出增加（减少）/人员编制数量增加（减少）/落实过紧日子要求压减  XX   支出/... 等（具体增减原因由部门根据实际情况填列）。</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2020年度政府采购支出总额 71.93838万元，其中∶ 政府采 购货物支出 17.4776万元、政府采购工程支出 0万元、政府采购服务支 出 54.46074万0元。授予中小企业合同金额 0万元，占政府采购支出总额 的 %，其中∶授予小微企业合同金额0 万元，占政府采购支出 总额的0 %。（市级部门公开的政府采购金额的计算口径为∶本 部门纳入2020年部门预算范围的各项政府采购支出金额之和， 不包括涉密采购项目的支出金额。）</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截止2020 年12月31日，本部门国有资产占用情况见公开10 表《国有资产占用情况表》。其中车辆中的其他用车主要是……。无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根据预算绩效管理要求，我部门组织对2020 年度一般公共预 算项目支出所有二级项目 个全面开展绩效自评，共涉及资金  0万元，占一般公共预算项目支出总额的0 %。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组织对“ XXX”、“XXX”  等 个项目开展了部门评价，涉及 一般公共预算支出 万元，政府性基金预算支出 万元。其中， 对“  XX ”、“XX ”  等项目分别委托“ XXX”、“XXX”  等第三方 机构开展绩效评价。从评价情况来看，……（请对预算绩效评价 情况进行简单说明）。无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（二）部门决算中项目绩效自评结果（应当将2020年度市级部 门决算项目绩效自评综述和《项目支出绩效自评表》进行公开）。</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我部门今年在市级部门决算中反映 XXX     XXX  项目绩效自 评 结 果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项目绩效自评总体综述∶ 根据年初设定的绩效目标， XXX    项目绩效自评得分为 分。项目全年预算数为 万元，执行数为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万元，完成预算的 %。项目绩效目标完成情况∶ 一是……;  二是……。发现的问题及原因∶ 一是……;二是……。下一步改 进措施∶一是……;二是……。无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（三）部门评价项目绩效评价结果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每个市级部门至少将1个部门评价报告向社会公开，报告框 架可参考《项目支出绩效评价办法》（财预〔2020〕10号）中《项 目支出绩效评价报告（参考提纲）》。</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（一）本单位财务管理、绩效管理、决算组织、编报、审核情况。</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我单位</w:t>
      </w:r>
      <w:r>
        <w:rPr>
          <w:rFonts w:hint="eastAsia" w:ascii="仿宋_GB2312" w:hAnsi="仿宋" w:eastAsia="仿宋_GB2312" w:cs="Times New Roman"/>
          <w:sz w:val="32"/>
          <w:szCs w:val="32"/>
        </w:rPr>
        <w:t>建立了较为完善的财务和行政管理制度，如《预算业务管理制度》、《收支管理制度》、《行政事业单位国有资产管理规章制度》、《行政事业单位合同管理制度》、《行政事业单位政府采购管理制度》等相关制度，各类专项资金均明确相应管理办法，确保资金使用的合规性。</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项目支出（专项支出）方面，根据项目管理要求，我</w:t>
      </w:r>
      <w:r>
        <w:rPr>
          <w:rFonts w:hint="eastAsia" w:ascii="仿宋_GB2312" w:hAnsi="仿宋" w:eastAsia="仿宋_GB2312" w:cs="Times New Roman"/>
          <w:sz w:val="32"/>
          <w:szCs w:val="32"/>
          <w:lang w:eastAsia="zh-CN"/>
        </w:rPr>
        <w:t>单位</w:t>
      </w:r>
      <w:r>
        <w:rPr>
          <w:rFonts w:hint="eastAsia" w:ascii="仿宋_GB2312" w:hAnsi="仿宋" w:eastAsia="仿宋_GB2312" w:cs="Times New Roman"/>
          <w:sz w:val="32"/>
          <w:szCs w:val="32"/>
        </w:rPr>
        <w:t>对项目资金实施专项管理、专款专用，严格控制、规范使用。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（二）本单位决算公开工作、主管部门对所属单位按规定批复决算工作开展情况。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我单位是基层决算编报单位，由</w:t>
      </w:r>
      <w:r>
        <w:rPr>
          <w:rFonts w:hint="eastAsia" w:ascii="仿宋_GB2312" w:hAnsi="仿宋" w:eastAsia="仿宋_GB2312"/>
          <w:sz w:val="32"/>
          <w:szCs w:val="32"/>
          <w:lang w:eastAsia="zh-CN"/>
        </w:rPr>
        <w:t>市城管局</w:t>
      </w:r>
      <w:r>
        <w:rPr>
          <w:rFonts w:hint="eastAsia" w:ascii="仿宋_GB2312" w:hAnsi="仿宋" w:eastAsia="仿宋_GB2312"/>
          <w:sz w:val="32"/>
          <w:szCs w:val="32"/>
        </w:rPr>
        <w:t>统一对我局的决算报表进行公开，批复</w:t>
      </w:r>
    </w:p>
    <w:p>
      <w:pPr>
        <w:pStyle w:val="2"/>
        <w:rPr>
          <w:rFonts w:hint="eastAsia" w:ascii="仿宋_GB2312" w:hAnsi="仿宋" w:eastAsia="仿宋_GB2312"/>
          <w:sz w:val="32"/>
          <w:szCs w:val="32"/>
        </w:rPr>
      </w:pPr>
    </w:p>
    <w:p>
      <w:pPr>
        <w:keepNext w:val="0"/>
        <w:keepLines w:val="0"/>
        <w:pageBreakBefore w:val="0"/>
        <w:wordWrap/>
        <w:overflowPunct/>
        <w:topLinePunct w:val="0"/>
        <w:bidi w:val="0"/>
        <w:spacing w:line="240" w:lineRule="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名词解释应以财务会计制度、政府收支分类科目以及部门预 算管理等规定为基本说明，可在此基础上结合部门实际情况适当 细化。“三公”经费支出和机关运行经费支出口径必需予以说明。</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（四）上年结转和结余：填列20</w:t>
      </w:r>
      <w:r>
        <w:rPr>
          <w:rFonts w:hint="eastAsia" w:ascii="仿宋_GB2312" w:eastAsia="仿宋_GB2312"/>
          <w:sz w:val="32"/>
          <w:szCs w:val="30"/>
          <w:lang w:val="en-US" w:eastAsia="zh-CN"/>
        </w:rPr>
        <w:t>19</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（三）事业运行：反映事业单位的基本支出。</w:t>
      </w:r>
    </w:p>
    <w:p>
      <w:pPr>
        <w:keepNext w:val="0"/>
        <w:keepLines w:val="0"/>
        <w:widowControl/>
        <w:suppressLineNumbers w:val="0"/>
        <w:ind w:firstLine="640" w:firstLineChars="200"/>
        <w:jc w:val="left"/>
        <w:rPr>
          <w:rFonts w:hint="eastAsia" w:ascii="仿宋_GB2312" w:eastAsia="仿宋_GB2312"/>
          <w:sz w:val="32"/>
          <w:szCs w:val="30"/>
        </w:rPr>
      </w:pPr>
      <w:r>
        <w:rPr>
          <w:rFonts w:hint="eastAsia" w:ascii="仿宋_GB2312" w:eastAsia="仿宋_GB2312"/>
          <w:sz w:val="32"/>
          <w:szCs w:val="30"/>
        </w:rPr>
        <w:t>（四）</w:t>
      </w:r>
      <w:r>
        <w:rPr>
          <w:rFonts w:hint="eastAsia" w:ascii="仿宋" w:hAnsi="仿宋" w:eastAsia="仿宋" w:cs="仿宋"/>
          <w:snapToGrid w:val="0"/>
          <w:color w:val="000000"/>
          <w:kern w:val="0"/>
          <w:sz w:val="32"/>
          <w:szCs w:val="32"/>
          <w:lang w:val="en-US" w:eastAsia="zh-CN" w:bidi="ar"/>
        </w:rPr>
        <w:t>工资福利支出</w:t>
      </w:r>
      <w:r>
        <w:rPr>
          <w:rFonts w:hint="eastAsia" w:ascii="仿宋_GB2312" w:eastAsia="仿宋_GB2312"/>
          <w:sz w:val="32"/>
          <w:szCs w:val="30"/>
        </w:rPr>
        <w:t>：反映行政事业单位按人力资源和社会保障部、财政部规定的基本工资和津补贴以及规定比例为职工缴纳的</w:t>
      </w:r>
      <w:r>
        <w:rPr>
          <w:rFonts w:hint="eastAsia" w:ascii="仿宋" w:hAnsi="仿宋" w:eastAsia="仿宋" w:cs="仿宋"/>
          <w:snapToGrid w:val="0"/>
          <w:color w:val="000000"/>
          <w:kern w:val="0"/>
          <w:sz w:val="32"/>
          <w:szCs w:val="32"/>
          <w:lang w:val="en-US" w:eastAsia="zh-CN" w:bidi="ar"/>
        </w:rPr>
        <w:t>以及为在职职工和编制外长期聘用人员缴纳的各项社会保险费等。</w:t>
      </w:r>
      <w:r>
        <w:rPr>
          <w:rFonts w:hint="eastAsia" w:ascii="仿宋_GB2312" w:eastAsia="仿宋_GB2312"/>
          <w:sz w:val="32"/>
          <w:szCs w:val="30"/>
        </w:rPr>
        <w:t>住房公积金。</w:t>
      </w:r>
    </w:p>
    <w:p>
      <w:pPr>
        <w:keepNext w:val="0"/>
        <w:keepLines w:val="0"/>
        <w:widowControl/>
        <w:suppressLineNumbers w:val="0"/>
        <w:ind w:firstLine="640" w:firstLineChars="200"/>
        <w:jc w:val="left"/>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 xml:space="preserve">1、商品和服务支出反映单位购买商品和服务支出。（不包括用于购置固 定资产的支出、战略性和应急储备支出，但军事方面的耐用消费品和设备的购置费、军事性建设费以及军事建筑物的购置费等在本科目中反映）。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2、对个人和家庭的补助反映政府用于对个人和家庭的补助支出 </w:t>
      </w:r>
    </w:p>
    <w:p>
      <w:pPr>
        <w:spacing w:line="520" w:lineRule="exact"/>
        <w:ind w:firstLine="320" w:firstLineChars="100"/>
        <w:rPr>
          <w:sz w:val="32"/>
          <w:szCs w:val="32"/>
        </w:rPr>
      </w:pPr>
      <w:r>
        <w:rPr>
          <w:rFonts w:hint="eastAsia" w:ascii="仿宋" w:hAnsi="仿宋" w:eastAsia="仿宋" w:cs="仿宋"/>
          <w:sz w:val="32"/>
          <w:szCs w:val="30"/>
          <w:lang w:val="en-US" w:eastAsia="zh-CN"/>
        </w:rPr>
        <w:t>(五)</w:t>
      </w:r>
      <w:r>
        <w:rPr>
          <w:rFonts w:hint="eastAsia" w:ascii="仿宋" w:hAnsi="仿宋" w:eastAsia="仿宋" w:cs="仿宋"/>
          <w:snapToGrid w:val="0"/>
          <w:color w:val="000000"/>
          <w:kern w:val="0"/>
          <w:sz w:val="32"/>
          <w:szCs w:val="32"/>
          <w:lang w:val="en-US" w:eastAsia="zh-CN" w:bidi="ar"/>
        </w:rPr>
        <w:t xml:space="preserve">“三公”经费：指使用一般公共预算财政拨款安排的因公出国(境)费、 公务用车购置及运行维护费和公务接待费。其中，因公出国(境)费用反映 单位公务出国(境)的国际旅费、国外城市间交通费、住宿费、伙食费、培训费、公杂费等支出；维护费反映单位公务用车车辆 购置支出(含车辆购置税)及租用费、燃料费、维修费、过桥过路费、保险费、安全奖励费用等支出；公务接待费反映单位按规定开支的各类公务接 待(含外宾接待)费用。 </w:t>
      </w:r>
    </w:p>
    <w:p>
      <w:pPr>
        <w:keepNext w:val="0"/>
        <w:keepLines w:val="0"/>
        <w:widowControl/>
        <w:numPr>
          <w:ilvl w:val="0"/>
          <w:numId w:val="0"/>
        </w:numPr>
        <w:suppressLineNumbers w:val="0"/>
        <w:ind w:firstLine="640" w:firstLineChars="200"/>
        <w:jc w:val="left"/>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(六)机关运行经费：行政单位和参照公务员法管理的事业单位为保障单位运行使用一般公共预算财政拨款安排的基本支出中的日常公用经费支出。 包括办公及印刷费、邮电费、差旅费、会议费、福利费、日常维修费、专用材料及一般设备购置费、办公用房水电费、办公用房取暖费、办公用房 物业管理费、以及其他费用。</w:t>
      </w:r>
      <w:bookmarkStart w:id="0" w:name="_GoBack"/>
      <w:bookmarkEnd w:id="0"/>
    </w:p>
    <w:p>
      <w:pPr>
        <w:spacing w:line="520" w:lineRule="exact"/>
        <w:ind w:firstLine="420" w:firstLineChars="200"/>
        <w:rPr>
          <w:rFonts w:hint="eastAsia" w:ascii="仿宋" w:hAnsi="仿宋" w:eastAsia="仿宋" w:cs="仿宋"/>
          <w:lang w:val="en-US" w:eastAsia="zh-CN"/>
        </w:rPr>
      </w:pPr>
    </w:p>
    <w:p>
      <w:pPr>
        <w:pStyle w:val="2"/>
        <w:rPr>
          <w:rFonts w:hint="eastAsia" w:ascii="仿宋" w:hAnsi="仿宋" w:eastAsia="仿宋" w:cs="Times New Roman"/>
          <w:snapToGrid/>
          <w:kern w:val="2"/>
          <w:sz w:val="32"/>
          <w:szCs w:val="30"/>
          <w:lang w:val="en-US" w:eastAsia="zh-CN" w:bidi="ar-SA"/>
        </w:rPr>
      </w:pPr>
    </w:p>
    <w:p>
      <w:pPr>
        <w:pStyle w:val="2"/>
        <w:rPr>
          <w:rFonts w:hint="eastAsia" w:ascii="仿宋" w:hAnsi="仿宋" w:eastAsia="仿宋" w:cs="Times New Roman"/>
          <w:snapToGrid/>
          <w:kern w:val="2"/>
          <w:sz w:val="32"/>
          <w:szCs w:val="30"/>
          <w:lang w:val="en-US" w:eastAsia="zh-CN" w:bidi="ar-SA"/>
        </w:rPr>
      </w:pPr>
    </w:p>
    <w:p>
      <w:pPr>
        <w:pStyle w:val="2"/>
        <w:rPr>
          <w:rFonts w:hint="eastAsia" w:ascii="仿宋" w:hAnsi="仿宋" w:eastAsia="仿宋" w:cs="Times New Roman"/>
          <w:snapToGrid/>
          <w:kern w:val="2"/>
          <w:sz w:val="32"/>
          <w:szCs w:val="30"/>
          <w:lang w:val="en-US" w:eastAsia="zh-CN" w:bidi="ar-SA"/>
        </w:rPr>
      </w:pPr>
    </w:p>
    <w:p>
      <w:pPr>
        <w:pStyle w:val="2"/>
        <w:rPr>
          <w:rFonts w:hint="eastAsia" w:ascii="仿宋" w:hAnsi="仿宋" w:eastAsia="仿宋" w:cs="Times New Roman"/>
          <w:snapToGrid/>
          <w:kern w:val="2"/>
          <w:sz w:val="32"/>
          <w:szCs w:val="30"/>
          <w:lang w:val="en-US" w:eastAsia="zh-CN" w:bidi="ar-SA"/>
        </w:rPr>
      </w:pPr>
    </w:p>
    <w:p>
      <w:pPr>
        <w:keepNext w:val="0"/>
        <w:keepLines w:val="0"/>
        <w:widowControl/>
        <w:suppressLineNumbers w:val="0"/>
        <w:jc w:val="left"/>
      </w:pPr>
      <w:r>
        <w:rPr>
          <w:rFonts w:hint="eastAsia" w:ascii="仿宋" w:hAnsi="仿宋" w:eastAsia="仿宋" w:cs="仿宋"/>
          <w:snapToGrid w:val="0"/>
          <w:color w:val="000000"/>
          <w:kern w:val="0"/>
          <w:sz w:val="32"/>
          <w:szCs w:val="32"/>
          <w:lang w:val="en-US" w:eastAsia="zh-CN" w:bidi="ar"/>
        </w:rPr>
        <w:t xml:space="preserve"> </w:t>
      </w:r>
    </w:p>
    <w:p>
      <w:pPr>
        <w:pStyle w:val="2"/>
        <w:rPr>
          <w:sz w:val="32"/>
          <w:szCs w:val="32"/>
        </w:rPr>
      </w:pPr>
    </w:p>
    <w:p>
      <w:pPr>
        <w:pStyle w:val="2"/>
        <w:rPr>
          <w:rFonts w:hint="eastAsia" w:ascii="仿宋_GB2312" w:hAnsi="仿宋" w:eastAsia="仿宋_GB2312"/>
          <w:sz w:val="32"/>
          <w:szCs w:val="32"/>
          <w:lang w:val="en-US" w:eastAsia="zh-CN"/>
        </w:rPr>
        <w:sectPr>
          <w:footerReference r:id="rId7" w:type="default"/>
          <w:pgSz w:w="11970" w:h="16890"/>
          <w:pgMar w:top="1435" w:right="1539" w:bottom="1537" w:left="1795" w:header="0" w:footer="1405" w:gutter="0"/>
          <w:cols w:space="720" w:num="1"/>
        </w:sectPr>
      </w:pPr>
      <w:r>
        <w:rPr>
          <w:sz w:val="32"/>
          <w:szCs w:val="32"/>
        </w:rPr>
        <mc:AlternateContent>
          <mc:Choice Requires="wps">
            <w:drawing>
              <wp:anchor distT="0" distB="0" distL="0" distR="0" simplePos="0" relativeHeight="251677696" behindDoc="0" locked="0" layoutInCell="0" allowOverlap="1">
                <wp:simplePos x="0" y="0"/>
                <wp:positionH relativeFrom="page">
                  <wp:posOffset>4893945</wp:posOffset>
                </wp:positionH>
                <wp:positionV relativeFrom="page">
                  <wp:posOffset>6992620</wp:posOffset>
                </wp:positionV>
                <wp:extent cx="76200"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76200"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5.35pt;margin-top:550.6pt;height:21.85pt;width:6pt;mso-position-horizontal-relative:page;mso-position-vertical-relative:page;rotation:11796480f;z-index:251677696;mso-width-relative:page;mso-height-relative:page;" filled="f" stroked="f" coordsize="21600,21600" o:allowincell="f" o:gfxdata="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Wv4ETYAAAADQEAAA8AAAAAAAAAAQAgAAAAIgAAAGRycy9kb3ducmV2Lnht&#10;bFBLAQIUABQAAAAIAIdO4kBsr5+oMgIAAGoEAAAOAAAAAAAAAAEAIAAAACcBAABkcnMvZTJvRG9j&#10;LnhtbFBLBQYAAAAABgAGAFkBAADLBQAAAAA=&#10;">
                <v:fill on="f" focussize="0,0"/>
                <v:stroke on="f" weight="0pt"/>
                <v:imagedata o:title=""/>
                <o:lock v:ext="edit" aspectratio="f"/>
                <v:textbox inset="0mm,0mm,0mm,0mm">
                  <w:txbxContent>
                    <w:p>
                      <w:pPr>
                        <w:spacing w:line="240" w:lineRule="auto"/>
                        <w:ind w:firstLine="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pPr>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14"/>
      <w:rPr>
        <w:rFonts w:ascii="Arial" w:hAnsi="Arial" w:eastAsia="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Arial" w:hAnsi="Arial" w:eastAsia="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99C414"/>
    <w:multiLevelType w:val="singleLevel"/>
    <w:tmpl w:val="4B99C4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96735"/>
    <w:rsid w:val="00696DB2"/>
    <w:rsid w:val="01227B5B"/>
    <w:rsid w:val="02572B51"/>
    <w:rsid w:val="02BF7628"/>
    <w:rsid w:val="054478D6"/>
    <w:rsid w:val="07F10ACC"/>
    <w:rsid w:val="08D65032"/>
    <w:rsid w:val="0A022575"/>
    <w:rsid w:val="0AC51BFA"/>
    <w:rsid w:val="0C816477"/>
    <w:rsid w:val="0D671BB6"/>
    <w:rsid w:val="0DD43051"/>
    <w:rsid w:val="0FAC40C8"/>
    <w:rsid w:val="104B26BB"/>
    <w:rsid w:val="10FB7CA0"/>
    <w:rsid w:val="144D3109"/>
    <w:rsid w:val="166F5355"/>
    <w:rsid w:val="1A4A69D2"/>
    <w:rsid w:val="1A6C71E2"/>
    <w:rsid w:val="1B2C5D7D"/>
    <w:rsid w:val="1DC52298"/>
    <w:rsid w:val="2177432E"/>
    <w:rsid w:val="21932A3C"/>
    <w:rsid w:val="21C314C2"/>
    <w:rsid w:val="248C3603"/>
    <w:rsid w:val="264B5397"/>
    <w:rsid w:val="2B744A35"/>
    <w:rsid w:val="2C147790"/>
    <w:rsid w:val="2E7F1DFC"/>
    <w:rsid w:val="2F5C6592"/>
    <w:rsid w:val="2F5F613E"/>
    <w:rsid w:val="31190050"/>
    <w:rsid w:val="329F4331"/>
    <w:rsid w:val="37B17026"/>
    <w:rsid w:val="38AE5FB3"/>
    <w:rsid w:val="39096735"/>
    <w:rsid w:val="3AD84D86"/>
    <w:rsid w:val="3BE877C7"/>
    <w:rsid w:val="3C52562B"/>
    <w:rsid w:val="3C7D2180"/>
    <w:rsid w:val="3D65325D"/>
    <w:rsid w:val="3EE33AF7"/>
    <w:rsid w:val="40E316F2"/>
    <w:rsid w:val="41544BD7"/>
    <w:rsid w:val="440A2058"/>
    <w:rsid w:val="44532621"/>
    <w:rsid w:val="458D7224"/>
    <w:rsid w:val="4639728C"/>
    <w:rsid w:val="4A4C1AAC"/>
    <w:rsid w:val="4AA873E3"/>
    <w:rsid w:val="4AD01A85"/>
    <w:rsid w:val="4AEF0A12"/>
    <w:rsid w:val="4ED062EA"/>
    <w:rsid w:val="4F3C54C2"/>
    <w:rsid w:val="50E760F4"/>
    <w:rsid w:val="51442645"/>
    <w:rsid w:val="51920CDC"/>
    <w:rsid w:val="52356A73"/>
    <w:rsid w:val="563134AD"/>
    <w:rsid w:val="580D418B"/>
    <w:rsid w:val="593B437F"/>
    <w:rsid w:val="59A767BA"/>
    <w:rsid w:val="5E4816E4"/>
    <w:rsid w:val="620D2274"/>
    <w:rsid w:val="621C4859"/>
    <w:rsid w:val="642D6CD1"/>
    <w:rsid w:val="66207E95"/>
    <w:rsid w:val="67665232"/>
    <w:rsid w:val="67A648F2"/>
    <w:rsid w:val="6AD40F05"/>
    <w:rsid w:val="718C101A"/>
    <w:rsid w:val="7569687A"/>
    <w:rsid w:val="7AA773C0"/>
    <w:rsid w:val="7B48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gg</cp:lastModifiedBy>
  <cp:lastPrinted>2021-10-15T03:14:00Z</cp:lastPrinted>
  <dcterms:modified xsi:type="dcterms:W3CDTF">2021-10-26T06:18:15Z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AEA32FA263BF4B289728E75BB416D713</vt:lpwstr>
  </property>
</Properties>
</file>