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4"/>
          <w:szCs w:val="36"/>
          <w:lang w:val="en-US" w:eastAsia="zh-CN" w:bidi="ar-SA"/>
        </w:rPr>
      </w:pPr>
      <w:r>
        <w:rPr>
          <w:rFonts w:hint="eastAsia" w:ascii="黑体" w:hAnsi="Times New Roman" w:eastAsia="黑体" w:cs="Times New Roman"/>
          <w:snapToGrid/>
          <w:kern w:val="2"/>
          <w:sz w:val="44"/>
          <w:szCs w:val="36"/>
          <w:lang w:val="en-US" w:eastAsia="zh-CN" w:bidi="ar-SA"/>
        </w:rPr>
        <w:t>南昌市青云谱区商务局2021年度部门决算</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r>
        <w:rPr>
          <w:rFonts w:hint="eastAsia" w:ascii="黑体" w:hAnsi="Times New Roman" w:eastAsia="黑体" w:cs="Times New Roman"/>
          <w:snapToGrid/>
          <w:kern w:val="2"/>
          <w:sz w:val="40"/>
          <w:szCs w:val="36"/>
          <w:lang w:val="en-US" w:eastAsia="zh-CN" w:bidi="ar-SA"/>
        </w:rPr>
        <w:t>目     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Times New Roman" w:eastAsia="黑体" w:cs="Times New Roman"/>
          <w:snapToGrid/>
          <w:kern w:val="2"/>
          <w:sz w:val="40"/>
          <w:szCs w:val="36"/>
          <w:lang w:val="en-US" w:eastAsia="zh-CN" w:bidi="ar-SA"/>
        </w:rPr>
      </w:pP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第一部分   南昌市青云谱区商务局概况</w:t>
      </w:r>
    </w:p>
    <w:p>
      <w:pPr>
        <w:keepNext w:val="0"/>
        <w:keepLines w:val="0"/>
        <w:pageBreakBefore w:val="0"/>
        <w:widowControl w:val="0"/>
        <w:kinsoku w:val="0"/>
        <w:wordWrap/>
        <w:overflowPunct/>
        <w:topLinePunct w:val="0"/>
        <w:autoSpaceDE/>
        <w:autoSpaceDN/>
        <w:bidi w:val="0"/>
        <w:adjustRightInd/>
        <w:snapToGrid/>
        <w:spacing w:line="240" w:lineRule="auto"/>
        <w:ind w:firstLine="604" w:firstLineChars="200"/>
        <w:jc w:val="left"/>
        <w:textAlignment w:val="center"/>
        <w:rPr>
          <w:rFonts w:hint="eastAsia" w:ascii="仿宋" w:hAnsi="仿宋" w:eastAsia="仿宋" w:cs="Times New Roman"/>
          <w:snapToGrid/>
          <w:kern w:val="2"/>
          <w:sz w:val="32"/>
          <w:szCs w:val="30"/>
          <w:lang w:val="en-US" w:eastAsia="zh-CN" w:bidi="ar-SA"/>
        </w:rPr>
      </w:pPr>
      <w:r>
        <w:rPr>
          <w:rFonts w:ascii="仿宋" w:hAnsi="仿宋" w:eastAsia="仿宋" w:cs="仿宋"/>
          <w:spacing w:val="11"/>
          <w:sz w:val="28"/>
          <w:szCs w:val="28"/>
        </w:rPr>
        <w:t>一、</w:t>
      </w:r>
      <w:r>
        <w:rPr>
          <w:rFonts w:hint="eastAsia" w:ascii="仿宋" w:hAnsi="仿宋" w:eastAsia="仿宋" w:cs="Times New Roman"/>
          <w:snapToGrid/>
          <w:kern w:val="2"/>
          <w:sz w:val="32"/>
          <w:szCs w:val="30"/>
          <w:lang w:val="en-US" w:eastAsia="zh-CN" w:bidi="ar-SA"/>
        </w:rPr>
        <w:t>部门主要职责</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二、部门基本情况</w:t>
      </w: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pPr>
      <w:r>
        <w:rPr>
          <w:rFonts w:hint="eastAsia" w:ascii="黑体" w:hAnsi="黑体" w:eastAsia="黑体" w:cs="Times New Roman"/>
          <w:b/>
          <w:snapToGrid/>
          <w:kern w:val="2"/>
          <w:sz w:val="32"/>
          <w:szCs w:val="32"/>
          <w:lang w:val="en-US" w:eastAsia="zh-CN" w:bidi="ar-SA"/>
        </w:rPr>
        <w:t>第二部分  2021年度部门决算表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一、收入支出决算总表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二、收入决算表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四、财政拨款收入支出决算总表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六、一般公共预算财政拨款基本支出决算表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七、一般公共预算财政拨款“三公”经费支出决算表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八、政府性基金预算财政拨款收入支出决算表</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九、国有资本经营预算财政拨款收入支出决算表</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十、国有资产占用情况表</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638" w:leftChars="304" w:firstLine="331" w:firstLineChars="103"/>
        <w:jc w:val="left"/>
        <w:textAlignment w:val="center"/>
        <w:rPr>
          <w:rFonts w:hint="eastAsia" w:ascii="仿宋" w:hAnsi="仿宋" w:eastAsia="仿宋" w:cs="Times New Roman"/>
          <w:snapToGrid/>
          <w:kern w:val="2"/>
          <w:sz w:val="32"/>
          <w:szCs w:val="30"/>
          <w:lang w:val="en-US" w:eastAsia="zh-CN" w:bidi="ar-SA"/>
        </w:rPr>
      </w:pPr>
      <w:r>
        <w:rPr>
          <w:rFonts w:hint="eastAsia" w:ascii="黑体" w:hAnsi="黑体" w:eastAsia="黑体" w:cs="Times New Roman"/>
          <w:b/>
          <w:snapToGrid/>
          <w:kern w:val="2"/>
          <w:sz w:val="32"/>
          <w:szCs w:val="32"/>
          <w:lang w:val="en-US" w:eastAsia="zh-CN" w:bidi="ar-SA"/>
        </w:rPr>
        <w:t>第三部分  2021年度部门决算情况说明</w:t>
      </w:r>
      <w:r>
        <w:rPr>
          <w:rFonts w:hint="eastAsia" w:ascii="黑体" w:hAnsi="黑体" w:eastAsia="黑体" w:cs="Times New Roman"/>
          <w:b/>
          <w:snapToGrid/>
          <w:kern w:val="2"/>
          <w:sz w:val="32"/>
          <w:szCs w:val="32"/>
          <w:lang w:val="en-US" w:eastAsia="zh-CN" w:bidi="ar-SA"/>
        </w:rPr>
        <w:br w:type="textWrapping"/>
      </w:r>
      <w:r>
        <w:rPr>
          <w:rFonts w:hint="eastAsia" w:ascii="仿宋" w:hAnsi="仿宋" w:eastAsia="仿宋" w:cs="Times New Roman"/>
          <w:snapToGrid/>
          <w:kern w:val="2"/>
          <w:sz w:val="32"/>
          <w:szCs w:val="30"/>
          <w:lang w:val="en-US" w:eastAsia="zh-CN" w:bidi="ar-SA"/>
        </w:rPr>
        <w:t>一、收入决算情况说明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二、支出决算情况说明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三、财政拨款支出决算情况说明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四、一般公共预算财政拨款基本支出决算情况说明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五、一般公共预算财政拨款“三公”经费支出决算 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六、机关运行经费支出情况说明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七、政府采购支出情况说明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八、国有资产占用情况说明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firstLineChars="200"/>
        <w:jc w:val="left"/>
        <w:textAlignment w:val="center"/>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九、预算绩效情况说明</w:t>
      </w:r>
    </w:p>
    <w:p>
      <w:pPr>
        <w:keepNext w:val="0"/>
        <w:keepLines w:val="0"/>
        <w:pageBreakBefore w:val="0"/>
        <w:widowControl w:val="0"/>
        <w:kinsoku w:val="0"/>
        <w:wordWrap/>
        <w:overflowPunct/>
        <w:topLinePunct w:val="0"/>
        <w:autoSpaceDE/>
        <w:autoSpaceDN/>
        <w:bidi w:val="0"/>
        <w:adjustRightInd/>
        <w:snapToGrid/>
        <w:spacing w:line="240" w:lineRule="auto"/>
        <w:ind w:firstLine="640"/>
        <w:jc w:val="left"/>
        <w:textAlignment w:val="center"/>
        <w:rPr>
          <w:rFonts w:hint="eastAsia" w:ascii="黑体" w:hAnsi="黑体" w:eastAsia="黑体" w:cs="Times New Roman"/>
          <w:b/>
          <w:snapToGrid/>
          <w:kern w:val="2"/>
          <w:sz w:val="32"/>
          <w:szCs w:val="32"/>
          <w:lang w:val="en-US" w:eastAsia="zh-CN" w:bidi="ar-SA"/>
        </w:rPr>
        <w:sectPr>
          <w:footerReference r:id="rId5" w:type="default"/>
          <w:pgSz w:w="11940" w:h="16870"/>
          <w:pgMar w:top="1433" w:right="1791" w:bottom="1507" w:left="1791" w:header="0" w:footer="1377" w:gutter="0"/>
          <w:cols w:space="720" w:num="1"/>
        </w:sectPr>
      </w:pPr>
      <w:r>
        <w:rPr>
          <w:rFonts w:hint="eastAsia" w:ascii="黑体" w:hAnsi="黑体" w:eastAsia="黑体" w:cs="Times New Roman"/>
          <w:b/>
          <w:snapToGrid/>
          <w:kern w:val="2"/>
          <w:sz w:val="32"/>
          <w:szCs w:val="32"/>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第一部分  南昌市青云谱区商务局概况</w:t>
      </w:r>
    </w:p>
    <w:p>
      <w:pPr>
        <w:keepNext w:val="0"/>
        <w:keepLines w:val="0"/>
        <w:pageBreakBefore w:val="0"/>
        <w:wordWrap/>
        <w:overflowPunct/>
        <w:topLinePunct w:val="0"/>
        <w:bidi w:val="0"/>
        <w:spacing w:line="240" w:lineRule="auto"/>
        <w:rPr>
          <w:rFonts w:ascii="Arial"/>
          <w:sz w:val="21"/>
        </w:rPr>
      </w:pPr>
    </w:p>
    <w:p>
      <w:pPr>
        <w:keepNext w:val="0"/>
        <w:keepLines w:val="0"/>
        <w:pageBreakBefore w:val="0"/>
        <w:wordWrap/>
        <w:overflowPunct/>
        <w:topLinePunct w:val="0"/>
        <w:bidi w:val="0"/>
        <w:spacing w:line="240"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240" w:lineRule="auto"/>
        <w:ind w:firstLine="1200" w:firstLineChars="400"/>
        <w:jc w:val="left"/>
        <w:textAlignment w:val="auto"/>
        <w:rPr>
          <w:rFonts w:hint="eastAsia" w:ascii="黑体" w:hAnsi="黑体" w:eastAsia="黑体" w:cs="Times New Roman"/>
          <w:snapToGrid/>
          <w:kern w:val="2"/>
          <w:sz w:val="30"/>
          <w:szCs w:val="30"/>
          <w:lang w:val="en-US" w:eastAsia="zh-CN" w:bidi="ar-SA"/>
        </w:rPr>
      </w:pPr>
      <w:r>
        <w:rPr>
          <w:rFonts w:hint="eastAsia" w:ascii="黑体" w:hAnsi="黑体" w:eastAsia="黑体" w:cs="Times New Roman"/>
          <w:snapToGrid/>
          <w:kern w:val="2"/>
          <w:sz w:val="30"/>
          <w:szCs w:val="30"/>
          <w:lang w:val="en-US" w:eastAsia="zh-CN" w:bidi="ar-SA"/>
        </w:rPr>
        <w:t>一、部门主要职能</w:t>
      </w:r>
    </w:p>
    <w:p>
      <w:pPr>
        <w:pStyle w:val="7"/>
        <w:spacing w:before="1" w:line="324" w:lineRule="auto"/>
        <w:ind w:left="978" w:right="796" w:firstLine="628"/>
        <w:jc w:val="both"/>
        <w:rPr>
          <w:rFonts w:hint="eastAsia" w:ascii="仿宋_GB2312" w:hAnsi="仿宋_GB2312" w:eastAsia="仿宋_GB2312" w:cs="仿宋_GB2312"/>
          <w:spacing w:val="5"/>
          <w:w w:val="95"/>
          <w:sz w:val="32"/>
          <w:szCs w:val="32"/>
        </w:rPr>
      </w:pP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7"/>
          <w:w w:val="95"/>
          <w:sz w:val="32"/>
          <w:szCs w:val="32"/>
        </w:rPr>
        <w:t>一</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4"/>
          <w:w w:val="95"/>
          <w:sz w:val="32"/>
          <w:szCs w:val="32"/>
        </w:rPr>
        <w:t xml:space="preserve">贯彻执行国家、省、市有关国内外贸易和服务贸易工 作的法律、法规和方针、政策以及区委、区政府有关内、外贸工  作的重大决策；拟订全区内、外贸的发展战略、中长期发展规划 </w:t>
      </w:r>
      <w:r>
        <w:rPr>
          <w:rFonts w:hint="eastAsia" w:ascii="仿宋_GB2312" w:hAnsi="仿宋_GB2312" w:eastAsia="仿宋_GB2312" w:cs="仿宋_GB2312"/>
          <w:sz w:val="32"/>
          <w:szCs w:val="32"/>
        </w:rPr>
        <w:t>和政策，并组织实施。</w:t>
      </w:r>
    </w:p>
    <w:p>
      <w:pPr>
        <w:pStyle w:val="7"/>
        <w:spacing w:before="1" w:line="324" w:lineRule="auto"/>
        <w:ind w:left="978" w:right="796" w:firstLine="628"/>
        <w:jc w:val="both"/>
        <w:rPr>
          <w:rFonts w:hint="eastAsia" w:ascii="仿宋_GB2312" w:hAnsi="仿宋_GB2312" w:eastAsia="仿宋_GB2312" w:cs="仿宋_GB2312"/>
          <w:sz w:val="32"/>
          <w:szCs w:val="32"/>
        </w:rPr>
      </w:pP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7"/>
          <w:w w:val="95"/>
          <w:sz w:val="32"/>
          <w:szCs w:val="32"/>
        </w:rPr>
        <w:t>二</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4"/>
          <w:w w:val="95"/>
          <w:sz w:val="32"/>
          <w:szCs w:val="32"/>
        </w:rPr>
        <w:t xml:space="preserve">拟订年度内、外贸运行调控目标和指导性计划、措施 并组织实施，统计、分析和发布重要商务信息，参与协调商务运 </w:t>
      </w:r>
      <w:r>
        <w:rPr>
          <w:rFonts w:hint="eastAsia" w:ascii="仿宋_GB2312" w:hAnsi="仿宋_GB2312" w:eastAsia="仿宋_GB2312" w:cs="仿宋_GB2312"/>
          <w:sz w:val="32"/>
          <w:szCs w:val="32"/>
        </w:rPr>
        <w:t>行中涉及财政、金融、税务、统计等领域的政策问题。</w:t>
      </w:r>
    </w:p>
    <w:p>
      <w:pPr>
        <w:pStyle w:val="7"/>
        <w:spacing w:before="3" w:line="324" w:lineRule="auto"/>
        <w:ind w:left="978" w:right="570" w:firstLine="6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（三）负责推进流通产业结构调整，研究流通企业改革的相关政策并组织实施，负责商贸服务业行业管理，提出促进商贸企</w:t>
      </w:r>
      <w:r>
        <w:rPr>
          <w:rFonts w:hint="eastAsia" w:ascii="仿宋_GB2312" w:hAnsi="仿宋_GB2312" w:eastAsia="仿宋_GB2312" w:cs="仿宋_GB2312"/>
          <w:w w:val="95"/>
          <w:sz w:val="32"/>
          <w:szCs w:val="32"/>
        </w:rPr>
        <w:t xml:space="preserve">业发展的政策建议，推动流通标准化和连锁经营、商业特许经营、 </w:t>
      </w:r>
      <w:r>
        <w:rPr>
          <w:rFonts w:hint="eastAsia" w:ascii="仿宋_GB2312" w:hAnsi="仿宋_GB2312" w:eastAsia="仿宋_GB2312" w:cs="仿宋_GB2312"/>
          <w:sz w:val="32"/>
          <w:szCs w:val="32"/>
        </w:rPr>
        <w:t>物流配送、电子商务等现代流通方式的发展。</w:t>
      </w:r>
    </w:p>
    <w:p>
      <w:pPr>
        <w:pStyle w:val="7"/>
        <w:spacing w:before="1" w:line="324" w:lineRule="auto"/>
        <w:ind w:left="978" w:right="796" w:firstLine="628"/>
        <w:jc w:val="both"/>
        <w:rPr>
          <w:rFonts w:hint="eastAsia" w:ascii="仿宋_GB2312" w:hAnsi="仿宋_GB2312" w:eastAsia="仿宋_GB2312" w:cs="仿宋_GB2312"/>
          <w:sz w:val="32"/>
          <w:szCs w:val="32"/>
        </w:rPr>
      </w:pP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7"/>
          <w:w w:val="95"/>
          <w:sz w:val="32"/>
          <w:szCs w:val="32"/>
        </w:rPr>
        <w:t>四</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4"/>
          <w:w w:val="95"/>
          <w:sz w:val="32"/>
          <w:szCs w:val="32"/>
        </w:rPr>
        <w:t xml:space="preserve">承担牵头协调整顿和规范我区市场经济秩序工作的责 任，参与组织打击商务领域侵犯知识产权、商业欺诈等工作，推  动商务领域信用建设，指导商业信用销售，建立市场诚信公共服  务平台，对特殊流通行业进行监督管理。协同有关部门做好商贸 </w:t>
      </w:r>
      <w:r>
        <w:rPr>
          <w:rFonts w:hint="eastAsia" w:ascii="仿宋_GB2312" w:hAnsi="仿宋_GB2312" w:eastAsia="仿宋_GB2312" w:cs="仿宋_GB2312"/>
          <w:sz w:val="32"/>
          <w:szCs w:val="32"/>
        </w:rPr>
        <w:t>企业食品卫生、服务质量、商品质量的监督管理工作。</w:t>
      </w:r>
    </w:p>
    <w:p>
      <w:pPr>
        <w:pStyle w:val="7"/>
        <w:spacing w:before="2" w:line="324" w:lineRule="auto"/>
        <w:ind w:left="978" w:right="570" w:firstLine="6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（五）促进城乡市场发展，负责制订、指导大宗商品批发市</w:t>
      </w:r>
      <w:r>
        <w:rPr>
          <w:rFonts w:hint="eastAsia" w:ascii="仿宋_GB2312" w:hAnsi="仿宋_GB2312" w:eastAsia="仿宋_GB2312" w:cs="仿宋_GB2312"/>
          <w:w w:val="95"/>
          <w:sz w:val="32"/>
          <w:szCs w:val="32"/>
        </w:rPr>
        <w:t xml:space="preserve">场规划和城市商业网点规划，指导商业体系建设、社区商业工作； </w:t>
      </w:r>
      <w:r>
        <w:rPr>
          <w:rFonts w:hint="eastAsia" w:ascii="仿宋_GB2312" w:hAnsi="仿宋_GB2312" w:eastAsia="仿宋_GB2312" w:cs="仿宋_GB2312"/>
          <w:sz w:val="32"/>
          <w:szCs w:val="32"/>
        </w:rPr>
        <w:t>按规定权限对兴办商品市场、设立拍卖行、加油站进行资格审查准入，并依法监督；推进农村市场体系建设，组织实施农村现代流通网络工程；管理区级市场物业。</w:t>
      </w:r>
    </w:p>
    <w:p>
      <w:pPr>
        <w:spacing w:after="0" w:line="324" w:lineRule="auto"/>
        <w:rPr>
          <w:rFonts w:hint="eastAsia" w:ascii="仿宋_GB2312" w:hAnsi="仿宋_GB2312" w:eastAsia="仿宋_GB2312" w:cs="仿宋_GB2312"/>
          <w:sz w:val="32"/>
          <w:szCs w:val="32"/>
        </w:rPr>
        <w:sectPr>
          <w:pgSz w:w="11910" w:h="16840"/>
          <w:pgMar w:top="1580" w:right="620" w:bottom="280" w:left="440" w:header="720" w:footer="720" w:gutter="0"/>
          <w:cols w:space="720" w:num="1"/>
        </w:sectPr>
      </w:pPr>
    </w:p>
    <w:p>
      <w:pPr>
        <w:pStyle w:val="7"/>
        <w:spacing w:before="43" w:line="324" w:lineRule="auto"/>
        <w:ind w:left="978" w:right="798" w:firstLine="628"/>
        <w:rPr>
          <w:rFonts w:hint="eastAsia" w:ascii="仿宋_GB2312" w:hAnsi="仿宋_GB2312" w:eastAsia="仿宋_GB2312" w:cs="仿宋_GB2312"/>
          <w:sz w:val="32"/>
          <w:szCs w:val="32"/>
        </w:rPr>
      </w:pP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7"/>
          <w:w w:val="95"/>
          <w:sz w:val="32"/>
          <w:szCs w:val="32"/>
        </w:rPr>
        <w:t>六</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4"/>
          <w:w w:val="95"/>
          <w:sz w:val="32"/>
          <w:szCs w:val="32"/>
        </w:rPr>
        <w:t xml:space="preserve">负责制订全区物流业发展规划和政策措施，研究全区 </w:t>
      </w:r>
      <w:r>
        <w:rPr>
          <w:rFonts w:hint="eastAsia" w:ascii="仿宋_GB2312" w:hAnsi="仿宋_GB2312" w:eastAsia="仿宋_GB2312" w:cs="仿宋_GB2312"/>
          <w:sz w:val="32"/>
          <w:szCs w:val="32"/>
        </w:rPr>
        <w:t>物流业改革发展的重大问题，对物流业重大项目进行跟踪。</w:t>
      </w:r>
    </w:p>
    <w:p>
      <w:pPr>
        <w:pStyle w:val="7"/>
        <w:spacing w:before="2" w:line="324" w:lineRule="auto"/>
        <w:ind w:left="978" w:right="574" w:firstLine="6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（七）承担组织实施重要消费品市场调控和重要生产资料流通管理的责任，负责建立健全生活必需品市场供应应急管理机制， 监测分析市场运行、商品供求状况，调查分析商品价格信息，进行预测预警和信息引导，按分工负责重要商品储备管理和市场调控工作，负责酒类专卖相关管理工作，按有关规定对成品油流通进行监督管理，对报废汽车和旧机动车、废旧金属材料等特种物</w:t>
      </w:r>
      <w:r>
        <w:rPr>
          <w:rFonts w:hint="eastAsia" w:ascii="仿宋_GB2312" w:hAnsi="仿宋_GB2312" w:eastAsia="仿宋_GB2312" w:cs="仿宋_GB2312"/>
          <w:w w:val="95"/>
          <w:sz w:val="32"/>
          <w:szCs w:val="32"/>
        </w:rPr>
        <w:t>质的流通进行管理；加强对商贸企业国有资产运营、管理和监督。</w:t>
      </w:r>
    </w:p>
    <w:p>
      <w:pPr>
        <w:pStyle w:val="7"/>
        <w:spacing w:before="3" w:line="324" w:lineRule="auto"/>
        <w:ind w:left="978" w:right="570" w:firstLine="63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（八）负责对外贸易工作，指导企业开拓多元化国际市场， 负责组织实施重要工业品、原材料和重要农产品进出口总量计划工作；负责管理机电产品、高新技术产品进出口工作；指导和协调加工贸易工作，负责出口加工区的指导协调和审核、报批等工</w:t>
      </w:r>
      <w:r>
        <w:rPr>
          <w:rFonts w:hint="eastAsia" w:ascii="仿宋_GB2312" w:hAnsi="仿宋_GB2312" w:eastAsia="仿宋_GB2312" w:cs="仿宋_GB2312"/>
          <w:w w:val="95"/>
          <w:sz w:val="32"/>
          <w:szCs w:val="32"/>
        </w:rPr>
        <w:t xml:space="preserve">作；推进进出口贸易标准化工作，依法监督技术引进、设备进口、 </w:t>
      </w:r>
      <w:r>
        <w:rPr>
          <w:rFonts w:hint="eastAsia" w:ascii="仿宋_GB2312" w:hAnsi="仿宋_GB2312" w:eastAsia="仿宋_GB2312" w:cs="仿宋_GB2312"/>
          <w:sz w:val="32"/>
          <w:szCs w:val="32"/>
        </w:rPr>
        <w:t>国家限制出口技术的工作，依法颁发防扩散等与国家安全相关的进出口许可证件。</w:t>
      </w:r>
    </w:p>
    <w:p>
      <w:pPr>
        <w:pStyle w:val="7"/>
        <w:spacing w:before="4" w:line="324" w:lineRule="auto"/>
        <w:ind w:left="978" w:right="796" w:firstLine="638"/>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pacing w:val="-24"/>
          <w:sz w:val="32"/>
          <w:szCs w:val="32"/>
        </w:rPr>
        <w:t>）</w:t>
      </w:r>
      <w:r>
        <w:rPr>
          <w:rFonts w:hint="eastAsia" w:ascii="仿宋_GB2312" w:hAnsi="仿宋_GB2312" w:eastAsia="仿宋_GB2312" w:cs="仿宋_GB2312"/>
          <w:spacing w:val="-2"/>
          <w:sz w:val="32"/>
          <w:szCs w:val="32"/>
        </w:rPr>
        <w:t>负责涉及世贸组织规则的相关工作， 承担组织协调反</w:t>
      </w:r>
      <w:r>
        <w:rPr>
          <w:rFonts w:hint="eastAsia" w:ascii="仿宋_GB2312" w:hAnsi="仿宋_GB2312" w:eastAsia="仿宋_GB2312" w:cs="仿宋_GB2312"/>
          <w:spacing w:val="4"/>
          <w:w w:val="95"/>
          <w:sz w:val="32"/>
          <w:szCs w:val="32"/>
        </w:rPr>
        <w:t xml:space="preserve">倾销、反补贴、反垄断保障措施及其他与进出口公平贸易相关工  作的责任，建立进出口公平贸易预警机制，组织产业损害调查，  指导协调产业安全应对工作及国外对我区出口商品的反倾销、反 </w:t>
      </w:r>
      <w:r>
        <w:rPr>
          <w:rFonts w:hint="eastAsia" w:ascii="仿宋_GB2312" w:hAnsi="仿宋_GB2312" w:eastAsia="仿宋_GB2312" w:cs="仿宋_GB2312"/>
          <w:sz w:val="32"/>
          <w:szCs w:val="32"/>
        </w:rPr>
        <w:t>补贴保障措施的应诉相关工作。</w:t>
      </w:r>
    </w:p>
    <w:p>
      <w:pPr>
        <w:pStyle w:val="7"/>
        <w:spacing w:before="2" w:line="324" w:lineRule="auto"/>
        <w:ind w:left="978" w:right="637" w:firstLine="638"/>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（十）</w:t>
      </w:r>
      <w:r>
        <w:rPr>
          <w:rFonts w:hint="eastAsia" w:ascii="仿宋_GB2312" w:hAnsi="仿宋_GB2312" w:eastAsia="仿宋_GB2312" w:cs="仿宋_GB2312"/>
          <w:spacing w:val="4"/>
          <w:sz w:val="32"/>
          <w:szCs w:val="32"/>
        </w:rPr>
        <w:t>负责拟定服务贸易发展规划并开展相关工作；负责会</w:t>
      </w:r>
      <w:r>
        <w:rPr>
          <w:rFonts w:hint="eastAsia" w:ascii="仿宋_GB2312" w:hAnsi="仿宋_GB2312" w:eastAsia="仿宋_GB2312" w:cs="仿宋_GB2312"/>
          <w:w w:val="95"/>
          <w:sz w:val="32"/>
          <w:szCs w:val="32"/>
        </w:rPr>
        <w:t xml:space="preserve">同有关部门制定促进我区服务外包发展的规划、政策并组织实施， </w:t>
      </w:r>
      <w:r>
        <w:rPr>
          <w:rFonts w:hint="eastAsia" w:ascii="仿宋_GB2312" w:hAnsi="仿宋_GB2312" w:eastAsia="仿宋_GB2312" w:cs="仿宋_GB2312"/>
          <w:sz w:val="32"/>
          <w:szCs w:val="32"/>
        </w:rPr>
        <w:t>推动服务外包示范城区建设，促进服务外包产业发展</w:t>
      </w:r>
    </w:p>
    <w:p>
      <w:pPr>
        <w:pStyle w:val="7"/>
        <w:spacing w:before="1"/>
        <w:ind w:left="161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（十一）牵头拟订全区商贸服务业发展规划并组织、协调开</w:t>
      </w:r>
    </w:p>
    <w:p>
      <w:pPr>
        <w:spacing w:after="0"/>
        <w:rPr>
          <w:rFonts w:hint="eastAsia" w:ascii="仿宋_GB2312" w:hAnsi="仿宋_GB2312" w:eastAsia="仿宋_GB2312" w:cs="仿宋_GB2312"/>
          <w:sz w:val="32"/>
          <w:szCs w:val="32"/>
        </w:rPr>
        <w:sectPr>
          <w:pgSz w:w="11910" w:h="16840"/>
          <w:pgMar w:top="1480" w:right="620" w:bottom="280" w:left="440" w:header="720" w:footer="720" w:gutter="0"/>
          <w:cols w:space="720" w:num="1"/>
        </w:sectPr>
      </w:pPr>
    </w:p>
    <w:p>
      <w:pPr>
        <w:pStyle w:val="7"/>
        <w:spacing w:before="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展相关工作。</w:t>
      </w:r>
    </w:p>
    <w:p>
      <w:pPr>
        <w:pStyle w:val="7"/>
        <w:spacing w:before="144" w:line="324" w:lineRule="auto"/>
        <w:ind w:right="57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（十二）协调全区农业和农村经济社会发展。参与组织协调全区农业和农村重大经济活动；负责协调城乡一体化、农村城市化战略的实施；协调区直涉农部门的农业经济工作和跨部门涉农</w:t>
      </w:r>
      <w:r>
        <w:rPr>
          <w:rFonts w:hint="eastAsia" w:ascii="仿宋_GB2312" w:hAnsi="仿宋_GB2312" w:eastAsia="仿宋_GB2312" w:cs="仿宋_GB2312"/>
          <w:w w:val="95"/>
          <w:sz w:val="32"/>
          <w:szCs w:val="32"/>
        </w:rPr>
        <w:t xml:space="preserve">工作，指导农业产业化经营、农村乡镇建设和规划实施开发工作； </w:t>
      </w:r>
      <w:r>
        <w:rPr>
          <w:rFonts w:hint="eastAsia" w:ascii="仿宋_GB2312" w:hAnsi="仿宋_GB2312" w:eastAsia="仿宋_GB2312" w:cs="仿宋_GB2312"/>
          <w:sz w:val="32"/>
          <w:szCs w:val="32"/>
        </w:rPr>
        <w:t>协助区政府规划、协调、管理农业投入，研究提出农用资金的使用方向和重点，监督农用资金的使用；参与实施农业科技教育战略，协调指导农业科技教育结合和农民素质教育工作。负责指导协调好全区新农村建设和全区农产品质量监管工作。</w:t>
      </w:r>
    </w:p>
    <w:p>
      <w:pPr>
        <w:pStyle w:val="7"/>
        <w:spacing w:before="5" w:line="324" w:lineRule="auto"/>
        <w:ind w:right="798" w:firstLine="628"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6"/>
          <w:w w:val="95"/>
          <w:sz w:val="32"/>
          <w:szCs w:val="32"/>
        </w:rPr>
        <w:t>十三</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4"/>
          <w:w w:val="95"/>
          <w:sz w:val="32"/>
          <w:szCs w:val="32"/>
        </w:rPr>
        <w:t xml:space="preserve">负责全区动物疫病防治及突发应急事件处置工作， </w:t>
      </w:r>
      <w:r>
        <w:rPr>
          <w:rFonts w:hint="eastAsia" w:ascii="仿宋_GB2312" w:hAnsi="仿宋_GB2312" w:eastAsia="仿宋_GB2312" w:cs="仿宋_GB2312"/>
          <w:sz w:val="32"/>
          <w:szCs w:val="32"/>
        </w:rPr>
        <w:t>建立和完善重大动物疫病防治体系。</w:t>
      </w:r>
    </w:p>
    <w:p>
      <w:pPr>
        <w:pStyle w:val="7"/>
        <w:spacing w:before="2" w:line="324" w:lineRule="auto"/>
        <w:ind w:right="798" w:firstLine="628"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6"/>
          <w:w w:val="95"/>
          <w:sz w:val="32"/>
          <w:szCs w:val="32"/>
        </w:rPr>
        <w:t>十四</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4"/>
          <w:w w:val="95"/>
          <w:sz w:val="32"/>
          <w:szCs w:val="32"/>
        </w:rPr>
        <w:t xml:space="preserve">指导商贸系统的安全生产、信访、维稳工作；组织 </w:t>
      </w:r>
      <w:r>
        <w:rPr>
          <w:rFonts w:hint="eastAsia" w:ascii="仿宋_GB2312" w:hAnsi="仿宋_GB2312" w:eastAsia="仿宋_GB2312" w:cs="仿宋_GB2312"/>
          <w:sz w:val="32"/>
          <w:szCs w:val="32"/>
        </w:rPr>
        <w:t>实施全系统社会主义精神文明建设工作。</w:t>
      </w:r>
    </w:p>
    <w:p>
      <w:pPr>
        <w:pStyle w:val="7"/>
        <w:spacing w:line="324" w:lineRule="auto"/>
        <w:ind w:right="798" w:firstLine="628"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6"/>
          <w:w w:val="95"/>
          <w:sz w:val="32"/>
          <w:szCs w:val="32"/>
        </w:rPr>
        <w:t>十五</w:t>
      </w:r>
      <w:r>
        <w:rPr>
          <w:rFonts w:hint="eastAsia" w:ascii="仿宋_GB2312" w:hAnsi="仿宋_GB2312" w:eastAsia="仿宋_GB2312" w:cs="仿宋_GB2312"/>
          <w:spacing w:val="5"/>
          <w:w w:val="95"/>
          <w:sz w:val="32"/>
          <w:szCs w:val="32"/>
        </w:rPr>
        <w:t>）</w:t>
      </w:r>
      <w:r>
        <w:rPr>
          <w:rFonts w:hint="eastAsia" w:ascii="仿宋_GB2312" w:hAnsi="仿宋_GB2312" w:eastAsia="仿宋_GB2312" w:cs="仿宋_GB2312"/>
          <w:spacing w:val="4"/>
          <w:w w:val="95"/>
          <w:sz w:val="32"/>
          <w:szCs w:val="32"/>
        </w:rPr>
        <w:t xml:space="preserve">负责推进、指导、协调、监督本部门、本系统的政 </w:t>
      </w:r>
      <w:r>
        <w:rPr>
          <w:rFonts w:hint="eastAsia" w:ascii="仿宋_GB2312" w:hAnsi="仿宋_GB2312" w:eastAsia="仿宋_GB2312" w:cs="仿宋_GB2312"/>
          <w:sz w:val="32"/>
          <w:szCs w:val="32"/>
        </w:rPr>
        <w:t>府信息公开工作。</w:t>
      </w:r>
    </w:p>
    <w:p>
      <w:pPr>
        <w:pStyle w:val="7"/>
        <w:spacing w:line="385" w:lineRule="exact"/>
        <w:ind w:firstLine="640" w:firstLineChars="200"/>
        <w:rPr>
          <w:rFonts w:hint="eastAsia" w:ascii="黑体" w:hAnsi="黑体" w:eastAsia="仿宋_GB2312" w:cs="Times New Roman"/>
          <w:snapToGrid/>
          <w:kern w:val="2"/>
          <w:sz w:val="30"/>
          <w:szCs w:val="30"/>
          <w:lang w:val="en-US" w:eastAsia="zh-CN" w:bidi="ar-SA"/>
        </w:rPr>
      </w:pPr>
      <w:r>
        <w:rPr>
          <w:rFonts w:hint="eastAsia" w:ascii="仿宋_GB2312" w:hAnsi="仿宋_GB2312" w:eastAsia="仿宋_GB2312" w:cs="仿宋_GB2312"/>
          <w:sz w:val="32"/>
          <w:szCs w:val="32"/>
        </w:rPr>
        <w:t>（十六）承办区人民政府交办的其它事项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黑体" w:hAnsi="黑体" w:eastAsia="黑体" w:cs="Times New Roman"/>
          <w:snapToGrid/>
          <w:kern w:val="2"/>
          <w:sz w:val="30"/>
          <w:szCs w:val="30"/>
          <w:lang w:val="en-US" w:eastAsia="zh-CN" w:bidi="ar-SA"/>
        </w:rPr>
      </w:pPr>
      <w:bookmarkStart w:id="32" w:name="_GoBack"/>
      <w:bookmarkEnd w:id="32"/>
      <w:r>
        <w:rPr>
          <w:rFonts w:hint="eastAsia" w:ascii="黑体" w:hAnsi="黑体" w:eastAsia="黑体" w:cs="Times New Roman"/>
          <w:snapToGrid/>
          <w:kern w:val="2"/>
          <w:sz w:val="30"/>
          <w:szCs w:val="30"/>
          <w:lang w:val="en-US" w:eastAsia="zh-CN" w:bidi="ar-SA"/>
        </w:rPr>
        <w:t>二、部门基本情况</w:t>
      </w:r>
    </w:p>
    <w:p>
      <w:pPr>
        <w:pStyle w:val="15"/>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 w:hAnsi="仿宋" w:eastAsia="仿宋" w:cs="Times New Roman"/>
          <w:snapToGrid/>
          <w:color w:val="000000"/>
          <w:kern w:val="2"/>
          <w:sz w:val="32"/>
          <w:szCs w:val="30"/>
          <w:lang w:val="en-US" w:eastAsia="zh-CN" w:bidi="ar-SA"/>
        </w:rPr>
      </w:pPr>
      <w:r>
        <w:rPr>
          <w:rFonts w:hint="eastAsia" w:ascii="仿宋" w:hAnsi="仿宋" w:eastAsia="仿宋" w:cs="Times New Roman"/>
          <w:snapToGrid/>
          <w:color w:val="000000"/>
          <w:kern w:val="2"/>
          <w:sz w:val="32"/>
          <w:szCs w:val="30"/>
          <w:lang w:val="en-US" w:eastAsia="zh-CN" w:bidi="ar-SA"/>
        </w:rPr>
        <w:t>纳入本套部门决算汇编范围的单位共2个，包括：南昌市青云谱区商务局，南昌市青云谱区中小商贸流通企业服务中心。</w:t>
      </w:r>
    </w:p>
    <w:p>
      <w:pPr>
        <w:pStyle w:val="15"/>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 w:hAnsi="仿宋" w:eastAsia="仿宋" w:cs="Times New Roman"/>
          <w:snapToGrid/>
          <w:color w:val="000000"/>
          <w:kern w:val="2"/>
          <w:sz w:val="32"/>
          <w:szCs w:val="30"/>
          <w:lang w:val="en-US" w:eastAsia="zh-CN" w:bidi="ar-SA"/>
        </w:rPr>
        <w:sectPr>
          <w:footerReference r:id="rId6" w:type="default"/>
          <w:pgSz w:w="11910" w:h="16850"/>
          <w:pgMar w:top="1432" w:right="1578" w:bottom="1430" w:left="1786" w:header="0" w:footer="1313" w:gutter="0"/>
          <w:cols w:equalWidth="0" w:num="1">
            <w:col w:w="8545"/>
          </w:cols>
        </w:sectPr>
      </w:pPr>
      <w:r>
        <w:rPr>
          <w:rFonts w:hint="eastAsia" w:ascii="仿宋" w:hAnsi="仿宋" w:eastAsia="仿宋" w:cs="Times New Roman"/>
          <w:snapToGrid/>
          <w:color w:val="000000"/>
          <w:kern w:val="2"/>
          <w:sz w:val="32"/>
          <w:szCs w:val="30"/>
          <w:lang w:val="en-US" w:eastAsia="zh-CN" w:bidi="ar-SA"/>
        </w:rPr>
        <w:t>本部门2021年年末实有人数46人，其中在职人员46人，离休人员0人，退休人员12人；年末其他人员0人；年末学生人数0人。</w:t>
      </w:r>
    </w:p>
    <w:p>
      <w:pPr>
        <w:keepNext w:val="0"/>
        <w:keepLines w:val="0"/>
        <w:pageBreakBefore w:val="0"/>
        <w:wordWrap/>
        <w:overflowPunct/>
        <w:topLinePunct w:val="0"/>
        <w:bidi w:val="0"/>
        <w:spacing w:line="240" w:lineRule="auto"/>
        <w:jc w:val="center"/>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第二部分  2021年度部门决算表</w:t>
      </w:r>
    </w:p>
    <w:p>
      <w:pPr>
        <w:keepNext w:val="0"/>
        <w:keepLines w:val="0"/>
        <w:pageBreakBefore w:val="0"/>
        <w:wordWrap/>
        <w:overflowPunct/>
        <w:topLinePunct w:val="0"/>
        <w:bidi w:val="0"/>
        <w:spacing w:line="240" w:lineRule="auto"/>
      </w:pPr>
    </w:p>
    <w:p>
      <w:pPr>
        <w:keepNext w:val="0"/>
        <w:keepLines w:val="0"/>
        <w:pageBreakBefore w:val="0"/>
        <w:wordWrap/>
        <w:overflowPunct/>
        <w:topLinePunct w:val="0"/>
        <w:bidi w:val="0"/>
        <w:spacing w:line="240" w:lineRule="auto"/>
      </w:pPr>
    </w:p>
    <w:tbl>
      <w:tblPr>
        <w:tblStyle w:val="11"/>
        <w:tblW w:w="8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76"/>
        <w:gridCol w:w="536"/>
        <w:gridCol w:w="1256"/>
        <w:gridCol w:w="2616"/>
        <w:gridCol w:w="536"/>
        <w:gridCol w:w="1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886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snapToGrid w:val="0"/>
                <w:color w:val="000000"/>
                <w:kern w:val="0"/>
                <w:sz w:val="44"/>
                <w:szCs w:val="4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编制单位：南昌市青云谱区商务局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收     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决算数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项目（按功能分类）</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    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    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30,032,859.44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3,263,001.04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2,938,991.46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7,450,736.79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11,890.17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1,623,975.73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5,864,747.51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29,562,992.50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41,022,587.69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41,140,506.95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结余分配                 </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117,919.26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年末结转和结余                                </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41,140,506.95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41,140,506.95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0" w:type="auto"/>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2.本套报表金额单位转换时可能存在尾数误差。</w:t>
            </w:r>
          </w:p>
        </w:tc>
      </w:tr>
    </w:tbl>
    <w:p>
      <w:pPr>
        <w:keepNext w:val="0"/>
        <w:keepLines w:val="0"/>
        <w:pageBreakBefore w:val="0"/>
        <w:wordWrap/>
        <w:overflowPunct/>
        <w:topLinePunct w:val="0"/>
        <w:bidi w:val="0"/>
        <w:spacing w:line="240" w:lineRule="auto"/>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tbl>
      <w:tblPr>
        <w:tblStyle w:val="11"/>
        <w:tblW w:w="71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59"/>
        <w:gridCol w:w="298"/>
        <w:gridCol w:w="299"/>
        <w:gridCol w:w="1791"/>
        <w:gridCol w:w="755"/>
        <w:gridCol w:w="755"/>
        <w:gridCol w:w="714"/>
        <w:gridCol w:w="714"/>
        <w:gridCol w:w="548"/>
        <w:gridCol w:w="382"/>
        <w:gridCol w:w="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7199"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8"/>
                <w:szCs w:val="28"/>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编制单位：南昌市青云谱区商务局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本年收入合计</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财政拨款收入</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上级补助收入</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事业收入</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经营收入</w:t>
            </w:r>
          </w:p>
        </w:tc>
        <w:tc>
          <w:tcPr>
            <w:tcW w:w="5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附属单位上缴收入</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89"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5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8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5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8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5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41,022,587.69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30,632,859.44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2,938,991.46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7,450,736.79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3,255,632.04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2,428,473.99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827,158.05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20113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商贸事务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3,255,632.04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2,428,473.99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827,158.05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2011301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1,155,454.53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1,155,454.53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2011350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673,019.46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673,019.46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2011399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其他商贸事务支出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1,427,158.05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827,158.05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11,890.17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11,890.17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11,890.17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11,890.17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7,647.17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7,647.17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4,243.00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4,243.00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1,623,975.73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1,623,975.73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1,623,975.73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1,623,975.73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2130104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201,430.53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201,430.53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2130109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农产品质量安全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106,000.00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106,000.00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2130125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农产品加工与促销</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300,000.00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300,000.00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1,016,545.20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1,016,545.20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5,864,747.51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5,864,747.51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21508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支持中小企业发展和管理支出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5,864,747.51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5,864,747.51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2150899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其他支持中小企业发展和管理支出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5,864,747.51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5,864,747.51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29,452,442.24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19,889,872.04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2,938,991.46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6,623,578.74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商业流通事务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3,733,604.80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3,733,604.80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2160299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其他商业流通事务支出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3,733,604.80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3,733,604.80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25,718,837.44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16,156,267.24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2,938,991.46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6,623,578.74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2169999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25,718,837.44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16,156,267.24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2,938,991.46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6,623,578.74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7199"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snapToGrid w:val="0"/>
                <w:color w:val="000000"/>
                <w:kern w:val="0"/>
                <w:sz w:val="12"/>
                <w:szCs w:val="12"/>
                <w:u w:val="none"/>
                <w:lang w:val="en-US" w:eastAsia="zh-CN" w:bidi="ar"/>
              </w:rPr>
              <w:t>注：本表反映部门本年度取得的各项收入情况。</w:t>
            </w:r>
          </w:p>
        </w:tc>
      </w:tr>
    </w:tbl>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tbl>
      <w:tblPr>
        <w:tblStyle w:val="11"/>
        <w:tblW w:w="7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2"/>
        <w:gridCol w:w="312"/>
        <w:gridCol w:w="312"/>
        <w:gridCol w:w="2034"/>
        <w:gridCol w:w="838"/>
        <w:gridCol w:w="838"/>
        <w:gridCol w:w="838"/>
        <w:gridCol w:w="407"/>
        <w:gridCol w:w="407"/>
        <w:gridCol w:w="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86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snapToGrid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编制单位：南昌市青云谱区商务局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11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本年支出合计</w:t>
            </w:r>
          </w:p>
        </w:tc>
        <w:tc>
          <w:tcPr>
            <w:tcW w:w="12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10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c>
          <w:tcPr>
            <w:tcW w:w="4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上缴上级支出</w:t>
            </w:r>
          </w:p>
        </w:tc>
        <w:tc>
          <w:tcPr>
            <w:tcW w:w="4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经营支出</w:t>
            </w:r>
          </w:p>
        </w:tc>
        <w:tc>
          <w:tcPr>
            <w:tcW w:w="4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4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4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4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4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4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4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2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4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4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4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auto"/>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auto"/>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auto"/>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41,140,506.95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17,634,392.19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23,506,114.76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3,263,001.04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2,435,842.99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827,158.05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20113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商贸事务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3,263,001.04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2,435,842.99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827,158.05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2011301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1,162,823.53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1,162,823.53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2011350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673,019.46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673,019.46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2011399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 xml:space="preserve">  其他商贸事务支出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1,427,158.05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827,158.05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11,890.17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11,890.17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11,890.17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11,890.17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7,647.17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7,647.17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4,243.00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4,243.00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snapToGrid w:val="0"/>
                <w:color w:val="auto"/>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1,623,975.73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1,623,975.73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1,623,975.73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1,623,975.73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2130104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201,430.53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201,430.53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2130109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农产品质量安全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2130125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农产品加工与促销</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1,016,545.20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1,016,545.20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5,864,747.51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2,035,349.04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3,829,398.47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21508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支持中小企业发展和管理支出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5,864,747.51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2,035,349.04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3,829,398.47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2150899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其他支持中小企业发展和管理支出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5,864,747.51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2,035,349.04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3,829,398.47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29,562,992.50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11,313,434.26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18,249,558.24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商业流通事务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3,733,604.80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3,733,604.80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2160299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其他商业流通事务支出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3,733,604.80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3,733,604.80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25,829,387.70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7,579,829.46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18,249,558.24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25,829,387.70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7,579,829.46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18,249,558.24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7860"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注：本表反映部门本年度各项支出情况。</w:t>
            </w:r>
          </w:p>
        </w:tc>
      </w:tr>
    </w:tbl>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tbl>
      <w:tblPr>
        <w:tblStyle w:val="11"/>
        <w:tblW w:w="82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72"/>
        <w:gridCol w:w="320"/>
        <w:gridCol w:w="890"/>
        <w:gridCol w:w="1772"/>
        <w:gridCol w:w="320"/>
        <w:gridCol w:w="890"/>
        <w:gridCol w:w="890"/>
        <w:gridCol w:w="735"/>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265"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snapToGrid w:val="0"/>
                <w:color w:val="000000"/>
                <w:kern w:val="0"/>
                <w:sz w:val="44"/>
                <w:szCs w:val="4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编制单位：南昌市青云谱区商务局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5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行次</w:t>
            </w:r>
          </w:p>
        </w:tc>
        <w:tc>
          <w:tcPr>
            <w:tcW w:w="9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项目（按功能分类）</w:t>
            </w:r>
          </w:p>
        </w:tc>
        <w:tc>
          <w:tcPr>
            <w:tcW w:w="5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8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一般公共预算财政拨款</w:t>
            </w:r>
          </w:p>
        </w:tc>
        <w:tc>
          <w:tcPr>
            <w:tcW w:w="4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政府性基金预算财政拨款</w:t>
            </w:r>
          </w:p>
        </w:tc>
        <w:tc>
          <w:tcPr>
            <w:tcW w:w="4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5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9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5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8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4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    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    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30,032,859.44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2,435,842.99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2,435,842.99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11,890.17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11,890.17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1,623,975.73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1,623,975.73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5,864,747.51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5,864,747.51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19,889,872.04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19,889,872.04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30,632,859.44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30,640,228.44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30,040,228.44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7,369.00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7,369.00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30,640,228.44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30,640,228.44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30,040,228.44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8265"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pStyle w:val="2"/>
        <w:rPr>
          <w:rFonts w:hint="eastAsia"/>
          <w:lang w:val="en-US" w:eastAsia="zh-CN"/>
        </w:rPr>
      </w:pPr>
    </w:p>
    <w:tbl>
      <w:tblPr>
        <w:tblStyle w:val="11"/>
        <w:tblW w:w="66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2"/>
        <w:gridCol w:w="348"/>
        <w:gridCol w:w="348"/>
        <w:gridCol w:w="2324"/>
        <w:gridCol w:w="1072"/>
        <w:gridCol w:w="1072"/>
        <w:gridCol w:w="1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675"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snapToGrid w:val="0"/>
                <w:color w:val="000000"/>
                <w:kern w:val="0"/>
                <w:sz w:val="44"/>
                <w:szCs w:val="44"/>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编制单位：南昌市青云谱区商务局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1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51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30,040,228.44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10,947,662.73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19,092,565.71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2,435,842.99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2,435,842.99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商贸事务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2,435,842.99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2,435,842.99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2011301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1,162,823.53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1,162,823.53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2011350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673,019.46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673,019.46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2011399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其他商贸事务支出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11,890.17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11,890.17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11,890.17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11,890.17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7,647.17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7,647.17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4,243.00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4,243.00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1,623,975.73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1,623,975.73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1,623,975.73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1,623,975.73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2130104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201,430.53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201,430.53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2130109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农产品质量安全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106,000.00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2130125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农产品加工与促销</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1,016,545.20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1,016,545.20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5,864,747.51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2,035,349.04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3,829,398.47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21508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支持中小企业发展和管理支出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5,864,747.51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2,035,349.04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3,829,398.47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2150899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其他支持中小企业发展和管理支出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5,864,747.51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2,035,349.04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3,829,398.47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19,889,872.04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4,626,704.80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15,263,167.24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商业流通事务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3,733,604.80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3,733,604.80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2160299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其他商业流通事务支出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3,733,604.80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3,733,604.80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16,156,267.24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893,100.00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15,263,167.24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16,156,267.24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893,100.00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15,263,167.24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6675"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注：本表反映部门本年度一般公共预算财政拨款支出情况。</w:t>
            </w:r>
          </w:p>
        </w:tc>
      </w:tr>
    </w:tbl>
    <w:p>
      <w:pPr>
        <w:rPr>
          <w:rFonts w:hint="eastAsia"/>
          <w:lang w:val="en-US" w:eastAsia="zh-CN"/>
        </w:rPr>
      </w:pPr>
    </w:p>
    <w:tbl>
      <w:tblPr>
        <w:tblStyle w:val="11"/>
        <w:tblW w:w="82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42"/>
        <w:gridCol w:w="730"/>
        <w:gridCol w:w="986"/>
        <w:gridCol w:w="537"/>
        <w:gridCol w:w="730"/>
        <w:gridCol w:w="986"/>
        <w:gridCol w:w="601"/>
        <w:gridCol w:w="730"/>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235"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snapToGrid w:val="0"/>
                <w:color w:val="000000"/>
                <w:kern w:val="0"/>
                <w:sz w:val="44"/>
                <w:szCs w:val="44"/>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编制单位：南昌市青云谱区商务局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8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经济分类科目编码</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w:t>
            </w:r>
          </w:p>
        </w:tc>
        <w:tc>
          <w:tcPr>
            <w:tcW w:w="6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经济分类科目编码</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w:t>
            </w:r>
          </w:p>
        </w:tc>
        <w:tc>
          <w:tcPr>
            <w:tcW w:w="8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经济分类科目编码</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301</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5,001,957.73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302</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5,906,150.00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307</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30101</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1,255,367.00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30201</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40,125.00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30701</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30102</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170,508.22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30202</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5,114.50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30702</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30103</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2,180,095.26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30203</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30703</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国内债务发行费用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30106</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135,200.00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30204</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30704</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国外债务发行费用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30107</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155,413.00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30205</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310</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23,700.00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30108</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95,421.42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30206</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14,900.00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31001</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30109</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100,377.23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30207</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31002</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23,700.00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30110</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58,548.14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30208</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31003</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30111</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公务员医疗补助缴款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55,300.65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30209</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31005</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30112</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42,577.84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30211</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33,147.50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31006</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30113</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323,342.00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30212</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31007</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30114</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30213</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3,023,476.82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31008</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30199</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429,806.97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30214</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653,100.00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31009</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303</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15,855.00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30215</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31010</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30301</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30216</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17,095.84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310111</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30302</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30217</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31012</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30303</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30218</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31013</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30304</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30224</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31019</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30305</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生活补贴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5,098.55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30225</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31021</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30306</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30226</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1,420.00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31022</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30307</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30227</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335,464.64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31099</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30308</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30228</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125,000.00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312</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对企业补助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30309</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30229</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80,300.00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31201</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资本金注入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30310</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30231</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1,091.00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31203</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政府投资基金股权投资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30311</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30239</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31204</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费用补贴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30399</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其他对个人和家庭的补助支出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4,756.45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30240</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31205</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利息补贴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114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30299</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1,575,914.70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31299</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其他对企业补助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114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399</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114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39906</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39907</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114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39908</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1140"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bottom"/>
          </w:tcPr>
          <w:p>
            <w:pPr>
              <w:jc w:val="left"/>
              <w:rPr>
                <w:rFonts w:hint="default" w:ascii="Arial" w:hAnsi="Arial" w:cs="Arial"/>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39999</w:t>
            </w:r>
          </w:p>
        </w:tc>
        <w:tc>
          <w:tcPr>
            <w:tcW w:w="12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5,017,812.73</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公用支出合计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5,929,850.00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注：本表反映部门本年度一般公共预算财政拨款基本支出明细情况。</w:t>
            </w:r>
          </w:p>
        </w:tc>
      </w:tr>
    </w:tbl>
    <w:p>
      <w:pPr>
        <w:pStyle w:val="2"/>
        <w:rPr>
          <w:rFonts w:hint="eastAsia"/>
          <w:lang w:val="en-US" w:eastAsia="zh-CN"/>
        </w:rPr>
      </w:pPr>
    </w:p>
    <w:tbl>
      <w:tblPr>
        <w:tblStyle w:val="11"/>
        <w:tblW w:w="74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2"/>
        <w:gridCol w:w="1074"/>
        <w:gridCol w:w="1286"/>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7470"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snapToGrid w:val="0"/>
                <w:color w:val="000000"/>
                <w:kern w:val="0"/>
                <w:sz w:val="32"/>
                <w:szCs w:val="32"/>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编制单位：南昌市青云谱区商务局</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项目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年初预算数</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一、“三公”经费支出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11,091.00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1.因公出国（境）费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2.公务用车购置及运行维护费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（1）公务用车购置费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（2）公务用车运行维护费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3.公务接待费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（1）国内接待费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其中：外事接待费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（2）国（境）外接待费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二、相关统计数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1.因公出国（境）团组数（个）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2.因公出国（境）人次数（人）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3.公务用车购置数（辆）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4.公务用车保有量（辆）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5.国内公务接待批次（个）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其中：外事接待批次（个）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6.国内公务接待人次（人）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其中：外事接待人次（人）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7.国（境）外公务接待批次（个）</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 xml:space="preserve">  8.国（境）外公务接待人次（人）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7470" w:type="dxa"/>
            <w:gridSpan w:val="4"/>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7470" w:type="dxa"/>
            <w:gridSpan w:val="4"/>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rPr>
          <w:rFonts w:hint="eastAsia"/>
          <w:lang w:val="en-US" w:eastAsia="zh-CN"/>
        </w:rPr>
      </w:pPr>
    </w:p>
    <w:p>
      <w:pPr>
        <w:pStyle w:val="2"/>
        <w:rPr>
          <w:rFonts w:hint="eastAsia"/>
          <w:lang w:val="en-US" w:eastAsia="zh-CN"/>
        </w:rPr>
      </w:pPr>
    </w:p>
    <w:tbl>
      <w:tblPr>
        <w:tblStyle w:val="11"/>
        <w:tblW w:w="84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08"/>
        <w:gridCol w:w="315"/>
        <w:gridCol w:w="315"/>
        <w:gridCol w:w="2107"/>
        <w:gridCol w:w="415"/>
        <w:gridCol w:w="714"/>
        <w:gridCol w:w="714"/>
        <w:gridCol w:w="614"/>
        <w:gridCol w:w="714"/>
        <w:gridCol w:w="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415"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snapToGrid w:val="0"/>
                <w:color w:val="000000"/>
                <w:kern w:val="0"/>
                <w:sz w:val="44"/>
                <w:szCs w:val="4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编制单位：南昌市青云谱区商务局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5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本年支出</w:t>
            </w:r>
          </w:p>
        </w:tc>
        <w:tc>
          <w:tcPr>
            <w:tcW w:w="6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5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小计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c>
          <w:tcPr>
            <w:tcW w:w="6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5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6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51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6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说明：当此表数据为零时，即本部门无政府性基金预算财政拨款收入、支出。</w:t>
            </w:r>
          </w:p>
        </w:tc>
      </w:tr>
    </w:tbl>
    <w:p>
      <w:pPr>
        <w:rPr>
          <w:rFonts w:hint="eastAsia"/>
          <w:lang w:val="en-US" w:eastAsia="zh-CN"/>
        </w:rPr>
      </w:pPr>
    </w:p>
    <w:p>
      <w:pPr>
        <w:pStyle w:val="2"/>
        <w:rPr>
          <w:rFonts w:hint="eastAsia"/>
          <w:lang w:val="en-US" w:eastAsia="zh-CN"/>
        </w:rPr>
      </w:pPr>
    </w:p>
    <w:tbl>
      <w:tblPr>
        <w:tblStyle w:val="11"/>
        <w:tblW w:w="82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6"/>
        <w:gridCol w:w="436"/>
        <w:gridCol w:w="436"/>
        <w:gridCol w:w="1096"/>
        <w:gridCol w:w="1016"/>
        <w:gridCol w:w="619"/>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235"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snapToGrid w:val="0"/>
                <w:color w:val="000000"/>
                <w:kern w:val="0"/>
                <w:sz w:val="44"/>
                <w:szCs w:val="4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编制单位：南昌市青云谱区商务局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2021年度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    目</w:t>
            </w:r>
          </w:p>
        </w:tc>
        <w:tc>
          <w:tcPr>
            <w:tcW w:w="10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10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基本支出</w:t>
            </w:r>
          </w:p>
        </w:tc>
        <w:tc>
          <w:tcPr>
            <w:tcW w:w="12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支出功能分类科目编码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235"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说明：当此表数据为空时，即本部门无国有资本经营预算财政拨款支出。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lang w:val="en-US" w:eastAsia="zh-CN"/>
              </w:rPr>
            </w:pPr>
          </w:p>
          <w:p>
            <w:pPr>
              <w:pStyle w:val="2"/>
              <w:rPr>
                <w:rFonts w:hint="eastAsia"/>
                <w:lang w:val="en-US" w:eastAsia="zh-CN"/>
              </w:rPr>
            </w:pPr>
          </w:p>
        </w:tc>
      </w:tr>
    </w:tbl>
    <w:p>
      <w:pPr>
        <w:rPr>
          <w:rFonts w:hint="eastAsia"/>
          <w:lang w:val="en-US" w:eastAsia="zh-CN"/>
        </w:rPr>
      </w:pPr>
    </w:p>
    <w:tbl>
      <w:tblPr>
        <w:tblStyle w:val="11"/>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80"/>
        <w:gridCol w:w="1146"/>
        <w:gridCol w:w="2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snapToGrid w:val="0"/>
                <w:color w:val="000000"/>
                <w:kern w:val="0"/>
                <w:sz w:val="44"/>
                <w:szCs w:val="44"/>
                <w:u w:val="none"/>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编制单位：南昌市青云谱区商务局</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2021年度</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一、车辆数合计(台、辆)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1.副部（省）级及以上领导用车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2.主要领导干部用车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3.机要通信用车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4.应急保障用车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5.执法执勤用车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6.特种专业技术用车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7.离退休干部用车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8.其他用车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注：本表反映截止2021年12月31日，部门占用的国有资产情况。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说明：当此表数据为空时，即本部门（单位）无相关资产。</w:t>
            </w:r>
          </w:p>
        </w:tc>
      </w:tr>
    </w:tbl>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2"/>
          <w:lang w:val="en-US" w:eastAsia="zh-CN" w:bidi="ar-SA"/>
        </w:rPr>
      </w:pPr>
      <w:r>
        <w:rPr>
          <w:rFonts w:hint="eastAsia" w:ascii="宋体" w:hAnsi="宋体" w:eastAsia="宋体" w:cs="Times New Roman"/>
          <w:b/>
          <w:snapToGrid/>
          <w:kern w:val="2"/>
          <w:sz w:val="32"/>
          <w:szCs w:val="32"/>
          <w:lang w:val="en-US" w:eastAsia="zh-CN" w:bidi="ar-SA"/>
        </w:rPr>
        <w:t>第三部分    2021年度部门决算情况说明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一、收入决算情况说明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本部门2021年度收入总计4114.05万元，其中年初结转和结</w:t>
      </w:r>
      <w:r>
        <w:rPr>
          <w:rFonts w:hint="eastAsia" w:ascii="仿宋" w:hAnsi="仿宋" w:eastAsia="仿宋" w:cs="Times New Roman"/>
          <w:snapToGrid/>
          <w:color w:val="auto"/>
          <w:kern w:val="2"/>
          <w:sz w:val="32"/>
          <w:szCs w:val="32"/>
          <w:lang w:val="en-US" w:eastAsia="zh-CN" w:bidi="ar-SA"/>
        </w:rPr>
        <w:t>余11.79万元，较 2020年减少611.97万元，下降12.9%; 本年收入合计4102.25万元，较2020年减少46.61万元，下降1.1%，主要原因是:当年财政收回结转结余资金，</w:t>
      </w:r>
      <w:r>
        <w:rPr>
          <w:rFonts w:hint="eastAsia" w:ascii="仿宋" w:hAnsi="仿宋" w:eastAsia="仿宋" w:cs="Times New Roman"/>
          <w:snapToGrid/>
          <w:kern w:val="2"/>
          <w:sz w:val="32"/>
          <w:szCs w:val="32"/>
          <w:lang w:val="en-US" w:eastAsia="zh-CN" w:bidi="ar-SA"/>
        </w:rPr>
        <w:t>不确认为当年收入。</w:t>
      </w:r>
      <w:r>
        <w:rPr>
          <w:rFonts w:hint="eastAsia" w:ascii="仿宋" w:hAnsi="仿宋" w:eastAsia="仿宋" w:cs="Times New Roman"/>
          <w:snapToGrid/>
          <w:kern w:val="2"/>
          <w:sz w:val="32"/>
          <w:szCs w:val="32"/>
          <w:lang w:val="en-US" w:eastAsia="zh-CN" w:bidi="ar-SA"/>
        </w:rPr>
        <w:br w:type="textWrapping"/>
      </w:r>
      <w:r>
        <w:rPr>
          <w:rFonts w:hint="eastAsia" w:ascii="仿宋" w:hAnsi="仿宋" w:eastAsia="仿宋" w:cs="Times New Roman"/>
          <w:snapToGrid/>
          <w:kern w:val="2"/>
          <w:sz w:val="32"/>
          <w:szCs w:val="32"/>
          <w:lang w:val="en-US" w:eastAsia="zh-CN" w:bidi="ar-SA"/>
        </w:rPr>
        <w:t xml:space="preserve">   本年收入的具体构成为∶财政拨款收入3003.28万元，占73.21%;政府性基金收入60万，占1.4%；事业收入293.90万元，占7.16%;其他收入745.07万元，占18.16%。</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二、支出决算情况说明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支出总计4114.05万元，其中本年支出合计4114.05万元，较2020年减少611.26万元，下降12.93%，主要原因是∶2021年度项目支出减少;年末结转和结余0万元，较2020年减少0.74万元，下降100%，主要原因是：年末财政收回结余结转资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本年支出的具体构成为∶基本支出1763.43万元，占42.86%; 项目支出2350.61万元，占57.14%; 经营支出0万元，占0%; 其他支出（对附属单位补助支出、上缴上级支出）0万元，占0%。</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三、财政拨款支出决算情况说明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本部门2021年度财政拨款本年支出年初预算数为</w:t>
      </w:r>
      <w:r>
        <w:rPr>
          <w:rFonts w:hint="eastAsia" w:ascii="仿宋" w:hAnsi="仿宋" w:eastAsia="仿宋" w:cs="Times New Roman"/>
          <w:snapToGrid/>
          <w:color w:val="auto"/>
          <w:kern w:val="2"/>
          <w:sz w:val="32"/>
          <w:szCs w:val="32"/>
          <w:lang w:val="en-US" w:eastAsia="zh-CN" w:bidi="ar-SA"/>
        </w:rPr>
        <w:t>1035.61万元，决算数为4114.05万元，完成年初预算的</w:t>
      </w:r>
      <w:r>
        <w:rPr>
          <w:rFonts w:hint="eastAsia" w:ascii="仿宋" w:hAnsi="仿宋" w:eastAsia="仿宋" w:cs="Times New Roman"/>
          <w:snapToGrid/>
          <w:kern w:val="2"/>
          <w:sz w:val="32"/>
          <w:szCs w:val="32"/>
          <w:lang w:val="en-US" w:eastAsia="zh-CN" w:bidi="ar-SA"/>
        </w:rPr>
        <w:t>397.25%。其中∶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（一）一般公共服务支出年初预算数为262.29万元，决算数为326.3万元，完成年初预算的124.4%，主要原因是∶当年因工作需要，调整追加了项目支出预算。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（二）社会保障和就业支出年初预算数为3.08万元，决算数为1.19万元，完成年初预算的38.64%，主要原因是∶当年因工作需要，调整了预算。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（三）城乡社区支出年初预算数为0万元，决算数为60万元，完成年初预算的100%，主要原因是∶当年因工作需要，调整追加了项目支出预算。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（四）农林水支出年初预算数为90万元，决算数为162.4万元，完成年初预算的180.44%，主要原因是∶当年因工作需要，调整追加了项目支出预算。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（五）资源勘探工业信息等支出年初预算数为0万元，决算数为586.47万元，完成年初预算的100%，主要原因是∶当年因工作需要，调整追加了项目支出预算。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（六）商业服务业等支出年初预算数为675.34万元，决算数为2956.3万元，完成年初预算的437.74%，主要原因是∶当年因工作需要，调整追加了项目支出预算。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（七）住房保障支出年初预算数为4.9万元，决算数为6.39万元，完成年初预算的100%，主要原因是∶当年因工作需要，调整追加了基本支出预算。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（八）其他支出年初预算数为0万元，决算数为15万元，完成年初预算的100%，主要原因是∶当年因工作需要，调整追加了项目支出预算。</w:t>
      </w:r>
    </w:p>
    <w:p>
      <w:pPr>
        <w:pStyle w:val="1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color w:val="auto"/>
          <w:kern w:val="2"/>
          <w:sz w:val="32"/>
          <w:szCs w:val="32"/>
          <w:u w:val="none"/>
          <w:lang w:val="en-US" w:eastAsia="zh-CN" w:bidi="ar-SA"/>
        </w:rPr>
      </w:pPr>
      <w:r>
        <w:rPr>
          <w:rFonts w:hint="eastAsia" w:ascii="仿宋" w:hAnsi="仿宋" w:eastAsia="仿宋" w:cs="Times New Roman"/>
          <w:snapToGrid/>
          <w:kern w:val="2"/>
          <w:sz w:val="32"/>
          <w:szCs w:val="32"/>
          <w:lang w:val="en-US" w:eastAsia="zh-CN" w:bidi="ar-SA"/>
        </w:rPr>
        <w:t>本部门2021年度一般公共预算财政拨款基本支出1094.76万元，其中∶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color w:val="auto"/>
          <w:kern w:val="2"/>
          <w:sz w:val="32"/>
          <w:szCs w:val="32"/>
          <w:u w:val="none"/>
          <w:lang w:val="en-US" w:eastAsia="zh-CN" w:bidi="ar-SA"/>
        </w:rPr>
        <w:t>（一）工资福利支出500.19万元，较2020年减少208.79万元，下降29.44%，主要原因是∶因政府性奖励政策变化，2021年政府性奖励未发放。</w:t>
      </w:r>
      <w:r>
        <w:rPr>
          <w:rFonts w:hint="eastAsia" w:ascii="仿宋" w:hAnsi="仿宋" w:eastAsia="仿宋" w:cs="Times New Roman"/>
          <w:snapToGrid/>
          <w:color w:val="auto"/>
          <w:kern w:val="2"/>
          <w:sz w:val="32"/>
          <w:szCs w:val="32"/>
          <w:u w:val="none"/>
          <w:lang w:val="en-US" w:eastAsia="zh-CN" w:bidi="ar-SA"/>
        </w:rPr>
        <w:br w:type="textWrapping"/>
      </w:r>
      <w:r>
        <w:rPr>
          <w:rFonts w:hint="eastAsia" w:ascii="仿宋" w:hAnsi="仿宋" w:eastAsia="仿宋" w:cs="Times New Roman"/>
          <w:snapToGrid/>
          <w:color w:val="auto"/>
          <w:kern w:val="2"/>
          <w:sz w:val="32"/>
          <w:szCs w:val="32"/>
          <w:u w:val="none"/>
          <w:lang w:val="en-US" w:eastAsia="zh-CN" w:bidi="ar-SA"/>
        </w:rPr>
        <w:t xml:space="preserve">   （二）商品和服务支出590.61万元，较2020年减少21.41</w:t>
      </w:r>
      <w:r>
        <w:rPr>
          <w:rFonts w:hint="eastAsia" w:ascii="仿宋" w:hAnsi="仿宋" w:eastAsia="仿宋" w:cs="Times New Roman"/>
          <w:snapToGrid/>
          <w:kern w:val="2"/>
          <w:sz w:val="32"/>
          <w:szCs w:val="32"/>
          <w:lang w:val="en-US" w:eastAsia="zh-CN" w:bidi="ar-SA"/>
        </w:rPr>
        <w:t>万元，下降</w:t>
      </w:r>
      <w:r>
        <w:rPr>
          <w:rFonts w:hint="eastAsia" w:ascii="仿宋" w:hAnsi="仿宋" w:eastAsia="仿宋" w:cs="Times New Roman"/>
          <w:snapToGrid/>
          <w:color w:val="auto"/>
          <w:kern w:val="2"/>
          <w:sz w:val="32"/>
          <w:szCs w:val="32"/>
          <w:u w:val="none"/>
          <w:lang w:val="en-US" w:eastAsia="zh-CN" w:bidi="ar-SA"/>
        </w:rPr>
        <w:t>3.49</w:t>
      </w:r>
      <w:r>
        <w:rPr>
          <w:rFonts w:hint="eastAsia" w:ascii="仿宋" w:hAnsi="仿宋" w:eastAsia="仿宋" w:cs="Times New Roman"/>
          <w:snapToGrid/>
          <w:kern w:val="2"/>
          <w:sz w:val="32"/>
          <w:szCs w:val="32"/>
          <w:lang w:val="en-US" w:eastAsia="zh-CN" w:bidi="ar-SA"/>
        </w:rPr>
        <w:t>%，主要原因是：厉行节约，压缩一般性支出。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（三）对个人和家庭补助支出1.59万元，较2020年减少54.77万元，下降97.18%，主要原因是∶部分奖励补贴列入项目支出。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（四）资本性支出2.37万元，较2020年减少0.29万元，下降10.9%，主要原因是∶办公设备购置减少。</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五、一般公共预算财政拨款“三公”经费支出决算情况说明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本部门2021年度一般公共预算财政拨款“三公”经费支出年初预算数为1.11万元，决算数为0.11万元，完成预算的9.91%，决算数较2020年减少0.27万元，下降71.24%，其中∶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一）因公出国（境）支出年初预算数为0万元，决算数为0万元，完成预算的0%，决算数较2020年增减0万元，增减0%，主要原因是：2020年及2021年均未发生因公出国（境）支出。决算数较年初预算数无增减的主要原因是：年初未安排预算，当年也未发生支出。全年安排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二）公务接待费支出年初预算数为1万元，决算数为0万元，完成预算的0%，决算数较2020年减少0.38万元，下降100%，主要原因是：严格执行八项规定，2021年招待支出减少。决算数较年初预算数减少的主要原因是：严格执行八项规定，当年也未发生支出。全年国内公务接待0批，累计接待0人次，其中外事接待0批，累计接待0人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三）公务用车购置及运行维护费支出0.11万元，其中公务用车购置年初预算数为0万元，决算数为0万元，完成预算的0%，决算数较2020年增减0万元，增减0%，主要原因是：2020年及2021年均未发生公务用车购置支出，全年购置公务用车0辆。决算数较年初预算数无增减的主要原因是：初未安排预算，当年也未发生支出；公务用车运行维护费支出年初预算数为0.11万元，决算数为0.11万元，完成预算的100%，决算数较2020年增加0.11万元，增减100%，主要原因是：2021年因工作需要，发生了公务车运行维护费，年末公务用车保有1辆。决算数较年初预算数无增减的主要原因是：预算执行情况较好。</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六、机关运行经费支出情况说明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cs="仿宋"/>
          <w:color w:val="FF0000"/>
          <w:sz w:val="30"/>
          <w:szCs w:val="30"/>
        </w:rPr>
      </w:pPr>
      <w:r>
        <w:rPr>
          <w:rFonts w:hint="eastAsia" w:ascii="仿宋" w:hAnsi="仿宋" w:eastAsia="仿宋" w:cs="Times New Roman"/>
          <w:snapToGrid/>
          <w:color w:val="auto"/>
          <w:kern w:val="2"/>
          <w:sz w:val="32"/>
          <w:szCs w:val="30"/>
          <w:lang w:val="en-US" w:eastAsia="zh-CN" w:bidi="ar-SA"/>
        </w:rPr>
        <w:t>本部门2021年度机关运行经费支出527.68万元，较上年决算数减少44.06万元，降低7.71%，主要原因是∶落实过紧日子要求压减一般性支出。</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七、政府采购支出情况说明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本部门2021年度政府采购支出总额2.31万元，其中∶政府采购货物支出2.31万元、政府采购工程支出0万元、政府采购服务支出0万元。授予中小企业合同金额0万元，占政府采购支出总额的%，其中∶授予小微企业合同金额0万元，占政府采购支出总额的0%。</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w:t>八、国有资产占用情况说明。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0"/>
          <w:lang w:val="en-US" w:eastAsia="zh-CN" w:bidi="ar-SA"/>
        </w:rPr>
        <w:t>截止2021年12月31日，本部门国有资产占用情况见公开10 表《国有资产占用情况表》。其中车辆中的其他用车主要是副部(省)级及以上领导用车0辆、主要领导干部用车0辆、机要通信用车0辆、保障用车0辆、执法执勤用车0辆、特种专业技术用车0辆、其他用车1辆，单位价值50万元以上通用设备0台(套);单位价值100万元以上设备0台(套)。</w:t>
      </w:r>
    </w:p>
    <w:p>
      <w:pPr>
        <w:keepNext w:val="0"/>
        <w:keepLines w:val="0"/>
        <w:pageBreakBefore w:val="0"/>
        <w:widowControl w:val="0"/>
        <w:kinsoku/>
        <w:wordWrap/>
        <w:overflowPunct/>
        <w:topLinePunct w:val="0"/>
        <w:autoSpaceDE/>
        <w:autoSpaceDN/>
        <w:bidi w:val="0"/>
        <w:adjustRightInd/>
        <w:snapToGrid/>
        <w:spacing w:line="560" w:lineRule="exact"/>
        <w:ind w:firstLine="630"/>
        <w:jc w:val="left"/>
        <w:textAlignment w:val="auto"/>
        <w:rPr>
          <w:rFonts w:hint="eastAsia" w:ascii="黑体" w:hAnsi="黑体" w:eastAsia="黑体" w:cs="Times New Roman"/>
          <w:b w:val="0"/>
          <w:bCs w:val="0"/>
          <w:snapToGrid/>
          <w:kern w:val="2"/>
          <w:sz w:val="32"/>
          <w:szCs w:val="32"/>
          <w:lang w:val="en-US" w:eastAsia="zh-CN" w:bidi="ar-SA"/>
        </w:rPr>
      </w:pPr>
      <w:r>
        <w:rPr>
          <w:rFonts w:hint="eastAsia" w:ascii="黑体" w:hAnsi="黑体" w:eastAsia="黑体" w:cs="Times New Roman"/>
          <w:b w:val="0"/>
          <w:bCs w:val="0"/>
          <w:snapToGrid/>
          <w:kern w:val="2"/>
          <w:sz w:val="32"/>
          <w:szCs w:val="32"/>
          <w:lang w:val="en-US" w:eastAsia="zh-CN" w:bidi="ar-SA"/>
        </w:rPr>
        <mc:AlternateContent>
          <mc:Choice Requires="wps">
            <w:drawing>
              <wp:anchor distT="0" distB="0" distL="0" distR="0" simplePos="0" relativeHeight="251660288" behindDoc="0" locked="0" layoutInCell="0" allowOverlap="1">
                <wp:simplePos x="0" y="0"/>
                <wp:positionH relativeFrom="page">
                  <wp:posOffset>4937760</wp:posOffset>
                </wp:positionH>
                <wp:positionV relativeFrom="page">
                  <wp:posOffset>6992620</wp:posOffset>
                </wp:positionV>
                <wp:extent cx="32385" cy="277495"/>
                <wp:effectExtent l="0" t="0" r="0" b="0"/>
                <wp:wrapNone/>
                <wp:docPr id="3" name="TextBox 3"/>
                <wp:cNvGraphicFramePr/>
                <a:graphic xmlns:a="http://schemas.openxmlformats.org/drawingml/2006/main">
                  <a:graphicData uri="http://schemas.microsoft.com/office/word/2010/wordprocessingShape">
                    <wps:wsp>
                      <wps:cNvSpPr txBox="1"/>
                      <wps:spPr>
                        <a:xfrm rot="10800000">
                          <a:off x="4938030" y="6992828"/>
                          <a:ext cx="32384" cy="27749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 o:spid="_x0000_s1026" o:spt="202" type="#_x0000_t202" style="position:absolute;left:0pt;margin-left:388.8pt;margin-top:550.6pt;height:21.85pt;width:2.55pt;mso-position-horizontal-relative:page;mso-position-vertical-relative:page;rotation:11796480f;z-index:251660288;mso-width-relative:page;mso-height-relative:page;" filled="f" stroked="f" coordsize="21600,21600" o:allowincell="f" o:gfxdata="UEsDBAoAAAAAAIdO4kAAAAAAAAAAAAAAAAAEAAAAZHJzL1BLAwQUAAAACACHTuJAQoI7Y9kAAAAN&#10;AQAADwAAAGRycy9kb3ducmV2LnhtbE2PwU7DMAyG70i8Q2QkbixtVS2la7oDCCQmgcRg96wxTaFx&#10;qiTrxtuTndjR/j/9/tysT3ZkM/owOJKQLzJgSJ3TA/USPj+e7ipgISrSanSEEn4xwLq9vmpUrd2R&#10;3nHexp6lEgq1kmBinGrOQ2fQqrBwE1LKvpy3KqbR91x7dUzlduRFli25VQOlC0ZN+GCw+9kerISN&#10;fYnf1avHx/HteRP0TDtTkpS3N3m2AhbxFP9hOOsndWiT094dSAc2ShBCLBOagjzLC2AJEVUhgO3P&#10;q7K8B942/PKL9g9QSwMEFAAAAAgAh07iQFW0iCIyAgAAagQAAA4AAABkcnMvZTJvRG9jLnhtbK1U&#10;wU7cMBC9V+o/WL6XZHcp7K7Ioi2IqhIqSFD17HUcEsn2uLaXhH59n50NtLQHDs3BmsxM3sx7M87Z&#10;+WA0e1Q+dGQrPjsqOVNWUt3Zh4p/u7/6sOQsRGFrocmqij+pwM8379+d9W6t5tSSrpVnALFh3buK&#10;tzG6dVEE2SojwhE5ZRFsyBsR8eofitqLHuhGF/OyPCl68rXzJFUI8F6OQX5A9G8BpKbppLokuTfK&#10;xhHVKy0iKIW2c4FvcrdNo2S8aZqgItMVB9OYTxSBvUtnsTkT6wcvXNvJQwviLS284mREZ1H0GepS&#10;RMH2vvsLynTSU6AmHkkyxUgkKwIWs/KVNnetcCpzgdTBPYse/h+s/Pp461lXV3zBmRUGA79XQ/xE&#10;A1skcXoX1si5c8iKA9xYmckf4Eych8Yb5gnazsplmZ4sBcgxpB+vFstyAb2fKn6yWs2X8+WoOsow&#10;iYTFfLE85kwiPj89PV59TOFihE3wzof4WZFhyai4x0wzvni8DnFMnVJSuqWrTus8V21Zn4b8hxvI&#10;2qJAYjYySFYcdsOB7o7qJ7DNhNB2cPKqQ+VrEeKt8NgOOHF/4g2ORhMq0MHirCX/81/+lI+hIcpZ&#10;j22rePixF15xpr9YjBOQcTL8ZOwmw+7NBWGBZ7mbbOIDH/VkNp7Md1yrbaqCkLAStSoeJ/MijjuP&#10;aynVdpuTsIBOxGt752SCHkXa7iM1XZY1yTJqcVALK5gHc7guacd/f89ZL7+I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Cgjtj2QAAAA0BAAAPAAAAAAAAAAEAIAAAACIAAABkcnMvZG93bnJldi54&#10;bWxQSwECFAAUAAAACACHTuJAVbSIIjICAABqBAAADgAAAAAAAAABACAAAAAoAQAAZHJzL2Uyb0Rv&#10;Yy54bWxQSwUGAAAAAAYABgBZAQAAzAUAAAAA&#10;">
                <v:fill on="f" focussize="0,0"/>
                <v:stroke on="f" weight="0pt"/>
                <v:imagedata o:title=""/>
                <o:lock v:ext="edit" aspectratio="f"/>
                <v:textbox inset="0mm,0mm,0mm,0mm">
                  <w:txbxContent>
                    <w:p>
                      <w:pPr>
                        <w:spacing w:before="20" w:line="225" w:lineRule="auto"/>
                        <w:ind w:firstLine="20"/>
                        <w:rPr>
                          <w:rFonts w:ascii="仿宋" w:hAnsi="仿宋" w:eastAsia="仿宋" w:cs="仿宋"/>
                          <w:sz w:val="28"/>
                          <w:szCs w:val="28"/>
                        </w:rPr>
                      </w:pPr>
                      <w:r>
                        <w:rPr>
                          <w:rFonts w:ascii="仿宋" w:hAnsi="仿宋" w:eastAsia="仿宋" w:cs="仿宋"/>
                          <w:spacing w:val="-1"/>
                          <w:w w:val="4"/>
                          <w:sz w:val="28"/>
                          <w:szCs w:val="28"/>
                        </w:rPr>
                        <w:t>及</w:t>
                      </w:r>
                    </w:p>
                  </w:txbxContent>
                </v:textbox>
              </v:shape>
            </w:pict>
          </mc:Fallback>
        </mc:AlternateContent>
      </w:r>
      <w:r>
        <w:rPr>
          <w:rFonts w:hint="eastAsia" w:ascii="黑体" w:hAnsi="黑体" w:eastAsia="黑体" w:cs="Times New Roman"/>
          <w:b w:val="0"/>
          <w:bCs w:val="0"/>
          <w:snapToGrid/>
          <w:kern w:val="2"/>
          <w:sz w:val="32"/>
          <w:szCs w:val="32"/>
          <w:lang w:val="en-US" w:eastAsia="zh-CN" w:bidi="ar-SA"/>
        </w:rPr>
        <w:t>九、预算绩效情况说明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lang w:val="en-US" w:eastAsia="zh-CN" w:bidi="ar-SA"/>
        </w:rPr>
      </w:pPr>
      <w:r>
        <w:rPr>
          <w:rFonts w:hint="eastAsia" w:ascii="仿宋" w:hAnsi="仿宋" w:eastAsia="仿宋" w:cs="Times New Roman"/>
          <w:snapToGrid/>
          <w:kern w:val="2"/>
          <w:sz w:val="32"/>
          <w:szCs w:val="30"/>
          <w:lang w:val="en-US" w:eastAsia="zh-CN" w:bidi="ar-SA"/>
        </w:rPr>
        <w:t>绩效管理工作开展情况。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highlight w:val="none"/>
          <w:lang w:val="en-US" w:eastAsia="zh-CN" w:bidi="ar-SA"/>
        </w:rPr>
      </w:pPr>
      <w:r>
        <w:rPr>
          <w:rFonts w:hint="eastAsia" w:ascii="仿宋" w:hAnsi="仿宋" w:eastAsia="仿宋" w:cs="Times New Roman"/>
          <w:snapToGrid/>
          <w:kern w:val="2"/>
          <w:sz w:val="32"/>
          <w:szCs w:val="30"/>
          <w:highlight w:val="none"/>
          <w:lang w:val="en-US" w:eastAsia="zh-CN" w:bidi="ar-SA"/>
        </w:rPr>
        <w:t>根据预算绩效管理要求，我部门组织对2021 年度一般公共预算项目支出所有二级项目2个全面开展绩效自评，共涉及资金262.8万元，占一般公共预算项目支出总额的100%。</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highlight w:val="none"/>
          <w:lang w:val="en-US" w:eastAsia="zh-CN" w:bidi="ar-SA"/>
        </w:rPr>
      </w:pPr>
      <w:r>
        <w:rPr>
          <w:rFonts w:hint="eastAsia" w:ascii="仿宋" w:hAnsi="仿宋" w:eastAsia="仿宋" w:cs="Times New Roman"/>
          <w:snapToGrid/>
          <w:kern w:val="2"/>
          <w:sz w:val="32"/>
          <w:szCs w:val="30"/>
          <w:highlight w:val="none"/>
          <w:lang w:val="en-US" w:eastAsia="zh-CN" w:bidi="ar-SA"/>
        </w:rPr>
        <w:t>组织对“支农资金”、“卫生托管经费配套、南苑停车场管理费、征用场地定向补助款、弥补社保金缺口（三店街办活动中心场地租金补助）、“青云小镇”亮化电费、集贸市场”等2个项目开展了部门评价，涉及一般公共预算支出262.8万元，政府性基金预算支出0万元。从评价情况来看，我部门项目支出绩效整体情况较好，取得了较好的社会效益和经济效益、公众满意度较高。</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highlight w:val="none"/>
          <w:lang w:val="en-US" w:eastAsia="zh-CN" w:bidi="ar-SA"/>
        </w:rPr>
      </w:pPr>
      <w:r>
        <w:rPr>
          <w:rFonts w:hint="eastAsia" w:ascii="仿宋" w:hAnsi="仿宋" w:eastAsia="仿宋" w:cs="Times New Roman"/>
          <w:snapToGrid/>
          <w:kern w:val="2"/>
          <w:sz w:val="32"/>
          <w:szCs w:val="30"/>
          <w:highlight w:val="none"/>
          <w:lang w:val="en-US" w:eastAsia="zh-CN" w:bidi="ar-SA"/>
        </w:rPr>
        <w:t>（一）“2021年支农资金”项目</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Times New Roman"/>
          <w:snapToGrid/>
          <w:kern w:val="2"/>
          <w:sz w:val="32"/>
          <w:szCs w:val="30"/>
          <w:highlight w:val="none"/>
          <w:lang w:val="en-US" w:eastAsia="zh-CN" w:bidi="ar-SA"/>
        </w:rPr>
      </w:pPr>
      <w:r>
        <w:rPr>
          <w:rFonts w:hint="eastAsia" w:ascii="仿宋" w:hAnsi="仿宋" w:eastAsia="仿宋" w:cs="Times New Roman"/>
          <w:snapToGrid/>
          <w:kern w:val="2"/>
          <w:sz w:val="32"/>
          <w:szCs w:val="30"/>
          <w:highlight w:val="none"/>
          <w:lang w:val="en-US" w:eastAsia="zh-CN" w:bidi="ar-SA"/>
        </w:rPr>
        <w:t>我部门今年在市级部门决算中反映“2021年支农资金”项目绩效自评结果。</w:t>
      </w:r>
    </w:p>
    <w:p>
      <w:pPr>
        <w:pStyle w:val="10"/>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600" w:lineRule="atLeast"/>
        <w:ind w:firstLine="640" w:firstLineChars="200"/>
        <w:jc w:val="both"/>
        <w:textAlignment w:val="baseline"/>
        <w:rPr>
          <w:rFonts w:hint="eastAsia" w:ascii="仿宋_GB2312" w:eastAsia="仿宋_GB2312"/>
          <w:sz w:val="32"/>
          <w:szCs w:val="32"/>
          <w:lang w:val="en-US" w:eastAsia="zh-CN"/>
        </w:rPr>
      </w:pPr>
      <w:r>
        <w:rPr>
          <w:rFonts w:hint="eastAsia" w:ascii="仿宋" w:hAnsi="仿宋" w:eastAsia="仿宋" w:cs="Times New Roman"/>
          <w:snapToGrid/>
          <w:kern w:val="2"/>
          <w:sz w:val="32"/>
          <w:szCs w:val="30"/>
          <w:highlight w:val="none"/>
          <w:lang w:val="en-US" w:eastAsia="zh-CN" w:bidi="ar-SA"/>
        </w:rPr>
        <w:t>项目绩效自评总体综述∶根据年初设定的绩效目标，“2021年支农资金”项目绩效自评得分为94.5分。项目全年预算数为90万元，执行数为90万元，完成预算的100%。项目绩效目标完成情况∶ 一是</w:t>
      </w:r>
      <w:r>
        <w:rPr>
          <w:rFonts w:hint="eastAsia" w:ascii="仿宋_GB2312" w:eastAsia="仿宋_GB2312"/>
          <w:sz w:val="32"/>
          <w:szCs w:val="32"/>
        </w:rPr>
        <w:t>我区紧紧围绕“努力确保不发生重大农产品质量安全事件”的目标，按照“领导组织协调、部门落实责任、各方联合行动”的工作机制，结合创建国家食品安全示范城市的工作要求，加大工作力度，强化日常监督管理</w:t>
      </w:r>
      <w:r>
        <w:rPr>
          <w:rFonts w:hint="eastAsia" w:ascii="仿宋" w:hAnsi="仿宋" w:eastAsia="仿宋" w:cs="Times New Roman"/>
          <w:snapToGrid/>
          <w:kern w:val="2"/>
          <w:sz w:val="32"/>
          <w:szCs w:val="30"/>
          <w:highlight w:val="none"/>
          <w:lang w:val="en-US" w:eastAsia="zh-CN" w:bidi="ar-SA"/>
        </w:rPr>
        <w:t>;二是</w:t>
      </w:r>
      <w:r>
        <w:rPr>
          <w:rFonts w:hint="eastAsia" w:ascii="仿宋_GB2312" w:eastAsia="仿宋_GB2312"/>
          <w:sz w:val="32"/>
          <w:szCs w:val="32"/>
        </w:rPr>
        <w:t>积极开展“扫雷行动”。为切实加强我区生猪屠宰监管，保障猪肉产品质量安全，积极开展落实生猪屠宰“扫雷行动”。结合我区无生猪屠宰企业的实际，配合市农业执法支队将重点放在私屠滥宰黑窝点的查处，严厉打击无证屠宰、屠宰病死猪、注水或注入其他违禁物质等违法行为。按照要求及时上报“扫雷行动”有关信息和报表。</w:t>
      </w:r>
      <w:r>
        <w:rPr>
          <w:rFonts w:hint="eastAsia" w:ascii="仿宋_GB2312" w:eastAsia="仿宋_GB2312"/>
          <w:sz w:val="32"/>
          <w:szCs w:val="32"/>
          <w:lang w:val="en-US" w:eastAsia="zh-CN"/>
        </w:rPr>
        <w:t>发现的问题及原因∶ 一是完善项目资金和帐目管理。要制定专项资金管理制度，明确专项资金使用方向和用途，杜绝专项资金违规使用情况，严格审查专项资金拨付。在制度中明确资金使用用途，对资金使用跟踪问效，开展绩效自评，严格按照专项资金管理制度实施，分类核算，确保专项资金发挥更好的绩效；二是明确项目绩效目标。要对绩效目标切实做好细化和量化，在计划内完成项目的实施，跟踪实施情况，明确项目实施效益；三是加强项目日常监管。</w:t>
      </w:r>
    </w:p>
    <w:p>
      <w:pPr>
        <w:ind w:firstLine="640" w:firstLineChars="200"/>
        <w:jc w:val="both"/>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2021年支农资金绩效评价报告</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我局支农资金分别由农产品质量安全工作、畜禽屠宰监管工作、农村集体产权制度改革工作三项组成。</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一、项目基本情况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1、农产品质量安全工作：根据《2020年农产品质量安全专项整治“利剑”行动方案》要求，我局积极采取切实有效措施，扎实推进农产品质量安全执法监管工作，坚持农产品质量安全专项整治与日常执法监管相结合，全面配合市农业执法支队日常监管。</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实施期限为壹年（2021年1月1日至2021年12月31日），且此项目为延续项目。</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2、畜禽屠宰监管工作：我区于2016年成立了“青云谱区农业综合行政执法大队”，与“青云谱区商务综合行政执法稽查大队成立农业综合行政执法大队”实行两块牌子一套人马。负责全区畜禽屠宰环节质量安全及生猪定点屠宰监督管理工作等。因全市执法队伍改革，我局农业执法权限已上划。</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实施期限为壹年（2021年1月1日至2021年12月31日），且此项目为延续项目。</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3、农村集体产权制度改革工作：2021年，在区委、区政府的正确领导下，我区农业农村工作仅仅围绕“人文生态慧圃、都市产业新城”战略目标，全面完成农村集体产权制度改革工作。实施期限为壹年（2021年1月1日至2021年12月31日），且此项目为延续项目。</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实施期限为壹年（2021年1月1日至2021年12月31日），且此项目为延续项目。</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二、绩效评价工作开展情况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（1）农产品质量安全工作：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我区紧紧围绕“努力确保不发生重大农产品质量安全事件”的目标，按照“领导组织协调、部门落实责任、各方联合行动”的工作机制，结合创建国家食品安全示范城市的工作要求，加大工作力度，强化日常监督管理。</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jc w:val="left"/>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一是在生产环节上强化治理，加强畜禽屠宰监管，结合生猪屠宰“扫雷”行动，开展定期巡查和集中整治；二是在加工环节上落实监测，做好农产品抽样监测工作，对阳光乳业收奶站开展农产品抽样送检，全年共抽取农产品样品36批次，送检结果均合格；三是在经营环节上加强执法，加强农产品生产经营企业巡查监管力度，定期对辖区内的饲料、农药和兽药等企业等进行巡查。</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2"/>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（2）畜禽屠宰监管工作：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1、积极开展“扫雷行动”。为切实加强我区生猪屠宰监管，保障猪肉产品质量安全，积极开展落实生猪屠宰“扫雷行动”。结合我区无生猪屠宰企业的实际，配合市农业执法支队将重点放在私屠滥宰黑窝点的查处，严厉打击无证屠宰、屠宰病死猪、注水或注入其他违禁物质等违法行为。按照要求及时上报“扫雷行动”有关信息和报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2、定期开展日常巡查。结合“扫雷行动”和打击危害肉品质量安全违法违规行为“百日行动”，配合市农业执法支队定期下村，开展日常巡查工作，对全区私屠滥宰“黑窝点”进行巡查，始终保持高压态势，未发现“黑窝点”。</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 xml:space="preserve">（3）农村集体产权制度改革工作： </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依据全市改革方案，及时制定、印发区委区政府《关于稳步推进农村集体产权制度改革的实施方案》。区农改领导小组办公室先后还制定了《青云谱区农村集体经济组织清产核资工作方案》、《青云谱区农村集体经济组织成员身份确认指导意见》和《青云谱区农村集体经济组织资产量化和股权设置的指导意见》等规范性文件。成立工作领导小组，抽调精干人员，加强推进农村集体产权制度改革工作。</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综合评价情况及评价结论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jc w:val="left"/>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专项按照项目立项、资金落实、项目完成及时率、资金使用率、社会效益、可持续影响、满意度等共性指标以及区委会议各项议程顺利完成等个性指标的主要方面进行了自我综合评价，得分为“优”。</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项目实施经验及做法、存在的问题和改进措施</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 xml:space="preserve">    （1）农产品质量安全工作：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我区全力落实农产品质量安全监管，深入推进各项专项整治工作。强化农产品质量安全监管，落实“政府牵动、部门联动、镇村齐动”的整治格局，继续深入开展农产品质量安全专项整治工作，确保不发生重大农产品质量安全事故。</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2"/>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（2）畜禽屠宰监管工作：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结合“扫雷行动”和打击危害肉品质量安全违法违规行为“百日行动”，定期下村，开展日常巡查工作，配合市执法支队对全区私屠滥宰“黑窝点”进行严厉打击。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Chars="200" w:firstLine="320" w:firstLineChars="1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（3）农村集体产权制度改革工作：</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1.组建机构，制定方案。按照“两个有利于”（即有利于集体经济的发展壮大，有利于农村社会的和谐稳定）的大方向，依据全市改革方案，及时制定、印发区委区政府《关于稳步推进农村集体产权制度改革的实施方案》，并成立了以区委副书记、区长吴江辉任组长，副区长郭小玲任副组长，区直相关单位为成员的领导小组。各街道、镇、园区也成立相应的工作领导小组，抽调精干人员，加强推进农村集体产权制度改革工作。各行政村成立了清产核资工作组、成员界定工作组、资产量化和股权设置工作组等，负责实施具体工作。区农改领导小组办公室先后还制定了《青云谱区农村集体经济组织清产核资工作方案》、《青云谱区农村集体经济组织成员身份确认指导意见》和《青云谱区农村集体经济组织资产量化和股权设置的指导意见》等规范性文件。</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2.学习培训，周密部署。我区坚持“走出去，请进来”的工作方法，提高各级参与改革的领导干部对改革工作的认识水平和业务能力。</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3.广泛宣传，营造氛围。各村都按照全区统一部署，广泛开展宣传，宣传形式多样，召开了村民代表大会，发挥村民代表桥梁纽带作用，广泛宣传改革政策；悬挂各种宣传标语；充分利用宣传电子屏；发放《致广大村民的一封公开信》；在人群密集处张贴宣传图册等，确保村民100%知晓率。使广大基层干部和村民充分了解清产核资工作的重要意义，为清产核资工作营造良好氛围。</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五、主要经验及做法、存在的问题及原因分析</w:t>
      </w:r>
    </w:p>
    <w:p>
      <w:pPr>
        <w:pStyle w:val="10"/>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600" w:lineRule="exact"/>
        <w:ind w:left="0" w:firstLine="640"/>
        <w:jc w:val="both"/>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一是完善项目资金和帐目管理。要制定专项资金管理制度，明确专项资金使用方向和用途，杜绝专项资金违规使用情况，严格审查专项资金拨付。在制度中明确资金使用用途，对资金使用跟踪问效，开展绩效自评，严格按照专项资金管理制度实施，分类核算，确保专项资金发挥更好的绩效。</w:t>
      </w:r>
    </w:p>
    <w:p>
      <w:pPr>
        <w:pStyle w:val="10"/>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600" w:lineRule="exact"/>
        <w:ind w:left="0" w:firstLine="640"/>
        <w:jc w:val="both"/>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二是明确项目绩效目标。要对绩效目标切实做好细化和量化，在计划内完成项目的实施，跟踪实施情况，明确项目实施效益。</w:t>
      </w:r>
    </w:p>
    <w:p>
      <w:pPr>
        <w:pStyle w:val="10"/>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600" w:lineRule="exact"/>
        <w:ind w:left="0" w:firstLine="640"/>
        <w:jc w:val="both"/>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三是加强项目日常监管。</w:t>
      </w:r>
    </w:p>
    <w:p>
      <w:pPr>
        <w:pStyle w:val="10"/>
        <w:keepNext w:val="0"/>
        <w:keepLines w:val="0"/>
        <w:pageBreakBefore w:val="0"/>
        <w:widowControl/>
        <w:kinsoku w:val="0"/>
        <w:wordWrap/>
        <w:overflowPunct/>
        <w:topLinePunct w:val="0"/>
        <w:autoSpaceDE w:val="0"/>
        <w:autoSpaceDN w:val="0"/>
        <w:bidi w:val="0"/>
        <w:adjustRightInd w:val="0"/>
        <w:snapToGrid w:val="0"/>
        <w:spacing w:before="0" w:beforeAutospacing="0" w:after="0" w:afterAutospacing="0" w:line="600" w:lineRule="exact"/>
        <w:ind w:left="0" w:firstLine="640"/>
        <w:jc w:val="both"/>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四进一步提高资金使用的效率。</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六、有关建议</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无。</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七、其他需要说明的问题</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firstLine="640" w:firstLineChars="200"/>
        <w:textAlignment w:val="baseline"/>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lang w:val="en-US" w:eastAsia="zh-CN"/>
        </w:rPr>
        <w:t>无。</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宋体" w:eastAsia="仿宋_GB2312" w:cs="宋体"/>
          <w:snapToGrid w:val="0"/>
          <w:color w:val="000000"/>
          <w:kern w:val="0"/>
          <w:sz w:val="32"/>
          <w:szCs w:val="32"/>
          <w:lang w:val="en-US" w:eastAsia="zh-CN"/>
        </w:rPr>
      </w:pP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“2021年征用场地定向补助、南苑停车场管理费、弥补社保金缺口、“青云小镇”亮化电费4个项目”项目</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napToGrid/>
          <w:kern w:val="2"/>
          <w:sz w:val="32"/>
          <w:szCs w:val="32"/>
          <w:lang w:val="en-US" w:eastAsia="zh-CN" w:bidi="ar-SA"/>
        </w:rPr>
      </w:pPr>
      <w:r>
        <w:rPr>
          <w:rFonts w:hint="eastAsia" w:ascii="仿宋" w:hAnsi="仿宋" w:eastAsia="仿宋" w:cs="Times New Roman"/>
          <w:snapToGrid/>
          <w:kern w:val="2"/>
          <w:sz w:val="32"/>
          <w:szCs w:val="32"/>
          <w:lang w:val="en-US" w:eastAsia="zh-CN" w:bidi="ar-SA"/>
        </w:rPr>
        <w:t>绩效自评总体综述∶ 根据年初设定的绩效目标，“2021年征用场地定向补助、南苑停车场管理费、弥补社保金缺口、“青云小镇”亮化电费4个项目”项目绩效自评得分为94.00分。项目全年预算数为172.8万元，执行数为172.8万元，完成预算的100%。项目绩效目标完成情况∶一是车辆管理覆盖率100%，车辆管理检察合格率100%；二是市场农产品质量检测率100%，市场产品质量合格率100%；三是社保金缺口补给率100%，社保金缺口补给准确率100%；四是商业街运营补贴率100%，商业街运营补贴准确率100%。发现的问题及原因∶ 一是绩效目标设定有待进一步提高;二是项目效益完成有待进一步提高。下一步改 进措施∶一是加强绩效管理宣传和培训。通过对绩效管理的宣传和培训，提高全体干部职工，尤其是涉及项目支出业务部门的绩效管理意识，在后续绩效目标设定中，提出合理明确的项目支出绩效目标；二是加强人才队伍建设，进一步提高市场服务水平。加大对外引才用才，实现人才培育与储备使用贯通无阻，进一步提高市场管理和服务水平，向管理要效益。</w:t>
      </w:r>
      <w:r>
        <w:rPr>
          <w:rFonts w:hint="eastAsia" w:ascii="仿宋" w:hAnsi="仿宋" w:eastAsia="仿宋" w:cs="Times New Roman"/>
          <w:snapToGrid/>
          <w:kern w:val="2"/>
          <w:sz w:val="32"/>
          <w:szCs w:val="32"/>
          <w:lang w:val="en-US" w:eastAsia="zh-CN" w:bidi="ar-SA"/>
        </w:rPr>
        <w:br w:type="textWrapping"/>
      </w:r>
      <w:r>
        <w:rPr>
          <w:rFonts w:hint="eastAsia" w:ascii="仿宋" w:hAnsi="仿宋" w:eastAsia="仿宋" w:cs="Times New Roman"/>
          <w:snapToGrid/>
          <w:kern w:val="2"/>
          <w:sz w:val="32"/>
          <w:szCs w:val="32"/>
          <w:lang w:val="en-US" w:eastAsia="zh-CN" w:bidi="ar-SA"/>
        </w:rPr>
        <w:t xml:space="preserve">   部门评价项目绩效评价结果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2021年征用场地定向补助、南苑停车场管理费、弥补社保金缺口、“青云小镇”亮化电费项目财政绩效评价报告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为深入贯彻落实《中共青云谱区委 青云谱区政府关于全面实施预算绩效管理的实施意见》（青字〔2019〕59号）及《青云谱区财政项目支出绩效评价管理办法》（青财发〔2020〕60号）精神，按照《青云谱区财政局关于开展2022年度预算绩效管理有关工作的通知》（青财发[2022]11号）要求，我中心开展了2021年征用场地定向补助、南苑停车场管理费、弥补社保金缺口、“青云小镇”亮化电费项目绩效评价工作，并形成本绩效评价报告，现将评价报告汇报如下：</w:t>
      </w:r>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bookmarkStart w:id="0" w:name="_Toc11027"/>
      <w:bookmarkStart w:id="1" w:name="_Toc29228"/>
      <w:r>
        <w:rPr>
          <w:rFonts w:hint="eastAsia" w:ascii="仿宋" w:hAnsi="仿宋" w:eastAsia="仿宋" w:cs="仿宋"/>
          <w:sz w:val="32"/>
          <w:szCs w:val="32"/>
          <w:lang w:val="en-US" w:eastAsia="zh-CN"/>
        </w:rPr>
        <w:t>1.</w:t>
      </w:r>
      <w:r>
        <w:rPr>
          <w:rFonts w:hint="eastAsia" w:ascii="仿宋" w:hAnsi="仿宋" w:eastAsia="仿宋" w:cs="仿宋"/>
          <w:sz w:val="32"/>
          <w:szCs w:val="32"/>
        </w:rPr>
        <w:t>项目基本情况</w:t>
      </w:r>
      <w:bookmarkEnd w:id="0"/>
      <w:bookmarkEnd w:id="1"/>
      <w:bookmarkStart w:id="2" w:name="_Toc15980"/>
      <w:bookmarkStart w:id="3" w:name="_Toc1187"/>
    </w:p>
    <w:p>
      <w:pPr>
        <w:pStyle w:val="4"/>
        <w:keepNext/>
        <w:keepLines/>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）项目概况</w:t>
      </w:r>
      <w:bookmarkEnd w:id="2"/>
      <w:bookmarkEnd w:id="3"/>
    </w:p>
    <w:p>
      <w:pPr>
        <w:pStyle w:val="6"/>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rPr>
      </w:pPr>
      <w:bookmarkStart w:id="4" w:name="_Toc30742"/>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项目</w:t>
      </w:r>
      <w:bookmarkEnd w:id="4"/>
      <w:r>
        <w:rPr>
          <w:rFonts w:hint="eastAsia" w:ascii="仿宋" w:hAnsi="仿宋" w:eastAsia="仿宋" w:cs="仿宋"/>
          <w:sz w:val="32"/>
          <w:szCs w:val="32"/>
        </w:rPr>
        <w:t>背景</w:t>
      </w:r>
    </w:p>
    <w:p>
      <w:pPr>
        <w:pageBreakBefore w:val="0"/>
        <w:wordWrap/>
        <w:overflowPunct/>
        <w:topLinePunct w:val="0"/>
        <w:bidi w:val="0"/>
        <w:spacing w:line="5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为了补助</w:t>
      </w:r>
      <w:r>
        <w:rPr>
          <w:rFonts w:hint="eastAsia" w:ascii="仿宋" w:hAnsi="仿宋" w:eastAsia="仿宋" w:cs="仿宋"/>
          <w:sz w:val="32"/>
          <w:szCs w:val="32"/>
          <w:lang w:eastAsia="zh-CN"/>
        </w:rPr>
        <w:t>青云谱区中小商贸流通企业服务中心市场管理人员开支及日常经费的不足，以及给</w:t>
      </w:r>
      <w:r>
        <w:rPr>
          <w:rFonts w:hint="eastAsia" w:ascii="仿宋" w:hAnsi="仿宋" w:eastAsia="仿宋" w:cs="仿宋"/>
          <w:sz w:val="32"/>
          <w:szCs w:val="32"/>
        </w:rPr>
        <w:t>予商业街日常运营补贴</w:t>
      </w:r>
      <w:r>
        <w:rPr>
          <w:rFonts w:hint="eastAsia" w:ascii="仿宋" w:hAnsi="仿宋" w:eastAsia="仿宋" w:cs="仿宋"/>
          <w:sz w:val="32"/>
          <w:szCs w:val="32"/>
          <w:lang w:eastAsia="zh-CN"/>
        </w:rPr>
        <w:t>，设立“2021年征用场地定向补助、南苑停车场管理费、弥补社保金缺口、“青云小镇”亮化电费”项目。根据青云谱区财政局对我中心的批复，同意批准设立该项目，预算资金为172.8万元。</w:t>
      </w:r>
    </w:p>
    <w:p>
      <w:pPr>
        <w:pStyle w:val="6"/>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5" w:name="_Toc26023"/>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项目主要内容及</w:t>
      </w:r>
      <w:r>
        <w:rPr>
          <w:rFonts w:hint="eastAsia" w:ascii="仿宋" w:hAnsi="仿宋" w:eastAsia="仿宋" w:cs="仿宋"/>
          <w:sz w:val="32"/>
          <w:szCs w:val="32"/>
          <w:lang w:eastAsia="zh-CN"/>
        </w:rPr>
        <w:t>实施</w:t>
      </w:r>
      <w:r>
        <w:rPr>
          <w:rFonts w:hint="eastAsia" w:ascii="仿宋" w:hAnsi="仿宋" w:eastAsia="仿宋" w:cs="仿宋"/>
          <w:sz w:val="32"/>
          <w:szCs w:val="32"/>
        </w:rPr>
        <w:t>情况</w:t>
      </w:r>
      <w:bookmarkEnd w:id="5"/>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 w:hAnsi="仿宋" w:eastAsia="仿宋" w:cs="仿宋"/>
          <w:sz w:val="32"/>
          <w:szCs w:val="32"/>
          <w:lang w:eastAsia="zh-CN"/>
        </w:rPr>
        <w:t>主要内容：</w:t>
      </w:r>
      <w:r>
        <w:rPr>
          <w:rFonts w:hint="eastAsia" w:ascii="仿宋_GB2312" w:hAnsi="仿宋_GB2312" w:eastAsia="仿宋_GB2312" w:cs="仿宋_GB2312"/>
          <w:sz w:val="32"/>
          <w:szCs w:val="32"/>
          <w:lang w:val="en-US" w:eastAsia="zh-CN"/>
        </w:rPr>
        <w:t>该项目资金主要用于弥补社保金缺口及其他工资福利支出39.8万元，电费运行补助23万元。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实施情况：弥补社保资金缺口、南苑停车场管理费、征用场地定向补助项目按申报流程，由区财政局拨入，补助市场管理人员工资、统筹资金经费开支。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电费运行补助</w:t>
      </w:r>
      <w:r>
        <w:rPr>
          <w:rFonts w:hint="eastAsia" w:ascii="仿宋" w:hAnsi="仿宋" w:eastAsia="仿宋" w:cs="仿宋"/>
          <w:sz w:val="32"/>
          <w:szCs w:val="32"/>
          <w:lang w:eastAsia="zh-CN"/>
        </w:rPr>
        <w:t>依据《关于印发〈青云谱区“青云小镇”特色商业街综合管理协调调度会议纪要〉的通知（青政办发[2015]40号）》，由运营商依照开支明细由区商务局牵头，对申报的电费费用进行核定，并报区财政局核定后，拨入专款专用。</w:t>
      </w:r>
    </w:p>
    <w:p>
      <w:pPr>
        <w:pStyle w:val="6"/>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资金投入和使用情况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该项目资金来源为当年财政拨款。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2021年年初预算为172.8万元，其中，当年财政拨款收入为172.8万元。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当年实际</w:t>
      </w:r>
      <w:r>
        <w:rPr>
          <w:rFonts w:hint="eastAsia" w:ascii="仿宋" w:hAnsi="仿宋" w:eastAsia="仿宋" w:cs="仿宋"/>
          <w:sz w:val="32"/>
          <w:szCs w:val="32"/>
          <w:lang w:eastAsia="zh-CN"/>
        </w:rPr>
        <w:t>收入为</w:t>
      </w:r>
      <w:r>
        <w:rPr>
          <w:rFonts w:hint="eastAsia" w:ascii="仿宋" w:hAnsi="仿宋" w:eastAsia="仿宋" w:cs="仿宋"/>
          <w:sz w:val="32"/>
          <w:szCs w:val="32"/>
          <w:lang w:val="en-US" w:eastAsia="zh-CN"/>
        </w:rPr>
        <w:t>172.8</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实际支出为172.8万元，预算执行率为</w:t>
      </w:r>
      <w:r>
        <w:rPr>
          <w:rFonts w:hint="eastAsia" w:ascii="仿宋" w:hAnsi="仿宋" w:eastAsia="仿宋" w:cs="仿宋"/>
          <w:sz w:val="32"/>
          <w:szCs w:val="32"/>
          <w:lang w:val="en-US" w:eastAsia="zh-CN"/>
        </w:rPr>
        <w:t>100%</w:t>
      </w:r>
      <w:r>
        <w:rPr>
          <w:rFonts w:hint="eastAsia" w:ascii="仿宋" w:hAnsi="仿宋" w:eastAsia="仿宋" w:cs="仿宋"/>
          <w:sz w:val="32"/>
          <w:szCs w:val="32"/>
          <w:lang w:eastAsia="zh-CN"/>
        </w:rPr>
        <w:t xml:space="preserve">。 </w:t>
      </w:r>
    </w:p>
    <w:p>
      <w:pPr>
        <w:pStyle w:val="5"/>
        <w:pageBreakBefore w:val="0"/>
        <w:widowControl w:val="0"/>
        <w:kinsoku/>
        <w:wordWrap/>
        <w:overflowPunct/>
        <w:topLinePunct w:val="0"/>
        <w:autoSpaceDE/>
        <w:autoSpaceDN/>
        <w:bidi w:val="0"/>
        <w:adjustRightInd/>
        <w:snapToGrid/>
        <w:spacing w:line="560" w:lineRule="exact"/>
        <w:ind w:left="99" w:leftChars="47"/>
        <w:textAlignment w:val="auto"/>
        <w:rPr>
          <w:rFonts w:hint="eastAsia" w:ascii="仿宋" w:hAnsi="仿宋" w:eastAsia="仿宋" w:cs="仿宋"/>
          <w:b/>
          <w:kern w:val="44"/>
          <w:sz w:val="32"/>
          <w:szCs w:val="32"/>
          <w:lang w:val="en-US" w:eastAsia="zh-CN"/>
        </w:rPr>
      </w:pPr>
      <w:bookmarkStart w:id="6" w:name="_Toc11240"/>
      <w:r>
        <w:rPr>
          <w:rFonts w:hint="eastAsia" w:ascii="仿宋" w:hAnsi="仿宋" w:eastAsia="仿宋" w:cs="仿宋"/>
          <w:sz w:val="32"/>
          <w:szCs w:val="32"/>
        </w:rPr>
        <w:t xml:space="preserve"> </w:t>
      </w:r>
      <w:r>
        <w:rPr>
          <w:rFonts w:hint="eastAsia" w:ascii="仿宋" w:hAnsi="仿宋" w:eastAsia="仿宋" w:cs="仿宋"/>
          <w:b/>
          <w:kern w:val="44"/>
          <w:sz w:val="32"/>
          <w:szCs w:val="32"/>
          <w:lang w:val="en-US" w:eastAsia="zh-CN"/>
        </w:rPr>
        <w:t xml:space="preserve"> （2）项目绩效目标</w:t>
      </w:r>
      <w:bookmarkEnd w:id="6"/>
    </w:p>
    <w:p>
      <w:pPr>
        <w:pStyle w:val="6"/>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7" w:name="_Toc14397"/>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项目总体目标</w:t>
      </w:r>
      <w:bookmarkEnd w:id="7"/>
    </w:p>
    <w:p>
      <w:pPr>
        <w:pageBreakBefore w:val="0"/>
        <w:wordWrap/>
        <w:overflowPunct/>
        <w:topLinePunct w:val="0"/>
        <w:bidi w:val="0"/>
        <w:spacing w:line="560" w:lineRule="exact"/>
        <w:ind w:firstLine="640" w:firstLineChars="200"/>
        <w:rPr>
          <w:rFonts w:hint="eastAsia" w:ascii="仿宋" w:hAnsi="仿宋" w:eastAsia="仿宋" w:cs="仿宋"/>
          <w:color w:val="auto"/>
          <w:sz w:val="32"/>
          <w:szCs w:val="32"/>
          <w:lang w:val="en-US" w:eastAsia="zh-CN"/>
        </w:rPr>
      </w:pPr>
      <w:bookmarkStart w:id="8" w:name="_Toc4642"/>
      <w:r>
        <w:rPr>
          <w:rFonts w:hint="eastAsia" w:ascii="仿宋" w:hAnsi="仿宋" w:eastAsia="仿宋" w:cs="仿宋"/>
          <w:color w:val="auto"/>
          <w:sz w:val="32"/>
          <w:szCs w:val="32"/>
          <w:lang w:val="en-US" w:eastAsia="zh-CN"/>
        </w:rPr>
        <w:t>按照区委、区政府的工作部署，不断适应新形势，着力强化内部管理，提升市场服务水平，稳定职工队伍，努力开创中心商贸流通企业服务中心工作新局面。</w:t>
      </w:r>
    </w:p>
    <w:p>
      <w:pPr>
        <w:pStyle w:val="6"/>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项目阶段性目标</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bookmarkStart w:id="9" w:name="_Toc354"/>
      <w:r>
        <w:rPr>
          <w:rFonts w:hint="eastAsia" w:ascii="仿宋" w:hAnsi="仿宋" w:eastAsia="仿宋" w:cs="仿宋"/>
          <w:sz w:val="32"/>
          <w:szCs w:val="32"/>
          <w:lang w:val="en-US" w:eastAsia="zh-CN"/>
        </w:rPr>
        <w:t>（1）弥补社保资金缺口、南苑停车场管理费、征用场地定向补助项目的落实为了补助物业站市场管理人员开支及日常经费的不足。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（2）“青云小镇”亮化电费支付项目的落实支持商业街日常运营，给予补贴。</w:t>
      </w:r>
    </w:p>
    <w:p>
      <w:pPr>
        <w:pStyle w:val="4"/>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sz w:val="32"/>
          <w:szCs w:val="32"/>
        </w:rPr>
        <w:t>绩效评价工作开展情况</w:t>
      </w:r>
      <w:bookmarkEnd w:id="9"/>
    </w:p>
    <w:p>
      <w:pPr>
        <w:pStyle w:val="5"/>
        <w:pageBreakBefore w:val="0"/>
        <w:widowControl w:val="0"/>
        <w:kinsoku/>
        <w:wordWrap/>
        <w:overflowPunct/>
        <w:topLinePunct w:val="0"/>
        <w:autoSpaceDE/>
        <w:autoSpaceDN/>
        <w:bidi w:val="0"/>
        <w:adjustRightInd/>
        <w:snapToGrid/>
        <w:spacing w:line="560" w:lineRule="exact"/>
        <w:ind w:left="99" w:leftChars="47" w:firstLine="321" w:firstLineChars="100"/>
        <w:textAlignment w:val="auto"/>
        <w:rPr>
          <w:rFonts w:hint="eastAsia" w:ascii="仿宋" w:hAnsi="仿宋" w:eastAsia="仿宋" w:cs="仿宋"/>
          <w:sz w:val="32"/>
          <w:szCs w:val="32"/>
        </w:rPr>
      </w:pPr>
      <w:bookmarkStart w:id="10" w:name="_Toc2461"/>
      <w:r>
        <w:rPr>
          <w:rFonts w:hint="eastAsia" w:ascii="仿宋" w:hAnsi="仿宋" w:eastAsia="仿宋" w:cs="仿宋"/>
          <w:sz w:val="32"/>
          <w:szCs w:val="32"/>
        </w:rPr>
        <w:t>（一）绩效评价目的</w:t>
      </w:r>
      <w:bookmarkEnd w:id="10"/>
      <w:r>
        <w:rPr>
          <w:rFonts w:hint="eastAsia" w:ascii="仿宋" w:hAnsi="仿宋" w:eastAsia="仿宋" w:cs="仿宋"/>
          <w:sz w:val="32"/>
          <w:szCs w:val="32"/>
          <w:lang w:eastAsia="zh-CN"/>
        </w:rPr>
        <w:t>、</w:t>
      </w:r>
      <w:r>
        <w:rPr>
          <w:rFonts w:hint="eastAsia" w:ascii="仿宋" w:hAnsi="仿宋" w:eastAsia="仿宋" w:cs="仿宋"/>
          <w:sz w:val="32"/>
          <w:szCs w:val="32"/>
        </w:rPr>
        <w:t>对象和范围</w:t>
      </w:r>
    </w:p>
    <w:p>
      <w:pPr>
        <w:pStyle w:val="6"/>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1、评价目的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财政支出专项资金的角度对项目绩效进行综合评价，分析绩效目标达成度及由此展开的社会效益和经济效益，在此基础上提出有针对性的建议，旨在增强我中心财政项目支出资金的使用效率，加强财政支出绩效评价工作管理，通过绩效评价，发现该项目在资金使用及业务管理方面存在的问题，并提出相关改进意见及措施，进一步保证中心各项工作的正常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b/>
          <w:kern w:val="2"/>
          <w:sz w:val="32"/>
          <w:szCs w:val="32"/>
          <w:lang w:val="en-US" w:eastAsia="zh-CN"/>
        </w:rPr>
      </w:pPr>
      <w:r>
        <w:rPr>
          <w:rFonts w:hint="eastAsia" w:ascii="仿宋" w:hAnsi="仿宋" w:eastAsia="仿宋" w:cs="仿宋"/>
          <w:b/>
          <w:kern w:val="2"/>
          <w:sz w:val="32"/>
          <w:szCs w:val="32"/>
          <w:lang w:val="en-US" w:eastAsia="zh-CN"/>
        </w:rPr>
        <w:t xml:space="preserve">    2、评价对象和范围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该项目立项依据是否充分、项目资金使用及管理是否合规、项目组织实施过程是否规范、项目实施结果是否达到预期。</w:t>
      </w:r>
    </w:p>
    <w:p>
      <w:pPr>
        <w:pStyle w:val="5"/>
        <w:pageBreakBefore w:val="0"/>
        <w:widowControl w:val="0"/>
        <w:kinsoku/>
        <w:wordWrap/>
        <w:overflowPunct/>
        <w:topLinePunct w:val="0"/>
        <w:autoSpaceDE/>
        <w:autoSpaceDN/>
        <w:bidi w:val="0"/>
        <w:adjustRightInd/>
        <w:snapToGrid/>
        <w:spacing w:line="560" w:lineRule="exact"/>
        <w:ind w:left="99" w:leftChars="47" w:firstLine="321" w:firstLineChars="100"/>
        <w:textAlignment w:val="auto"/>
        <w:rPr>
          <w:rFonts w:hint="eastAsia" w:ascii="仿宋" w:hAnsi="仿宋" w:eastAsia="仿宋" w:cs="仿宋"/>
          <w:sz w:val="32"/>
          <w:szCs w:val="32"/>
        </w:rPr>
      </w:pPr>
      <w:bookmarkStart w:id="11" w:name="_Toc17369"/>
      <w:r>
        <w:rPr>
          <w:rFonts w:hint="eastAsia" w:ascii="仿宋" w:hAnsi="仿宋" w:eastAsia="仿宋" w:cs="仿宋"/>
          <w:sz w:val="32"/>
          <w:szCs w:val="32"/>
        </w:rPr>
        <w:t>（二）绩效评价原则、评价指标体系、评价方法</w:t>
      </w:r>
      <w:bookmarkEnd w:id="11"/>
      <w:r>
        <w:rPr>
          <w:rFonts w:hint="eastAsia" w:ascii="仿宋" w:hAnsi="仿宋" w:eastAsia="仿宋" w:cs="仿宋"/>
          <w:sz w:val="32"/>
          <w:szCs w:val="32"/>
        </w:rPr>
        <w:t>、评价</w:t>
      </w:r>
      <w:r>
        <w:rPr>
          <w:rFonts w:hint="eastAsia" w:ascii="仿宋" w:hAnsi="仿宋" w:eastAsia="仿宋" w:cs="仿宋"/>
          <w:sz w:val="32"/>
          <w:szCs w:val="32"/>
          <w:lang w:val="en-US" w:eastAsia="zh-CN"/>
        </w:rPr>
        <w:t>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left"/>
        <w:textAlignment w:val="auto"/>
        <w:outlineLvl w:val="9"/>
        <w:rPr>
          <w:rFonts w:hint="eastAsia" w:ascii="仿宋" w:hAnsi="仿宋" w:eastAsia="仿宋" w:cs="仿宋"/>
          <w:b/>
          <w:kern w:val="2"/>
          <w:sz w:val="32"/>
          <w:szCs w:val="32"/>
          <w:lang w:val="en-US" w:eastAsia="zh-CN"/>
        </w:rPr>
      </w:pPr>
      <w:bookmarkStart w:id="12" w:name="_Toc6861"/>
      <w:r>
        <w:rPr>
          <w:rFonts w:hint="eastAsia" w:ascii="仿宋" w:hAnsi="仿宋" w:eastAsia="仿宋" w:cs="仿宋"/>
          <w:b/>
          <w:kern w:val="2"/>
          <w:sz w:val="32"/>
          <w:szCs w:val="32"/>
          <w:lang w:val="en-US" w:eastAsia="zh-CN"/>
        </w:rPr>
        <w:t>1、评价原则</w:t>
      </w:r>
      <w:bookmarkEnd w:id="12"/>
      <w:r>
        <w:rPr>
          <w:rFonts w:hint="eastAsia" w:ascii="仿宋" w:hAnsi="仿宋" w:eastAsia="仿宋" w:cs="仿宋"/>
          <w:b/>
          <w:kern w:val="2"/>
          <w:sz w:val="32"/>
          <w:szCs w:val="32"/>
          <w:lang w:val="en-US" w:eastAsia="zh-CN"/>
        </w:rPr>
        <w:t>和方法</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eastAsia="zh-CN"/>
        </w:rPr>
      </w:pPr>
      <w:bookmarkStart w:id="13" w:name="_Toc5103"/>
      <w:r>
        <w:rPr>
          <w:rFonts w:hint="eastAsia" w:ascii="仿宋" w:hAnsi="仿宋" w:eastAsia="仿宋" w:cs="仿宋"/>
          <w:sz w:val="32"/>
          <w:szCs w:val="32"/>
          <w:lang w:val="en-US" w:eastAsia="zh-CN"/>
        </w:rPr>
        <w:t>本次绩效评价秉承科学规范、公平公正、分级分类、绩效相关等原则，按照从投入、过程到产出、效果和影响力的绩效逻辑路径，结合该项目的实际开展情况，运用定量和定性分析相结合的方法，总结经验做法，反思项目实施和管理中的问题，以切实提升财政资金管理的科学化、规范化和精细化水平。</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left"/>
        <w:textAlignment w:val="auto"/>
        <w:outlineLvl w:val="9"/>
        <w:rPr>
          <w:rFonts w:hint="eastAsia" w:ascii="仿宋" w:hAnsi="仿宋" w:eastAsia="仿宋" w:cs="仿宋"/>
          <w:b/>
          <w:kern w:val="2"/>
          <w:sz w:val="32"/>
          <w:szCs w:val="32"/>
          <w:lang w:val="en-US" w:eastAsia="zh-CN"/>
        </w:rPr>
      </w:pPr>
      <w:r>
        <w:rPr>
          <w:rFonts w:hint="eastAsia" w:ascii="仿宋" w:hAnsi="仿宋" w:eastAsia="仿宋" w:cs="仿宋"/>
          <w:b/>
          <w:kern w:val="2"/>
          <w:sz w:val="32"/>
          <w:szCs w:val="32"/>
          <w:lang w:val="en-US" w:eastAsia="zh-CN"/>
        </w:rPr>
        <w:t>2、评价指标体系</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w:t>
      </w:r>
      <w:r>
        <w:rPr>
          <w:rFonts w:hint="eastAsia" w:ascii="仿宋" w:hAnsi="仿宋" w:eastAsia="仿宋" w:cs="仿宋"/>
          <w:sz w:val="32"/>
          <w:szCs w:val="32"/>
          <w:lang w:eastAsia="zh-CN"/>
        </w:rPr>
        <w:t>财政部</w:t>
      </w:r>
      <w:r>
        <w:rPr>
          <w:rFonts w:hint="eastAsia" w:ascii="仿宋" w:hAnsi="仿宋" w:eastAsia="仿宋" w:cs="仿宋"/>
          <w:sz w:val="32"/>
          <w:szCs w:val="32"/>
          <w:lang w:val="en-US" w:eastAsia="zh-CN"/>
        </w:rPr>
        <w:t>《中共青云谱区委 青云谱区政府关于全面实施预算绩效管理的实施意见》（青字〔2019〕59号）及《青云谱区财政项目支出绩效评价管理办法》（青财发〔2020〕60号）</w:t>
      </w:r>
      <w:r>
        <w:rPr>
          <w:rFonts w:hint="eastAsia" w:ascii="仿宋" w:hAnsi="仿宋" w:eastAsia="仿宋" w:cs="仿宋"/>
          <w:sz w:val="32"/>
          <w:szCs w:val="32"/>
        </w:rPr>
        <w:t>中的项目支出绩效评价共性指标体系框架以及该项目实际情况，</w:t>
      </w:r>
      <w:r>
        <w:rPr>
          <w:rFonts w:hint="eastAsia" w:ascii="仿宋" w:hAnsi="仿宋" w:eastAsia="仿宋" w:cs="仿宋"/>
          <w:sz w:val="32"/>
          <w:szCs w:val="32"/>
          <w:lang w:val="en-US" w:eastAsia="zh-CN"/>
        </w:rPr>
        <w:t>确定本项目绩效评价指标的整体框架，包括项目决策、项目过程、项目产出、项目效益和项目满意度等五部分，具体如下（详见绩效自评表）：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（1）项目决策：占权重15%，分为项目立项、绩效目标、资金投入等三个方面。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（2）项目过程：占权重15%，分为资金管理、组织实施等两个方面。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（3）项目产出：占权重35%，分为产出数量、产出质量、产出时效和产出成本等四个方面。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（4）项目效益：占权重25%，分为社会效益、生态效益和可持续效益等三个方面。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（5）项目满意度：占权重10%，主要为社会群众满意度。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left"/>
        <w:textAlignment w:val="auto"/>
        <w:outlineLvl w:val="9"/>
        <w:rPr>
          <w:rFonts w:hint="eastAsia" w:ascii="仿宋" w:hAnsi="仿宋" w:eastAsia="仿宋" w:cs="仿宋"/>
          <w:b/>
          <w:kern w:val="2"/>
          <w:sz w:val="32"/>
          <w:szCs w:val="32"/>
          <w:lang w:val="en-US" w:eastAsia="zh-CN"/>
        </w:rPr>
      </w:pPr>
      <w:bookmarkStart w:id="14" w:name="_Toc18854"/>
      <w:bookmarkStart w:id="15" w:name="_Toc22174"/>
      <w:r>
        <w:rPr>
          <w:rFonts w:hint="eastAsia" w:ascii="仿宋" w:hAnsi="仿宋" w:eastAsia="仿宋" w:cs="仿宋"/>
          <w:b/>
          <w:kern w:val="2"/>
          <w:sz w:val="32"/>
          <w:szCs w:val="32"/>
          <w:lang w:val="en-US" w:eastAsia="zh-CN"/>
        </w:rPr>
        <w:t>3、评价</w:t>
      </w:r>
      <w:bookmarkEnd w:id="14"/>
      <w:r>
        <w:rPr>
          <w:rFonts w:hint="eastAsia" w:ascii="仿宋" w:hAnsi="仿宋" w:eastAsia="仿宋" w:cs="仿宋"/>
          <w:b/>
          <w:kern w:val="2"/>
          <w:sz w:val="32"/>
          <w:szCs w:val="32"/>
          <w:lang w:val="en-US" w:eastAsia="zh-CN"/>
        </w:rPr>
        <w:t>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绩效评价标准通常包括计划标准、行业标准、历史标准等，用于对绩效指标完成情况进行比较。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（1）计划标准。指以预先制定的目标、计划、预算、定额等作为评价标准。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（2）行业标准。指参照国家公布的行业指标数据制定的评价标准。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（3）历史标准。指参照历史数据制定的评价标准，为体现绩效改进的原则，在可实现的条件下应当确定相对较高的评价标准。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（4）财政部门和预算部门确认或认可的其他标准。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我中心此次采用的绩效评价标准为计划标准，即按照区委、区政府工作部署，结合单位实际情况，预先制定了目标、计划、预算、定额等标准。</w:t>
      </w:r>
    </w:p>
    <w:p>
      <w:pPr>
        <w:pStyle w:val="5"/>
        <w:pageBreakBefore w:val="0"/>
        <w:widowControl w:val="0"/>
        <w:kinsoku/>
        <w:wordWrap/>
        <w:overflowPunct/>
        <w:topLinePunct w:val="0"/>
        <w:autoSpaceDE/>
        <w:autoSpaceDN/>
        <w:bidi w:val="0"/>
        <w:adjustRightInd/>
        <w:snapToGrid/>
        <w:spacing w:line="560" w:lineRule="exact"/>
        <w:ind w:left="99" w:leftChars="47" w:firstLine="321"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绩效评价工作过程</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bookmarkStart w:id="16" w:name="_Toc20038"/>
      <w:r>
        <w:rPr>
          <w:rFonts w:hint="eastAsia" w:ascii="仿宋" w:hAnsi="仿宋" w:eastAsia="仿宋" w:cs="仿宋"/>
          <w:color w:val="000000"/>
          <w:sz w:val="32"/>
          <w:szCs w:val="32"/>
          <w:lang w:val="en-US" w:eastAsia="zh-CN"/>
        </w:rPr>
        <w:t>为客观、公证做好此次绩效评价工作，我</w:t>
      </w:r>
      <w:r>
        <w:rPr>
          <w:rFonts w:hint="eastAsia" w:ascii="仿宋" w:hAnsi="仿宋" w:eastAsia="仿宋" w:cs="仿宋"/>
          <w:sz w:val="32"/>
          <w:szCs w:val="32"/>
          <w:lang w:val="en-US" w:eastAsia="zh-CN"/>
        </w:rPr>
        <w:t>中心</w:t>
      </w:r>
      <w:r>
        <w:rPr>
          <w:rFonts w:hint="eastAsia" w:ascii="仿宋" w:hAnsi="仿宋" w:eastAsia="仿宋" w:cs="仿宋"/>
          <w:color w:val="000000"/>
          <w:sz w:val="32"/>
          <w:szCs w:val="32"/>
          <w:lang w:val="en-US" w:eastAsia="zh-CN"/>
        </w:rPr>
        <w:t>从以下几个方面开展了绩效评价组织实施工作：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成立工作组：成立绩效评价工作组，负责整个评价工作的组织领导和具体实施工作。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编制评价方案：根据财政绩效文件精神，结合单位实际情况编制绩效评价工作方案，制定评价标准。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认真核查资料：工作组对涉及到被评价项目的相关资料，如资金使用情况，进行资料核查。</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进行分析评价：工作组在对项目绩效数据、资料进行核查的基础上，对项目进行分析评价。</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撰写评价报告：按照财政相关格式要求，撰写自评价报告。</w:t>
      </w:r>
    </w:p>
    <w:p>
      <w:pPr>
        <w:pStyle w:val="4"/>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sz w:val="32"/>
          <w:szCs w:val="32"/>
        </w:rPr>
        <w:t>综合评价情况及评价结论</w:t>
      </w:r>
      <w:bookmarkEnd w:id="16"/>
    </w:p>
    <w:p>
      <w:pPr>
        <w:pStyle w:val="5"/>
        <w:pageBreakBefore w:val="0"/>
        <w:widowControl w:val="0"/>
        <w:kinsoku/>
        <w:wordWrap/>
        <w:overflowPunct/>
        <w:topLinePunct w:val="0"/>
        <w:autoSpaceDE/>
        <w:autoSpaceDN/>
        <w:bidi w:val="0"/>
        <w:adjustRightInd/>
        <w:snapToGrid/>
        <w:spacing w:line="560" w:lineRule="exact"/>
        <w:ind w:left="99" w:leftChars="47" w:firstLine="321" w:firstLineChars="100"/>
        <w:textAlignment w:val="auto"/>
        <w:rPr>
          <w:rFonts w:hint="eastAsia" w:ascii="仿宋" w:hAnsi="仿宋" w:eastAsia="仿宋" w:cs="仿宋"/>
          <w:sz w:val="32"/>
          <w:szCs w:val="32"/>
          <w:lang w:eastAsia="zh-CN"/>
        </w:rPr>
      </w:pPr>
      <w:bookmarkStart w:id="17" w:name="_Toc525043468"/>
      <w:bookmarkStart w:id="18" w:name="_Toc527400928"/>
      <w:r>
        <w:rPr>
          <w:rFonts w:hint="eastAsia" w:ascii="仿宋" w:hAnsi="仿宋" w:eastAsia="仿宋" w:cs="仿宋"/>
          <w:sz w:val="32"/>
          <w:szCs w:val="32"/>
          <w:lang w:eastAsia="zh-CN"/>
        </w:rPr>
        <w:t>（一）评分结果</w:t>
      </w:r>
      <w:bookmarkEnd w:id="17"/>
      <w:bookmarkEnd w:id="18"/>
    </w:p>
    <w:tbl>
      <w:tblPr>
        <w:tblStyle w:val="11"/>
        <w:tblpPr w:leftFromText="180" w:rightFromText="180" w:vertAnchor="text" w:horzAnchor="page" w:tblpX="1833" w:tblpY="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294"/>
        <w:gridCol w:w="2294"/>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blHeader/>
        </w:trPr>
        <w:tc>
          <w:tcPr>
            <w:tcW w:w="1958"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b/>
                <w:sz w:val="21"/>
                <w:szCs w:val="21"/>
              </w:rPr>
            </w:pPr>
            <w:r>
              <w:rPr>
                <w:rFonts w:hint="eastAsia" w:ascii="仿宋_GB2312" w:hAnsi="仿宋" w:eastAsia="仿宋_GB2312" w:cs="宋体"/>
                <w:b/>
                <w:sz w:val="21"/>
                <w:szCs w:val="21"/>
              </w:rPr>
              <w:t>评价指标</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b/>
                <w:sz w:val="21"/>
                <w:szCs w:val="21"/>
              </w:rPr>
            </w:pPr>
            <w:r>
              <w:rPr>
                <w:rFonts w:hint="eastAsia" w:ascii="仿宋_GB2312" w:hAnsi="仿宋" w:eastAsia="仿宋_GB2312" w:cs="宋体"/>
                <w:b/>
                <w:sz w:val="21"/>
                <w:szCs w:val="21"/>
              </w:rPr>
              <w:t>权重</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b/>
                <w:sz w:val="21"/>
                <w:szCs w:val="21"/>
              </w:rPr>
            </w:pPr>
            <w:r>
              <w:rPr>
                <w:rFonts w:hint="eastAsia" w:ascii="仿宋_GB2312" w:hAnsi="仿宋" w:eastAsia="仿宋_GB2312" w:cs="宋体"/>
                <w:b/>
                <w:sz w:val="21"/>
                <w:szCs w:val="21"/>
              </w:rPr>
              <w:t>评级分值</w:t>
            </w:r>
          </w:p>
        </w:tc>
        <w:tc>
          <w:tcPr>
            <w:tcW w:w="1851"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b/>
                <w:sz w:val="21"/>
                <w:szCs w:val="21"/>
              </w:rPr>
            </w:pPr>
            <w:r>
              <w:rPr>
                <w:rFonts w:hint="eastAsia" w:ascii="仿宋_GB2312" w:hAnsi="仿宋" w:eastAsia="仿宋_GB2312" w:cs="宋体"/>
                <w:b/>
                <w:sz w:val="21"/>
                <w:szCs w:val="21"/>
              </w:rPr>
              <w:t>本项目得分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1958" w:type="dxa"/>
            <w:noWrap w:val="0"/>
            <w:vAlign w:val="center"/>
          </w:tcPr>
          <w:p>
            <w:pPr>
              <w:pageBreakBefore w:val="0"/>
              <w:widowControl/>
              <w:wordWrap/>
              <w:overflowPunct/>
              <w:topLinePunct w:val="0"/>
              <w:bidi w:val="0"/>
              <w:spacing w:line="560" w:lineRule="exact"/>
              <w:ind w:firstLine="0" w:firstLineChars="0"/>
              <w:jc w:val="center"/>
              <w:rPr>
                <w:rFonts w:hint="eastAsia" w:ascii="仿宋_GB2312" w:hAnsi="仿宋" w:eastAsia="仿宋_GB2312" w:cs="宋体"/>
                <w:sz w:val="21"/>
                <w:szCs w:val="21"/>
                <w:lang w:eastAsia="zh-CN"/>
              </w:rPr>
            </w:pPr>
            <w:r>
              <w:rPr>
                <w:rFonts w:hint="eastAsia" w:ascii="仿宋_GB2312" w:hAnsi="仿宋" w:eastAsia="仿宋_GB2312" w:cs="宋体"/>
                <w:sz w:val="21"/>
                <w:szCs w:val="21"/>
                <w:lang w:eastAsia="zh-CN"/>
              </w:rPr>
              <w:t>项目决策</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sz w:val="21"/>
                <w:szCs w:val="21"/>
              </w:rPr>
            </w:pPr>
            <w:r>
              <w:rPr>
                <w:rFonts w:hint="eastAsia" w:ascii="仿宋_GB2312" w:hAnsi="仿宋" w:eastAsia="仿宋_GB2312" w:cs="宋体"/>
                <w:sz w:val="21"/>
                <w:szCs w:val="21"/>
                <w:lang w:val="en-US" w:eastAsia="zh-CN"/>
              </w:rPr>
              <w:t>15</w:t>
            </w:r>
            <w:r>
              <w:rPr>
                <w:rFonts w:hint="eastAsia" w:ascii="仿宋_GB2312" w:hAnsi="仿宋" w:eastAsia="仿宋_GB2312" w:cs="宋体"/>
                <w:sz w:val="21"/>
                <w:szCs w:val="21"/>
              </w:rPr>
              <w:t>%</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15</w:t>
            </w:r>
          </w:p>
        </w:tc>
        <w:tc>
          <w:tcPr>
            <w:tcW w:w="1851"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1958" w:type="dxa"/>
            <w:noWrap w:val="0"/>
            <w:vAlign w:val="center"/>
          </w:tcPr>
          <w:p>
            <w:pPr>
              <w:pageBreakBefore w:val="0"/>
              <w:widowControl/>
              <w:wordWrap/>
              <w:overflowPunct/>
              <w:topLinePunct w:val="0"/>
              <w:bidi w:val="0"/>
              <w:spacing w:line="560" w:lineRule="exact"/>
              <w:ind w:firstLine="0" w:firstLineChars="0"/>
              <w:jc w:val="center"/>
              <w:rPr>
                <w:rFonts w:hint="eastAsia" w:ascii="仿宋_GB2312" w:hAnsi="仿宋" w:eastAsia="仿宋_GB2312" w:cs="宋体"/>
                <w:kern w:val="2"/>
                <w:sz w:val="21"/>
                <w:szCs w:val="21"/>
                <w:lang w:val="en-US" w:eastAsia="zh-CN" w:bidi="ar-SA"/>
              </w:rPr>
            </w:pPr>
            <w:r>
              <w:rPr>
                <w:rFonts w:hint="eastAsia" w:ascii="仿宋_GB2312" w:hAnsi="仿宋" w:eastAsia="仿宋_GB2312" w:cs="宋体"/>
                <w:kern w:val="2"/>
                <w:sz w:val="21"/>
                <w:szCs w:val="21"/>
                <w:lang w:val="en-US" w:eastAsia="zh-CN" w:bidi="ar-SA"/>
              </w:rPr>
              <w:t>项目过程</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hint="eastAsia" w:ascii="仿宋_GB2312" w:hAnsi="仿宋" w:eastAsia="仿宋_GB2312" w:cs="宋体"/>
                <w:kern w:val="2"/>
                <w:sz w:val="21"/>
                <w:szCs w:val="21"/>
                <w:lang w:val="en-US" w:eastAsia="zh-CN" w:bidi="ar-SA"/>
              </w:rPr>
            </w:pPr>
            <w:r>
              <w:rPr>
                <w:rFonts w:hint="eastAsia" w:ascii="仿宋_GB2312" w:hAnsi="仿宋" w:eastAsia="仿宋_GB2312" w:cs="宋体"/>
                <w:sz w:val="21"/>
                <w:szCs w:val="21"/>
                <w:lang w:val="en-US" w:eastAsia="zh-CN"/>
              </w:rPr>
              <w:t>15</w:t>
            </w:r>
            <w:r>
              <w:rPr>
                <w:rFonts w:hint="eastAsia" w:ascii="仿宋_GB2312" w:hAnsi="仿宋" w:eastAsia="仿宋_GB2312" w:cs="宋体"/>
                <w:sz w:val="21"/>
                <w:szCs w:val="21"/>
              </w:rPr>
              <w:t>%</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kern w:val="2"/>
                <w:sz w:val="21"/>
                <w:szCs w:val="21"/>
                <w:lang w:val="en-US" w:eastAsia="zh-CN" w:bidi="ar-SA"/>
              </w:rPr>
            </w:pPr>
            <w:r>
              <w:rPr>
                <w:rFonts w:hint="eastAsia" w:ascii="仿宋_GB2312" w:hAnsi="仿宋" w:eastAsia="仿宋_GB2312" w:cs="宋体"/>
                <w:sz w:val="21"/>
                <w:szCs w:val="21"/>
                <w:lang w:val="en-US" w:eastAsia="zh-CN"/>
              </w:rPr>
              <w:t>15</w:t>
            </w:r>
          </w:p>
        </w:tc>
        <w:tc>
          <w:tcPr>
            <w:tcW w:w="1851"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kern w:val="2"/>
                <w:sz w:val="21"/>
                <w:szCs w:val="21"/>
                <w:lang w:val="en-US" w:eastAsia="zh-CN" w:bidi="ar-SA"/>
              </w:rPr>
            </w:pPr>
            <w:r>
              <w:rPr>
                <w:rFonts w:hint="eastAsia" w:ascii="仿宋_GB2312" w:hAnsi="仿宋" w:eastAsia="仿宋_GB2312" w:cs="宋体"/>
                <w:kern w:val="2"/>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rPr>
        <w:tc>
          <w:tcPr>
            <w:tcW w:w="1958" w:type="dxa"/>
            <w:noWrap w:val="0"/>
            <w:vAlign w:val="center"/>
          </w:tcPr>
          <w:p>
            <w:pPr>
              <w:pageBreakBefore w:val="0"/>
              <w:widowControl/>
              <w:wordWrap/>
              <w:overflowPunct/>
              <w:topLinePunct w:val="0"/>
              <w:bidi w:val="0"/>
              <w:spacing w:line="560" w:lineRule="exact"/>
              <w:ind w:firstLine="0" w:firstLineChars="0"/>
              <w:jc w:val="center"/>
              <w:rPr>
                <w:rFonts w:hint="eastAsia" w:ascii="仿宋_GB2312" w:hAnsi="仿宋" w:eastAsia="仿宋_GB2312" w:cs="宋体"/>
                <w:sz w:val="21"/>
                <w:szCs w:val="21"/>
                <w:lang w:eastAsia="zh-CN"/>
              </w:rPr>
            </w:pPr>
            <w:r>
              <w:rPr>
                <w:rFonts w:hint="eastAsia" w:ascii="仿宋_GB2312" w:hAnsi="仿宋" w:eastAsia="仿宋_GB2312" w:cs="宋体"/>
                <w:sz w:val="21"/>
                <w:szCs w:val="21"/>
                <w:lang w:eastAsia="zh-CN"/>
              </w:rPr>
              <w:t>项目产出</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sz w:val="21"/>
                <w:szCs w:val="21"/>
              </w:rPr>
            </w:pPr>
            <w:r>
              <w:rPr>
                <w:rFonts w:hint="eastAsia" w:ascii="仿宋_GB2312" w:hAnsi="仿宋" w:eastAsia="仿宋_GB2312" w:cs="宋体"/>
                <w:sz w:val="21"/>
                <w:szCs w:val="21"/>
                <w:lang w:val="en-US" w:eastAsia="zh-CN"/>
              </w:rPr>
              <w:t>35</w:t>
            </w:r>
            <w:r>
              <w:rPr>
                <w:rFonts w:hint="eastAsia" w:ascii="仿宋_GB2312" w:hAnsi="仿宋" w:eastAsia="仿宋_GB2312" w:cs="宋体"/>
                <w:sz w:val="21"/>
                <w:szCs w:val="21"/>
              </w:rPr>
              <w:t>%</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35</w:t>
            </w:r>
          </w:p>
        </w:tc>
        <w:tc>
          <w:tcPr>
            <w:tcW w:w="1851"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1958" w:type="dxa"/>
            <w:noWrap w:val="0"/>
            <w:vAlign w:val="center"/>
          </w:tcPr>
          <w:p>
            <w:pPr>
              <w:pageBreakBefore w:val="0"/>
              <w:widowControl/>
              <w:wordWrap/>
              <w:overflowPunct/>
              <w:topLinePunct w:val="0"/>
              <w:bidi w:val="0"/>
              <w:spacing w:line="560" w:lineRule="exact"/>
              <w:ind w:firstLine="0" w:firstLineChars="0"/>
              <w:jc w:val="center"/>
              <w:rPr>
                <w:rFonts w:hint="eastAsia" w:ascii="仿宋_GB2312" w:hAnsi="仿宋" w:eastAsia="仿宋_GB2312" w:cs="宋体"/>
                <w:sz w:val="21"/>
                <w:szCs w:val="21"/>
                <w:lang w:eastAsia="zh-CN"/>
              </w:rPr>
            </w:pPr>
            <w:r>
              <w:rPr>
                <w:rFonts w:hint="eastAsia" w:ascii="仿宋_GB2312" w:hAnsi="仿宋" w:eastAsia="仿宋_GB2312" w:cs="宋体"/>
                <w:sz w:val="21"/>
                <w:szCs w:val="21"/>
                <w:lang w:eastAsia="zh-CN"/>
              </w:rPr>
              <w:t>项目效益</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sz w:val="21"/>
                <w:szCs w:val="21"/>
              </w:rPr>
            </w:pPr>
            <w:r>
              <w:rPr>
                <w:rFonts w:hint="eastAsia" w:ascii="仿宋_GB2312" w:hAnsi="仿宋" w:eastAsia="仿宋_GB2312" w:cs="宋体"/>
                <w:sz w:val="21"/>
                <w:szCs w:val="21"/>
                <w:lang w:val="en-US" w:eastAsia="zh-CN"/>
              </w:rPr>
              <w:t>25</w:t>
            </w:r>
            <w:r>
              <w:rPr>
                <w:rFonts w:hint="eastAsia" w:ascii="仿宋_GB2312" w:hAnsi="仿宋" w:eastAsia="仿宋_GB2312" w:cs="宋体"/>
                <w:sz w:val="21"/>
                <w:szCs w:val="21"/>
              </w:rPr>
              <w:t>%</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25</w:t>
            </w:r>
          </w:p>
        </w:tc>
        <w:tc>
          <w:tcPr>
            <w:tcW w:w="1851"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1958" w:type="dxa"/>
            <w:noWrap w:val="0"/>
            <w:vAlign w:val="center"/>
          </w:tcPr>
          <w:p>
            <w:pPr>
              <w:pageBreakBefore w:val="0"/>
              <w:widowControl/>
              <w:wordWrap/>
              <w:overflowPunct/>
              <w:topLinePunct w:val="0"/>
              <w:bidi w:val="0"/>
              <w:spacing w:line="560" w:lineRule="exact"/>
              <w:ind w:firstLine="0" w:firstLineChars="0"/>
              <w:jc w:val="center"/>
              <w:rPr>
                <w:rFonts w:hint="eastAsia" w:ascii="仿宋_GB2312" w:hAnsi="仿宋" w:eastAsia="仿宋_GB2312" w:cs="宋体"/>
                <w:sz w:val="21"/>
                <w:szCs w:val="21"/>
                <w:lang w:eastAsia="zh-CN"/>
              </w:rPr>
            </w:pPr>
            <w:r>
              <w:rPr>
                <w:rFonts w:hint="eastAsia" w:ascii="仿宋_GB2312" w:hAnsi="仿宋" w:eastAsia="仿宋_GB2312" w:cs="宋体"/>
                <w:sz w:val="21"/>
                <w:szCs w:val="21"/>
                <w:lang w:eastAsia="zh-CN"/>
              </w:rPr>
              <w:t>项目满意度</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10%</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10</w:t>
            </w:r>
          </w:p>
        </w:tc>
        <w:tc>
          <w:tcPr>
            <w:tcW w:w="1851"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rPr>
        <w:tc>
          <w:tcPr>
            <w:tcW w:w="1958"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sz w:val="21"/>
                <w:szCs w:val="21"/>
              </w:rPr>
            </w:pPr>
            <w:r>
              <w:rPr>
                <w:rFonts w:hint="eastAsia" w:ascii="仿宋_GB2312" w:hAnsi="仿宋" w:eastAsia="仿宋_GB2312" w:cs="宋体"/>
                <w:sz w:val="21"/>
                <w:szCs w:val="21"/>
              </w:rPr>
              <w:t>综合绩效</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sz w:val="21"/>
                <w:szCs w:val="21"/>
              </w:rPr>
            </w:pPr>
            <w:r>
              <w:rPr>
                <w:rFonts w:hint="eastAsia" w:ascii="仿宋_GB2312" w:hAnsi="仿宋" w:eastAsia="仿宋_GB2312" w:cs="宋体"/>
                <w:sz w:val="21"/>
                <w:szCs w:val="21"/>
              </w:rPr>
              <w:t>100%</w:t>
            </w:r>
          </w:p>
        </w:tc>
        <w:tc>
          <w:tcPr>
            <w:tcW w:w="2294" w:type="dxa"/>
            <w:noWrap w:val="0"/>
            <w:vAlign w:val="center"/>
          </w:tcPr>
          <w:p>
            <w:pPr>
              <w:pageBreakBefore w:val="0"/>
              <w:widowControl/>
              <w:wordWrap/>
              <w:overflowPunct/>
              <w:topLinePunct w:val="0"/>
              <w:bidi w:val="0"/>
              <w:spacing w:line="560" w:lineRule="exact"/>
              <w:ind w:firstLine="0" w:firstLineChars="0"/>
              <w:jc w:val="center"/>
              <w:rPr>
                <w:rFonts w:ascii="仿宋_GB2312" w:hAnsi="仿宋" w:eastAsia="仿宋_GB2312" w:cs="宋体"/>
                <w:sz w:val="21"/>
                <w:szCs w:val="21"/>
              </w:rPr>
            </w:pPr>
            <w:r>
              <w:rPr>
                <w:rFonts w:hint="eastAsia" w:ascii="仿宋_GB2312" w:hAnsi="仿宋" w:eastAsia="仿宋_GB2312" w:cs="宋体"/>
                <w:sz w:val="21"/>
                <w:szCs w:val="21"/>
              </w:rPr>
              <w:t>100</w:t>
            </w:r>
          </w:p>
        </w:tc>
        <w:tc>
          <w:tcPr>
            <w:tcW w:w="1851" w:type="dxa"/>
            <w:noWrap w:val="0"/>
            <w:vAlign w:val="center"/>
          </w:tcPr>
          <w:p>
            <w:pPr>
              <w:pageBreakBefore w:val="0"/>
              <w:widowControl/>
              <w:wordWrap/>
              <w:overflowPunct/>
              <w:topLinePunct w:val="0"/>
              <w:bidi w:val="0"/>
              <w:spacing w:line="560" w:lineRule="exact"/>
              <w:ind w:firstLine="0" w:firstLineChars="0"/>
              <w:jc w:val="center"/>
              <w:rPr>
                <w:rFonts w:hint="default" w:ascii="仿宋_GB2312" w:hAnsi="仿宋" w:eastAsia="仿宋_GB2312" w:cs="宋体"/>
                <w:sz w:val="21"/>
                <w:szCs w:val="21"/>
                <w:lang w:val="en-US" w:eastAsia="zh-CN"/>
              </w:rPr>
            </w:pPr>
            <w:r>
              <w:rPr>
                <w:rFonts w:hint="eastAsia" w:ascii="仿宋_GB2312" w:hAnsi="仿宋" w:eastAsia="仿宋_GB2312" w:cs="宋体"/>
                <w:sz w:val="21"/>
                <w:szCs w:val="21"/>
                <w:lang w:val="en-US" w:eastAsia="zh-CN"/>
              </w:rPr>
              <w:t>93</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价组围绕绩效评价指标体系，通过数据采集分析，财务核查、实地核查及访谈等方式，对该项目绩效进行了客观、公正、合理、有效的评价，最终评价结果为93分，依据财政绩效评价等级划分，本项目绩效评价等级为“优”。</w:t>
      </w:r>
    </w:p>
    <w:p>
      <w:pPr>
        <w:pStyle w:val="5"/>
        <w:pageBreakBefore w:val="0"/>
        <w:widowControl w:val="0"/>
        <w:kinsoku/>
        <w:wordWrap/>
        <w:overflowPunct/>
        <w:topLinePunct w:val="0"/>
        <w:autoSpaceDE/>
        <w:autoSpaceDN/>
        <w:bidi w:val="0"/>
        <w:adjustRightInd/>
        <w:snapToGrid/>
        <w:spacing w:line="560" w:lineRule="exact"/>
        <w:ind w:left="99" w:leftChars="47" w:firstLine="321" w:firstLineChars="100"/>
        <w:textAlignment w:val="auto"/>
        <w:rPr>
          <w:rFonts w:hint="eastAsia" w:ascii="仿宋" w:hAnsi="仿宋" w:eastAsia="仿宋" w:cs="仿宋"/>
          <w:sz w:val="32"/>
          <w:szCs w:val="32"/>
          <w:lang w:eastAsia="zh-CN"/>
        </w:rPr>
      </w:pPr>
      <w:bookmarkStart w:id="19" w:name="_Toc527400929"/>
      <w:bookmarkStart w:id="20" w:name="_Toc525043469"/>
      <w:r>
        <w:rPr>
          <w:rFonts w:hint="eastAsia" w:ascii="仿宋" w:hAnsi="仿宋" w:eastAsia="仿宋" w:cs="仿宋"/>
          <w:sz w:val="32"/>
          <w:szCs w:val="32"/>
          <w:lang w:eastAsia="zh-CN"/>
        </w:rPr>
        <w:t>（二）主要结论</w:t>
      </w:r>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本次项目绩效评价为“优”。本项目符合中心职能要求，项目整体达到预计产出效果、</w:t>
      </w:r>
      <w:r>
        <w:rPr>
          <w:rFonts w:hint="eastAsia" w:ascii="仿宋" w:hAnsi="仿宋" w:eastAsia="仿宋" w:cs="仿宋"/>
          <w:sz w:val="32"/>
          <w:szCs w:val="32"/>
        </w:rPr>
        <w:t>社会效益明显,满意度较高。项目实施有相应的资金保障、人员保障和制度保障，项目建设能够形成可持续的影响。</w:t>
      </w:r>
      <w:r>
        <w:rPr>
          <w:rFonts w:hint="eastAsia" w:ascii="仿宋" w:hAnsi="仿宋" w:eastAsia="仿宋" w:cs="仿宋"/>
          <w:sz w:val="32"/>
          <w:szCs w:val="32"/>
          <w:lang w:eastAsia="zh-CN"/>
        </w:rPr>
        <w:t>但该项目仍然存在绩效目标不够合理、可持续效益未达年度目标的问题。</w:t>
      </w:r>
    </w:p>
    <w:p>
      <w:pPr>
        <w:pStyle w:val="4"/>
        <w:keepNext/>
        <w:keepLines/>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bookmarkStart w:id="21" w:name="_Toc28082"/>
      <w:r>
        <w:rPr>
          <w:rFonts w:hint="eastAsia" w:ascii="仿宋" w:hAnsi="仿宋" w:eastAsia="仿宋" w:cs="仿宋"/>
          <w:sz w:val="32"/>
          <w:szCs w:val="32"/>
        </w:rPr>
        <w:t>绩效评价指标分析</w:t>
      </w:r>
      <w:bookmarkEnd w:id="21"/>
    </w:p>
    <w:p>
      <w:pPr>
        <w:pStyle w:val="5"/>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eastAsia="zh-CN"/>
        </w:rPr>
      </w:pPr>
      <w:bookmarkStart w:id="22" w:name="_Toc21898"/>
      <w:r>
        <w:rPr>
          <w:rFonts w:hint="eastAsia" w:ascii="仿宋" w:hAnsi="仿宋" w:eastAsia="仿宋" w:cs="仿宋"/>
          <w:sz w:val="32"/>
          <w:szCs w:val="32"/>
          <w:lang w:eastAsia="zh-CN"/>
        </w:rPr>
        <w:t>（一）项目决策情况</w:t>
      </w:r>
      <w:bookmarkEnd w:id="22"/>
    </w:p>
    <w:p>
      <w:pPr>
        <w:pStyle w:val="5"/>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sz w:val="32"/>
          <w:szCs w:val="32"/>
          <w:lang w:val="en-US" w:eastAsia="zh-CN"/>
        </w:rPr>
      </w:pPr>
      <w:bookmarkStart w:id="23" w:name="_Toc12277"/>
      <w:r>
        <w:rPr>
          <w:rFonts w:hint="eastAsia" w:ascii="仿宋" w:hAnsi="仿宋" w:eastAsia="仿宋" w:cs="仿宋"/>
          <w:sz w:val="32"/>
          <w:szCs w:val="32"/>
          <w:lang w:val="en-US" w:eastAsia="zh-CN"/>
        </w:rPr>
        <w:t>1、项目立项4分，实际得分4分。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弥补社保资金缺口</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依据《南昌市青云谱区人民政府办公室抄告单（青政办抄字[2015]277号）》；“南苑停车场管理费”依据《南昌市青云谱区人民政府办公室抄告单（青政办抄字[2015]177号）》；“征用场地定向补助”依据《南昌市青云谱区人民政府区长办公会议11（2012.5.8）》、关于请求拨付场地定向补助的报告；“青云小镇亮化电费”依据《关于印发〈青云谱区“青云小镇”特色商业街综合管理协调调度会议纪要〉的通知（青政办发[2015]40号）》</w:t>
      </w:r>
      <w:r>
        <w:rPr>
          <w:rFonts w:hint="eastAsia" w:ascii="仿宋" w:hAnsi="仿宋" w:eastAsia="仿宋" w:cs="仿宋"/>
          <w:sz w:val="32"/>
          <w:szCs w:val="32"/>
          <w:lang w:eastAsia="zh-CN"/>
        </w:rPr>
        <w:t>，项目立项依据充分；该项目的设立和申报，均通过了通过了集体讨论决策，项目决策过程规范，并通过了区财政局批复，立项程序规范。</w:t>
      </w:r>
    </w:p>
    <w:p>
      <w:pPr>
        <w:pStyle w:val="5"/>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2、绩效目标6分，实际得分4分。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该项目在年初申报时按照财政的要求，根据中心“三定方案”职能以及该项目的用途，从项目产出数量、质量、时效和成本等维度设置绩效目标，但在绩效目标合理性和指标明确性仍有待进一步提高。</w:t>
      </w:r>
    </w:p>
    <w:p>
      <w:pPr>
        <w:pStyle w:val="5"/>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3、资金投入5分，实际得分5分。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该项目在年初预算编制时，充分考虑的当年财政拨款和上年结转结余情况，收入来源完整、准确。同时，在年初预算申报时，结合了以前年度的资金使用和当年项目实施的需要，较为合理的分配了资金。</w:t>
      </w:r>
    </w:p>
    <w:p>
      <w:pPr>
        <w:pStyle w:val="5"/>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（二）项目过程情况</w:t>
      </w:r>
    </w:p>
    <w:p>
      <w:pPr>
        <w:pStyle w:val="5"/>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1、资金管理9分，实际得分9分。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2021年年初预算为172.8万元，当年实际</w:t>
      </w:r>
      <w:r>
        <w:rPr>
          <w:rFonts w:hint="eastAsia" w:ascii="仿宋" w:hAnsi="仿宋" w:eastAsia="仿宋" w:cs="仿宋"/>
          <w:sz w:val="32"/>
          <w:szCs w:val="32"/>
          <w:lang w:eastAsia="zh-CN"/>
        </w:rPr>
        <w:t>收入为</w:t>
      </w:r>
      <w:r>
        <w:rPr>
          <w:rFonts w:hint="eastAsia" w:ascii="仿宋" w:hAnsi="仿宋" w:eastAsia="仿宋" w:cs="仿宋"/>
          <w:sz w:val="32"/>
          <w:szCs w:val="32"/>
          <w:lang w:val="en-US" w:eastAsia="zh-CN"/>
        </w:rPr>
        <w:t>172.8</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，资金到位率为100%；该项目2021年</w:t>
      </w:r>
      <w:r>
        <w:rPr>
          <w:rFonts w:hint="eastAsia" w:ascii="仿宋" w:hAnsi="仿宋" w:eastAsia="仿宋" w:cs="仿宋"/>
          <w:sz w:val="32"/>
          <w:szCs w:val="32"/>
          <w:lang w:eastAsia="zh-CN"/>
        </w:rPr>
        <w:t>实际支出为172.8万元，具体为：社保支出和电费补助支出。在资金使用过程中，我中心能够严格按照审批程序和手续，按照财政要求，进行资金申请和支付，不存在截留、挤占等情况。</w:t>
      </w:r>
    </w:p>
    <w:p>
      <w:pPr>
        <w:pStyle w:val="5"/>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bookmarkEnd w:id="23"/>
      <w:bookmarkStart w:id="24" w:name="_Toc29684"/>
      <w:r>
        <w:rPr>
          <w:rFonts w:hint="eastAsia" w:ascii="仿宋" w:hAnsi="仿宋" w:eastAsia="仿宋" w:cs="仿宋"/>
          <w:sz w:val="32"/>
          <w:szCs w:val="32"/>
          <w:lang w:val="en-US" w:eastAsia="zh-CN"/>
        </w:rPr>
        <w:t>、</w:t>
      </w:r>
      <w:bookmarkEnd w:id="24"/>
      <w:r>
        <w:rPr>
          <w:rFonts w:hint="eastAsia" w:ascii="仿宋" w:hAnsi="仿宋" w:eastAsia="仿宋" w:cs="仿宋"/>
          <w:sz w:val="32"/>
          <w:szCs w:val="32"/>
          <w:lang w:val="en-US" w:eastAsia="zh-CN"/>
        </w:rPr>
        <w:t>组织实施6分，实际得分6分。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针对项目资金的使用，我中心按照《会计法》和《预算法》要求，制定了相应的财务管理制度和预算资金管理办法，规定了支出相应的审批流程和程序；并在执行中严格按照财务管理制度和资金管理办法进行申请、审批和支付。</w:t>
      </w:r>
    </w:p>
    <w:p>
      <w:pPr>
        <w:pStyle w:val="5"/>
        <w:keepNext/>
        <w:keepLines/>
        <w:pageBreakBefore w:val="0"/>
        <w:widowControl w:val="0"/>
        <w:numPr>
          <w:ilvl w:val="0"/>
          <w:numId w:val="5"/>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color w:val="auto"/>
          <w:sz w:val="32"/>
          <w:szCs w:val="32"/>
          <w:lang w:eastAsia="zh-CN"/>
        </w:rPr>
      </w:pPr>
      <w:bookmarkStart w:id="25" w:name="_Toc13398"/>
      <w:bookmarkStart w:id="26" w:name="_Toc23247"/>
      <w:r>
        <w:rPr>
          <w:rFonts w:hint="eastAsia" w:ascii="仿宋" w:hAnsi="仿宋" w:eastAsia="仿宋" w:cs="仿宋"/>
          <w:color w:val="auto"/>
          <w:sz w:val="32"/>
          <w:szCs w:val="32"/>
          <w:lang w:eastAsia="zh-CN"/>
        </w:rPr>
        <w:t>项目产出情况</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1、</w:t>
      </w:r>
      <w:r>
        <w:rPr>
          <w:rFonts w:hint="eastAsia" w:ascii="仿宋" w:hAnsi="仿宋" w:eastAsia="仿宋" w:cs="仿宋"/>
          <w:b/>
          <w:sz w:val="32"/>
          <w:szCs w:val="32"/>
        </w:rPr>
        <w:t>产出数量</w:t>
      </w:r>
      <w:r>
        <w:rPr>
          <w:rFonts w:hint="eastAsia" w:ascii="仿宋" w:hAnsi="仿宋" w:eastAsia="仿宋" w:cs="仿宋"/>
          <w:b/>
          <w:sz w:val="32"/>
          <w:szCs w:val="32"/>
          <w:lang w:eastAsia="zh-CN"/>
        </w:rPr>
        <w:t>指标</w:t>
      </w:r>
      <w:r>
        <w:rPr>
          <w:rFonts w:hint="eastAsia" w:ascii="仿宋" w:hAnsi="仿宋" w:eastAsia="仿宋" w:cs="仿宋"/>
          <w:b/>
          <w:sz w:val="32"/>
          <w:szCs w:val="32"/>
          <w:lang w:val="en-US" w:eastAsia="zh-CN"/>
        </w:rPr>
        <w:t>12分，实际得分12分。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2021年我中心对市场周边划定车辆停放区域，由专人管理引导，车辆管理覆盖率100%；对市场内肉菜等农产品进行质量检测，检测率100%；专项资金对我中心的社保金缺口进行了补给，补给率100%；按照</w:t>
      </w:r>
      <w:r>
        <w:rPr>
          <w:rFonts w:hint="eastAsia" w:ascii="仿宋" w:hAnsi="仿宋" w:eastAsia="仿宋" w:cs="仿宋"/>
          <w:sz w:val="32"/>
          <w:szCs w:val="32"/>
        </w:rPr>
        <w:t>“青云小镇”亮化</w:t>
      </w:r>
      <w:r>
        <w:rPr>
          <w:rFonts w:hint="eastAsia" w:ascii="仿宋" w:hAnsi="仿宋" w:eastAsia="仿宋" w:cs="仿宋"/>
          <w:sz w:val="32"/>
          <w:szCs w:val="32"/>
          <w:lang w:eastAsia="zh-CN"/>
        </w:rPr>
        <w:t>工程，对申报的电费费用在核定之后进行补贴，补贴率</w:t>
      </w:r>
      <w:r>
        <w:rPr>
          <w:rFonts w:hint="eastAsia" w:ascii="仿宋" w:hAnsi="仿宋" w:eastAsia="仿宋" w:cs="仿宋"/>
          <w:sz w:val="32"/>
          <w:szCs w:val="32"/>
          <w:lang w:val="en-US" w:eastAsia="zh-CN"/>
        </w:rPr>
        <w:t>100%。</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w:t>
      </w:r>
      <w:r>
        <w:rPr>
          <w:rFonts w:hint="eastAsia" w:ascii="仿宋" w:hAnsi="仿宋" w:eastAsia="仿宋" w:cs="仿宋"/>
          <w:b/>
          <w:sz w:val="32"/>
          <w:szCs w:val="32"/>
          <w:lang w:eastAsia="zh-CN"/>
        </w:rPr>
        <w:t>产出质量指标</w:t>
      </w:r>
      <w:r>
        <w:rPr>
          <w:rFonts w:hint="eastAsia" w:ascii="仿宋" w:hAnsi="仿宋" w:eastAsia="仿宋" w:cs="仿宋"/>
          <w:b/>
          <w:sz w:val="32"/>
          <w:szCs w:val="32"/>
          <w:lang w:val="en-US" w:eastAsia="zh-CN"/>
        </w:rPr>
        <w:t>12</w:t>
      </w:r>
      <w:r>
        <w:rPr>
          <w:rFonts w:hint="eastAsia" w:ascii="仿宋" w:hAnsi="仿宋" w:eastAsia="仿宋" w:cs="仿宋"/>
          <w:b/>
          <w:sz w:val="32"/>
          <w:szCs w:val="32"/>
          <w:lang w:eastAsia="zh-CN"/>
        </w:rPr>
        <w:t>分，实际得分</w:t>
      </w:r>
      <w:r>
        <w:rPr>
          <w:rFonts w:hint="eastAsia" w:ascii="仿宋" w:hAnsi="仿宋" w:eastAsia="仿宋" w:cs="仿宋"/>
          <w:b/>
          <w:sz w:val="32"/>
          <w:szCs w:val="32"/>
          <w:lang w:val="en-US" w:eastAsia="zh-CN"/>
        </w:rPr>
        <w:t>12分。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通过专人管理引导，对车辆按规定停放在停车线内做到车辆停放齐整，车辆管理检查合格率100%；精准规范管理，我中心所辖市场产品，各项检查达标率100%；在社保金缺口的补给中，均为我中心职工，补给准确率100%；电费的审核严格按照要求，由</w:t>
      </w:r>
      <w:r>
        <w:rPr>
          <w:rFonts w:hint="eastAsia" w:ascii="仿宋" w:hAnsi="仿宋" w:eastAsia="仿宋" w:cs="仿宋"/>
          <w:sz w:val="32"/>
          <w:szCs w:val="32"/>
        </w:rPr>
        <w:t>运营商依照开支明细区商务局牵头，对申报的电费费用进行核定</w:t>
      </w:r>
      <w:r>
        <w:rPr>
          <w:rFonts w:hint="eastAsia" w:ascii="仿宋" w:hAnsi="仿宋" w:eastAsia="仿宋" w:cs="仿宋"/>
          <w:sz w:val="32"/>
          <w:szCs w:val="32"/>
          <w:lang w:eastAsia="zh-CN"/>
        </w:rPr>
        <w:t>，商业街运营补贴准确率</w:t>
      </w:r>
      <w:r>
        <w:rPr>
          <w:rFonts w:hint="eastAsia" w:ascii="仿宋" w:hAnsi="仿宋" w:eastAsia="仿宋" w:cs="仿宋"/>
          <w:sz w:val="32"/>
          <w:szCs w:val="32"/>
          <w:lang w:val="en-US" w:eastAsia="zh-CN"/>
        </w:rPr>
        <w:t>100%。</w:t>
      </w:r>
    </w:p>
    <w:bookmarkEnd w:id="25"/>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b/>
          <w:sz w:val="32"/>
          <w:szCs w:val="32"/>
          <w:lang w:val="en-US" w:eastAsia="zh-CN"/>
        </w:rPr>
      </w:pPr>
      <w:r>
        <w:rPr>
          <w:rFonts w:hint="eastAsia" w:ascii="仿宋" w:hAnsi="仿宋" w:eastAsia="仿宋" w:cs="仿宋"/>
          <w:b/>
          <w:sz w:val="32"/>
          <w:szCs w:val="32"/>
          <w:lang w:val="en-US" w:eastAsia="zh-CN"/>
        </w:rPr>
        <w:t>3、</w:t>
      </w:r>
      <w:r>
        <w:rPr>
          <w:rFonts w:hint="eastAsia" w:ascii="仿宋" w:hAnsi="仿宋" w:eastAsia="仿宋" w:cs="仿宋"/>
          <w:b/>
          <w:sz w:val="32"/>
          <w:szCs w:val="32"/>
          <w:lang w:eastAsia="zh-CN"/>
        </w:rPr>
        <w:t>产出时效指标</w:t>
      </w:r>
      <w:r>
        <w:rPr>
          <w:rFonts w:hint="eastAsia" w:ascii="仿宋" w:hAnsi="仿宋" w:eastAsia="仿宋" w:cs="仿宋"/>
          <w:b/>
          <w:sz w:val="32"/>
          <w:szCs w:val="32"/>
          <w:lang w:val="en-US" w:eastAsia="zh-CN"/>
        </w:rPr>
        <w:t>8</w:t>
      </w:r>
      <w:r>
        <w:rPr>
          <w:rFonts w:hint="eastAsia" w:ascii="仿宋" w:hAnsi="仿宋" w:eastAsia="仿宋" w:cs="仿宋"/>
          <w:b/>
          <w:sz w:val="32"/>
          <w:szCs w:val="32"/>
          <w:lang w:eastAsia="zh-CN"/>
        </w:rPr>
        <w:t>分，实际得分</w:t>
      </w:r>
      <w:r>
        <w:rPr>
          <w:rFonts w:hint="eastAsia" w:ascii="仿宋" w:hAnsi="仿宋" w:eastAsia="仿宋" w:cs="仿宋"/>
          <w:b/>
          <w:sz w:val="32"/>
          <w:szCs w:val="32"/>
          <w:lang w:val="en-US" w:eastAsia="zh-CN"/>
        </w:rPr>
        <w:t>8分。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我中心2021年对市场巡查、保洁等管理和商业街运行补贴均在规定时间内完成，及时率100%。</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4、</w:t>
      </w:r>
      <w:r>
        <w:rPr>
          <w:rFonts w:hint="eastAsia" w:ascii="仿宋" w:hAnsi="仿宋" w:eastAsia="仿宋" w:cs="仿宋"/>
          <w:b/>
          <w:sz w:val="32"/>
          <w:szCs w:val="32"/>
          <w:lang w:eastAsia="zh-CN"/>
        </w:rPr>
        <w:t>产出成本指标</w:t>
      </w:r>
      <w:r>
        <w:rPr>
          <w:rFonts w:hint="eastAsia" w:ascii="仿宋" w:hAnsi="仿宋" w:eastAsia="仿宋" w:cs="仿宋"/>
          <w:b/>
          <w:sz w:val="32"/>
          <w:szCs w:val="32"/>
          <w:lang w:val="en-US" w:eastAsia="zh-CN"/>
        </w:rPr>
        <w:t>3</w:t>
      </w:r>
      <w:r>
        <w:rPr>
          <w:rFonts w:hint="eastAsia" w:ascii="仿宋" w:hAnsi="仿宋" w:eastAsia="仿宋" w:cs="仿宋"/>
          <w:b/>
          <w:sz w:val="32"/>
          <w:szCs w:val="32"/>
          <w:lang w:eastAsia="zh-CN"/>
        </w:rPr>
        <w:t>分，实际得分</w:t>
      </w:r>
      <w:r>
        <w:rPr>
          <w:rFonts w:hint="eastAsia" w:ascii="仿宋" w:hAnsi="仿宋" w:eastAsia="仿宋" w:cs="仿宋"/>
          <w:b/>
          <w:sz w:val="32"/>
          <w:szCs w:val="32"/>
          <w:lang w:val="en-US" w:eastAsia="zh-CN"/>
        </w:rPr>
        <w:t>3分。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该项目当年实际收入</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172.8</w:t>
      </w:r>
      <w:r>
        <w:rPr>
          <w:rFonts w:hint="eastAsia" w:ascii="仿宋" w:hAnsi="仿宋" w:eastAsia="仿宋" w:cs="仿宋"/>
          <w:sz w:val="32"/>
          <w:szCs w:val="32"/>
          <w:lang w:eastAsia="zh-CN"/>
        </w:rPr>
        <w:t>万元,当年实际支出为172.8万元，</w:t>
      </w:r>
      <w:r>
        <w:rPr>
          <w:rFonts w:hint="eastAsia" w:ascii="仿宋" w:hAnsi="仿宋" w:eastAsia="仿宋" w:cs="仿宋"/>
          <w:sz w:val="32"/>
          <w:szCs w:val="32"/>
          <w:lang w:val="en-US" w:eastAsia="zh-CN"/>
        </w:rPr>
        <w:t>未超过项目预算</w:t>
      </w:r>
      <w:r>
        <w:rPr>
          <w:rFonts w:hint="eastAsia" w:ascii="仿宋" w:hAnsi="仿宋" w:eastAsia="仿宋" w:cs="仿宋"/>
          <w:sz w:val="32"/>
          <w:szCs w:val="32"/>
          <w:lang w:eastAsia="zh-CN"/>
        </w:rPr>
        <w:t>。</w:t>
      </w:r>
    </w:p>
    <w:p>
      <w:pPr>
        <w:pStyle w:val="5"/>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（四）项目效益情况</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1、</w:t>
      </w:r>
      <w:r>
        <w:rPr>
          <w:rFonts w:hint="eastAsia" w:ascii="仿宋" w:hAnsi="仿宋" w:eastAsia="仿宋" w:cs="仿宋"/>
          <w:b/>
          <w:sz w:val="32"/>
          <w:szCs w:val="32"/>
          <w:lang w:eastAsia="zh-CN"/>
        </w:rPr>
        <w:t>社会效益指标</w:t>
      </w:r>
      <w:r>
        <w:rPr>
          <w:rFonts w:hint="eastAsia" w:ascii="仿宋" w:hAnsi="仿宋" w:eastAsia="仿宋" w:cs="仿宋"/>
          <w:b/>
          <w:sz w:val="32"/>
          <w:szCs w:val="32"/>
          <w:lang w:val="en-US" w:eastAsia="zh-CN"/>
        </w:rPr>
        <w:t>8</w:t>
      </w:r>
      <w:r>
        <w:rPr>
          <w:rFonts w:hint="eastAsia" w:ascii="仿宋" w:hAnsi="仿宋" w:eastAsia="仿宋" w:cs="仿宋"/>
          <w:b/>
          <w:sz w:val="32"/>
          <w:szCs w:val="32"/>
          <w:lang w:eastAsia="zh-CN"/>
        </w:rPr>
        <w:t>分，实际得分</w:t>
      </w:r>
      <w:r>
        <w:rPr>
          <w:rFonts w:hint="eastAsia" w:ascii="仿宋" w:hAnsi="仿宋" w:eastAsia="仿宋" w:cs="仿宋"/>
          <w:b/>
          <w:sz w:val="32"/>
          <w:szCs w:val="32"/>
          <w:lang w:val="en-US" w:eastAsia="zh-CN"/>
        </w:rPr>
        <w:t>8分。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kern w:val="2"/>
          <w:sz w:val="32"/>
          <w:szCs w:val="32"/>
          <w:lang w:val="en-US" w:eastAsia="zh-CN"/>
        </w:rPr>
      </w:pPr>
      <w:r>
        <w:rPr>
          <w:rFonts w:hint="eastAsia" w:ascii="仿宋" w:hAnsi="仿宋" w:eastAsia="仿宋" w:cs="仿宋"/>
          <w:b w:val="0"/>
          <w:kern w:val="2"/>
          <w:sz w:val="32"/>
          <w:szCs w:val="32"/>
          <w:lang w:val="en-US" w:eastAsia="zh-CN"/>
        </w:rPr>
        <w:t>通过对“青云小镇”亮化进行电费补贴，保障了商业街道路照明、美化，有效促进了商业街的正常运营。</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2、</w:t>
      </w:r>
      <w:r>
        <w:rPr>
          <w:rFonts w:hint="eastAsia" w:ascii="仿宋" w:hAnsi="仿宋" w:eastAsia="仿宋" w:cs="仿宋"/>
          <w:b/>
          <w:sz w:val="32"/>
          <w:szCs w:val="32"/>
          <w:lang w:eastAsia="zh-CN"/>
        </w:rPr>
        <w:t>生态效益指标</w:t>
      </w:r>
      <w:r>
        <w:rPr>
          <w:rFonts w:hint="eastAsia" w:ascii="仿宋" w:hAnsi="仿宋" w:eastAsia="仿宋" w:cs="仿宋"/>
          <w:b/>
          <w:sz w:val="32"/>
          <w:szCs w:val="32"/>
          <w:lang w:val="en-US" w:eastAsia="zh-CN"/>
        </w:rPr>
        <w:t>8</w:t>
      </w:r>
      <w:r>
        <w:rPr>
          <w:rFonts w:hint="eastAsia" w:ascii="仿宋" w:hAnsi="仿宋" w:eastAsia="仿宋" w:cs="仿宋"/>
          <w:b/>
          <w:sz w:val="32"/>
          <w:szCs w:val="32"/>
          <w:lang w:eastAsia="zh-CN"/>
        </w:rPr>
        <w:t>分，实际得分</w:t>
      </w:r>
      <w:r>
        <w:rPr>
          <w:rFonts w:hint="eastAsia" w:ascii="仿宋" w:hAnsi="仿宋" w:eastAsia="仿宋" w:cs="仿宋"/>
          <w:b/>
          <w:sz w:val="32"/>
          <w:szCs w:val="32"/>
          <w:lang w:val="en-US" w:eastAsia="zh-CN"/>
        </w:rPr>
        <w:t>5分。</w:t>
      </w:r>
    </w:p>
    <w:p>
      <w:pPr>
        <w:pStyle w:val="5"/>
        <w:keepNext/>
        <w:keepLines/>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kern w:val="2"/>
          <w:sz w:val="32"/>
          <w:szCs w:val="32"/>
          <w:lang w:val="en-US" w:eastAsia="zh-CN"/>
        </w:rPr>
      </w:pPr>
      <w:r>
        <w:rPr>
          <w:rFonts w:hint="eastAsia" w:ascii="仿宋" w:hAnsi="仿宋" w:eastAsia="仿宋" w:cs="仿宋"/>
          <w:b w:val="0"/>
          <w:kern w:val="2"/>
          <w:sz w:val="32"/>
          <w:szCs w:val="32"/>
          <w:lang w:val="en-US" w:eastAsia="zh-CN"/>
        </w:rPr>
        <w:t>对中心在所辖市场进行卫生清理打扫，做到市场无卫生死角，但由于市场商户较多，仍存在部分垃圾清理不及时，垃圾死角未清理的情况。</w:t>
      </w: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b/>
          <w:sz w:val="32"/>
          <w:szCs w:val="32"/>
          <w:lang w:val="en-US" w:eastAsia="zh-CN"/>
        </w:rPr>
      </w:pPr>
      <w:r>
        <w:rPr>
          <w:rFonts w:hint="eastAsia" w:ascii="仿宋" w:hAnsi="仿宋" w:eastAsia="仿宋" w:cs="仿宋"/>
          <w:b/>
          <w:sz w:val="32"/>
          <w:szCs w:val="32"/>
          <w:lang w:val="en-US" w:eastAsia="zh-CN"/>
        </w:rPr>
        <w:t>3、可持续效益指标9分，实际得分7分。</w:t>
      </w:r>
    </w:p>
    <w:p>
      <w:pPr>
        <w:pStyle w:val="5"/>
        <w:keepNext/>
        <w:keepLines/>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kern w:val="2"/>
          <w:sz w:val="32"/>
          <w:szCs w:val="32"/>
          <w:lang w:val="en-US" w:eastAsia="zh-CN"/>
        </w:rPr>
      </w:pPr>
      <w:r>
        <w:rPr>
          <w:rFonts w:hint="eastAsia" w:ascii="仿宋" w:hAnsi="仿宋" w:eastAsia="仿宋" w:cs="仿宋"/>
          <w:b w:val="0"/>
          <w:kern w:val="2"/>
          <w:sz w:val="32"/>
          <w:szCs w:val="32"/>
          <w:lang w:val="en-US" w:eastAsia="zh-CN"/>
        </w:rPr>
        <w:t>中心所辖市场受疫情影响，部分商家经营收入减少，也只是勉力维持，同时因缺乏专业管理人才，使得所辖市场后续可持续发展带来挑战。</w:t>
      </w:r>
    </w:p>
    <w:p>
      <w:pPr>
        <w:pStyle w:val="5"/>
        <w:keepNext/>
        <w:keepLines/>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4、满意度指标10分，实际得分10分。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宋体" w:eastAsia="仿宋" w:cs="宋体"/>
          <w:color w:val="000000"/>
          <w:kern w:val="0"/>
          <w:sz w:val="32"/>
          <w:szCs w:val="32"/>
          <w:lang w:val="en-US" w:eastAsia="zh-CN"/>
        </w:rPr>
      </w:pPr>
      <w:r>
        <w:rPr>
          <w:rFonts w:hint="eastAsia" w:ascii="仿宋" w:hAnsi="宋体" w:eastAsia="仿宋" w:cs="宋体"/>
          <w:color w:val="000000"/>
          <w:kern w:val="0"/>
          <w:sz w:val="32"/>
          <w:szCs w:val="32"/>
          <w:lang w:val="en-US" w:eastAsia="zh-CN"/>
        </w:rPr>
        <w:t>我中心主动作为，通过精细化划片区管理，有效提高所辖市场管理和服务水平，为附近居民购物提供高效服务，群众满意率较高。</w:t>
      </w:r>
    </w:p>
    <w:bookmarkEnd w:id="26"/>
    <w:p>
      <w:pPr>
        <w:pStyle w:val="4"/>
        <w:keepNext/>
        <w:keepLines/>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bookmarkStart w:id="27" w:name="_Toc15046"/>
      <w:r>
        <w:rPr>
          <w:rFonts w:hint="eastAsia" w:ascii="仿宋" w:hAnsi="仿宋" w:eastAsia="仿宋" w:cs="仿宋"/>
          <w:sz w:val="32"/>
          <w:szCs w:val="32"/>
        </w:rPr>
        <w:t>主要经验及做法、存在的问题及原因分析</w:t>
      </w:r>
      <w:bookmarkEnd w:id="27"/>
    </w:p>
    <w:p>
      <w:pPr>
        <w:pStyle w:val="5"/>
        <w:pageBreakBefore w:val="0"/>
        <w:widowControl w:val="0"/>
        <w:kinsoku/>
        <w:wordWrap/>
        <w:overflowPunct/>
        <w:topLinePunct w:val="0"/>
        <w:autoSpaceDE/>
        <w:autoSpaceDN/>
        <w:bidi w:val="0"/>
        <w:adjustRightInd/>
        <w:snapToGrid/>
        <w:spacing w:line="560" w:lineRule="exact"/>
        <w:ind w:left="210" w:firstLine="321" w:firstLineChars="100"/>
        <w:textAlignment w:val="auto"/>
        <w:rPr>
          <w:rFonts w:hint="eastAsia" w:ascii="仿宋" w:hAnsi="仿宋" w:eastAsia="仿宋" w:cs="仿宋"/>
          <w:sz w:val="32"/>
          <w:szCs w:val="32"/>
        </w:rPr>
      </w:pPr>
      <w:bookmarkStart w:id="28" w:name="_Toc29198"/>
      <w:r>
        <w:rPr>
          <w:rFonts w:hint="eastAsia" w:ascii="仿宋" w:hAnsi="仿宋" w:eastAsia="仿宋" w:cs="仿宋"/>
          <w:sz w:val="32"/>
          <w:szCs w:val="32"/>
        </w:rPr>
        <w:t>（一）项目实施经验、做法</w:t>
      </w:r>
      <w:bookmarkEnd w:id="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立项依据充分。该项目均以区政府文件为立项依据，并按区财政局要求进行项目立项、申报，程序合规。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资金使用规范。在资金的使用过程中，严格按照中心财务管理制度和资金管理办法，进行申请、审批和拨付。</w:t>
      </w:r>
    </w:p>
    <w:p>
      <w:pPr>
        <w:pStyle w:val="5"/>
        <w:pageBreakBefore w:val="0"/>
        <w:widowControl w:val="0"/>
        <w:kinsoku/>
        <w:wordWrap/>
        <w:overflowPunct/>
        <w:topLinePunct w:val="0"/>
        <w:autoSpaceDE/>
        <w:autoSpaceDN/>
        <w:bidi w:val="0"/>
        <w:adjustRightInd/>
        <w:snapToGrid/>
        <w:spacing w:line="560" w:lineRule="exact"/>
        <w:ind w:left="210" w:firstLine="321" w:firstLineChars="100"/>
        <w:textAlignment w:val="auto"/>
        <w:rPr>
          <w:rFonts w:hint="eastAsia" w:ascii="仿宋" w:hAnsi="仿宋" w:eastAsia="仿宋" w:cs="仿宋"/>
          <w:sz w:val="32"/>
          <w:szCs w:val="32"/>
          <w:lang w:eastAsia="zh-CN"/>
        </w:rPr>
      </w:pPr>
      <w:bookmarkStart w:id="29" w:name="_Toc20225"/>
      <w:r>
        <w:rPr>
          <w:rFonts w:hint="eastAsia" w:ascii="仿宋" w:hAnsi="仿宋" w:eastAsia="仿宋" w:cs="仿宋"/>
          <w:sz w:val="32"/>
          <w:szCs w:val="32"/>
        </w:rPr>
        <w:t>（二）存在的问题</w:t>
      </w:r>
      <w:bookmarkEnd w:id="29"/>
      <w:r>
        <w:rPr>
          <w:rFonts w:hint="eastAsia" w:ascii="仿宋" w:hAnsi="仿宋" w:eastAsia="仿宋" w:cs="仿宋"/>
          <w:sz w:val="32"/>
          <w:szCs w:val="32"/>
          <w:lang w:eastAsia="zh-CN"/>
        </w:rPr>
        <w:t>及原因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1、绩效目标设定有待进一步提高</w:t>
      </w:r>
      <w:r>
        <w:rPr>
          <w:rFonts w:hint="eastAsia" w:ascii="仿宋" w:hAnsi="仿宋" w:eastAsia="仿宋" w:cs="仿宋"/>
          <w:sz w:val="32"/>
          <w:szCs w:val="32"/>
          <w:lang w:eastAsia="zh-CN"/>
        </w:rPr>
        <w:t>。由于项目支出绩效管理涉及财务及业务等多方面要求，但在设定目标时未与业务部门及时沟通，对部分绩效目标设定不够合理和明确。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2、项目效益完成有待进一步提高。由于所辖市场商户较多，使得</w:t>
      </w:r>
      <w:r>
        <w:rPr>
          <w:rFonts w:hint="eastAsia" w:ascii="仿宋" w:hAnsi="仿宋" w:eastAsia="仿宋" w:cs="仿宋"/>
          <w:b w:val="0"/>
          <w:kern w:val="2"/>
          <w:sz w:val="32"/>
          <w:szCs w:val="32"/>
          <w:lang w:val="en-US" w:eastAsia="zh-CN"/>
        </w:rPr>
        <w:t>仍存在部分垃圾清理不及时，垃圾死角未清理的情况；同时，因缺乏专业管理人才，使得所辖市场后续可持续发展带来挑战。</w:t>
      </w:r>
    </w:p>
    <w:p>
      <w:pPr>
        <w:pStyle w:val="4"/>
        <w:keepNext/>
        <w:keepLines/>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bookmarkStart w:id="30" w:name="_Toc24595"/>
      <w:bookmarkStart w:id="31" w:name="_Toc15646"/>
      <w:r>
        <w:rPr>
          <w:rFonts w:hint="eastAsia" w:ascii="仿宋" w:hAnsi="仿宋" w:eastAsia="仿宋" w:cs="仿宋"/>
          <w:sz w:val="32"/>
          <w:szCs w:val="32"/>
          <w:lang w:eastAsia="zh-CN"/>
        </w:rPr>
        <w:t>有关</w:t>
      </w:r>
      <w:r>
        <w:rPr>
          <w:rFonts w:hint="eastAsia" w:ascii="仿宋" w:hAnsi="仿宋" w:eastAsia="仿宋" w:cs="仿宋"/>
          <w:sz w:val="32"/>
          <w:szCs w:val="32"/>
        </w:rPr>
        <w:t>建议</w:t>
      </w:r>
      <w:bookmarkEnd w:id="30"/>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加强绩效管理宣传和培训。通过对绩效管理的宣传和培训，提高全体干部职工，尤其是涉及项目支出业务部门的绩效管理意识，在后续绩效目标设定中，提出合理明确的项目支出绩效目标。</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highlight w:val="none"/>
          <w:lang w:val="en-US" w:eastAsia="zh-CN"/>
        </w:rPr>
        <w:t>加强人才队伍建设，进一步提高市场服务水平。加大对外引才用才，实现人才培育与储备使用贯通无阻，进一步提高市场管理和服务水平，向管理要效益。</w:t>
      </w:r>
    </w:p>
    <w:bookmarkEnd w:id="31"/>
    <w:p>
      <w:pPr>
        <w:pStyle w:val="4"/>
        <w:keepNext/>
        <w:keepLines/>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无其他需要说明的问题。</w:t>
      </w:r>
    </w:p>
    <w:p>
      <w:pPr>
        <w:pStyle w:val="2"/>
        <w:rPr>
          <w:rFonts w:hint="eastAsia" w:ascii="仿宋" w:hAnsi="仿宋" w:eastAsia="仿宋" w:cs="Times New Roman"/>
          <w:snapToGrid/>
          <w:kern w:val="2"/>
          <w:sz w:val="32"/>
          <w:szCs w:val="32"/>
          <w:lang w:val="en-US" w:eastAsia="zh-CN" w:bidi="ar-SA"/>
        </w:rPr>
      </w:pPr>
    </w:p>
    <w:p>
      <w:pPr>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pStyle w:val="13"/>
        <w:rPr>
          <w:rFonts w:hint="eastAsia" w:ascii="宋体" w:hAnsi="宋体" w:eastAsia="宋体" w:cs="Times New Roman"/>
          <w:b/>
          <w:snapToGrid/>
          <w:kern w:val="2"/>
          <w:sz w:val="32"/>
          <w:szCs w:val="30"/>
          <w:lang w:val="en-US" w:eastAsia="zh-CN" w:bidi="ar-SA"/>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b/>
          <w:snapToGrid/>
          <w:kern w:val="2"/>
          <w:sz w:val="32"/>
          <w:szCs w:val="30"/>
          <w:lang w:val="en-US" w:eastAsia="zh-CN" w:bidi="ar-SA"/>
        </w:rPr>
      </w:pPr>
      <w:r>
        <w:rPr>
          <w:rFonts w:hint="eastAsia" w:ascii="宋体" w:hAnsi="宋体" w:eastAsia="宋体" w:cs="Times New Roman"/>
          <w:b/>
          <w:snapToGrid/>
          <w:kern w:val="2"/>
          <w:sz w:val="32"/>
          <w:szCs w:val="30"/>
          <w:lang w:val="en-US" w:eastAsia="zh-CN" w:bidi="ar-SA"/>
        </w:rPr>
        <w:t>第四部分 名词解释</w:t>
      </w:r>
    </w:p>
    <w:p>
      <w:pPr>
        <w:keepNext w:val="0"/>
        <w:keepLines w:val="0"/>
        <w:pageBreakBefore w:val="0"/>
        <w:wordWrap/>
        <w:overflowPunct/>
        <w:topLinePunct w:val="0"/>
        <w:bidi w:val="0"/>
        <w:spacing w:line="240" w:lineRule="auto"/>
        <w:rPr>
          <w:rFonts w:ascii="Arial"/>
          <w:sz w:val="21"/>
        </w:rPr>
      </w:pPr>
    </w:p>
    <w:p>
      <w:pPr>
        <w:widowControl/>
        <w:spacing w:line="580" w:lineRule="exact"/>
        <w:ind w:firstLine="640"/>
        <w:jc w:val="left"/>
        <w:rPr>
          <w:rFonts w:hint="eastAsia" w:ascii="仿宋_GB2312" w:eastAsia="仿宋_GB2312"/>
          <w:sz w:val="32"/>
          <w:szCs w:val="30"/>
        </w:rPr>
      </w:pPr>
      <w:r>
        <w:rPr>
          <w:rFonts w:hint="eastAsia" w:ascii="仿宋" w:hAnsi="仿宋" w:eastAsia="仿宋" w:cs="仿宋"/>
          <w:kern w:val="0"/>
          <w:sz w:val="30"/>
          <w:szCs w:val="30"/>
          <w:lang w:val="en-US" w:eastAsia="zh-CN" w:bidi="ar"/>
        </w:rPr>
        <w:t xml:space="preserve">  </w:t>
      </w:r>
      <w:r>
        <w:rPr>
          <w:rFonts w:hint="eastAsia" w:ascii="仿宋_GB2312" w:eastAsia="仿宋_GB2312"/>
          <w:sz w:val="32"/>
          <w:szCs w:val="30"/>
        </w:rPr>
        <w:t>一、收入科目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（一）财政拨款：指当年财政拨付的资金。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（二）事业收入：指事业单位开展专业业务活动及辅助活动取得的收入。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（三）事业单位经营收入：指事业单位在专业业务活动及辅助活动之外开展非独立核算经营活动取得的收入。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（四）其他收入：指除财政拨款、事业收入、事业单位经营收入等以外的各项收入。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（五）附属单位上缴收入：反映事业单位附属的独立核算单位按规定标准或比例缴纳的各项收入。包括附属的事业单位上缴的收入和附属的企业上缴的利润等。</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（六）上级补助收入：反映事业单位从主管部门和上级单位取得的非财政补助收入。</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（七）用事业基金弥补收支差额：填列事业单位用事业基金弥补20</w:t>
      </w:r>
      <w:r>
        <w:rPr>
          <w:rFonts w:hint="eastAsia" w:ascii="仿宋_GB2312" w:eastAsia="仿宋_GB2312"/>
          <w:sz w:val="32"/>
          <w:szCs w:val="30"/>
          <w:lang w:val="en-US" w:eastAsia="zh-CN"/>
        </w:rPr>
        <w:t>20</w:t>
      </w:r>
      <w:r>
        <w:rPr>
          <w:rFonts w:hint="eastAsia" w:ascii="仿宋_GB2312" w:eastAsia="仿宋_GB2312"/>
          <w:sz w:val="32"/>
          <w:szCs w:val="30"/>
        </w:rPr>
        <w:t>年收支差额的数额。</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（八）上年结转和结余：填列201</w:t>
      </w:r>
      <w:r>
        <w:rPr>
          <w:rFonts w:hint="eastAsia" w:ascii="仿宋_GB2312" w:eastAsia="仿宋_GB2312"/>
          <w:sz w:val="32"/>
          <w:szCs w:val="30"/>
          <w:lang w:val="en-US" w:eastAsia="zh-CN"/>
        </w:rPr>
        <w:t>9</w:t>
      </w:r>
      <w:r>
        <w:rPr>
          <w:rFonts w:hint="eastAsia" w:ascii="仿宋_GB2312" w:eastAsia="仿宋_GB2312"/>
          <w:sz w:val="32"/>
          <w:szCs w:val="30"/>
        </w:rPr>
        <w:t>年全部结转和结余的资金数，包括当年结转结余资金和历年滚存结转结余资金。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二、支出科目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（一）行政运行：反映行政单位（包括参公单位）的基本支出。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（二）一般行政管理事务：反映行政单位（包括参公单位）未单独设置项级科目的其他项目支出。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（三）机关服务：反映为行政单位（包括参公单位）提供后勤服务的各类后勤服务中心的支出。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（四）事业运行：反映事业单位的基本支出。</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（五）行政单位医疗：反映行政事业单位基本医疗保险缴费经费。</w:t>
      </w:r>
    </w:p>
    <w:p>
      <w:pPr>
        <w:spacing w:line="520" w:lineRule="exact"/>
        <w:ind w:firstLine="640" w:firstLineChars="200"/>
        <w:rPr>
          <w:rFonts w:hint="eastAsia" w:ascii="宋体" w:hAnsi="宋体"/>
          <w:sz w:val="32"/>
          <w:szCs w:val="32"/>
        </w:rPr>
      </w:pPr>
      <w:r>
        <w:rPr>
          <w:rFonts w:hint="eastAsia" w:ascii="仿宋_GB2312" w:eastAsia="仿宋_GB2312"/>
          <w:sz w:val="32"/>
          <w:szCs w:val="32"/>
        </w:rPr>
        <w:t>（六）住房公积金：反映行政事业单位按人力资源和社会保障部、财政部规定的基本工资和津补贴以及规定比例为职工缴纳的住房公积金。</w:t>
      </w:r>
    </w:p>
    <w:p>
      <w:pPr>
        <w:widowControl/>
        <w:spacing w:line="580" w:lineRule="exact"/>
        <w:ind w:firstLine="64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三、“三公”经费支出口径</w:t>
      </w:r>
    </w:p>
    <w:p>
      <w:pPr>
        <w:widowControl/>
        <w:spacing w:line="580" w:lineRule="exact"/>
        <w:ind w:firstLine="64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公”经费支出：指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widowControl/>
        <w:spacing w:line="580" w:lineRule="exact"/>
        <w:ind w:firstLine="64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四、机关运行经费支出口径</w:t>
      </w:r>
    </w:p>
    <w:p>
      <w:pPr>
        <w:widowControl/>
        <w:spacing w:line="580" w:lineRule="exact"/>
        <w:ind w:firstLine="64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机关运行经费支出：指用一般公共预算财政拨款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0"/>
        <w:jc w:val="left"/>
        <w:rPr>
          <w:rFonts w:hint="eastAsia" w:ascii="仿宋" w:hAnsi="仿宋" w:eastAsia="仿宋" w:cs="仿宋"/>
          <w:kern w:val="0"/>
          <w:sz w:val="30"/>
          <w:szCs w:val="30"/>
          <w:lang w:val="en-US" w:eastAsia="zh-CN" w:bidi="ar"/>
        </w:rPr>
      </w:pPr>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229"/>
      <w:rPr>
        <w:rFonts w:ascii="Arial" w:hAnsi="Arial" w:eastAsia="Arial" w:cs="Arial"/>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8033"/>
      <w:rPr>
        <w:rFonts w:ascii="Arial" w:hAnsi="Arial" w:eastAsia="Arial" w:cs="Arial"/>
        <w:sz w:val="16"/>
        <w:szCs w:val="16"/>
      </w:rPr>
    </w:pPr>
    <w:r>
      <w:rPr>
        <w:sz w:val="1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753C4"/>
    <w:multiLevelType w:val="singleLevel"/>
    <w:tmpl w:val="8CD753C4"/>
    <w:lvl w:ilvl="0" w:tentative="0">
      <w:start w:val="1"/>
      <w:numFmt w:val="decimal"/>
      <w:suff w:val="nothing"/>
      <w:lvlText w:val="%1、"/>
      <w:lvlJc w:val="left"/>
    </w:lvl>
  </w:abstractNum>
  <w:abstractNum w:abstractNumId="1">
    <w:nsid w:val="AE1CA3FA"/>
    <w:multiLevelType w:val="singleLevel"/>
    <w:tmpl w:val="AE1CA3FA"/>
    <w:lvl w:ilvl="0" w:tentative="0">
      <w:start w:val="1"/>
      <w:numFmt w:val="decimal"/>
      <w:suff w:val="nothing"/>
      <w:lvlText w:val="（%1）"/>
      <w:lvlJc w:val="left"/>
    </w:lvl>
  </w:abstractNum>
  <w:abstractNum w:abstractNumId="2">
    <w:nsid w:val="E02EA143"/>
    <w:multiLevelType w:val="singleLevel"/>
    <w:tmpl w:val="E02EA143"/>
    <w:lvl w:ilvl="0" w:tentative="0">
      <w:start w:val="2"/>
      <w:numFmt w:val="chineseCounting"/>
      <w:suff w:val="nothing"/>
      <w:lvlText w:val="（%1）"/>
      <w:lvlJc w:val="left"/>
      <w:rPr>
        <w:rFonts w:hint="eastAsia"/>
      </w:rPr>
    </w:lvl>
  </w:abstractNum>
  <w:abstractNum w:abstractNumId="3">
    <w:nsid w:val="00000004"/>
    <w:multiLevelType w:val="singleLevel"/>
    <w:tmpl w:val="00000004"/>
    <w:lvl w:ilvl="0" w:tentative="0">
      <w:start w:val="1"/>
      <w:numFmt w:val="chineseCounting"/>
      <w:suff w:val="nothing"/>
      <w:lvlText w:val="%1、"/>
      <w:lvlJc w:val="left"/>
      <w:rPr>
        <w:rFonts w:hint="eastAsia"/>
      </w:rPr>
    </w:lvl>
  </w:abstractNum>
  <w:abstractNum w:abstractNumId="4">
    <w:nsid w:val="3B756D8D"/>
    <w:multiLevelType w:val="singleLevel"/>
    <w:tmpl w:val="3B756D8D"/>
    <w:lvl w:ilvl="0" w:tentative="0">
      <w:start w:val="3"/>
      <w:numFmt w:val="chineseCounting"/>
      <w:suff w:val="nothing"/>
      <w:lvlText w:val="（%1）"/>
      <w:lvlJc w:val="left"/>
      <w:rPr>
        <w:rFonts w:hint="eastAsia"/>
      </w:rPr>
    </w:lvl>
  </w:abstractNum>
  <w:abstractNum w:abstractNumId="5">
    <w:nsid w:val="6922FC05"/>
    <w:multiLevelType w:val="singleLevel"/>
    <w:tmpl w:val="6922FC05"/>
    <w:lvl w:ilvl="0" w:tentative="0">
      <w:start w:val="3"/>
      <w:numFmt w:val="chineseCounting"/>
      <w:suff w:val="nothing"/>
      <w:lvlText w:val="%1、"/>
      <w:lvlJc w:val="left"/>
      <w:rPr>
        <w:rFonts w:hint="eastAsia"/>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ZjM0MTAyMjY0YWYxZWZlNWU2NjNkNmJlZGM1YjcifQ=="/>
  </w:docVars>
  <w:rsids>
    <w:rsidRoot w:val="39096735"/>
    <w:rsid w:val="037405E1"/>
    <w:rsid w:val="08D65032"/>
    <w:rsid w:val="0C2D23F1"/>
    <w:rsid w:val="104B26BB"/>
    <w:rsid w:val="11D337D5"/>
    <w:rsid w:val="143D67CD"/>
    <w:rsid w:val="1A6C71E2"/>
    <w:rsid w:val="1FD06BBD"/>
    <w:rsid w:val="21932A3C"/>
    <w:rsid w:val="223700F7"/>
    <w:rsid w:val="22E2486B"/>
    <w:rsid w:val="28580658"/>
    <w:rsid w:val="291458F7"/>
    <w:rsid w:val="2A976755"/>
    <w:rsid w:val="2C147790"/>
    <w:rsid w:val="39096735"/>
    <w:rsid w:val="408B24EB"/>
    <w:rsid w:val="481C6F37"/>
    <w:rsid w:val="49105379"/>
    <w:rsid w:val="4ADB5E1D"/>
    <w:rsid w:val="4E48180D"/>
    <w:rsid w:val="553B5262"/>
    <w:rsid w:val="57FB7AFE"/>
    <w:rsid w:val="5A08115C"/>
    <w:rsid w:val="5F3062DF"/>
    <w:rsid w:val="637A5D7B"/>
    <w:rsid w:val="6469481D"/>
    <w:rsid w:val="66F4382B"/>
    <w:rsid w:val="67665232"/>
    <w:rsid w:val="6D67095C"/>
    <w:rsid w:val="70BD43A6"/>
    <w:rsid w:val="721E656E"/>
    <w:rsid w:val="73F34562"/>
    <w:rsid w:val="75F53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basedOn w:val="1"/>
    <w:next w:val="1"/>
    <w:qFormat/>
    <w:uiPriority w:val="0"/>
    <w:pPr>
      <w:keepNext/>
      <w:keepLines/>
      <w:spacing w:line="576" w:lineRule="auto"/>
      <w:outlineLvl w:val="0"/>
    </w:pPr>
    <w:rPr>
      <w:rFonts w:ascii="Calibri" w:hAnsi="Calibri"/>
      <w:b/>
      <w:kern w:val="44"/>
      <w:sz w:val="44"/>
      <w:szCs w:val="22"/>
    </w:rPr>
  </w:style>
  <w:style w:type="paragraph" w:styleId="5">
    <w:name w:val="heading 2"/>
    <w:basedOn w:val="1"/>
    <w:next w:val="1"/>
    <w:qFormat/>
    <w:uiPriority w:val="0"/>
    <w:pPr>
      <w:keepNext/>
      <w:keepLines/>
      <w:spacing w:line="413" w:lineRule="auto"/>
      <w:ind w:left="100" w:leftChars="100"/>
      <w:outlineLvl w:val="1"/>
    </w:pPr>
    <w:rPr>
      <w:rFonts w:ascii="Arial" w:hAnsi="Arial" w:eastAsia="黑体"/>
      <w:b/>
      <w:sz w:val="32"/>
      <w:szCs w:val="22"/>
    </w:rPr>
  </w:style>
  <w:style w:type="paragraph" w:styleId="6">
    <w:name w:val="heading 3"/>
    <w:basedOn w:val="1"/>
    <w:next w:val="1"/>
    <w:qFormat/>
    <w:uiPriority w:val="0"/>
    <w:pPr>
      <w:keepNext/>
      <w:keepLines/>
      <w:spacing w:line="413" w:lineRule="auto"/>
      <w:ind w:left="300" w:leftChars="300"/>
      <w:outlineLvl w:val="2"/>
    </w:pPr>
    <w:rPr>
      <w:rFonts w:ascii="Calibri" w:hAnsi="Calibri"/>
      <w:b/>
      <w:sz w:val="28"/>
      <w:szCs w:val="2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200" w:firstLineChars="200"/>
    </w:pPr>
    <w:rPr>
      <w:rFonts w:ascii="Calibri" w:hAnsi="Calibri" w:eastAsia="宋体" w:cs="宋体"/>
      <w:sz w:val="28"/>
      <w:szCs w:val="24"/>
    </w:rPr>
  </w:style>
  <w:style w:type="paragraph" w:styleId="3">
    <w:name w:val="Body Text Indent"/>
    <w:basedOn w:val="1"/>
    <w:unhideWhenUsed/>
    <w:qFormat/>
    <w:uiPriority w:val="99"/>
    <w:pPr>
      <w:spacing w:after="120"/>
      <w:ind w:left="420" w:leftChars="200"/>
    </w:pPr>
  </w:style>
  <w:style w:type="paragraph" w:styleId="7">
    <w:name w:val="Body Text"/>
    <w:basedOn w:val="1"/>
    <w:qFormat/>
    <w:uiPriority w:val="0"/>
    <w:pPr>
      <w:widowControl/>
      <w:spacing w:after="120"/>
      <w:jc w:val="left"/>
    </w:pPr>
    <w:rPr>
      <w:rFonts w:ascii="宋体" w:hAnsi="宋体"/>
      <w:kern w:val="0"/>
      <w:sz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eastAsia="微软雅黑" w:cs="宋体"/>
      <w:kern w:val="0"/>
      <w:sz w:val="24"/>
      <w:szCs w:val="24"/>
    </w:rPr>
  </w:style>
  <w:style w:type="paragraph" w:customStyle="1" w:styleId="13">
    <w:name w:val="BodyText"/>
    <w:basedOn w:val="1"/>
    <w:qFormat/>
    <w:uiPriority w:val="0"/>
    <w:pPr>
      <w:spacing w:after="120"/>
    </w:pPr>
  </w:style>
  <w:style w:type="table" w:customStyle="1" w:styleId="14">
    <w:name w:val="Table Normal"/>
    <w:semiHidden/>
    <w:unhideWhenUsed/>
    <w:qFormat/>
    <w:uiPriority w:val="0"/>
    <w:tblPr>
      <w:tblCellMar>
        <w:top w:w="0" w:type="dxa"/>
        <w:left w:w="0" w:type="dxa"/>
        <w:bottom w:w="0" w:type="dxa"/>
        <w:right w:w="0" w:type="dxa"/>
      </w:tblCellMar>
    </w:tblPr>
  </w:style>
  <w:style w:type="paragraph" w:customStyle="1" w:styleId="15">
    <w:name w:val="正文缩进 + 首行缩进:  2 字符"/>
    <w:basedOn w:val="1"/>
    <w:qFormat/>
    <w:uiPriority w:val="0"/>
    <w:pPr>
      <w:spacing w:line="560" w:lineRule="exact"/>
      <w:ind w:firstLine="640"/>
    </w:pPr>
    <w:rPr>
      <w:rFonts w:eastAsia="仿宋_GB2312" w:cs="宋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16701</Words>
  <Characters>23047</Characters>
  <Lines>0</Lines>
  <Paragraphs>0</Paragraphs>
  <TotalTime>0</TotalTime>
  <ScaleCrop>false</ScaleCrop>
  <LinksUpToDate>false</LinksUpToDate>
  <CharactersWithSpaces>23560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2021-10-14T01:41:00Z</dcterms:created>
  <dc:creator>慎独</dc:creator>
  <cp:lastModifiedBy> 刘思思</cp:lastModifiedBy>
  <dcterms:modified xsi:type="dcterms:W3CDTF">2023-06-15T07:26:20Z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E6B8049D25AB40C180FD461CBA7FD461</vt:lpwstr>
  </property>
</Properties>
</file>