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“三公”经费支出决算情况说明</w:t>
      </w:r>
    </w:p>
    <w:bookmarkEnd w:id="0"/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本部门2017年度“三公”经费支出决算数为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18.71</w:t>
      </w:r>
      <w:r>
        <w:rPr>
          <w:rFonts w:hint="eastAsia" w:ascii="仿宋" w:hAnsi="仿宋" w:eastAsia="仿宋"/>
          <w:sz w:val="30"/>
          <w:szCs w:val="30"/>
        </w:rPr>
        <w:t>万元，其中：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（一）因公出国（境）支出决算数为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（二）公务接待费支出决算数为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0.11</w:t>
      </w:r>
      <w:r>
        <w:rPr>
          <w:rFonts w:hint="eastAsia" w:ascii="仿宋" w:hAnsi="仿宋" w:eastAsia="仿宋"/>
          <w:sz w:val="30"/>
          <w:szCs w:val="30"/>
        </w:rPr>
        <w:t>万元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ind w:firstLine="63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（三）公务用车购置及运行维护费支出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18.61</w:t>
      </w:r>
      <w:r>
        <w:rPr>
          <w:rFonts w:hint="eastAsia" w:ascii="仿宋" w:hAnsi="仿宋" w:eastAsia="仿宋"/>
          <w:sz w:val="30"/>
          <w:szCs w:val="30"/>
        </w:rPr>
        <w:t>万元，其中公务用车购置决算数为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sz w:val="30"/>
          <w:szCs w:val="30"/>
        </w:rPr>
        <w:t>万元；公务用车运行维护费支出决算数为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18.61</w:t>
      </w:r>
      <w:r>
        <w:rPr>
          <w:rFonts w:hint="eastAsia" w:ascii="仿宋" w:hAnsi="仿宋" w:eastAsia="仿宋"/>
          <w:sz w:val="30"/>
          <w:szCs w:val="30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2018-11-27T08:33:53Z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