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widowControl/>
        <w:spacing w:beforeLines="200" w:beforeAutospacing="0"/>
        <w:rPr>
          <w:rFonts w:asciiTheme="minorEastAsia" w:hAnsiTheme="minorEastAsia" w:cstheme="minorEastAsia"/>
          <w:b/>
          <w:bCs/>
          <w:color w:val="FF0000"/>
          <w:w w:val="42"/>
          <w:sz w:val="104"/>
          <w:szCs w:val="104"/>
        </w:rPr>
      </w:pPr>
      <w:bookmarkStart w:id="0" w:name="_GoBack"/>
      <w:bookmarkEnd w:id="0"/>
      <w:r>
        <w:rPr>
          <w:rFonts w:hint="eastAsia" w:asciiTheme="minorEastAsia" w:hAnsiTheme="minorEastAsia" w:cstheme="minorEastAsia"/>
          <w:b/>
          <w:bCs/>
          <w:color w:val="FF0000"/>
          <w:w w:val="42"/>
          <w:sz w:val="104"/>
          <w:szCs w:val="104"/>
        </w:rPr>
        <w:t>青云谱区“五型”政府建设领导小组办公室</w:t>
      </w:r>
    </w:p>
    <w:p>
      <w:pPr>
        <w:pStyle w:val="10"/>
        <w:widowControl/>
        <w:spacing w:beforeLines="200" w:beforeAutospacing="0"/>
        <w:jc w:val="center"/>
        <w:rPr>
          <w:rFonts w:asciiTheme="minorEastAsia" w:hAnsiTheme="minorEastAsia" w:cstheme="minorEastAsia"/>
          <w:b/>
          <w:bCs/>
          <w:color w:val="FF0000"/>
          <w:sz w:val="120"/>
          <w:szCs w:val="120"/>
        </w:rPr>
      </w:pPr>
      <w:r>
        <w:rPr>
          <w:rFonts w:hint="eastAsia" w:asciiTheme="minorEastAsia" w:hAnsiTheme="minorEastAsia" w:cstheme="minorEastAsia"/>
          <w:b/>
          <w:bCs/>
          <w:color w:val="FF0000"/>
          <w:sz w:val="96"/>
          <w:szCs w:val="96"/>
        </w:rPr>
        <w:t>简     报</w:t>
      </w:r>
    </w:p>
    <w:p>
      <w:pPr>
        <w:pStyle w:val="10"/>
        <w:widowControl/>
        <w:jc w:val="center"/>
        <w:rPr>
          <w:color w:val="000000"/>
          <w:sz w:val="32"/>
          <w:szCs w:val="32"/>
        </w:rPr>
      </w:pPr>
      <w:r>
        <w:rPr>
          <w:color w:val="000000"/>
          <w:sz w:val="32"/>
          <w:szCs w:val="32"/>
        </w:rPr>
        <w:t>（第</w:t>
      </w:r>
      <w:r>
        <w:rPr>
          <w:rFonts w:hint="eastAsia"/>
          <w:color w:val="000000"/>
          <w:sz w:val="32"/>
          <w:szCs w:val="32"/>
          <w:lang w:val="en-US" w:eastAsia="zh-CN"/>
        </w:rPr>
        <w:t>6</w:t>
      </w:r>
      <w:r>
        <w:rPr>
          <w:color w:val="000000"/>
          <w:sz w:val="32"/>
          <w:szCs w:val="32"/>
        </w:rPr>
        <w:t>期）</w:t>
      </w:r>
    </w:p>
    <w:p>
      <w:pPr>
        <w:pStyle w:val="10"/>
        <w:widowControl/>
        <w:rPr>
          <w:color w:val="000000"/>
          <w:sz w:val="36"/>
          <w:szCs w:val="36"/>
        </w:rPr>
      </w:pPr>
      <w:r>
        <w:rPr>
          <w:sz w:val="32"/>
          <w:szCs w:val="32"/>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410210</wp:posOffset>
                </wp:positionV>
                <wp:extent cx="5255895" cy="0"/>
                <wp:effectExtent l="0" t="13970" r="1905" b="24130"/>
                <wp:wrapNone/>
                <wp:docPr id="2" name="直接连接符 2"/>
                <wp:cNvGraphicFramePr/>
                <a:graphic xmlns:a="http://schemas.openxmlformats.org/drawingml/2006/main">
                  <a:graphicData uri="http://schemas.microsoft.com/office/word/2010/wordprocessingShape">
                    <wps:wsp>
                      <wps:cNvCnPr/>
                      <wps:spPr>
                        <a:xfrm>
                          <a:off x="0" y="0"/>
                          <a:ext cx="5255895" cy="0"/>
                        </a:xfrm>
                        <a:prstGeom prst="line">
                          <a:avLst/>
                        </a:prstGeom>
                        <a:noFill/>
                        <a:ln w="28575" cap="flat" cmpd="sng" algn="ctr">
                          <a:solidFill>
                            <a:srgbClr val="FF0000"/>
                          </a:solidFill>
                          <a:prstDash val="solid"/>
                          <a:miter lim="800000"/>
                        </a:ln>
                        <a:effectLst/>
                      </wps:spPr>
                      <wps:bodyPr/>
                    </wps:wsp>
                  </a:graphicData>
                </a:graphic>
              </wp:anchor>
            </w:drawing>
          </mc:Choice>
          <mc:Fallback>
            <w:pict>
              <v:line id="_x0000_s1026" o:spid="_x0000_s1026" o:spt="20" style="position:absolute;left:0pt;margin-left:0.4pt;margin-top:32.3pt;height:0pt;width:413.85pt;z-index:251659264;mso-width-relative:page;mso-height-relative:page;" filled="f" stroked="t" coordsize="21600,21600" o:gfxdata="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y1YQsNYAAAAGAQAADwAAAAAAAAABACAAAAAiAAAA&#10;ZHJzL2Rvd25yZXYueG1sUEsBAhQAFAAAAAgAh07iQPsxzgDQAQAAcgMAAA4AAAAAAAAAAQAgAAAA&#10;JQEAAGRycy9lMm9Eb2MueG1sUEsFBgAAAAAGAAYAWQEAAGcFAAAAAA==&#10;">
                <v:fill on="f" focussize="0,0"/>
                <v:stroke weight="2.25pt" color="#FF0000" miterlimit="8" joinstyle="miter"/>
                <v:imagedata o:title=""/>
                <o:lock v:ext="edit" aspectratio="f"/>
              </v:line>
            </w:pict>
          </mc:Fallback>
        </mc:AlternateContent>
      </w:r>
      <w:r>
        <w:rPr>
          <w:rFonts w:hint="eastAsia"/>
          <w:color w:val="000000"/>
          <w:sz w:val="32"/>
          <w:szCs w:val="32"/>
        </w:rPr>
        <w:t xml:space="preserve">区“五型”办编印          </w:t>
      </w:r>
      <w:r>
        <w:rPr>
          <w:color w:val="000000"/>
          <w:sz w:val="32"/>
          <w:szCs w:val="32"/>
        </w:rPr>
        <w:t xml:space="preserve"> </w:t>
      </w:r>
      <w:r>
        <w:rPr>
          <w:rFonts w:hint="eastAsia"/>
          <w:color w:val="000000"/>
          <w:sz w:val="32"/>
          <w:szCs w:val="32"/>
        </w:rPr>
        <w:t xml:space="preserve">         </w:t>
      </w:r>
      <w:r>
        <w:rPr>
          <w:color w:val="000000"/>
          <w:sz w:val="32"/>
          <w:szCs w:val="32"/>
        </w:rPr>
        <w:t>20</w:t>
      </w:r>
      <w:r>
        <w:rPr>
          <w:rFonts w:hint="eastAsia"/>
          <w:color w:val="000000"/>
          <w:sz w:val="32"/>
          <w:szCs w:val="32"/>
        </w:rPr>
        <w:t>20</w:t>
      </w:r>
      <w:r>
        <w:rPr>
          <w:color w:val="000000"/>
          <w:sz w:val="32"/>
          <w:szCs w:val="32"/>
        </w:rPr>
        <w:t>年</w:t>
      </w:r>
      <w:r>
        <w:rPr>
          <w:rFonts w:hint="eastAsia"/>
          <w:color w:val="000000"/>
          <w:sz w:val="32"/>
          <w:szCs w:val="32"/>
          <w:lang w:val="en-US" w:eastAsia="zh-CN"/>
        </w:rPr>
        <w:t>6</w:t>
      </w:r>
      <w:r>
        <w:rPr>
          <w:color w:val="000000"/>
          <w:sz w:val="32"/>
          <w:szCs w:val="32"/>
        </w:rPr>
        <w:t>月</w:t>
      </w:r>
      <w:r>
        <w:rPr>
          <w:rFonts w:hint="eastAsia"/>
          <w:color w:val="000000"/>
          <w:sz w:val="32"/>
          <w:szCs w:val="32"/>
          <w:lang w:val="en-US" w:eastAsia="zh-CN"/>
        </w:rPr>
        <w:t>29</w:t>
      </w:r>
      <w:r>
        <w:rPr>
          <w:color w:val="000000"/>
          <w:sz w:val="32"/>
          <w:szCs w:val="32"/>
        </w:rPr>
        <w:t>日</w:t>
      </w:r>
    </w:p>
    <w:p>
      <w:pPr>
        <w:pStyle w:val="10"/>
        <w:widowControl/>
        <w:spacing w:beforeLines="200" w:beforeAutospacing="0"/>
        <w:rPr>
          <w:b/>
          <w:bCs/>
          <w:color w:val="000000"/>
          <w:sz w:val="32"/>
          <w:szCs w:val="32"/>
        </w:rPr>
      </w:pPr>
      <w:r>
        <w:rPr>
          <w:b/>
          <w:bCs/>
          <w:color w:val="000000"/>
          <w:sz w:val="32"/>
          <w:szCs w:val="32"/>
        </w:rPr>
        <w:t>【</w:t>
      </w:r>
      <w:r>
        <w:rPr>
          <w:rFonts w:hint="eastAsia"/>
          <w:b/>
          <w:bCs/>
          <w:color w:val="000000"/>
          <w:sz w:val="32"/>
          <w:szCs w:val="32"/>
        </w:rPr>
        <w:t>典型推介</w:t>
      </w:r>
      <w:r>
        <w:rPr>
          <w:b/>
          <w:bCs/>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用思想解放撬动优化营商环境全面提升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区税务局围绕服务发展大局、优化营商环境、完善税收治理、涵养政治生态4个主题，深入开展解放思想大讨论，用思想的解放推动税收主责主业的完成，用优化税收服务提升纳税人满意度获得感。</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一是提升履职能力，夯实优化服务基础。</w:t>
      </w:r>
      <w:r>
        <w:rPr>
          <w:rFonts w:hint="eastAsia" w:ascii="仿宋_GB2312" w:hAnsi="仿宋_GB2312" w:eastAsia="仿宋_GB2312" w:cs="仿宋_GB2312"/>
          <w:b w:val="0"/>
          <w:bCs w:val="0"/>
          <w:kern w:val="2"/>
          <w:sz w:val="32"/>
          <w:szCs w:val="32"/>
          <w:lang w:val="en-US" w:eastAsia="zh-CN" w:bidi="ar-SA"/>
        </w:rPr>
        <w:t>牢固树立终生学习的思想，要求干部职工坚定做到勤学习、善思考、勇实践、敢转变。强化税收治理现代化新思想、新要求、新举措的逐条领会，认清形势，把握大局，作税收改革的“担当人”。强化履职能力提升，熟悉税收规定规范，熟悉业务流程要点，熟悉服务模式方式，用创新的思维、发展的眼光和专业的角度，做企业发展壮大的“领路人”。</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黑体" w:hAnsi="黑体" w:eastAsia="黑体" w:cs="黑体"/>
          <w:b w:val="0"/>
          <w:bCs w:val="0"/>
          <w:sz w:val="32"/>
          <w:szCs w:val="32"/>
          <w:lang w:val="en-US" w:eastAsia="zh-CN"/>
        </w:rPr>
        <w:t>二是创新务实举措，巩固优化服务成效。</w:t>
      </w:r>
      <w:r>
        <w:rPr>
          <w:rFonts w:hint="eastAsia" w:ascii="仿宋_GB2312" w:hAnsi="仿宋_GB2312" w:eastAsia="仿宋_GB2312" w:cs="仿宋_GB2312"/>
          <w:b w:val="0"/>
          <w:bCs w:val="0"/>
          <w:kern w:val="2"/>
          <w:sz w:val="32"/>
          <w:szCs w:val="32"/>
          <w:lang w:val="en-US" w:eastAsia="zh-CN" w:bidi="ar-SA"/>
        </w:rPr>
        <w:t>贯彻落实税务总局“四力”要求，创新提出认识再提高，措施再强化，监督再加力，问题再梳理，服务再优化，工作再统筹“6再”务实举措。走到纳税人身边落实税费优惠政策，广泛组织政策和操作的学习与培训，优惠政策应享尽享，减税降费应退尽退。围绕打造“四最”营商环境目标，聚焦一企一策、一窗办税、最多跑一次、套餐式服务等涉税业务事项，不断减少纳税次数、压缩办税时间，让纳税人全程享受快捷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b w:val="0"/>
          <w:bCs w:val="0"/>
          <w:kern w:val="2"/>
          <w:sz w:val="32"/>
          <w:szCs w:val="32"/>
          <w:lang w:val="en-US" w:eastAsia="zh-CN" w:bidi="ar-SA"/>
        </w:rPr>
        <w:t>三是推进作风改进，强化优化服务保障。</w:t>
      </w:r>
      <w:r>
        <w:rPr>
          <w:rFonts w:hint="eastAsia" w:ascii="仿宋_GB2312" w:hAnsi="仿宋_GB2312" w:eastAsia="仿宋_GB2312" w:cs="仿宋_GB2312"/>
          <w:sz w:val="32"/>
          <w:szCs w:val="32"/>
          <w:lang w:val="en-US" w:eastAsia="zh-CN"/>
        </w:rPr>
        <w:t>坚持先学一步、深学一层、学透一点，带头转变精神状态，带头改进工作作风，把自己从“等”的观念、“稳”的思想、“靠”的态度、“怕”的心理中解放出来，带头成为奋勇前行的领航者。</w:t>
      </w:r>
      <w:r>
        <w:rPr>
          <w:rFonts w:hint="eastAsia" w:ascii="仿宋_GB2312" w:hAnsi="仿宋_GB2312" w:eastAsia="仿宋_GB2312" w:cs="仿宋_GB2312"/>
          <w:sz w:val="32"/>
          <w:szCs w:val="32"/>
          <w:lang w:eastAsia="zh-CN"/>
        </w:rPr>
        <w:t>积极践行“便民办税春风行动”，“破除中梗阻、弘扬正能量”，利用微信远程联络手段，借助社区涉税力量，建立涉税网格化管理服务，税务人既是疫情防控员，也是税法宣传员、辅导员、网格员，用实际行动打通联系纳税人的“最后一公里”，用务实的作风让优质服务惠及千家万户。</w:t>
      </w:r>
    </w:p>
    <w:p>
      <w:pPr>
        <w:keepNext w:val="0"/>
        <w:keepLines w:val="0"/>
        <w:pageBreakBefore w:val="0"/>
        <w:widowControl w:val="0"/>
        <w:kinsoku/>
        <w:wordWrap/>
        <w:overflowPunct/>
        <w:topLinePunct w:val="0"/>
        <w:autoSpaceDE/>
        <w:autoSpaceDN/>
        <w:bidi w:val="0"/>
        <w:adjustRightInd/>
        <w:snapToGrid/>
        <w:spacing w:before="313" w:beforeLines="100" w:line="580" w:lineRule="exact"/>
        <w:jc w:val="center"/>
        <w:textAlignment w:val="auto"/>
        <w:rPr>
          <w:rFonts w:hint="eastAsia" w:ascii="方正小标宋简体" w:hAnsi="方正小标宋简体" w:eastAsia="方正小标宋简体" w:cs="方正小标宋简体"/>
          <w:b/>
          <w:bCs/>
          <w:w w:val="90"/>
          <w:sz w:val="44"/>
          <w:szCs w:val="44"/>
          <w:lang w:val="en-US" w:eastAsia="zh-CN"/>
        </w:rPr>
      </w:pPr>
      <w:r>
        <w:rPr>
          <w:rFonts w:hint="eastAsia" w:ascii="方正小标宋简体" w:hAnsi="方正小标宋简体" w:eastAsia="方正小标宋简体" w:cs="方正小标宋简体"/>
          <w:b w:val="0"/>
          <w:bCs w:val="0"/>
          <w:w w:val="90"/>
          <w:sz w:val="44"/>
          <w:szCs w:val="44"/>
          <w:lang w:val="en-US" w:eastAsia="zh-CN"/>
        </w:rPr>
        <w:t>筑牢五重堡垒  强化卫健工作</w:t>
      </w:r>
    </w:p>
    <w:p>
      <w:pPr>
        <w:keepNext w:val="0"/>
        <w:keepLines w:val="0"/>
        <w:pageBreakBefore w:val="0"/>
        <w:widowControl w:val="0"/>
        <w:kinsoku/>
        <w:wordWrap/>
        <w:overflowPunct/>
        <w:topLinePunct w:val="0"/>
        <w:autoSpaceDE/>
        <w:autoSpaceDN/>
        <w:bidi w:val="0"/>
        <w:adjustRightInd/>
        <w:snapToGrid/>
        <w:spacing w:before="157" w:beforeLines="50"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区卫生健康委</w:t>
      </w:r>
      <w:r>
        <w:rPr>
          <w:rFonts w:hint="eastAsia" w:ascii="仿宋" w:hAnsi="仿宋" w:eastAsia="仿宋" w:cs="仿宋"/>
          <w:sz w:val="32"/>
          <w:szCs w:val="32"/>
        </w:rPr>
        <w:t>统筹推进疫情防控和</w:t>
      </w:r>
      <w:r>
        <w:rPr>
          <w:rFonts w:hint="eastAsia" w:ascii="仿宋" w:hAnsi="仿宋" w:eastAsia="仿宋" w:cs="仿宋"/>
          <w:sz w:val="32"/>
          <w:szCs w:val="32"/>
          <w:lang w:val="en-US" w:eastAsia="zh-CN"/>
        </w:rPr>
        <w:t>卫健事业健康</w:t>
      </w:r>
      <w:r>
        <w:rPr>
          <w:rFonts w:hint="eastAsia" w:ascii="仿宋" w:hAnsi="仿宋" w:eastAsia="仿宋" w:cs="仿宋"/>
          <w:sz w:val="32"/>
          <w:szCs w:val="32"/>
        </w:rPr>
        <w:t>发展</w:t>
      </w:r>
      <w:r>
        <w:rPr>
          <w:rFonts w:hint="eastAsia" w:ascii="仿宋" w:hAnsi="仿宋" w:eastAsia="仿宋" w:cs="仿宋"/>
          <w:sz w:val="32"/>
          <w:szCs w:val="32"/>
          <w:lang w:eastAsia="zh-CN"/>
        </w:rPr>
        <w:t>，</w:t>
      </w:r>
      <w:r>
        <w:rPr>
          <w:rFonts w:hint="eastAsia" w:ascii="仿宋" w:hAnsi="仿宋" w:eastAsia="仿宋" w:cs="仿宋"/>
          <w:b w:val="0"/>
          <w:i w:val="0"/>
          <w:caps w:val="0"/>
          <w:color w:val="auto"/>
          <w:spacing w:val="0"/>
          <w:sz w:val="32"/>
          <w:szCs w:val="32"/>
          <w:shd w:val="clear" w:color="auto" w:fill="FFFFFF"/>
        </w:rPr>
        <w:t>坚持补短板，</w:t>
      </w:r>
      <w:r>
        <w:rPr>
          <w:rFonts w:hint="eastAsia" w:ascii="仿宋" w:hAnsi="仿宋" w:eastAsia="仿宋" w:cs="仿宋"/>
          <w:b w:val="0"/>
          <w:i w:val="0"/>
          <w:caps w:val="0"/>
          <w:color w:val="auto"/>
          <w:spacing w:val="0"/>
          <w:sz w:val="32"/>
          <w:szCs w:val="32"/>
          <w:shd w:val="clear" w:color="auto" w:fill="FFFFFF"/>
          <w:lang w:val="en-US" w:eastAsia="zh-CN"/>
        </w:rPr>
        <w:t>筑牢</w:t>
      </w:r>
      <w:r>
        <w:rPr>
          <w:rFonts w:hint="eastAsia" w:ascii="仿宋" w:hAnsi="仿宋" w:eastAsia="仿宋" w:cs="仿宋"/>
          <w:sz w:val="32"/>
          <w:szCs w:val="32"/>
          <w:lang w:val="en-US" w:eastAsia="zh-CN"/>
        </w:rPr>
        <w:t>五重堡垒，</w:t>
      </w:r>
      <w:r>
        <w:rPr>
          <w:rFonts w:hint="eastAsia" w:ascii="仿宋" w:hAnsi="仿宋" w:eastAsia="仿宋" w:cs="仿宋"/>
          <w:b w:val="0"/>
          <w:i w:val="0"/>
          <w:caps w:val="0"/>
          <w:color w:val="auto"/>
          <w:spacing w:val="0"/>
          <w:sz w:val="32"/>
          <w:szCs w:val="32"/>
          <w:shd w:val="clear" w:color="auto" w:fill="FFFFFF"/>
        </w:rPr>
        <w:t>探索新路径，健全新机制，</w:t>
      </w:r>
      <w:r>
        <w:rPr>
          <w:rFonts w:hint="eastAsia" w:ascii="仿宋" w:hAnsi="仿宋" w:eastAsia="仿宋" w:cs="仿宋"/>
          <w:sz w:val="32"/>
          <w:szCs w:val="32"/>
          <w:lang w:val="en-US" w:eastAsia="zh-CN"/>
        </w:rPr>
        <w:t>抓实抓细全区卫生健康各项</w:t>
      </w:r>
      <w:r>
        <w:rPr>
          <w:rFonts w:hint="eastAsia" w:ascii="仿宋" w:hAnsi="仿宋" w:eastAsia="仿宋" w:cs="仿宋"/>
          <w:sz w:val="32"/>
          <w:szCs w:val="32"/>
        </w:rPr>
        <w:t>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一是以解放思想大讨论和“五型”政府建设为总抓手，强化</w:t>
      </w:r>
      <w:r>
        <w:rPr>
          <w:rFonts w:hint="default" w:ascii="黑体" w:hAnsi="黑体" w:eastAsia="黑体" w:cs="黑体"/>
          <w:b w:val="0"/>
          <w:bCs w:val="0"/>
          <w:sz w:val="32"/>
          <w:szCs w:val="32"/>
          <w:lang w:eastAsia="zh-CN"/>
        </w:rPr>
        <w:t>思想认识</w:t>
      </w:r>
      <w:r>
        <w:rPr>
          <w:rFonts w:hint="eastAsia" w:ascii="黑体" w:hAnsi="黑体" w:eastAsia="黑体" w:cs="黑体"/>
          <w:b w:val="0"/>
          <w:bCs w:val="0"/>
          <w:sz w:val="32"/>
          <w:szCs w:val="32"/>
          <w:lang w:val="en-US" w:eastAsia="zh-CN"/>
        </w:rPr>
        <w:t>。</w:t>
      </w:r>
      <w:r>
        <w:rPr>
          <w:rFonts w:hint="eastAsia" w:ascii="仿宋" w:hAnsi="仿宋" w:eastAsia="仿宋" w:cs="仿宋"/>
          <w:sz w:val="32"/>
          <w:szCs w:val="32"/>
          <w:lang w:val="en-US" w:eastAsia="zh-CN"/>
        </w:rPr>
        <w:t>进一步解放思想，求真务实，扎实推进基层党建基石“摆的正”、“砌的牢”、“靠得住”、“立得稳”。发表解放思想大讨论署名文章发起活动号角，多次组织全委干部开展思想大讨论活动，开诚布公，谈感想，论做法，努力形成“敢干事、能干事、干成事、干好事”的工作风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b w:val="0"/>
          <w:bCs w:val="0"/>
          <w:sz w:val="32"/>
          <w:szCs w:val="32"/>
          <w:lang w:val="en-US" w:eastAsia="zh-CN"/>
        </w:rPr>
        <w:t>二是以推动</w:t>
      </w:r>
      <w:r>
        <w:rPr>
          <w:rFonts w:hint="eastAsia" w:ascii="黑体" w:hAnsi="黑体" w:eastAsia="黑体" w:cs="黑体"/>
          <w:b w:val="0"/>
          <w:bCs w:val="0"/>
          <w:sz w:val="32"/>
          <w:szCs w:val="32"/>
        </w:rPr>
        <w:t>医联体</w:t>
      </w:r>
      <w:r>
        <w:rPr>
          <w:rFonts w:hint="eastAsia" w:ascii="黑体" w:hAnsi="黑体" w:eastAsia="黑体" w:cs="黑体"/>
          <w:b w:val="0"/>
          <w:bCs w:val="0"/>
          <w:sz w:val="32"/>
          <w:szCs w:val="32"/>
          <w:lang w:val="en-US" w:eastAsia="zh-CN"/>
        </w:rPr>
        <w:t>为中心，打造“一张网”建设。</w:t>
      </w:r>
      <w:r>
        <w:rPr>
          <w:rFonts w:hint="eastAsia" w:ascii="仿宋" w:hAnsi="仿宋" w:eastAsia="仿宋" w:cs="仿宋"/>
          <w:sz w:val="32"/>
          <w:szCs w:val="32"/>
          <w:lang w:val="en-US" w:eastAsia="zh-CN"/>
        </w:rPr>
        <w:t>完成洪都生活区（老厂区）新建社区卫生服务机构规划，推进符合条件的社区卫生服务中心启动二类事业单位国资办服务登记</w:t>
      </w:r>
      <w:r>
        <w:rPr>
          <w:rFonts w:hint="default" w:ascii="仿宋" w:hAnsi="仿宋" w:eastAsia="仿宋" w:cs="仿宋"/>
          <w:sz w:val="32"/>
          <w:szCs w:val="32"/>
          <w:lang w:eastAsia="zh-CN"/>
        </w:rPr>
        <w:t>；</w:t>
      </w:r>
      <w:r>
        <w:rPr>
          <w:rFonts w:hint="eastAsia" w:ascii="仿宋" w:hAnsi="仿宋" w:eastAsia="仿宋" w:cs="仿宋"/>
          <w:sz w:val="32"/>
          <w:szCs w:val="32"/>
          <w:lang w:val="en-US" w:eastAsia="zh-CN"/>
        </w:rPr>
        <w:t>积极推动青云谱镇卫生院异地新建，补充现有业务用房不足问题，不断提高社区卫生服务中心公办占比。与我市解放军九四医院、省中西医结合医院、南大附属三三四医院等二级以上医疗机构签订医联体合作协议，建立紧密型医联体关系，积极促进优质医疗资源逐渐下沉，解决基层无住院病床或住院病床不够的实际问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b w:val="0"/>
          <w:bCs w:val="0"/>
          <w:sz w:val="32"/>
          <w:szCs w:val="32"/>
          <w:lang w:val="en-US" w:eastAsia="zh-CN"/>
        </w:rPr>
        <w:t>三是以“高质量发展十大行动”为标准，高质量改善民生福祉。</w:t>
      </w:r>
      <w:r>
        <w:rPr>
          <w:rFonts w:hint="eastAsia" w:ascii="仿宋" w:hAnsi="仿宋" w:eastAsia="仿宋" w:cs="仿宋"/>
          <w:sz w:val="32"/>
          <w:szCs w:val="32"/>
          <w:lang w:val="en-US" w:eastAsia="zh-CN"/>
        </w:rPr>
        <w:t>全区各级各类医疗卫生机构在应对疫情防控的同时，全面恢复正常运行，保障居民基本诊疗服务需求。深入开展冬春季爱国卫生运动，坚持开展环境治理为主</w:t>
      </w:r>
      <w:r>
        <w:rPr>
          <w:rFonts w:hint="default" w:ascii="仿宋" w:hAnsi="仿宋" w:eastAsia="仿宋" w:cs="仿宋"/>
          <w:sz w:val="32"/>
          <w:szCs w:val="32"/>
          <w:lang w:eastAsia="zh-CN"/>
        </w:rPr>
        <w:t>、</w:t>
      </w:r>
      <w:r>
        <w:rPr>
          <w:rFonts w:hint="eastAsia" w:ascii="仿宋" w:hAnsi="仿宋" w:eastAsia="仿宋" w:cs="仿宋"/>
          <w:sz w:val="32"/>
          <w:szCs w:val="32"/>
          <w:lang w:val="en-US" w:eastAsia="zh-CN"/>
        </w:rPr>
        <w:t>药物消杀为辅的病媒生物防制活动。推进第五医院异地新建项目建设，积极发挥五院等区域医疗资源作用。持续推动“1+5+X”邻里中心健康小屋不断完善，提升基层卫生健康服务能力，大力改善卫生健康服务体验。总投资达4000万元，引进洁佳婴幼儿照护中心项目，在全市率先打造目前规模最大婴幼儿托育中心，可同时满足300个家庭托育需求。</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b w:val="0"/>
          <w:bCs w:val="0"/>
          <w:sz w:val="32"/>
          <w:szCs w:val="32"/>
          <w:lang w:val="en-US" w:eastAsia="zh-CN"/>
        </w:rPr>
        <w:t>四是以医联体网络为载体，不断强化基层医卫机构居民健康守门人能力。</w:t>
      </w:r>
      <w:r>
        <w:rPr>
          <w:rFonts w:hint="eastAsia" w:ascii="仿宋" w:hAnsi="仿宋" w:eastAsia="仿宋" w:cs="仿宋"/>
          <w:sz w:val="32"/>
          <w:szCs w:val="32"/>
          <w:lang w:val="en-US" w:eastAsia="zh-CN"/>
        </w:rPr>
        <w:t>持续推动家庭医生签约服务。细化、实化签约服务流程和服务标准，有的放矢抓实家庭医生团队建设，以高血压、糖尿病等慢性病管理为突破口，探索开展签约服务信息化管理。对中老年人、孕产妇、儿童、肺结核、残疾人、低保户、具有精神障碍等重点人群进行家庭医生签约、建档立卡一对一服务，为重点人群开展一年四次随访一次体检免费服务。切实提高居民早发现、早诊断、早治疗意识，大大增强村民看病就医的满意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b w:val="0"/>
          <w:bCs w:val="0"/>
          <w:sz w:val="32"/>
          <w:szCs w:val="32"/>
          <w:lang w:val="en-US" w:eastAsia="zh-CN"/>
        </w:rPr>
        <w:t>五是以政府工作报告责任细化分工为落脚点，助力卫生事业稳步发展。</w:t>
      </w:r>
      <w:r>
        <w:rPr>
          <w:rFonts w:hint="eastAsia" w:ascii="仿宋" w:hAnsi="仿宋" w:eastAsia="仿宋" w:cs="仿宋"/>
          <w:sz w:val="32"/>
          <w:szCs w:val="32"/>
          <w:lang w:val="en-US" w:eastAsia="zh-CN"/>
        </w:rPr>
        <w:t>采取钉钉线上教学、上门指导和实战演练等形式，对全区162家教育培训机构、155家医疗卫生机构、241家公共场所开展疫情防控工作指导，详细讲解应急预案、防控知识培训、校园环境整治、发热门诊设置及转运流程等内容。严格督导社区（村）、企事业单位、公共场所、学校等区域常态化防控措施落实落细。强化境外、境内重点地区来区人员排查管控。依法管控“新四类人员”，坚决守住“两条底线”。坚持宣控结合，累计发放张贴防疫海报6754张，发放疫情防控宣传折页22860余份，疫情防控手册731本。</w:t>
      </w:r>
    </w:p>
    <w:p>
      <w:pPr>
        <w:spacing w:line="360" w:lineRule="auto"/>
        <w:jc w:val="center"/>
        <w:rPr>
          <w:rFonts w:hint="eastAsia" w:ascii="楷体_GB2312" w:hAnsi="黑体" w:eastAsia="楷体_GB2312" w:cs="仿宋_GB2312"/>
          <w:b/>
          <w:sz w:val="32"/>
          <w:szCs w:val="32"/>
          <w:lang w:val="en-US" w:eastAsia="zh-CN"/>
        </w:rPr>
      </w:pPr>
      <w:r>
        <w:rPr>
          <w:rFonts w:hint="eastAsia" w:ascii="方正小标宋简体" w:hAnsi="方正小标宋简体" w:eastAsia="方正小标宋简体" w:cs="方正小标宋简体"/>
          <w:b w:val="0"/>
          <w:bCs/>
          <w:sz w:val="44"/>
          <w:szCs w:val="44"/>
          <w:lang w:val="en-US" w:eastAsia="zh-CN"/>
        </w:rPr>
        <w:t>彰显责任担当  推进</w:t>
      </w:r>
      <w:r>
        <w:rPr>
          <w:rFonts w:hint="eastAsia" w:ascii="方正小标宋简体" w:hAnsi="方正小标宋简体" w:eastAsia="方正小标宋简体" w:cs="方正小标宋简体"/>
          <w:b w:val="0"/>
          <w:bCs/>
          <w:sz w:val="44"/>
          <w:szCs w:val="44"/>
        </w:rPr>
        <w:t>新城</w:t>
      </w:r>
      <w:r>
        <w:rPr>
          <w:rFonts w:hint="eastAsia" w:ascii="方正小标宋简体" w:hAnsi="方正小标宋简体" w:eastAsia="方正小标宋简体" w:cs="方正小标宋简体"/>
          <w:b w:val="0"/>
          <w:bCs/>
          <w:sz w:val="44"/>
          <w:szCs w:val="44"/>
          <w:lang w:val="en-US" w:eastAsia="zh-CN"/>
        </w:rPr>
        <w:t>建设</w:t>
      </w:r>
    </w:p>
    <w:p>
      <w:pPr>
        <w:spacing w:line="360" w:lineRule="auto"/>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洪都街办紧紧围绕</w:t>
      </w:r>
      <w:r>
        <w:rPr>
          <w:rFonts w:hint="eastAsia" w:ascii="仿宋_GB2312" w:hAnsi="仿宋_GB2312" w:eastAsia="仿宋_GB2312" w:cs="仿宋_GB2312"/>
          <w:sz w:val="32"/>
          <w:szCs w:val="32"/>
        </w:rPr>
        <w:t>“人文生态慧圃、都市产业新城”</w:t>
      </w:r>
      <w:r>
        <w:rPr>
          <w:rFonts w:hint="eastAsia" w:ascii="仿宋_GB2312" w:hAnsi="仿宋_GB2312" w:eastAsia="仿宋_GB2312" w:cs="仿宋_GB2312"/>
          <w:sz w:val="32"/>
          <w:szCs w:val="32"/>
          <w:lang w:val="en-US" w:eastAsia="zh-CN"/>
        </w:rPr>
        <w:t>发展目标</w:t>
      </w:r>
      <w:r>
        <w:rPr>
          <w:rFonts w:hint="eastAsia" w:ascii="仿宋_GB2312" w:hAnsi="仿宋_GB2312" w:eastAsia="仿宋_GB2312" w:cs="仿宋_GB2312"/>
          <w:sz w:val="32"/>
          <w:szCs w:val="32"/>
        </w:rPr>
        <w:t>，展现洪都担当作为，向好的学、跟强的比、与快的赛，打通“彰显省会担当”最后一公里，以</w:t>
      </w:r>
      <w:r>
        <w:rPr>
          <w:rFonts w:hint="eastAsia" w:ascii="仿宋_GB2312" w:hAnsi="仿宋_GB2312" w:eastAsia="仿宋_GB2312" w:cs="仿宋_GB2312"/>
          <w:sz w:val="32"/>
          <w:szCs w:val="32"/>
          <w:shd w:val="clear" w:color="auto" w:fill="FFFFFF"/>
        </w:rPr>
        <w:t>老旧小区改造为抓手，全力推进城市建管十大提升工作，按下</w:t>
      </w:r>
      <w:r>
        <w:rPr>
          <w:rFonts w:hint="eastAsia" w:ascii="仿宋_GB2312" w:hAnsi="仿宋_GB2312" w:eastAsia="仿宋_GB2312" w:cs="仿宋_GB2312"/>
          <w:sz w:val="32"/>
          <w:szCs w:val="32"/>
        </w:rPr>
        <w:t>老工业区转型升级的“快进键”。</w:t>
      </w:r>
    </w:p>
    <w:p>
      <w:pPr>
        <w:numPr>
          <w:ilvl w:val="0"/>
          <w:numId w:val="0"/>
        </w:numPr>
        <w:spacing w:line="360" w:lineRule="auto"/>
        <w:ind w:firstLine="640" w:firstLineChars="200"/>
        <w:rPr>
          <w:rFonts w:hint="eastAsia" w:ascii="仿宋_GB2312" w:hAnsi="仿宋_GB2312" w:eastAsia="仿宋_GB2312" w:cs="仿宋_GB2312"/>
          <w:color w:val="000000"/>
          <w:spacing w:val="5"/>
          <w:sz w:val="32"/>
          <w:szCs w:val="32"/>
          <w:shd w:val="clear" w:color="auto" w:fill="FFFFFF"/>
          <w:lang w:val="en-US" w:eastAsia="zh-CN"/>
        </w:rPr>
      </w:pPr>
      <w:r>
        <w:rPr>
          <w:rFonts w:hint="eastAsia" w:ascii="黑体" w:hAnsi="黑体" w:eastAsia="黑体" w:cs="黑体"/>
          <w:b w:val="0"/>
          <w:bCs/>
          <w:sz w:val="32"/>
          <w:szCs w:val="32"/>
          <w:lang w:val="en-US" w:eastAsia="zh-CN"/>
        </w:rPr>
        <w:t>一是筑牢思想</w:t>
      </w:r>
      <w:r>
        <w:rPr>
          <w:rFonts w:hint="eastAsia" w:ascii="黑体" w:hAnsi="黑体" w:eastAsia="黑体" w:cs="黑体"/>
          <w:b w:val="0"/>
          <w:bCs/>
          <w:sz w:val="32"/>
          <w:szCs w:val="32"/>
        </w:rPr>
        <w:t>根基，让堡垒强起来</w:t>
      </w:r>
      <w:r>
        <w:rPr>
          <w:rFonts w:hint="eastAsia" w:ascii="黑体" w:hAnsi="黑体" w:eastAsia="黑体" w:cs="黑体"/>
          <w:b w:val="0"/>
          <w:bCs/>
          <w:sz w:val="32"/>
          <w:szCs w:val="32"/>
          <w:lang w:eastAsia="zh-CN"/>
        </w:rPr>
        <w:t>。</w:t>
      </w:r>
      <w:r>
        <w:rPr>
          <w:rFonts w:hint="eastAsia" w:ascii="仿宋_GB2312" w:hAnsi="仿宋_GB2312" w:eastAsia="仿宋_GB2312" w:cs="仿宋_GB2312"/>
          <w:sz w:val="32"/>
          <w:szCs w:val="32"/>
        </w:rPr>
        <w:t>以“</w:t>
      </w:r>
      <w:r>
        <w:rPr>
          <w:rFonts w:hint="eastAsia" w:ascii="仿宋_GB2312" w:hAnsi="仿宋_GB2312" w:eastAsia="仿宋_GB2312" w:cs="仿宋_GB2312"/>
          <w:sz w:val="32"/>
          <w:szCs w:val="32"/>
          <w:lang w:val="en-US" w:eastAsia="zh-CN"/>
        </w:rPr>
        <w:t>思想</w:t>
      </w:r>
      <w:r>
        <w:rPr>
          <w:rFonts w:hint="eastAsia" w:ascii="仿宋_GB2312" w:hAnsi="仿宋_GB2312" w:eastAsia="仿宋_GB2312" w:cs="仿宋_GB2312"/>
          <w:sz w:val="32"/>
          <w:szCs w:val="32"/>
        </w:rPr>
        <w:t>引领”贯穿工作始终，</w:t>
      </w:r>
      <w:r>
        <w:rPr>
          <w:rFonts w:hint="eastAsia" w:ascii="仿宋_GB2312" w:hAnsi="仿宋_GB2312" w:eastAsia="仿宋_GB2312" w:cs="仿宋_GB2312"/>
          <w:sz w:val="32"/>
          <w:szCs w:val="32"/>
          <w:shd w:val="clear" w:color="auto" w:fill="FFFFFF"/>
        </w:rPr>
        <w:t>遵循“强党建、促协商、共治理”的宗旨，</w:t>
      </w:r>
      <w:r>
        <w:rPr>
          <w:rFonts w:hint="eastAsia" w:ascii="仿宋_GB2312" w:hAnsi="仿宋_GB2312" w:eastAsia="仿宋_GB2312" w:cs="仿宋_GB2312"/>
          <w:sz w:val="32"/>
          <w:szCs w:val="32"/>
          <w:shd w:val="clear" w:color="auto" w:fill="FFFFFF"/>
          <w:lang w:val="en-US" w:eastAsia="zh-CN"/>
        </w:rPr>
        <w:t>党政主要领导</w:t>
      </w:r>
      <w:r>
        <w:rPr>
          <w:rFonts w:hint="eastAsia" w:ascii="仿宋_GB2312" w:hAnsi="仿宋_GB2312" w:eastAsia="仿宋_GB2312" w:cs="仿宋_GB2312"/>
          <w:sz w:val="32"/>
          <w:szCs w:val="32"/>
          <w:shd w:val="clear" w:color="auto" w:fill="FFFFFF"/>
        </w:rPr>
        <w:t>作为“带头人”,</w:t>
      </w:r>
      <w:r>
        <w:rPr>
          <w:rFonts w:hint="eastAsia" w:ascii="仿宋_GB2312" w:hAnsi="仿宋_GB2312" w:eastAsia="仿宋_GB2312" w:cs="仿宋_GB2312"/>
          <w:sz w:val="32"/>
          <w:szCs w:val="32"/>
        </w:rPr>
        <w:t>“带任务、明思路、定目标”下到社区，</w:t>
      </w:r>
      <w:r>
        <w:rPr>
          <w:rFonts w:hint="eastAsia" w:ascii="仿宋_GB2312" w:hAnsi="仿宋_GB2312" w:eastAsia="仿宋_GB2312" w:cs="仿宋_GB2312"/>
          <w:sz w:val="32"/>
          <w:szCs w:val="32"/>
          <w:shd w:val="clear" w:color="auto" w:fill="FFFFFF"/>
        </w:rPr>
        <w:t>切实抗起</w:t>
      </w:r>
      <w:r>
        <w:rPr>
          <w:rFonts w:hint="eastAsia" w:ascii="仿宋_GB2312" w:hAnsi="仿宋_GB2312" w:eastAsia="仿宋_GB2312" w:cs="仿宋_GB2312"/>
          <w:color w:val="000000"/>
          <w:spacing w:val="20"/>
          <w:sz w:val="32"/>
          <w:szCs w:val="32"/>
          <w:shd w:val="clear" w:color="auto" w:fill="FFFFFF"/>
        </w:rPr>
        <w:t>主体责任，</w:t>
      </w:r>
      <w:r>
        <w:rPr>
          <w:rFonts w:hint="eastAsia" w:ascii="仿宋_GB2312" w:hAnsi="仿宋_GB2312" w:eastAsia="仿宋_GB2312" w:cs="仿宋_GB2312"/>
          <w:color w:val="000000"/>
          <w:spacing w:val="5"/>
          <w:sz w:val="32"/>
          <w:szCs w:val="32"/>
          <w:shd w:val="clear" w:color="auto" w:fill="FFFFFF"/>
          <w:lang w:val="en-US" w:eastAsia="zh-CN"/>
        </w:rPr>
        <w:t>领导干部率先垂范</w:t>
      </w:r>
      <w:r>
        <w:rPr>
          <w:rFonts w:hint="eastAsia" w:ascii="仿宋_GB2312" w:hAnsi="仿宋_GB2312" w:eastAsia="仿宋_GB2312" w:cs="仿宋_GB2312"/>
          <w:color w:val="000000"/>
          <w:spacing w:val="5"/>
          <w:sz w:val="32"/>
          <w:szCs w:val="32"/>
          <w:shd w:val="clear" w:color="auto" w:fill="FFFFFF"/>
        </w:rPr>
        <w:t>，</w:t>
      </w:r>
      <w:r>
        <w:rPr>
          <w:rFonts w:hint="eastAsia" w:ascii="仿宋_GB2312" w:hAnsi="仿宋_GB2312" w:eastAsia="仿宋_GB2312" w:cs="仿宋_GB2312"/>
          <w:color w:val="000000"/>
          <w:spacing w:val="5"/>
          <w:sz w:val="32"/>
          <w:szCs w:val="32"/>
          <w:shd w:val="clear" w:color="auto" w:fill="FFFFFF"/>
          <w:lang w:val="en-US" w:eastAsia="zh-CN"/>
        </w:rPr>
        <w:t>不断夯实工作</w:t>
      </w:r>
      <w:r>
        <w:rPr>
          <w:rFonts w:hint="eastAsia" w:ascii="仿宋_GB2312" w:hAnsi="仿宋_GB2312" w:eastAsia="仿宋_GB2312" w:cs="仿宋_GB2312"/>
          <w:color w:val="000000"/>
          <w:spacing w:val="5"/>
          <w:sz w:val="32"/>
          <w:szCs w:val="32"/>
          <w:shd w:val="clear" w:color="auto" w:fill="FFFFFF"/>
        </w:rPr>
        <w:t>基础。</w:t>
      </w:r>
      <w:r>
        <w:rPr>
          <w:rFonts w:hint="eastAsia" w:ascii="仿宋_GB2312" w:hAnsi="仿宋_GB2312" w:eastAsia="仿宋_GB2312" w:cs="仿宋_GB2312"/>
          <w:color w:val="000000"/>
          <w:spacing w:val="20"/>
          <w:sz w:val="32"/>
          <w:szCs w:val="32"/>
          <w:shd w:val="clear" w:color="auto" w:fill="FFFFFF"/>
          <w:lang w:val="en-US" w:eastAsia="zh-CN"/>
        </w:rPr>
        <w:t>广泛听取民声</w:t>
      </w:r>
      <w:r>
        <w:rPr>
          <w:rFonts w:hint="eastAsia" w:ascii="仿宋_GB2312" w:hAnsi="仿宋_GB2312" w:eastAsia="仿宋_GB2312" w:cs="仿宋_GB2312"/>
          <w:color w:val="000000"/>
          <w:spacing w:val="20"/>
          <w:sz w:val="32"/>
          <w:szCs w:val="32"/>
          <w:shd w:val="clear" w:color="auto" w:fill="FFFFFF"/>
        </w:rPr>
        <w:t>民意。</w:t>
      </w:r>
      <w:r>
        <w:rPr>
          <w:rFonts w:hint="eastAsia" w:ascii="仿宋_GB2312" w:hAnsi="仿宋_GB2312" w:eastAsia="仿宋_GB2312" w:cs="仿宋_GB2312"/>
          <w:color w:val="000000"/>
          <w:spacing w:val="5"/>
          <w:sz w:val="32"/>
          <w:szCs w:val="32"/>
          <w:shd w:val="clear" w:color="auto" w:fill="FFFFFF"/>
        </w:rPr>
        <w:t>通过入户、座谈会、楼栋张帖、线上问卷调查等多种手段，征求每一户居民的意见，</w:t>
      </w:r>
      <w:r>
        <w:rPr>
          <w:rFonts w:hint="eastAsia" w:ascii="仿宋_GB2312" w:hAnsi="仿宋_GB2312" w:eastAsia="仿宋_GB2312" w:cs="仿宋_GB2312"/>
          <w:color w:val="000000"/>
          <w:spacing w:val="5"/>
          <w:sz w:val="32"/>
          <w:szCs w:val="32"/>
          <w:shd w:val="clear" w:color="auto" w:fill="FFFFFF"/>
          <w:lang w:val="en-US" w:eastAsia="zh-CN"/>
        </w:rPr>
        <w:t>从而避免出现规划与实际脱节的情况。让居民按需“点单”，政府“买单”，上好这顿惠民“大餐”。坚决做到事前座谈、事中讨论，居民代表表决，街道全程监督实施，并做到事事时时居务、财务及时公开，切实保障好居民的知情权、参与权和监督权。</w:t>
      </w:r>
    </w:p>
    <w:p>
      <w:pPr>
        <w:spacing w:line="360" w:lineRule="auto"/>
        <w:ind w:firstLine="640" w:firstLineChars="200"/>
        <w:rPr>
          <w:rFonts w:hint="eastAsia" w:ascii="仿宋_GB2312" w:hAnsi="仿宋_GB2312" w:eastAsia="仿宋_GB2312" w:cs="仿宋_GB2312"/>
          <w:sz w:val="32"/>
          <w:szCs w:val="32"/>
        </w:rPr>
      </w:pPr>
      <w:r>
        <w:rPr>
          <w:rFonts w:hint="eastAsia" w:ascii="黑体" w:hAnsi="黑体" w:eastAsia="黑体" w:cs="黑体"/>
          <w:b w:val="0"/>
          <w:bCs/>
          <w:sz w:val="32"/>
          <w:szCs w:val="32"/>
          <w:lang w:val="en-US" w:eastAsia="zh-CN"/>
        </w:rPr>
        <w:t>二是完善配套设施，让环境好起来。</w:t>
      </w:r>
      <w:r>
        <w:rPr>
          <w:rFonts w:hint="eastAsia" w:ascii="仿宋_GB2312" w:hAnsi="仿宋_GB2312" w:eastAsia="仿宋_GB2312" w:cs="仿宋_GB2312"/>
          <w:color w:val="000000"/>
          <w:spacing w:val="5"/>
          <w:sz w:val="32"/>
          <w:szCs w:val="32"/>
          <w:shd w:val="clear" w:color="auto" w:fill="FFFFFF"/>
          <w:lang w:val="en-US" w:eastAsia="zh-CN"/>
        </w:rPr>
        <w:t>在征求群众意见建议的基础上，形成</w:t>
      </w:r>
      <w:r>
        <w:rPr>
          <w:rFonts w:hint="eastAsia" w:ascii="仿宋_GB2312" w:hAnsi="仿宋_GB2312" w:eastAsia="仿宋_GB2312" w:cs="仿宋_GB2312"/>
          <w:color w:val="000000"/>
          <w:spacing w:val="5"/>
          <w:sz w:val="32"/>
          <w:szCs w:val="32"/>
          <w:shd w:val="clear" w:color="auto" w:fill="FFFFFF"/>
        </w:rPr>
        <w:t>“定制套餐”</w:t>
      </w:r>
      <w:r>
        <w:rPr>
          <w:rFonts w:hint="eastAsia" w:ascii="仿宋_GB2312" w:hAnsi="仿宋_GB2312" w:eastAsia="仿宋_GB2312" w:cs="仿宋_GB2312"/>
          <w:color w:val="000000"/>
          <w:spacing w:val="5"/>
          <w:sz w:val="32"/>
          <w:szCs w:val="32"/>
          <w:shd w:val="clear" w:color="auto" w:fill="FFFFFF"/>
          <w:lang w:eastAsia="zh-CN"/>
        </w:rPr>
        <w:t>，</w:t>
      </w:r>
      <w:r>
        <w:rPr>
          <w:rFonts w:hint="eastAsia" w:ascii="仿宋_GB2312" w:hAnsi="仿宋_GB2312" w:eastAsia="仿宋_GB2312" w:cs="仿宋_GB2312"/>
          <w:color w:val="000000"/>
          <w:spacing w:val="5"/>
          <w:sz w:val="32"/>
          <w:szCs w:val="32"/>
          <w:shd w:val="clear" w:color="auto" w:fill="FFFFFF"/>
        </w:rPr>
        <w:t>寻求最大“公约数”。</w:t>
      </w:r>
      <w:r>
        <w:rPr>
          <w:rFonts w:hint="eastAsia" w:ascii="仿宋_GB2312" w:hAnsi="仿宋_GB2312" w:eastAsia="仿宋_GB2312" w:cs="仿宋_GB2312"/>
          <w:sz w:val="32"/>
          <w:szCs w:val="32"/>
        </w:rPr>
        <w:t>用旧改的“真心”换取居民的“放心”。拆除</w:t>
      </w:r>
      <w:r>
        <w:rPr>
          <w:rFonts w:hint="eastAsia" w:ascii="仿宋_GB2312" w:hAnsi="仿宋_GB2312" w:eastAsia="仿宋_GB2312" w:cs="仿宋_GB2312"/>
          <w:sz w:val="32"/>
          <w:szCs w:val="32"/>
          <w:lang w:val="en-US" w:eastAsia="zh-CN"/>
        </w:rPr>
        <w:t>违章搭建，破除私拉电线、占用消防通道等安全隐患。</w:t>
      </w:r>
      <w:r>
        <w:rPr>
          <w:rFonts w:hint="eastAsia" w:ascii="仿宋_GB2312" w:hAnsi="仿宋_GB2312" w:eastAsia="仿宋_GB2312" w:cs="仿宋_GB2312"/>
          <w:sz w:val="32"/>
          <w:szCs w:val="32"/>
        </w:rPr>
        <w:t>改造建筑立面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加固</w:t>
      </w:r>
      <w:r>
        <w:rPr>
          <w:rFonts w:hint="eastAsia" w:ascii="仿宋_GB2312" w:hAnsi="仿宋_GB2312" w:eastAsia="仿宋_GB2312" w:cs="仿宋_GB2312"/>
          <w:sz w:val="32"/>
          <w:szCs w:val="32"/>
          <w:lang w:val="en-US" w:eastAsia="zh-CN"/>
        </w:rPr>
        <w:t>房屋</w:t>
      </w:r>
      <w:r>
        <w:rPr>
          <w:rFonts w:hint="eastAsia" w:ascii="仿宋_GB2312" w:hAnsi="仿宋_GB2312" w:eastAsia="仿宋_GB2312" w:cs="仿宋_GB2312"/>
          <w:sz w:val="32"/>
          <w:szCs w:val="32"/>
        </w:rPr>
        <w:t>结构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修缮公共服务文物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重新布设</w:t>
      </w:r>
      <w:r>
        <w:rPr>
          <w:rFonts w:hint="eastAsia" w:ascii="仿宋_GB2312" w:hAnsi="仿宋_GB2312" w:eastAsia="仿宋_GB2312" w:cs="仿宋_GB2312"/>
          <w:sz w:val="32"/>
          <w:szCs w:val="32"/>
        </w:rPr>
        <w:t>强弱电管线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安装</w:t>
      </w:r>
      <w:r>
        <w:rPr>
          <w:rFonts w:hint="eastAsia" w:ascii="仿宋_GB2312" w:hAnsi="仿宋_GB2312" w:eastAsia="仿宋_GB2312" w:cs="仿宋_GB2312"/>
          <w:sz w:val="32"/>
          <w:szCs w:val="32"/>
        </w:rPr>
        <w:t>雨污管线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完善</w:t>
      </w:r>
      <w:r>
        <w:rPr>
          <w:rFonts w:hint="eastAsia" w:ascii="仿宋_GB2312" w:hAnsi="仿宋_GB2312" w:eastAsia="仿宋_GB2312" w:cs="仿宋_GB2312"/>
          <w:sz w:val="32"/>
          <w:szCs w:val="32"/>
        </w:rPr>
        <w:t>室外消防</w:t>
      </w:r>
      <w:r>
        <w:rPr>
          <w:rFonts w:hint="eastAsia" w:ascii="仿宋_GB2312" w:hAnsi="仿宋_GB2312" w:eastAsia="仿宋_GB2312" w:cs="仿宋_GB2312"/>
          <w:sz w:val="32"/>
          <w:szCs w:val="32"/>
          <w:lang w:val="en-US" w:eastAsia="zh-CN"/>
        </w:rPr>
        <w:t>器材设施。加强</w:t>
      </w:r>
      <w:r>
        <w:rPr>
          <w:rFonts w:hint="eastAsia" w:ascii="仿宋_GB2312" w:hAnsi="仿宋_GB2312" w:eastAsia="仿宋_GB2312" w:cs="仿宋_GB2312"/>
          <w:sz w:val="32"/>
          <w:szCs w:val="32"/>
        </w:rPr>
        <w:t>智能化改造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安装</w:t>
      </w:r>
      <w:r>
        <w:rPr>
          <w:rFonts w:hint="eastAsia" w:ascii="仿宋_GB2312" w:hAnsi="仿宋_GB2312" w:eastAsia="仿宋_GB2312" w:cs="仿宋_GB2312"/>
          <w:sz w:val="32"/>
          <w:szCs w:val="32"/>
        </w:rPr>
        <w:t>小区监控系统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实行</w:t>
      </w:r>
      <w:r>
        <w:rPr>
          <w:rFonts w:hint="eastAsia" w:ascii="仿宋_GB2312" w:hAnsi="仿宋_GB2312" w:eastAsia="仿宋_GB2312" w:cs="仿宋_GB2312"/>
          <w:sz w:val="32"/>
          <w:szCs w:val="32"/>
        </w:rPr>
        <w:t>智能安防</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停车管理</w:t>
      </w:r>
      <w:r>
        <w:rPr>
          <w:rFonts w:hint="eastAsia" w:ascii="仿宋_GB2312" w:hAnsi="仿宋_GB2312" w:eastAsia="仿宋_GB2312" w:cs="仿宋_GB2312"/>
          <w:sz w:val="32"/>
          <w:szCs w:val="32"/>
          <w:lang w:val="en-US" w:eastAsia="zh-CN"/>
        </w:rPr>
        <w:t>一体化建设。完善景观绿化、慢行系统和户外游戏配套设施。对玉带河两岸进行进行美化、亮化、绿化，打造现代生态水乡。</w:t>
      </w:r>
      <w:r>
        <w:rPr>
          <w:rFonts w:hint="eastAsia" w:ascii="仿宋_GB2312" w:hAnsi="仿宋_GB2312" w:eastAsia="仿宋_GB2312" w:cs="仿宋_GB2312"/>
          <w:sz w:val="32"/>
          <w:szCs w:val="32"/>
        </w:rPr>
        <w:t>因地制宜，结合小区原有面貌和社区历史文化，在改造</w:t>
      </w:r>
      <w:r>
        <w:rPr>
          <w:rFonts w:hint="eastAsia" w:ascii="仿宋_GB2312" w:hAnsi="仿宋_GB2312" w:eastAsia="仿宋_GB2312" w:cs="仿宋_GB2312"/>
          <w:sz w:val="32"/>
          <w:szCs w:val="32"/>
          <w:shd w:val="clear" w:color="auto" w:fill="FFFFFF"/>
        </w:rPr>
        <w:t>中融入居民文化及洪都工业文化</w:t>
      </w:r>
      <w:r>
        <w:rPr>
          <w:rFonts w:hint="eastAsia" w:ascii="仿宋_GB2312" w:hAnsi="仿宋_GB2312" w:eastAsia="仿宋_GB2312" w:cs="仿宋_GB2312"/>
          <w:sz w:val="32"/>
          <w:szCs w:val="32"/>
        </w:rPr>
        <w:t>。</w:t>
      </w:r>
    </w:p>
    <w:p>
      <w:pPr>
        <w:spacing w:line="360" w:lineRule="auto"/>
        <w:ind w:firstLine="640" w:firstLineChars="200"/>
        <w:rPr>
          <w:rFonts w:hint="eastAsia" w:ascii="仿宋_GB2312" w:hAnsi="仿宋_GB2312" w:eastAsia="仿宋_GB2312" w:cs="仿宋_GB2312"/>
          <w:sz w:val="32"/>
          <w:szCs w:val="32"/>
        </w:rPr>
      </w:pPr>
      <w:r>
        <w:rPr>
          <w:rFonts w:hint="eastAsia" w:ascii="黑体" w:hAnsi="黑体" w:eastAsia="黑体" w:cs="黑体"/>
          <w:b w:val="0"/>
          <w:bCs/>
          <w:sz w:val="32"/>
          <w:szCs w:val="32"/>
          <w:lang w:val="en-US" w:eastAsia="zh-CN"/>
        </w:rPr>
        <w:t>三是加强管理创新，让品质优起来。</w:t>
      </w:r>
      <w:r>
        <w:rPr>
          <w:rFonts w:hint="eastAsia" w:ascii="黑体" w:hAnsi="黑体" w:eastAsia="仿宋_GB2312" w:cs="黑体"/>
          <w:sz w:val="32"/>
          <w:szCs w:val="32"/>
          <w:lang w:val="en-US" w:eastAsia="zh-CN"/>
        </w:rPr>
        <w:t>转变思想观念，</w:t>
      </w:r>
      <w:r>
        <w:rPr>
          <w:rFonts w:hint="eastAsia" w:ascii="仿宋_GB2312" w:hAnsi="仿宋_GB2312" w:eastAsia="仿宋_GB2312" w:cs="仿宋_GB2312"/>
          <w:sz w:val="32"/>
          <w:szCs w:val="32"/>
        </w:rPr>
        <w:t>坚持从“政府社会事务大包大揽”到“社区居委会代行管理”过度，再到“成立业主委员会自治管理”。真正让小区管理者“从群众中来”，让小区具体事“到群众中去”。自由选择服务内容、分别议定收费价格、订立服务合同。社区</w:t>
      </w:r>
      <w:r>
        <w:rPr>
          <w:rFonts w:hint="eastAsia" w:ascii="仿宋_GB2312" w:hAnsi="仿宋_GB2312" w:eastAsia="仿宋_GB2312" w:cs="仿宋_GB2312"/>
          <w:sz w:val="32"/>
          <w:szCs w:val="32"/>
          <w:lang w:val="en-US" w:eastAsia="zh-CN"/>
        </w:rPr>
        <w:t>主动</w:t>
      </w:r>
      <w:r>
        <w:rPr>
          <w:rFonts w:hint="eastAsia" w:ascii="仿宋_GB2312" w:hAnsi="仿宋_GB2312" w:eastAsia="仿宋_GB2312" w:cs="仿宋_GB2312"/>
          <w:sz w:val="32"/>
          <w:szCs w:val="32"/>
        </w:rPr>
        <w:t>承担协调、监督及配合的职责，探索社区停车场、游乐场对外有偿低偿服务</w:t>
      </w:r>
      <w:r>
        <w:rPr>
          <w:rFonts w:hint="eastAsia" w:ascii="仿宋_GB2312" w:hAnsi="仿宋_GB2312" w:eastAsia="仿宋_GB2312" w:cs="仿宋_GB2312"/>
          <w:sz w:val="32"/>
          <w:szCs w:val="32"/>
          <w:lang w:val="en-US" w:eastAsia="zh-CN"/>
        </w:rPr>
        <w:t>模式</w:t>
      </w:r>
      <w:r>
        <w:rPr>
          <w:rFonts w:hint="eastAsia" w:ascii="仿宋_GB2312" w:hAnsi="仿宋_GB2312" w:eastAsia="仿宋_GB2312" w:cs="仿宋_GB2312"/>
          <w:sz w:val="32"/>
          <w:szCs w:val="32"/>
        </w:rPr>
        <w:t>，激活社区造血功能，实现可持续发展。建立微信矩阵群，通过微信矩阵群，通过楼栋长、单元长传递惠民信息、宣传政</w:t>
      </w:r>
      <w:r>
        <w:rPr>
          <w:rFonts w:hint="eastAsia" w:ascii="仿宋_GB2312" w:hAnsi="仿宋_GB2312" w:eastAsia="仿宋_GB2312" w:cs="仿宋_GB2312"/>
          <w:color w:val="000000"/>
          <w:sz w:val="32"/>
          <w:szCs w:val="32"/>
          <w:shd w:val="clear" w:color="auto" w:fill="FFFFFF"/>
        </w:rPr>
        <w:t>策，了解群众诉求，及时解决问题，</w:t>
      </w:r>
      <w:r>
        <w:rPr>
          <w:rFonts w:hint="eastAsia" w:ascii="仿宋_GB2312" w:hAnsi="仿宋_GB2312" w:eastAsia="仿宋_GB2312" w:cs="仿宋_GB2312"/>
          <w:color w:val="000000"/>
          <w:sz w:val="32"/>
          <w:szCs w:val="32"/>
          <w:shd w:val="clear" w:color="auto" w:fill="FFFFFF"/>
          <w:lang w:val="en-US" w:eastAsia="zh-CN"/>
        </w:rPr>
        <w:t>提供“零距离”贴心服务</w:t>
      </w:r>
      <w:r>
        <w:rPr>
          <w:rFonts w:hint="eastAsia" w:ascii="仿宋_GB2312" w:hAnsi="仿宋_GB2312" w:eastAsia="仿宋_GB2312" w:cs="仿宋_GB2312"/>
          <w:color w:val="000000"/>
          <w:sz w:val="32"/>
          <w:szCs w:val="32"/>
          <w:shd w:val="clear" w:color="auto" w:fill="FFFFFF"/>
        </w:rPr>
        <w:t>。</w:t>
      </w:r>
    </w:p>
    <w:p>
      <w:pPr>
        <w:pStyle w:val="2"/>
        <w:rPr>
          <w:rFonts w:hint="eastAsia" w:ascii="仿宋_GB2312" w:eastAsia="仿宋_GB2312"/>
          <w:sz w:val="32"/>
          <w:szCs w:val="32"/>
        </w:rPr>
      </w:pPr>
    </w:p>
    <w:p>
      <w:pPr>
        <w:pStyle w:val="10"/>
        <w:widowControl/>
        <w:spacing w:beforeAutospacing="0" w:afterAutospacing="0" w:line="560" w:lineRule="exact"/>
        <w:rPr>
          <w:b/>
          <w:color w:val="000000"/>
          <w:sz w:val="32"/>
          <w:szCs w:val="32"/>
        </w:rPr>
      </w:pPr>
      <w:r>
        <w:rPr>
          <w:b/>
          <w:color w:val="000000"/>
          <w:sz w:val="32"/>
          <w:szCs w:val="32"/>
        </w:rPr>
        <w:t>【信息集萃】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13" w:beforeLines="100" w:beforeAutospacing="0" w:after="0" w:afterAutospacing="0" w:line="560" w:lineRule="atLeast"/>
        <w:ind w:left="0" w:right="0" w:firstLine="643" w:firstLineChars="200"/>
        <w:jc w:val="left"/>
        <w:textAlignment w:val="auto"/>
        <w:rPr>
          <w:rFonts w:hint="default" w:ascii="仿宋_GB2312" w:hAnsi="仿宋_GB2312" w:eastAsia="仿宋_GB2312" w:cs="仿宋_GB2312"/>
          <w:b w:val="0"/>
          <w:bCs w:val="0"/>
          <w:color w:val="auto"/>
          <w:kern w:val="2"/>
          <w:sz w:val="32"/>
          <w:szCs w:val="32"/>
          <w:lang w:val="en-US" w:eastAsia="zh-CN" w:bidi="ar-SA"/>
        </w:rPr>
      </w:pPr>
      <w:r>
        <w:rPr>
          <w:rFonts w:hint="eastAsia" w:ascii="楷体" w:hAnsi="楷体" w:eastAsia="楷体" w:cs="楷体"/>
          <w:b/>
          <w:bCs/>
          <w:color w:val="auto"/>
          <w:kern w:val="2"/>
          <w:sz w:val="32"/>
          <w:szCs w:val="32"/>
          <w:lang w:val="en-US" w:eastAsia="zh-CN" w:bidi="ar-SA"/>
        </w:rPr>
        <w:t>区财政局</w:t>
      </w:r>
      <w:r>
        <w:rPr>
          <w:rFonts w:hint="eastAsia" w:ascii="仿宋_GB2312" w:hAnsi="仿宋_GB2312" w:eastAsia="仿宋_GB2312" w:cs="仿宋_GB2312"/>
          <w:b w:val="0"/>
          <w:bCs w:val="0"/>
          <w:kern w:val="2"/>
          <w:sz w:val="32"/>
          <w:szCs w:val="32"/>
          <w:lang w:val="en-US" w:eastAsia="zh-CN" w:bidi="ar-SA"/>
        </w:rPr>
        <w:t>努力提升非税收入管理水平。持续加大非税收入征缴综合治理力度，联合区发改委编制行政事业性、政府性基金等收费目录清单，推动区财政票据和非税收入收缴电子化提升改造，完善“赣服通”功能，畅通便民缴费渠道</w:t>
      </w:r>
      <w:r>
        <w:rPr>
          <w:rFonts w:hint="eastAsia" w:ascii="仿宋_GB2312" w:hAnsi="仿宋_GB2312" w:eastAsia="仿宋_GB2312" w:cs="仿宋_GB2312"/>
          <w:b w:val="0"/>
          <w:bCs w:val="0"/>
          <w:sz w:val="32"/>
          <w:szCs w:val="32"/>
          <w:lang w:val="en-US" w:eastAsia="zh-CN"/>
        </w:rPr>
        <w:t>。</w:t>
      </w:r>
      <w:r>
        <w:rPr>
          <w:rFonts w:hint="eastAsia" w:ascii="楷体" w:hAnsi="楷体" w:eastAsia="楷体" w:cs="楷体"/>
          <w:b/>
          <w:bCs/>
          <w:color w:val="auto"/>
          <w:kern w:val="2"/>
          <w:sz w:val="32"/>
          <w:szCs w:val="32"/>
          <w:lang w:val="en-US" w:eastAsia="zh-CN" w:bidi="ar-SA"/>
        </w:rPr>
        <w:t>区城管局</w:t>
      </w:r>
      <w:r>
        <w:rPr>
          <w:rFonts w:hint="eastAsia" w:ascii="仿宋_GB2312" w:hAnsi="仿宋_GB2312" w:eastAsia="仿宋_GB2312" w:cs="仿宋_GB2312"/>
          <w:b w:val="0"/>
          <w:bCs w:val="0"/>
          <w:kern w:val="2"/>
          <w:sz w:val="32"/>
          <w:szCs w:val="32"/>
          <w:lang w:val="en-US" w:eastAsia="zh-CN" w:bidi="ar-SA"/>
        </w:rPr>
        <w:t>深化固化全国文明城市宣传工作。坚持每周召开文明城市创建实地推进工作调度会，加强业务交流，形成工作合力。在辖区所有主次干道、公园广场等人流、车流密集场所刊载抗疫和文明城市创建公益广告。</w:t>
      </w:r>
      <w:r>
        <w:rPr>
          <w:rFonts w:hint="eastAsia" w:ascii="楷体" w:hAnsi="楷体" w:eastAsia="楷体" w:cs="楷体"/>
          <w:b/>
          <w:bCs/>
          <w:color w:val="auto"/>
          <w:kern w:val="2"/>
          <w:sz w:val="32"/>
          <w:szCs w:val="32"/>
          <w:lang w:val="en-US" w:eastAsia="zh-CN" w:bidi="ar-SA"/>
        </w:rPr>
        <w:t>区市场监管局</w:t>
      </w:r>
      <w:r>
        <w:rPr>
          <w:rFonts w:hint="eastAsia" w:ascii="仿宋_GB2312" w:hAnsi="仿宋_GB2312" w:eastAsia="仿宋_GB2312" w:cs="仿宋_GB2312"/>
          <w:b w:val="0"/>
          <w:bCs w:val="0"/>
          <w:kern w:val="2"/>
          <w:sz w:val="32"/>
          <w:szCs w:val="32"/>
          <w:lang w:val="en-US" w:eastAsia="zh-CN" w:bidi="ar-SA"/>
        </w:rPr>
        <w:t>推动计量服务中小企业创新发展。发挥技术优势和保障功能，精准施“测”推进定向计量服务，以“计量服务中小企业行”活动为契机，彰显职责担当，深入阳光乳业、深农市场等中小企业现场调研计量需求，开展业务培训，检测、维修计量器具等便企惠企服务。</w:t>
      </w:r>
      <w:r>
        <w:rPr>
          <w:rFonts w:hint="eastAsia" w:ascii="楷体" w:hAnsi="楷体" w:eastAsia="楷体" w:cs="楷体"/>
          <w:b/>
          <w:bCs/>
          <w:color w:val="auto"/>
          <w:kern w:val="2"/>
          <w:sz w:val="32"/>
          <w:szCs w:val="32"/>
          <w:lang w:val="en-US" w:eastAsia="zh-CN" w:bidi="ar-SA"/>
        </w:rPr>
        <w:t>京山街办</w:t>
      </w:r>
      <w:r>
        <w:rPr>
          <w:rFonts w:hint="eastAsia" w:ascii="仿宋_GB2312" w:hAnsi="仿宋_GB2312" w:eastAsia="仿宋_GB2312" w:cs="仿宋_GB2312"/>
          <w:b w:val="0"/>
          <w:bCs w:val="0"/>
          <w:kern w:val="2"/>
          <w:sz w:val="32"/>
          <w:szCs w:val="32"/>
          <w:lang w:val="en-US" w:eastAsia="zh-CN" w:bidi="ar-SA"/>
        </w:rPr>
        <w:t>深入推进全市农贸市场百日攻坚整治行动。加大农贸市场综合整治力度，对市场外围采取“轮岗制”定人、定岗、每天加强巡查，对占道经营等行为进行劝阻，加派保洁员和市场管理员，加大市场保洁工作密度和力度，对水产区域地面增加清扫频次。</w:t>
      </w:r>
      <w:r>
        <w:rPr>
          <w:rFonts w:hint="eastAsia" w:ascii="楷体" w:hAnsi="楷体" w:eastAsia="楷体" w:cs="楷体"/>
          <w:b/>
          <w:bCs/>
          <w:color w:val="auto"/>
          <w:kern w:val="2"/>
          <w:sz w:val="32"/>
          <w:szCs w:val="32"/>
          <w:lang w:val="en-US" w:eastAsia="zh-CN" w:bidi="ar-SA"/>
        </w:rPr>
        <w:t>区退役军人局</w:t>
      </w:r>
      <w:r>
        <w:rPr>
          <w:rFonts w:hint="eastAsia" w:ascii="仿宋_GB2312" w:hAnsi="仿宋_GB2312" w:eastAsia="仿宋_GB2312" w:cs="仿宋_GB2312"/>
          <w:b w:val="0"/>
          <w:bCs w:val="0"/>
          <w:kern w:val="2"/>
          <w:sz w:val="32"/>
          <w:szCs w:val="32"/>
          <w:lang w:val="en-US" w:eastAsia="zh-CN" w:bidi="ar-SA"/>
        </w:rPr>
        <w:t>不断强化退役士兵社保接续工作。联合民政、财政、医保等部门广泛开展政策宣传宣讲，组织业务人员集中培训，开设专门窗口，线上线下多渠道受理，及时进行资格认定和资金拨付，较好地完成退役士兵社保接续工作。经综合评定，目前全市排名第二位。</w:t>
      </w:r>
      <w:r>
        <w:rPr>
          <w:rFonts w:hint="eastAsia" w:ascii="楷体" w:hAnsi="楷体" w:eastAsia="楷体" w:cs="楷体"/>
          <w:b/>
          <w:bCs/>
          <w:color w:val="auto"/>
          <w:sz w:val="32"/>
          <w:szCs w:val="32"/>
          <w:lang w:val="en-US" w:eastAsia="zh-CN"/>
        </w:rPr>
        <w:t>区医疗保障局</w:t>
      </w:r>
      <w:r>
        <w:rPr>
          <w:rFonts w:hint="eastAsia" w:ascii="仿宋_GB2312" w:hAnsi="仿宋_GB2312" w:eastAsia="仿宋_GB2312" w:cs="仿宋_GB2312"/>
          <w:b w:val="0"/>
          <w:bCs w:val="0"/>
          <w:color w:val="auto"/>
          <w:kern w:val="2"/>
          <w:sz w:val="32"/>
          <w:szCs w:val="32"/>
          <w:lang w:val="en-US" w:eastAsia="zh-CN" w:bidi="ar-SA"/>
        </w:rPr>
        <w:t>多措并举护航低保群众健康。积极落实低保对象政策范围内医疗费用政策，在现行救助比例基础上，再提高5%，加大因病致贫、因病返贫的扶贫力度，为贫困人口购买重大疾病医疗补充保险，进一步提高贫困人口医疗费用报销补偿，发挥兜底保障作用。</w:t>
      </w:r>
    </w:p>
    <w:p>
      <w:pPr>
        <w:pStyle w:val="3"/>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sz w:val="32"/>
          <w:szCs w:val="32"/>
          <w:lang w:val="en-US"/>
        </w:rPr>
      </w:pPr>
    </w:p>
    <w:p>
      <w:pPr>
        <w:pStyle w:val="2"/>
        <w:rPr>
          <w:rFonts w:hint="eastAsia" w:ascii="仿宋_GB2312" w:hAnsi="仿宋_GB2312" w:eastAsia="仿宋_GB2312" w:cs="仿宋_GB2312"/>
          <w:color w:val="000000"/>
          <w:sz w:val="21"/>
          <w:szCs w:val="21"/>
          <w:shd w:val="clear" w:color="auto" w:fill="FFFFFF"/>
          <w:lang w:val="en-US" w:eastAsia="zh-CN"/>
        </w:rPr>
      </w:pPr>
    </w:p>
    <w:p>
      <w:pPr>
        <w:pStyle w:val="3"/>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rPr>
          <w:rFonts w:hint="eastAsia"/>
          <w:lang w:val="en-US" w:eastAsia="zh-CN"/>
        </w:rPr>
      </w:pPr>
    </w:p>
    <w:p>
      <w:pPr>
        <w:pStyle w:val="2"/>
        <w:rPr>
          <w:rFonts w:hint="eastAsia"/>
          <w:lang w:val="en-US" w:eastAsia="zh-CN"/>
        </w:rPr>
      </w:pPr>
    </w:p>
    <w:p>
      <w:pPr>
        <w:pStyle w:val="2"/>
        <w:rPr>
          <w:rFonts w:hint="eastAsia"/>
          <w:lang w:val="en-US" w:eastAsia="zh-CN"/>
        </w:rPr>
      </w:pPr>
    </w:p>
    <w:p>
      <w:pPr>
        <w:pStyle w:val="3"/>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pStyle w:val="2"/>
        <w:rPr>
          <w:rFonts w:hint="eastAsia"/>
          <w:lang w:eastAsia="zh-CN"/>
        </w:rPr>
      </w:pPr>
    </w:p>
    <w:p>
      <w:pPr>
        <w:pStyle w:val="10"/>
        <w:widowControl/>
        <w:spacing w:beforeLines="100" w:beforeAutospacing="0" w:line="360" w:lineRule="exact"/>
        <w:ind w:left="560" w:hanging="560" w:hangingChars="200"/>
        <w:rPr>
          <w:rFonts w:ascii="仿宋_GB2312" w:hAnsi="仿宋_GB2312" w:eastAsia="仿宋_GB2312" w:cs="仿宋_GB2312"/>
          <w:bCs/>
          <w:color w:val="000000"/>
          <w:sz w:val="28"/>
          <w:szCs w:val="28"/>
        </w:rPr>
      </w:pPr>
      <w:r>
        <w:rPr>
          <w:rFonts w:ascii="仿宋_GB2312" w:hAnsi="仿宋_GB2312" w:eastAsia="仿宋_GB2312" w:cs="仿宋_GB2312"/>
          <w:sz w:val="28"/>
          <w:szCs w:val="28"/>
        </w:rPr>
        <mc:AlternateContent>
          <mc:Choice Requires="wps">
            <w:drawing>
              <wp:anchor distT="0" distB="0" distL="114300" distR="114300" simplePos="0" relativeHeight="251666432" behindDoc="0" locked="0" layoutInCell="1" allowOverlap="1">
                <wp:simplePos x="0" y="0"/>
                <wp:positionH relativeFrom="column">
                  <wp:posOffset>-1270</wp:posOffset>
                </wp:positionH>
                <wp:positionV relativeFrom="paragraph">
                  <wp:posOffset>90805</wp:posOffset>
                </wp:positionV>
                <wp:extent cx="538607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386070" cy="0"/>
                        </a:xfrm>
                        <a:prstGeom prst="line">
                          <a:avLst/>
                        </a:prstGeom>
                        <a:noFill/>
                        <a:ln w="9525"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1pt;margin-top:7.15pt;height:0pt;width:424.1pt;z-index:251666432;mso-width-relative:page;mso-height-relative:page;" filled="f" stroked="t" coordsize="21600,21600" o:gfxdata="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8clxztYAAAAHAQAADwAAAAAAAAABACAAAAAiAAAAZHJz&#10;L2Rvd25yZXYueG1sUEsBAhQAFAAAAAgAh07iQPyIYL/NAQAAcQMAAA4AAAAAAAAAAQAgAAAAJQEA&#10;AGRycy9lMm9Eb2MueG1sUEsFBgAAAAAGAAYAWQEAAGQFAAAAAA==&#10;">
                <v:fill on="f" focussize="0,0"/>
                <v:stroke color="#000000" miterlimit="8" joinstyle="miter"/>
                <v:imagedata o:title=""/>
                <o:lock v:ext="edit" aspectratio="f"/>
              </v:line>
            </w:pict>
          </mc:Fallback>
        </mc:AlternateContent>
      </w:r>
      <w:r>
        <w:rPr>
          <w:rFonts w:ascii="仿宋_GB2312" w:hAnsi="仿宋_GB2312" w:eastAsia="仿宋_GB2312" w:cs="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497840</wp:posOffset>
                </wp:positionV>
                <wp:extent cx="5386070" cy="0"/>
                <wp:effectExtent l="0" t="0" r="0" b="0"/>
                <wp:wrapNone/>
                <wp:docPr id="3" name="直接连接符 3"/>
                <wp:cNvGraphicFramePr/>
                <a:graphic xmlns:a="http://schemas.openxmlformats.org/drawingml/2006/main">
                  <a:graphicData uri="http://schemas.microsoft.com/office/word/2010/wordprocessingShape">
                    <wps:wsp>
                      <wps:cNvCnPr/>
                      <wps:spPr>
                        <a:xfrm>
                          <a:off x="1122045" y="7586345"/>
                          <a:ext cx="5386070" cy="0"/>
                        </a:xfrm>
                        <a:prstGeom prst="line">
                          <a:avLst/>
                        </a:prstGeom>
                        <a:noFill/>
                        <a:ln w="9525"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1.35pt;margin-top:39.2pt;height:0pt;width:424.1pt;z-index:251660288;mso-width-relative:page;mso-height-relative:page;" filled="f" stroked="t" coordsize="21600,21600" o:gfxdata="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JOg1W3VAAAABwEAAA8AAAAAAAAA&#10;AQAgAAAAIgAAAGRycy9kb3ducmV2LnhtbFBLAQIUABQAAAAIAIdO4kDnNtIA2wEAAH0DAAAOAAAA&#10;AAAAAAEAIAAAACQBAABkcnMvZTJvRG9jLnhtbFBLBQYAAAAABgAGAFkBAABxBQAAAAA=&#10;">
                <v:fill on="f" focussize="0,0"/>
                <v:stroke color="#000000" miterlimit="8" joinstyle="miter"/>
                <v:imagedata o:title=""/>
                <o:lock v:ext="edit" aspectratio="f"/>
              </v:line>
            </w:pict>
          </mc:Fallback>
        </mc:AlternateContent>
      </w:r>
      <w:r>
        <w:rPr>
          <w:rFonts w:hint="eastAsia" w:ascii="仿宋_GB2312" w:hAnsi="仿宋_GB2312" w:eastAsia="仿宋_GB2312" w:cs="仿宋_GB2312"/>
          <w:color w:val="000000"/>
          <w:sz w:val="28"/>
          <w:szCs w:val="28"/>
        </w:rPr>
        <w:t>报：</w:t>
      </w:r>
      <w:r>
        <w:rPr>
          <w:rFonts w:hint="eastAsia" w:ascii="仿宋_GB2312" w:hAnsi="仿宋_GB2312" w:eastAsia="仿宋_GB2312" w:cs="仿宋_GB2312"/>
          <w:bCs/>
          <w:color w:val="000000"/>
          <w:sz w:val="28"/>
          <w:szCs w:val="28"/>
        </w:rPr>
        <w:t>青云谱区“五型”政府建设领导小组组长、常务副组长、副组长。</w:t>
      </w:r>
    </w:p>
    <w:p>
      <w:pPr>
        <w:pStyle w:val="10"/>
        <w:widowControl/>
        <w:spacing w:line="360" w:lineRule="exact"/>
        <w:ind w:left="560" w:hanging="560" w:hangingChars="200"/>
        <w:rPr>
          <w:rFonts w:ascii="仿宋_GB2312" w:hAnsi="仿宋_GB2312" w:eastAsia="仿宋_GB2312" w:cs="仿宋_GB2312"/>
          <w:color w:val="333333"/>
          <w:sz w:val="28"/>
          <w:szCs w:val="28"/>
          <w:shd w:val="clear" w:color="auto" w:fill="FFFFFF"/>
        </w:rPr>
      </w:pPr>
      <w:r>
        <w:rPr>
          <w:rFonts w:ascii="仿宋_GB2312" w:hAnsi="仿宋_GB2312" w:eastAsia="仿宋_GB2312" w:cs="仿宋_GB2312"/>
          <w:sz w:val="28"/>
          <w:szCs w:val="28"/>
        </w:rPr>
        <mc:AlternateContent>
          <mc:Choice Requires="wps">
            <w:drawing>
              <wp:anchor distT="0" distB="0" distL="114300" distR="114300" simplePos="0" relativeHeight="251663360" behindDoc="0" locked="0" layoutInCell="1" allowOverlap="1">
                <wp:simplePos x="0" y="0"/>
                <wp:positionH relativeFrom="column">
                  <wp:posOffset>-24765</wp:posOffset>
                </wp:positionH>
                <wp:positionV relativeFrom="paragraph">
                  <wp:posOffset>337820</wp:posOffset>
                </wp:positionV>
                <wp:extent cx="538607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386070" cy="0"/>
                        </a:xfrm>
                        <a:prstGeom prst="line">
                          <a:avLst/>
                        </a:prstGeom>
                        <a:noFill/>
                        <a:ln w="9525"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1.95pt;margin-top:26.6pt;height:0pt;width:424.1pt;z-index:251663360;mso-width-relative:page;mso-height-relative:page;" filled="f" stroked="t" coordsize="21600,21600" o:gfxdata="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&#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TBhAw2AAAAAgBAAAPAAAAAAAAAAEAIAAAACIAAABk&#10;cnMvZG93bnJldi54bWxQSwECFAAUAAAACACHTuJABntFfc0BAABxAwAADgAAAAAAAAABACAAAAAn&#10;AQAAZHJzL2Uyb0RvYy54bWxQSwUGAAAAAAYABgBZAQAAZgUAAAAA&#10;">
                <v:fill on="f" focussize="0,0"/>
                <v:stroke color="#000000" miterlimit="8" joinstyle="miter"/>
                <v:imagedata o:title=""/>
                <o:lock v:ext="edit" aspectratio="f"/>
              </v:line>
            </w:pict>
          </mc:Fallback>
        </mc:AlternateContent>
      </w:r>
      <w:r>
        <w:rPr>
          <w:rFonts w:ascii="仿宋_GB2312" w:hAnsi="仿宋_GB2312" w:eastAsia="仿宋_GB2312" w:cs="仿宋_GB2312"/>
          <w:sz w:val="28"/>
          <w:szCs w:val="28"/>
        </w:rPr>
        <w:t>发</w:t>
      </w:r>
      <w:r>
        <w:rPr>
          <w:rFonts w:hint="eastAsia" w:ascii="仿宋_GB2312" w:hAnsi="仿宋_GB2312" w:eastAsia="仿宋_GB2312" w:cs="仿宋_GB2312"/>
          <w:sz w:val="28"/>
          <w:szCs w:val="28"/>
        </w:rPr>
        <w:t>：</w:t>
      </w:r>
      <w:r>
        <w:rPr>
          <w:rFonts w:hint="eastAsia" w:ascii="仿宋_GB2312" w:hAnsi="仿宋_GB2312" w:eastAsia="仿宋_GB2312" w:cs="仿宋_GB2312"/>
          <w:bCs/>
          <w:color w:val="000000"/>
          <w:sz w:val="28"/>
          <w:szCs w:val="28"/>
        </w:rPr>
        <w:t>各街办、镇、</w:t>
      </w:r>
      <w:r>
        <w:rPr>
          <w:rFonts w:hint="eastAsia" w:ascii="仿宋_GB2312" w:hAnsi="仿宋_GB2312" w:eastAsia="仿宋_GB2312" w:cs="仿宋_GB2312"/>
          <w:bCs/>
          <w:color w:val="000000"/>
          <w:sz w:val="28"/>
          <w:szCs w:val="28"/>
          <w:lang w:val="en-US" w:eastAsia="zh-CN"/>
        </w:rPr>
        <w:t>集聚区</w:t>
      </w:r>
      <w:r>
        <w:rPr>
          <w:rFonts w:hint="eastAsia" w:ascii="仿宋_GB2312" w:hAnsi="仿宋_GB2312" w:eastAsia="仿宋_GB2312" w:cs="仿宋_GB2312"/>
          <w:bCs/>
          <w:color w:val="000000"/>
          <w:sz w:val="28"/>
          <w:szCs w:val="28"/>
        </w:rPr>
        <w:t>，区政府各部门，区直各单位。</w:t>
      </w:r>
    </w:p>
    <w:p>
      <w:pPr>
        <w:pStyle w:val="10"/>
        <w:widowControl/>
        <w:spacing w:line="15" w:lineRule="auto"/>
        <w:ind w:left="560" w:hanging="560" w:hangingChars="200"/>
        <w:rPr>
          <w:rFonts w:ascii="仿宋_GB2312" w:hAnsi="仿宋_GB2312" w:eastAsia="仿宋_GB2312" w:cs="仿宋_GB2312"/>
          <w:bCs/>
          <w:color w:val="000000"/>
          <w:sz w:val="28"/>
          <w:szCs w:val="28"/>
        </w:rPr>
      </w:pPr>
      <w:r>
        <w:rPr>
          <w:rFonts w:ascii="仿宋_GB2312" w:hAnsi="仿宋_GB2312" w:eastAsia="仿宋_GB2312" w:cs="仿宋_GB2312"/>
          <w:bCs/>
          <w:color w:val="000000"/>
          <w:sz w:val="28"/>
          <w:szCs w:val="28"/>
        </w:rPr>
        <mc:AlternateContent>
          <mc:Choice Requires="wps">
            <w:drawing>
              <wp:anchor distT="0" distB="0" distL="114300" distR="114300" simplePos="0" relativeHeight="251669504" behindDoc="0" locked="0" layoutInCell="1" allowOverlap="1">
                <wp:simplePos x="0" y="0"/>
                <wp:positionH relativeFrom="column">
                  <wp:posOffset>-40005</wp:posOffset>
                </wp:positionH>
                <wp:positionV relativeFrom="paragraph">
                  <wp:posOffset>322580</wp:posOffset>
                </wp:positionV>
                <wp:extent cx="538607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386070" cy="0"/>
                        </a:xfrm>
                        <a:prstGeom prst="line">
                          <a:avLst/>
                        </a:prstGeom>
                        <a:noFill/>
                        <a:ln w="9525"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3.15pt;margin-top:25.4pt;height:0pt;width:424.1pt;z-index:251669504;mso-width-relative:page;mso-height-relative:page;" filled="f" stroked="t" coordsize="21600,21600" o:gfxdata="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644v9cAAAAIAQAADwAAAAAAAAABACAAAAAiAAAAZHJz&#10;L2Rvd25yZXYueG1sUEsBAhQAFAAAAAgAh07iQLOafyLMAQAAcQMAAA4AAAAAAAAAAQAgAAAAJgEA&#10;AGRycy9lMm9Eb2MueG1sUEsFBgAAAAAGAAYAWQEAAGQFAAAAAA==&#10;">
                <v:fill on="f" focussize="0,0"/>
                <v:stroke color="#000000" miterlimit="8" joinstyle="miter"/>
                <v:imagedata o:title=""/>
                <o:lock v:ext="edit" aspectratio="f"/>
              </v:line>
            </w:pict>
          </mc:Fallback>
        </mc:AlternateContent>
      </w:r>
      <w:r>
        <w:rPr>
          <w:rFonts w:hint="eastAsia" w:ascii="仿宋_GB2312" w:hAnsi="仿宋_GB2312" w:eastAsia="仿宋_GB2312" w:cs="仿宋_GB2312"/>
          <w:bCs/>
          <w:color w:val="000000"/>
          <w:sz w:val="28"/>
          <w:szCs w:val="28"/>
        </w:rPr>
        <w:t>区“五型”政府建设领导小组       办公室邮箱：qwxzfjs@163.com</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rPr>
                              <w:rFonts w:asciiTheme="minorEastAsia" w:hAnsiTheme="minorEastAsia" w:cstheme="minorEastAsia"/>
                              <w:sz w:val="21"/>
                              <w:szCs w:val="32"/>
                            </w:rPr>
                          </w:pPr>
                          <w:r>
                            <w:rPr>
                              <w:rFonts w:hint="eastAsia" w:asciiTheme="minorEastAsia" w:hAnsiTheme="minorEastAsia" w:cstheme="minorEastAsia"/>
                              <w:sz w:val="21"/>
                              <w:szCs w:val="32"/>
                            </w:rPr>
                            <w:t>—</w:t>
                          </w:r>
                          <w:r>
                            <w:rPr>
                              <w:rFonts w:hint="eastAsia" w:asciiTheme="minorEastAsia" w:hAnsiTheme="minorEastAsia" w:cstheme="minorEastAsia"/>
                              <w:sz w:val="21"/>
                              <w:szCs w:val="32"/>
                            </w:rPr>
                            <w:fldChar w:fldCharType="begin"/>
                          </w:r>
                          <w:r>
                            <w:rPr>
                              <w:rFonts w:hint="eastAsia" w:asciiTheme="minorEastAsia" w:hAnsiTheme="minorEastAsia" w:cstheme="minorEastAsia"/>
                              <w:sz w:val="21"/>
                              <w:szCs w:val="32"/>
                            </w:rPr>
                            <w:instrText xml:space="preserve"> PAGE  \* MERGEFORMAT </w:instrText>
                          </w:r>
                          <w:r>
                            <w:rPr>
                              <w:rFonts w:hint="eastAsia" w:asciiTheme="minorEastAsia" w:hAnsiTheme="minorEastAsia" w:cstheme="minorEastAsia"/>
                              <w:sz w:val="21"/>
                              <w:szCs w:val="32"/>
                            </w:rPr>
                            <w:fldChar w:fldCharType="separate"/>
                          </w:r>
                          <w:r>
                            <w:rPr>
                              <w:rFonts w:asciiTheme="minorEastAsia" w:hAnsiTheme="minorEastAsia" w:cstheme="minorEastAsia"/>
                              <w:sz w:val="21"/>
                              <w:szCs w:val="32"/>
                            </w:rPr>
                            <w:t>7</w:t>
                          </w:r>
                          <w:r>
                            <w:rPr>
                              <w:rFonts w:hint="eastAsia" w:asciiTheme="minorEastAsia" w:hAnsiTheme="minorEastAsia" w:cstheme="minorEastAsia"/>
                              <w:sz w:val="21"/>
                              <w:szCs w:val="32"/>
                            </w:rPr>
                            <w:fldChar w:fldCharType="end"/>
                          </w:r>
                          <w:r>
                            <w:rPr>
                              <w:rFonts w:hint="eastAsia" w:asciiTheme="minorEastAsia" w:hAnsiTheme="minorEastAsia" w:cstheme="minorEastAsia"/>
                              <w:sz w:val="21"/>
                              <w:szCs w:val="32"/>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8"/>
                      <w:rPr>
                        <w:rFonts w:asciiTheme="minorEastAsia" w:hAnsiTheme="minorEastAsia" w:cstheme="minorEastAsia"/>
                        <w:sz w:val="21"/>
                        <w:szCs w:val="32"/>
                      </w:rPr>
                    </w:pPr>
                    <w:r>
                      <w:rPr>
                        <w:rFonts w:hint="eastAsia" w:asciiTheme="minorEastAsia" w:hAnsiTheme="minorEastAsia" w:cstheme="minorEastAsia"/>
                        <w:sz w:val="21"/>
                        <w:szCs w:val="32"/>
                      </w:rPr>
                      <w:t>—</w:t>
                    </w:r>
                    <w:r>
                      <w:rPr>
                        <w:rFonts w:hint="eastAsia" w:asciiTheme="minorEastAsia" w:hAnsiTheme="minorEastAsia" w:cstheme="minorEastAsia"/>
                        <w:sz w:val="21"/>
                        <w:szCs w:val="32"/>
                      </w:rPr>
                      <w:fldChar w:fldCharType="begin"/>
                    </w:r>
                    <w:r>
                      <w:rPr>
                        <w:rFonts w:hint="eastAsia" w:asciiTheme="minorEastAsia" w:hAnsiTheme="minorEastAsia" w:cstheme="minorEastAsia"/>
                        <w:sz w:val="21"/>
                        <w:szCs w:val="32"/>
                      </w:rPr>
                      <w:instrText xml:space="preserve"> PAGE  \* MERGEFORMAT </w:instrText>
                    </w:r>
                    <w:r>
                      <w:rPr>
                        <w:rFonts w:hint="eastAsia" w:asciiTheme="minorEastAsia" w:hAnsiTheme="minorEastAsia" w:cstheme="minorEastAsia"/>
                        <w:sz w:val="21"/>
                        <w:szCs w:val="32"/>
                      </w:rPr>
                      <w:fldChar w:fldCharType="separate"/>
                    </w:r>
                    <w:r>
                      <w:rPr>
                        <w:rFonts w:asciiTheme="minorEastAsia" w:hAnsiTheme="minorEastAsia" w:cstheme="minorEastAsia"/>
                        <w:sz w:val="21"/>
                        <w:szCs w:val="32"/>
                      </w:rPr>
                      <w:t>7</w:t>
                    </w:r>
                    <w:r>
                      <w:rPr>
                        <w:rFonts w:hint="eastAsia" w:asciiTheme="minorEastAsia" w:hAnsiTheme="minorEastAsia" w:cstheme="minorEastAsia"/>
                        <w:sz w:val="21"/>
                        <w:szCs w:val="32"/>
                      </w:rPr>
                      <w:fldChar w:fldCharType="end"/>
                    </w:r>
                    <w:r>
                      <w:rPr>
                        <w:rFonts w:hint="eastAsia" w:asciiTheme="minorEastAsia" w:hAnsiTheme="minorEastAsia" w:cstheme="minorEastAsia"/>
                        <w:sz w:val="21"/>
                        <w:szCs w:val="32"/>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A38"/>
    <w:rsid w:val="00274497"/>
    <w:rsid w:val="0039534A"/>
    <w:rsid w:val="00401345"/>
    <w:rsid w:val="005A45F2"/>
    <w:rsid w:val="0062014A"/>
    <w:rsid w:val="00707B90"/>
    <w:rsid w:val="00AA3C57"/>
    <w:rsid w:val="00CF4B3E"/>
    <w:rsid w:val="00D52A38"/>
    <w:rsid w:val="00E13930"/>
    <w:rsid w:val="01126B0E"/>
    <w:rsid w:val="0121266A"/>
    <w:rsid w:val="013202B4"/>
    <w:rsid w:val="013C110F"/>
    <w:rsid w:val="01432976"/>
    <w:rsid w:val="01464D73"/>
    <w:rsid w:val="014C03E7"/>
    <w:rsid w:val="01501162"/>
    <w:rsid w:val="01666FE2"/>
    <w:rsid w:val="0180316B"/>
    <w:rsid w:val="018D1C35"/>
    <w:rsid w:val="01AB1B6A"/>
    <w:rsid w:val="01D45836"/>
    <w:rsid w:val="01F2689D"/>
    <w:rsid w:val="022B70C1"/>
    <w:rsid w:val="02A72C2B"/>
    <w:rsid w:val="02B06A46"/>
    <w:rsid w:val="02B10C8D"/>
    <w:rsid w:val="02DB018B"/>
    <w:rsid w:val="02F96D00"/>
    <w:rsid w:val="032869CC"/>
    <w:rsid w:val="03B17B34"/>
    <w:rsid w:val="03C15287"/>
    <w:rsid w:val="04072123"/>
    <w:rsid w:val="045A4388"/>
    <w:rsid w:val="05042BAE"/>
    <w:rsid w:val="050A6D6B"/>
    <w:rsid w:val="051C50B6"/>
    <w:rsid w:val="052B2C3B"/>
    <w:rsid w:val="05303539"/>
    <w:rsid w:val="05955B12"/>
    <w:rsid w:val="05B53307"/>
    <w:rsid w:val="05C74B80"/>
    <w:rsid w:val="063B4F7E"/>
    <w:rsid w:val="069B0A7D"/>
    <w:rsid w:val="06C57F87"/>
    <w:rsid w:val="06F112AB"/>
    <w:rsid w:val="06FE24C8"/>
    <w:rsid w:val="071D5057"/>
    <w:rsid w:val="072E6A00"/>
    <w:rsid w:val="075921F8"/>
    <w:rsid w:val="076807FE"/>
    <w:rsid w:val="07707F34"/>
    <w:rsid w:val="07B65741"/>
    <w:rsid w:val="07CC28B7"/>
    <w:rsid w:val="07E91F1B"/>
    <w:rsid w:val="08634598"/>
    <w:rsid w:val="08D84DE8"/>
    <w:rsid w:val="0907733D"/>
    <w:rsid w:val="094F4EFD"/>
    <w:rsid w:val="0973365E"/>
    <w:rsid w:val="097C2296"/>
    <w:rsid w:val="09AA32A7"/>
    <w:rsid w:val="09F51686"/>
    <w:rsid w:val="0A221A01"/>
    <w:rsid w:val="0A326A38"/>
    <w:rsid w:val="0AE63609"/>
    <w:rsid w:val="0B010466"/>
    <w:rsid w:val="0B1D2395"/>
    <w:rsid w:val="0B240487"/>
    <w:rsid w:val="0B260BDF"/>
    <w:rsid w:val="0B4D3812"/>
    <w:rsid w:val="0B973A06"/>
    <w:rsid w:val="0BF12F0C"/>
    <w:rsid w:val="0C015363"/>
    <w:rsid w:val="0C0B0BFB"/>
    <w:rsid w:val="0C1B14DC"/>
    <w:rsid w:val="0C423A35"/>
    <w:rsid w:val="0C4C2B75"/>
    <w:rsid w:val="0CAB16D0"/>
    <w:rsid w:val="0CF25081"/>
    <w:rsid w:val="0D3A69E9"/>
    <w:rsid w:val="0D694104"/>
    <w:rsid w:val="0D823828"/>
    <w:rsid w:val="0D84651C"/>
    <w:rsid w:val="0E026543"/>
    <w:rsid w:val="0E2E175F"/>
    <w:rsid w:val="0E3142E6"/>
    <w:rsid w:val="0E930753"/>
    <w:rsid w:val="0E996E91"/>
    <w:rsid w:val="0E9A3BB9"/>
    <w:rsid w:val="0F022C5F"/>
    <w:rsid w:val="0F1A0513"/>
    <w:rsid w:val="0F3040E4"/>
    <w:rsid w:val="0F3B68A9"/>
    <w:rsid w:val="0F4220F4"/>
    <w:rsid w:val="0F695028"/>
    <w:rsid w:val="0F7D5C3A"/>
    <w:rsid w:val="0F7E12F7"/>
    <w:rsid w:val="0FC60E2B"/>
    <w:rsid w:val="0FD94BA3"/>
    <w:rsid w:val="10071DE3"/>
    <w:rsid w:val="102B6D2A"/>
    <w:rsid w:val="106E54E2"/>
    <w:rsid w:val="10974C81"/>
    <w:rsid w:val="10C60DED"/>
    <w:rsid w:val="10D0477C"/>
    <w:rsid w:val="10D443F0"/>
    <w:rsid w:val="10E61DDD"/>
    <w:rsid w:val="10ED487D"/>
    <w:rsid w:val="11005AD5"/>
    <w:rsid w:val="1105555A"/>
    <w:rsid w:val="11194B4C"/>
    <w:rsid w:val="1182687E"/>
    <w:rsid w:val="122F44C8"/>
    <w:rsid w:val="124F5098"/>
    <w:rsid w:val="12804FC8"/>
    <w:rsid w:val="12BB47AA"/>
    <w:rsid w:val="132729CB"/>
    <w:rsid w:val="132E5CDC"/>
    <w:rsid w:val="13397094"/>
    <w:rsid w:val="133E3619"/>
    <w:rsid w:val="1347708F"/>
    <w:rsid w:val="13942CDD"/>
    <w:rsid w:val="13BD5608"/>
    <w:rsid w:val="13BD702A"/>
    <w:rsid w:val="13C9139E"/>
    <w:rsid w:val="149B2A63"/>
    <w:rsid w:val="14A20CCC"/>
    <w:rsid w:val="14A32D42"/>
    <w:rsid w:val="15453EDA"/>
    <w:rsid w:val="15687892"/>
    <w:rsid w:val="15CB1738"/>
    <w:rsid w:val="15EF72F3"/>
    <w:rsid w:val="16592C23"/>
    <w:rsid w:val="16770FE7"/>
    <w:rsid w:val="16AD15CA"/>
    <w:rsid w:val="16B642D5"/>
    <w:rsid w:val="16D704FD"/>
    <w:rsid w:val="17222329"/>
    <w:rsid w:val="17446BE7"/>
    <w:rsid w:val="174E489D"/>
    <w:rsid w:val="175D469F"/>
    <w:rsid w:val="177A2E72"/>
    <w:rsid w:val="18593755"/>
    <w:rsid w:val="18601A9B"/>
    <w:rsid w:val="18690E7F"/>
    <w:rsid w:val="186E2671"/>
    <w:rsid w:val="189D53FF"/>
    <w:rsid w:val="18BE1D13"/>
    <w:rsid w:val="191D64F3"/>
    <w:rsid w:val="194615E7"/>
    <w:rsid w:val="194C4E9E"/>
    <w:rsid w:val="19652249"/>
    <w:rsid w:val="19731D60"/>
    <w:rsid w:val="1A3639BF"/>
    <w:rsid w:val="1A8576CA"/>
    <w:rsid w:val="1AB80073"/>
    <w:rsid w:val="1AD3545F"/>
    <w:rsid w:val="1AD92A29"/>
    <w:rsid w:val="1AE55515"/>
    <w:rsid w:val="1AF1568B"/>
    <w:rsid w:val="1B115D4C"/>
    <w:rsid w:val="1B150DC3"/>
    <w:rsid w:val="1B473BCC"/>
    <w:rsid w:val="1B4E51AE"/>
    <w:rsid w:val="1B521F10"/>
    <w:rsid w:val="1B990538"/>
    <w:rsid w:val="1BBE16A7"/>
    <w:rsid w:val="1C1947F8"/>
    <w:rsid w:val="1C304CB9"/>
    <w:rsid w:val="1C45360A"/>
    <w:rsid w:val="1C7566AF"/>
    <w:rsid w:val="1CA15E48"/>
    <w:rsid w:val="1D3E4F59"/>
    <w:rsid w:val="1D9D4CC2"/>
    <w:rsid w:val="1DCB0820"/>
    <w:rsid w:val="1DDC012B"/>
    <w:rsid w:val="1E1F2CCE"/>
    <w:rsid w:val="1E606392"/>
    <w:rsid w:val="1EB24C0D"/>
    <w:rsid w:val="1F6C1824"/>
    <w:rsid w:val="1F841518"/>
    <w:rsid w:val="1F9A0C73"/>
    <w:rsid w:val="1F9F31CD"/>
    <w:rsid w:val="1FD83F57"/>
    <w:rsid w:val="202D3DE8"/>
    <w:rsid w:val="20706044"/>
    <w:rsid w:val="20742446"/>
    <w:rsid w:val="207F2F71"/>
    <w:rsid w:val="208C6551"/>
    <w:rsid w:val="20B23C12"/>
    <w:rsid w:val="2181057A"/>
    <w:rsid w:val="21BA3D25"/>
    <w:rsid w:val="21DC2C0D"/>
    <w:rsid w:val="21DF70DA"/>
    <w:rsid w:val="229C633C"/>
    <w:rsid w:val="233C4338"/>
    <w:rsid w:val="23685B29"/>
    <w:rsid w:val="237A3490"/>
    <w:rsid w:val="23CF0F0C"/>
    <w:rsid w:val="23E52B0D"/>
    <w:rsid w:val="24106874"/>
    <w:rsid w:val="243E5A79"/>
    <w:rsid w:val="24A359E6"/>
    <w:rsid w:val="24CB3F7C"/>
    <w:rsid w:val="250B690A"/>
    <w:rsid w:val="253A4AF3"/>
    <w:rsid w:val="25437635"/>
    <w:rsid w:val="25B63AA0"/>
    <w:rsid w:val="25E215C3"/>
    <w:rsid w:val="25F258DF"/>
    <w:rsid w:val="25FA0D8A"/>
    <w:rsid w:val="265E31F5"/>
    <w:rsid w:val="270B185C"/>
    <w:rsid w:val="27161CBF"/>
    <w:rsid w:val="27880E94"/>
    <w:rsid w:val="278C4BE7"/>
    <w:rsid w:val="27BD6402"/>
    <w:rsid w:val="27E86B7B"/>
    <w:rsid w:val="27FC05E4"/>
    <w:rsid w:val="28000865"/>
    <w:rsid w:val="287946FC"/>
    <w:rsid w:val="28A34818"/>
    <w:rsid w:val="28D54DFB"/>
    <w:rsid w:val="28EA1821"/>
    <w:rsid w:val="29686EBE"/>
    <w:rsid w:val="299C6A57"/>
    <w:rsid w:val="29CE5D44"/>
    <w:rsid w:val="29E27456"/>
    <w:rsid w:val="2A1F7A4C"/>
    <w:rsid w:val="2A4C5F1B"/>
    <w:rsid w:val="2AB63394"/>
    <w:rsid w:val="2AC4022D"/>
    <w:rsid w:val="2ADA2093"/>
    <w:rsid w:val="2B1430B8"/>
    <w:rsid w:val="2B446F99"/>
    <w:rsid w:val="2B947BBC"/>
    <w:rsid w:val="2B9772FB"/>
    <w:rsid w:val="2BA974EE"/>
    <w:rsid w:val="2BC4671C"/>
    <w:rsid w:val="2BD43D7C"/>
    <w:rsid w:val="2C264F5A"/>
    <w:rsid w:val="2C493966"/>
    <w:rsid w:val="2C5B7E6B"/>
    <w:rsid w:val="2C697F6F"/>
    <w:rsid w:val="2C865511"/>
    <w:rsid w:val="2CA2430C"/>
    <w:rsid w:val="2CCD6BE3"/>
    <w:rsid w:val="2CF9161A"/>
    <w:rsid w:val="2D3A61E6"/>
    <w:rsid w:val="2D4870E2"/>
    <w:rsid w:val="2D6335E0"/>
    <w:rsid w:val="2D752452"/>
    <w:rsid w:val="2DF15908"/>
    <w:rsid w:val="2E287BCB"/>
    <w:rsid w:val="2E3759DE"/>
    <w:rsid w:val="2E4D33C2"/>
    <w:rsid w:val="2E585B23"/>
    <w:rsid w:val="2E750A13"/>
    <w:rsid w:val="2EBD3C85"/>
    <w:rsid w:val="2F3F4C1D"/>
    <w:rsid w:val="2F5351F8"/>
    <w:rsid w:val="2F6C0221"/>
    <w:rsid w:val="2FA14F42"/>
    <w:rsid w:val="2FC07B44"/>
    <w:rsid w:val="2FFD54F4"/>
    <w:rsid w:val="30144A4A"/>
    <w:rsid w:val="302B20FD"/>
    <w:rsid w:val="305014FB"/>
    <w:rsid w:val="30613D58"/>
    <w:rsid w:val="30717F82"/>
    <w:rsid w:val="30805358"/>
    <w:rsid w:val="308077AB"/>
    <w:rsid w:val="30C512AE"/>
    <w:rsid w:val="310A0293"/>
    <w:rsid w:val="312D6F1A"/>
    <w:rsid w:val="314A0B2B"/>
    <w:rsid w:val="31750B92"/>
    <w:rsid w:val="320302E0"/>
    <w:rsid w:val="320B3D43"/>
    <w:rsid w:val="326F6E44"/>
    <w:rsid w:val="329244F8"/>
    <w:rsid w:val="32AD6102"/>
    <w:rsid w:val="32C8280F"/>
    <w:rsid w:val="33954DFB"/>
    <w:rsid w:val="339C1945"/>
    <w:rsid w:val="33C731DA"/>
    <w:rsid w:val="33CC5691"/>
    <w:rsid w:val="33E0797A"/>
    <w:rsid w:val="33E2562A"/>
    <w:rsid w:val="33F26743"/>
    <w:rsid w:val="340568B8"/>
    <w:rsid w:val="343730F5"/>
    <w:rsid w:val="343C7B92"/>
    <w:rsid w:val="346679E8"/>
    <w:rsid w:val="34B865C7"/>
    <w:rsid w:val="34B94385"/>
    <w:rsid w:val="352F54FB"/>
    <w:rsid w:val="356F06E1"/>
    <w:rsid w:val="35855D75"/>
    <w:rsid w:val="35B1239C"/>
    <w:rsid w:val="35F95E1C"/>
    <w:rsid w:val="3608255A"/>
    <w:rsid w:val="361442A0"/>
    <w:rsid w:val="36487826"/>
    <w:rsid w:val="367C710F"/>
    <w:rsid w:val="368D14CB"/>
    <w:rsid w:val="36B602C6"/>
    <w:rsid w:val="36C32733"/>
    <w:rsid w:val="36FB70A6"/>
    <w:rsid w:val="3721103F"/>
    <w:rsid w:val="372836CB"/>
    <w:rsid w:val="37311725"/>
    <w:rsid w:val="37395C41"/>
    <w:rsid w:val="375431E7"/>
    <w:rsid w:val="377E5DED"/>
    <w:rsid w:val="37B456BF"/>
    <w:rsid w:val="37B94506"/>
    <w:rsid w:val="38423D4D"/>
    <w:rsid w:val="3859555F"/>
    <w:rsid w:val="387C0405"/>
    <w:rsid w:val="38994B63"/>
    <w:rsid w:val="38C605FC"/>
    <w:rsid w:val="38F27696"/>
    <w:rsid w:val="39265546"/>
    <w:rsid w:val="393533DB"/>
    <w:rsid w:val="393B4850"/>
    <w:rsid w:val="396B1AEC"/>
    <w:rsid w:val="39944326"/>
    <w:rsid w:val="399E05AC"/>
    <w:rsid w:val="39AF052F"/>
    <w:rsid w:val="39B60C57"/>
    <w:rsid w:val="39DF3FD4"/>
    <w:rsid w:val="39F6489F"/>
    <w:rsid w:val="3A0F6D25"/>
    <w:rsid w:val="3A9774B8"/>
    <w:rsid w:val="3AC8198E"/>
    <w:rsid w:val="3AEC0EB8"/>
    <w:rsid w:val="3B4531EF"/>
    <w:rsid w:val="3B4F6588"/>
    <w:rsid w:val="3B5271F6"/>
    <w:rsid w:val="3BC23D68"/>
    <w:rsid w:val="3BCF5194"/>
    <w:rsid w:val="3BD56922"/>
    <w:rsid w:val="3BDF7B21"/>
    <w:rsid w:val="3C062529"/>
    <w:rsid w:val="3C85207E"/>
    <w:rsid w:val="3CBC75C2"/>
    <w:rsid w:val="3CC42175"/>
    <w:rsid w:val="3CC8573E"/>
    <w:rsid w:val="3CCA7AA7"/>
    <w:rsid w:val="3CDA516F"/>
    <w:rsid w:val="3CF20B06"/>
    <w:rsid w:val="3D0A1E7C"/>
    <w:rsid w:val="3D3D6CE7"/>
    <w:rsid w:val="3D5D3714"/>
    <w:rsid w:val="3D7E5B3C"/>
    <w:rsid w:val="3D91141F"/>
    <w:rsid w:val="3DB94E0D"/>
    <w:rsid w:val="3E446964"/>
    <w:rsid w:val="3E6E2DCB"/>
    <w:rsid w:val="3E854492"/>
    <w:rsid w:val="3E9A4DD8"/>
    <w:rsid w:val="3ECA1007"/>
    <w:rsid w:val="3EDC5153"/>
    <w:rsid w:val="3EE247B3"/>
    <w:rsid w:val="3EFC72BF"/>
    <w:rsid w:val="3F016393"/>
    <w:rsid w:val="3F0549FD"/>
    <w:rsid w:val="3F3F19F2"/>
    <w:rsid w:val="3F40653B"/>
    <w:rsid w:val="3F595C3A"/>
    <w:rsid w:val="3F68553E"/>
    <w:rsid w:val="3F8E2FB0"/>
    <w:rsid w:val="3F933C77"/>
    <w:rsid w:val="3FB162B1"/>
    <w:rsid w:val="3FCA065B"/>
    <w:rsid w:val="3FED602A"/>
    <w:rsid w:val="3FFB58A3"/>
    <w:rsid w:val="3FFFAFA3"/>
    <w:rsid w:val="404574DF"/>
    <w:rsid w:val="40747B96"/>
    <w:rsid w:val="40B571BD"/>
    <w:rsid w:val="40B86F05"/>
    <w:rsid w:val="40ED5DE6"/>
    <w:rsid w:val="41354D47"/>
    <w:rsid w:val="414E575B"/>
    <w:rsid w:val="41545CEB"/>
    <w:rsid w:val="418400F6"/>
    <w:rsid w:val="41874350"/>
    <w:rsid w:val="41BC5AD5"/>
    <w:rsid w:val="41FC7F5D"/>
    <w:rsid w:val="42083B4C"/>
    <w:rsid w:val="421D3963"/>
    <w:rsid w:val="42564FE1"/>
    <w:rsid w:val="42627E26"/>
    <w:rsid w:val="42824937"/>
    <w:rsid w:val="42985501"/>
    <w:rsid w:val="429B054D"/>
    <w:rsid w:val="42A845E1"/>
    <w:rsid w:val="42CE384C"/>
    <w:rsid w:val="42F1223B"/>
    <w:rsid w:val="42F63462"/>
    <w:rsid w:val="4305452A"/>
    <w:rsid w:val="43146C8D"/>
    <w:rsid w:val="432A3D5F"/>
    <w:rsid w:val="435B13C3"/>
    <w:rsid w:val="435C4E0E"/>
    <w:rsid w:val="43815896"/>
    <w:rsid w:val="439A0959"/>
    <w:rsid w:val="43B438D9"/>
    <w:rsid w:val="43C37F54"/>
    <w:rsid w:val="44145B03"/>
    <w:rsid w:val="443078BE"/>
    <w:rsid w:val="446F5C94"/>
    <w:rsid w:val="44AE1882"/>
    <w:rsid w:val="45426DE7"/>
    <w:rsid w:val="456E1C44"/>
    <w:rsid w:val="45A72EB2"/>
    <w:rsid w:val="45D84179"/>
    <w:rsid w:val="462064B6"/>
    <w:rsid w:val="463262BF"/>
    <w:rsid w:val="46340B03"/>
    <w:rsid w:val="46A62B74"/>
    <w:rsid w:val="4708438F"/>
    <w:rsid w:val="472C5CFB"/>
    <w:rsid w:val="473A41F1"/>
    <w:rsid w:val="478C51AC"/>
    <w:rsid w:val="47AC301C"/>
    <w:rsid w:val="47C513F0"/>
    <w:rsid w:val="47CC6AA6"/>
    <w:rsid w:val="47E80748"/>
    <w:rsid w:val="48253ABF"/>
    <w:rsid w:val="48FC455F"/>
    <w:rsid w:val="48FF5949"/>
    <w:rsid w:val="49096CEA"/>
    <w:rsid w:val="49846C94"/>
    <w:rsid w:val="49B92BEB"/>
    <w:rsid w:val="49B97C5B"/>
    <w:rsid w:val="49DA34B7"/>
    <w:rsid w:val="4A274CF7"/>
    <w:rsid w:val="4A2C08A2"/>
    <w:rsid w:val="4A4C62E6"/>
    <w:rsid w:val="4A663E5C"/>
    <w:rsid w:val="4A8B09A4"/>
    <w:rsid w:val="4A9C22EB"/>
    <w:rsid w:val="4ABA5F93"/>
    <w:rsid w:val="4ACC38B8"/>
    <w:rsid w:val="4AE12D35"/>
    <w:rsid w:val="4B0426D9"/>
    <w:rsid w:val="4BEE1CD4"/>
    <w:rsid w:val="4BF13F3D"/>
    <w:rsid w:val="4C0071DF"/>
    <w:rsid w:val="4C7A52A7"/>
    <w:rsid w:val="4CD41E62"/>
    <w:rsid w:val="4D0D3C71"/>
    <w:rsid w:val="4D287C7B"/>
    <w:rsid w:val="4D4F34A9"/>
    <w:rsid w:val="4D6A1994"/>
    <w:rsid w:val="4D8E6AA0"/>
    <w:rsid w:val="4DDF440D"/>
    <w:rsid w:val="4E2470ED"/>
    <w:rsid w:val="4E276C2A"/>
    <w:rsid w:val="4E336995"/>
    <w:rsid w:val="4EE9478D"/>
    <w:rsid w:val="4F2A003F"/>
    <w:rsid w:val="4F356097"/>
    <w:rsid w:val="4F94370D"/>
    <w:rsid w:val="501B25BB"/>
    <w:rsid w:val="501E1160"/>
    <w:rsid w:val="50677C4B"/>
    <w:rsid w:val="516223A4"/>
    <w:rsid w:val="51AD1431"/>
    <w:rsid w:val="51BD5870"/>
    <w:rsid w:val="51EF14D4"/>
    <w:rsid w:val="52306A4B"/>
    <w:rsid w:val="52701F67"/>
    <w:rsid w:val="5288217D"/>
    <w:rsid w:val="528B13CB"/>
    <w:rsid w:val="52B443BB"/>
    <w:rsid w:val="52E12A61"/>
    <w:rsid w:val="53234526"/>
    <w:rsid w:val="532857DA"/>
    <w:rsid w:val="53385317"/>
    <w:rsid w:val="533B7441"/>
    <w:rsid w:val="53A8771A"/>
    <w:rsid w:val="53AE23ED"/>
    <w:rsid w:val="53BC0E14"/>
    <w:rsid w:val="53CC6779"/>
    <w:rsid w:val="53F857BE"/>
    <w:rsid w:val="54044CF9"/>
    <w:rsid w:val="540C0210"/>
    <w:rsid w:val="5415353E"/>
    <w:rsid w:val="546D69E7"/>
    <w:rsid w:val="54B12ECF"/>
    <w:rsid w:val="54BC5170"/>
    <w:rsid w:val="54D15143"/>
    <w:rsid w:val="54D44411"/>
    <w:rsid w:val="55013D3D"/>
    <w:rsid w:val="553F0C34"/>
    <w:rsid w:val="554078FE"/>
    <w:rsid w:val="55624083"/>
    <w:rsid w:val="55A3606D"/>
    <w:rsid w:val="55C25BD5"/>
    <w:rsid w:val="55CA2A3E"/>
    <w:rsid w:val="55D95402"/>
    <w:rsid w:val="55F44274"/>
    <w:rsid w:val="56044F3E"/>
    <w:rsid w:val="561D0069"/>
    <w:rsid w:val="562D1EA2"/>
    <w:rsid w:val="564D7D54"/>
    <w:rsid w:val="56911D14"/>
    <w:rsid w:val="56D04AAE"/>
    <w:rsid w:val="56D633A6"/>
    <w:rsid w:val="56E428BE"/>
    <w:rsid w:val="573D2C1C"/>
    <w:rsid w:val="57792254"/>
    <w:rsid w:val="578925D7"/>
    <w:rsid w:val="57926F54"/>
    <w:rsid w:val="579C0773"/>
    <w:rsid w:val="57C74BA8"/>
    <w:rsid w:val="57D07012"/>
    <w:rsid w:val="583B6681"/>
    <w:rsid w:val="585128DF"/>
    <w:rsid w:val="58882AFB"/>
    <w:rsid w:val="58952D55"/>
    <w:rsid w:val="58C34C79"/>
    <w:rsid w:val="58C61F57"/>
    <w:rsid w:val="58FB6AF5"/>
    <w:rsid w:val="59026AF6"/>
    <w:rsid w:val="591D480F"/>
    <w:rsid w:val="593F44C4"/>
    <w:rsid w:val="594E0595"/>
    <w:rsid w:val="59604117"/>
    <w:rsid w:val="596708EB"/>
    <w:rsid w:val="59673588"/>
    <w:rsid w:val="597E3F7F"/>
    <w:rsid w:val="598D42BF"/>
    <w:rsid w:val="59996B7A"/>
    <w:rsid w:val="599B520B"/>
    <w:rsid w:val="59B34D9A"/>
    <w:rsid w:val="59D61CF6"/>
    <w:rsid w:val="59DD2D3F"/>
    <w:rsid w:val="5A53606E"/>
    <w:rsid w:val="5A750FCD"/>
    <w:rsid w:val="5A807A39"/>
    <w:rsid w:val="5A825D83"/>
    <w:rsid w:val="5A922F8E"/>
    <w:rsid w:val="5AF4428D"/>
    <w:rsid w:val="5B065A13"/>
    <w:rsid w:val="5B0E3724"/>
    <w:rsid w:val="5B246C36"/>
    <w:rsid w:val="5B3A630C"/>
    <w:rsid w:val="5B434CB2"/>
    <w:rsid w:val="5B78264D"/>
    <w:rsid w:val="5B924077"/>
    <w:rsid w:val="5BB75C8E"/>
    <w:rsid w:val="5C17089E"/>
    <w:rsid w:val="5C4660CF"/>
    <w:rsid w:val="5C536149"/>
    <w:rsid w:val="5C762E1D"/>
    <w:rsid w:val="5CAA58D1"/>
    <w:rsid w:val="5CC76FA4"/>
    <w:rsid w:val="5D397281"/>
    <w:rsid w:val="5D5E66E0"/>
    <w:rsid w:val="5E011F8F"/>
    <w:rsid w:val="5E031478"/>
    <w:rsid w:val="5E956BA5"/>
    <w:rsid w:val="5EB16D7A"/>
    <w:rsid w:val="5EBD3CCB"/>
    <w:rsid w:val="5F1147C8"/>
    <w:rsid w:val="5F96295B"/>
    <w:rsid w:val="5F9E7A25"/>
    <w:rsid w:val="60652B08"/>
    <w:rsid w:val="60743870"/>
    <w:rsid w:val="609119EA"/>
    <w:rsid w:val="60B167C4"/>
    <w:rsid w:val="60C56425"/>
    <w:rsid w:val="60D973EF"/>
    <w:rsid w:val="612619D1"/>
    <w:rsid w:val="61364DCE"/>
    <w:rsid w:val="614C7FBF"/>
    <w:rsid w:val="615E2D71"/>
    <w:rsid w:val="61603805"/>
    <w:rsid w:val="617C1447"/>
    <w:rsid w:val="61C27FC3"/>
    <w:rsid w:val="6254440C"/>
    <w:rsid w:val="62DE3AF2"/>
    <w:rsid w:val="631723EE"/>
    <w:rsid w:val="63573AFE"/>
    <w:rsid w:val="6365206B"/>
    <w:rsid w:val="639F67B5"/>
    <w:rsid w:val="63CB7854"/>
    <w:rsid w:val="63D83BF7"/>
    <w:rsid w:val="640040F6"/>
    <w:rsid w:val="6439297D"/>
    <w:rsid w:val="648D6474"/>
    <w:rsid w:val="649B6311"/>
    <w:rsid w:val="64B12D8E"/>
    <w:rsid w:val="64C74DA9"/>
    <w:rsid w:val="64F156D4"/>
    <w:rsid w:val="6534239C"/>
    <w:rsid w:val="654324CA"/>
    <w:rsid w:val="65AB5AC2"/>
    <w:rsid w:val="65D62A1B"/>
    <w:rsid w:val="65E957CC"/>
    <w:rsid w:val="65F2775F"/>
    <w:rsid w:val="660012BF"/>
    <w:rsid w:val="663C3016"/>
    <w:rsid w:val="66441B7C"/>
    <w:rsid w:val="665C74B1"/>
    <w:rsid w:val="666003B8"/>
    <w:rsid w:val="668A6A86"/>
    <w:rsid w:val="66A543A0"/>
    <w:rsid w:val="66DA4D26"/>
    <w:rsid w:val="67084D79"/>
    <w:rsid w:val="671F5AC2"/>
    <w:rsid w:val="673A4ACC"/>
    <w:rsid w:val="673C4B95"/>
    <w:rsid w:val="67447DA5"/>
    <w:rsid w:val="67453CF7"/>
    <w:rsid w:val="67530EE1"/>
    <w:rsid w:val="689F328C"/>
    <w:rsid w:val="68AC4AB4"/>
    <w:rsid w:val="68E179C4"/>
    <w:rsid w:val="694A3B68"/>
    <w:rsid w:val="6963641D"/>
    <w:rsid w:val="69717659"/>
    <w:rsid w:val="699D24DD"/>
    <w:rsid w:val="69D81D27"/>
    <w:rsid w:val="69FA67B6"/>
    <w:rsid w:val="6A0B007C"/>
    <w:rsid w:val="6A444183"/>
    <w:rsid w:val="6A606746"/>
    <w:rsid w:val="6AA97CC6"/>
    <w:rsid w:val="6AD21195"/>
    <w:rsid w:val="6AED05D1"/>
    <w:rsid w:val="6B242472"/>
    <w:rsid w:val="6B2D7513"/>
    <w:rsid w:val="6B443A29"/>
    <w:rsid w:val="6B632AD3"/>
    <w:rsid w:val="6BB370B9"/>
    <w:rsid w:val="6BB379AD"/>
    <w:rsid w:val="6C3A3254"/>
    <w:rsid w:val="6C3C4588"/>
    <w:rsid w:val="6C896395"/>
    <w:rsid w:val="6CA4247A"/>
    <w:rsid w:val="6CC36381"/>
    <w:rsid w:val="6CC667F9"/>
    <w:rsid w:val="6D1144B3"/>
    <w:rsid w:val="6D451B3E"/>
    <w:rsid w:val="6DD77858"/>
    <w:rsid w:val="6DEA6F82"/>
    <w:rsid w:val="6DEE2F05"/>
    <w:rsid w:val="6DF01A24"/>
    <w:rsid w:val="6DF054F4"/>
    <w:rsid w:val="6E2B0EE5"/>
    <w:rsid w:val="6E3804A3"/>
    <w:rsid w:val="6E3B49E3"/>
    <w:rsid w:val="6E6B6939"/>
    <w:rsid w:val="6E7144C7"/>
    <w:rsid w:val="6E940E80"/>
    <w:rsid w:val="6F3C210D"/>
    <w:rsid w:val="6F3C6677"/>
    <w:rsid w:val="6F3D4F62"/>
    <w:rsid w:val="6F4B5621"/>
    <w:rsid w:val="6F584809"/>
    <w:rsid w:val="6F654859"/>
    <w:rsid w:val="6F9B5DA0"/>
    <w:rsid w:val="6F9C6FB1"/>
    <w:rsid w:val="6FC02F0C"/>
    <w:rsid w:val="6FC37F89"/>
    <w:rsid w:val="6FCB2056"/>
    <w:rsid w:val="7073147A"/>
    <w:rsid w:val="71192C78"/>
    <w:rsid w:val="71332FF4"/>
    <w:rsid w:val="716F2236"/>
    <w:rsid w:val="71810FE9"/>
    <w:rsid w:val="71813A9C"/>
    <w:rsid w:val="71B064FD"/>
    <w:rsid w:val="71DB69BC"/>
    <w:rsid w:val="71E04729"/>
    <w:rsid w:val="726C5EB9"/>
    <w:rsid w:val="727644F7"/>
    <w:rsid w:val="7327375E"/>
    <w:rsid w:val="73310494"/>
    <w:rsid w:val="73515576"/>
    <w:rsid w:val="735313A5"/>
    <w:rsid w:val="738E4404"/>
    <w:rsid w:val="73920681"/>
    <w:rsid w:val="73B8564C"/>
    <w:rsid w:val="742B4873"/>
    <w:rsid w:val="74384526"/>
    <w:rsid w:val="74600343"/>
    <w:rsid w:val="74B67D61"/>
    <w:rsid w:val="74B70506"/>
    <w:rsid w:val="74C165CD"/>
    <w:rsid w:val="751B7BC7"/>
    <w:rsid w:val="75223C4E"/>
    <w:rsid w:val="755E7389"/>
    <w:rsid w:val="758552E7"/>
    <w:rsid w:val="75E01E6B"/>
    <w:rsid w:val="760B7161"/>
    <w:rsid w:val="761A7C35"/>
    <w:rsid w:val="764F6D96"/>
    <w:rsid w:val="7650192E"/>
    <w:rsid w:val="76701A28"/>
    <w:rsid w:val="7670669A"/>
    <w:rsid w:val="76D6628C"/>
    <w:rsid w:val="77122979"/>
    <w:rsid w:val="772E2101"/>
    <w:rsid w:val="772F174B"/>
    <w:rsid w:val="77B82565"/>
    <w:rsid w:val="77F91C0B"/>
    <w:rsid w:val="780B0882"/>
    <w:rsid w:val="781116D4"/>
    <w:rsid w:val="785A44AB"/>
    <w:rsid w:val="787125AE"/>
    <w:rsid w:val="78977524"/>
    <w:rsid w:val="78C01ADB"/>
    <w:rsid w:val="78F02876"/>
    <w:rsid w:val="7918308C"/>
    <w:rsid w:val="79312515"/>
    <w:rsid w:val="79532F2A"/>
    <w:rsid w:val="795D1D86"/>
    <w:rsid w:val="799329FA"/>
    <w:rsid w:val="79DC6753"/>
    <w:rsid w:val="79EE2DC4"/>
    <w:rsid w:val="79F0261C"/>
    <w:rsid w:val="7A0B2D1B"/>
    <w:rsid w:val="7A25781B"/>
    <w:rsid w:val="7A2C42A1"/>
    <w:rsid w:val="7A383760"/>
    <w:rsid w:val="7A5811F5"/>
    <w:rsid w:val="7A750C5C"/>
    <w:rsid w:val="7A75324F"/>
    <w:rsid w:val="7A7D04D8"/>
    <w:rsid w:val="7AA074CC"/>
    <w:rsid w:val="7AC17107"/>
    <w:rsid w:val="7ACF4E03"/>
    <w:rsid w:val="7AD62871"/>
    <w:rsid w:val="7AF46694"/>
    <w:rsid w:val="7B462193"/>
    <w:rsid w:val="7B536549"/>
    <w:rsid w:val="7BDC3147"/>
    <w:rsid w:val="7C12233F"/>
    <w:rsid w:val="7C451117"/>
    <w:rsid w:val="7C6D34B3"/>
    <w:rsid w:val="7C6F44F1"/>
    <w:rsid w:val="7CA92D80"/>
    <w:rsid w:val="7CE27880"/>
    <w:rsid w:val="7CE92426"/>
    <w:rsid w:val="7D00501C"/>
    <w:rsid w:val="7D041057"/>
    <w:rsid w:val="7D271456"/>
    <w:rsid w:val="7DF14CAF"/>
    <w:rsid w:val="7E927104"/>
    <w:rsid w:val="7ECA748A"/>
    <w:rsid w:val="7F1C4B90"/>
    <w:rsid w:val="7F293829"/>
    <w:rsid w:val="7F32669E"/>
    <w:rsid w:val="7F793123"/>
    <w:rsid w:val="7FBE5043"/>
    <w:rsid w:val="7FCE1AB6"/>
    <w:rsid w:val="7FE33BEE"/>
    <w:rsid w:val="7FE352F2"/>
    <w:rsid w:val="7FF1BD38"/>
    <w:rsid w:val="BEED0CB0"/>
    <w:rsid w:val="D7E31853"/>
    <w:rsid w:val="FD5F4A82"/>
    <w:rsid w:val="FEFB35D0"/>
    <w:rsid w:val="FFD54EF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5">
    <w:name w:val="heading 2"/>
    <w:basedOn w:val="1"/>
    <w:next w:val="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6">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1">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0"/>
    <w:rPr>
      <w:b/>
      <w:bCs/>
    </w:rPr>
  </w:style>
  <w:style w:type="paragraph" w:styleId="3">
    <w:name w:val="Quote"/>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7">
    <w:name w:val="Body Text First Indent"/>
    <w:basedOn w:val="2"/>
    <w:qFormat/>
    <w:uiPriority w:val="0"/>
    <w:pPr>
      <w:adjustRightInd/>
      <w:snapToGrid/>
      <w:ind w:firstLine="420" w:firstLineChars="100"/>
    </w:pPr>
    <w:rPr>
      <w:rFonts w:ascii="Times New Roman" w:hAnsi="Times New Roman" w:eastAsia="宋体" w:cs="Times New Roman"/>
      <w:sz w:val="32"/>
      <w:szCs w:val="32"/>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Autospacing="1" w:afterAutospacing="1"/>
      <w:jc w:val="left"/>
    </w:pPr>
    <w:rPr>
      <w:rFonts w:cs="Times New Roman"/>
      <w:kern w:val="0"/>
      <w:sz w:val="24"/>
    </w:rPr>
  </w:style>
  <w:style w:type="character" w:styleId="12">
    <w:name w:val="Strong"/>
    <w:basedOn w:val="11"/>
    <w:qFormat/>
    <w:uiPriority w:val="0"/>
    <w:rPr>
      <w:b/>
    </w:rPr>
  </w:style>
  <w:style w:type="character" w:styleId="13">
    <w:name w:val="Emphasis"/>
    <w:basedOn w:val="11"/>
    <w:qFormat/>
    <w:uiPriority w:val="20"/>
    <w:rPr>
      <w:i/>
      <w:iCs/>
    </w:rPr>
  </w:style>
  <w:style w:type="character" w:styleId="14">
    <w:name w:val="Hyperlink"/>
    <w:basedOn w:val="11"/>
    <w:semiHidden/>
    <w:unhideWhenUsed/>
    <w:qFormat/>
    <w:uiPriority w:val="99"/>
    <w:rPr>
      <w:color w:val="0000FF"/>
      <w:u w:val="single"/>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492</Words>
  <Characters>2810</Characters>
  <Lines>23</Lines>
  <Paragraphs>6</Paragraphs>
  <TotalTime>3</TotalTime>
  <ScaleCrop>false</ScaleCrop>
  <LinksUpToDate>false</LinksUpToDate>
  <CharactersWithSpaces>3296</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1</cp:lastModifiedBy>
  <cp:lastPrinted>2019-05-14T10:37:00Z</cp:lastPrinted>
  <dcterms:modified xsi:type="dcterms:W3CDTF">2020-08-20T07:09:25Z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