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 w:lineRule="exact"/>
        <w:rPr>
          <w:rFonts w:hint="eastAsia"/>
          <w:sz w:val="32"/>
          <w:szCs w:val="32"/>
        </w:rPr>
      </w:pPr>
    </w:p>
    <w:p>
      <w:pPr>
        <w:keepNext w:val="0"/>
        <w:keepLines w:val="0"/>
        <w:pageBreakBefore w:val="0"/>
        <w:widowControl w:val="0"/>
        <w:tabs>
          <w:tab w:val="left" w:pos="2100"/>
        </w:tabs>
        <w:kinsoku/>
        <w:wordWrap/>
        <w:overflowPunct/>
        <w:topLinePunct w:val="0"/>
        <w:autoSpaceDE/>
        <w:autoSpaceDN/>
        <w:bidi w:val="0"/>
        <w:adjustRightInd/>
        <w:snapToGrid/>
        <w:spacing w:line="540" w:lineRule="exact"/>
        <w:jc w:val="center"/>
        <w:textAlignment w:val="auto"/>
        <w:rPr>
          <w:rFonts w:eastAsia="仿宋_GB2312"/>
          <w:b/>
          <w:bCs/>
          <w:kern w:val="0"/>
          <w:sz w:val="32"/>
        </w:rPr>
      </w:pPr>
    </w:p>
    <w:p>
      <w:pPr>
        <w:keepNext w:val="0"/>
        <w:keepLines w:val="0"/>
        <w:pageBreakBefore w:val="0"/>
        <w:widowControl w:val="0"/>
        <w:tabs>
          <w:tab w:val="left" w:pos="2100"/>
        </w:tabs>
        <w:kinsoku/>
        <w:wordWrap/>
        <w:overflowPunct/>
        <w:topLinePunct w:val="0"/>
        <w:autoSpaceDE/>
        <w:autoSpaceDN/>
        <w:bidi w:val="0"/>
        <w:adjustRightInd/>
        <w:snapToGrid/>
        <w:spacing w:line="540" w:lineRule="exact"/>
        <w:jc w:val="center"/>
        <w:textAlignment w:val="auto"/>
        <w:rPr>
          <w:rFonts w:eastAsia="仿宋_GB2312"/>
          <w:b/>
          <w:bCs/>
          <w:kern w:val="0"/>
          <w:sz w:val="32"/>
        </w:rPr>
      </w:pPr>
    </w:p>
    <w:p>
      <w:pPr>
        <w:keepNext w:val="0"/>
        <w:keepLines w:val="0"/>
        <w:pageBreakBefore w:val="0"/>
        <w:widowControl w:val="0"/>
        <w:tabs>
          <w:tab w:val="left" w:pos="2100"/>
        </w:tabs>
        <w:kinsoku/>
        <w:wordWrap/>
        <w:overflowPunct/>
        <w:topLinePunct w:val="0"/>
        <w:autoSpaceDE/>
        <w:autoSpaceDN/>
        <w:bidi w:val="0"/>
        <w:adjustRightInd/>
        <w:snapToGrid/>
        <w:spacing w:line="540" w:lineRule="exact"/>
        <w:jc w:val="center"/>
        <w:textAlignment w:val="auto"/>
        <w:rPr>
          <w:rFonts w:eastAsia="仿宋_GB2312"/>
          <w:b/>
          <w:bCs/>
          <w:kern w:val="0"/>
          <w:sz w:val="32"/>
        </w:rPr>
      </w:pPr>
    </w:p>
    <w:p>
      <w:pPr>
        <w:keepNext w:val="0"/>
        <w:keepLines w:val="0"/>
        <w:pageBreakBefore w:val="0"/>
        <w:widowControl w:val="0"/>
        <w:tabs>
          <w:tab w:val="left" w:pos="2100"/>
        </w:tabs>
        <w:kinsoku/>
        <w:wordWrap/>
        <w:overflowPunct/>
        <w:topLinePunct w:val="0"/>
        <w:autoSpaceDE/>
        <w:autoSpaceDN/>
        <w:bidi w:val="0"/>
        <w:adjustRightInd/>
        <w:snapToGrid/>
        <w:spacing w:line="540" w:lineRule="exact"/>
        <w:jc w:val="center"/>
        <w:textAlignment w:val="auto"/>
        <w:rPr>
          <w:rFonts w:eastAsia="仿宋_GB2312"/>
          <w:b/>
          <w:bCs/>
          <w:kern w:val="0"/>
          <w:sz w:val="32"/>
        </w:rPr>
      </w:pPr>
    </w:p>
    <w:p>
      <w:pPr>
        <w:keepNext w:val="0"/>
        <w:keepLines w:val="0"/>
        <w:pageBreakBefore w:val="0"/>
        <w:widowControl w:val="0"/>
        <w:tabs>
          <w:tab w:val="left" w:pos="2100"/>
        </w:tabs>
        <w:kinsoku/>
        <w:wordWrap/>
        <w:overflowPunct/>
        <w:topLinePunct w:val="0"/>
        <w:autoSpaceDE/>
        <w:autoSpaceDN/>
        <w:bidi w:val="0"/>
        <w:adjustRightInd/>
        <w:snapToGrid/>
        <w:spacing w:line="540" w:lineRule="exact"/>
        <w:textAlignment w:val="auto"/>
        <w:rPr>
          <w:rFonts w:hint="eastAsia" w:eastAsia="仿宋_GB2312"/>
          <w:b/>
          <w:bCs/>
          <w:kern w:val="0"/>
          <w:sz w:val="32"/>
        </w:rPr>
      </w:pPr>
    </w:p>
    <w:p>
      <w:pPr>
        <w:keepNext w:val="0"/>
        <w:keepLines w:val="0"/>
        <w:pageBreakBefore w:val="0"/>
        <w:widowControl w:val="0"/>
        <w:tabs>
          <w:tab w:val="left" w:pos="2100"/>
        </w:tabs>
        <w:kinsoku/>
        <w:wordWrap/>
        <w:overflowPunct/>
        <w:topLinePunct w:val="0"/>
        <w:autoSpaceDE/>
        <w:autoSpaceDN/>
        <w:bidi w:val="0"/>
        <w:adjustRightInd/>
        <w:snapToGrid/>
        <w:spacing w:line="540" w:lineRule="exact"/>
        <w:textAlignment w:val="auto"/>
        <w:rPr>
          <w:rFonts w:hint="eastAsia" w:eastAsia="仿宋_GB2312"/>
          <w:b/>
          <w:bCs/>
          <w:kern w:val="0"/>
          <w:sz w:val="32"/>
        </w:rPr>
      </w:pPr>
    </w:p>
    <w:p>
      <w:pPr>
        <w:keepNext w:val="0"/>
        <w:keepLines w:val="0"/>
        <w:pageBreakBefore w:val="0"/>
        <w:widowControl w:val="0"/>
        <w:tabs>
          <w:tab w:val="left" w:pos="2100"/>
        </w:tabs>
        <w:kinsoku/>
        <w:wordWrap/>
        <w:overflowPunct/>
        <w:topLinePunct w:val="0"/>
        <w:autoSpaceDE/>
        <w:autoSpaceDN/>
        <w:bidi w:val="0"/>
        <w:adjustRightInd/>
        <w:snapToGrid/>
        <w:spacing w:line="540" w:lineRule="exact"/>
        <w:textAlignment w:val="auto"/>
        <w:rPr>
          <w:rFonts w:eastAsia="仿宋_GB2312"/>
          <w:b/>
          <w:bCs/>
          <w:kern w:val="0"/>
          <w:sz w:val="32"/>
        </w:rPr>
      </w:pPr>
    </w:p>
    <w:p>
      <w:pPr>
        <w:pStyle w:val="13"/>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Ansi="Times New Roman"/>
          <w:sz w:val="32"/>
          <w:szCs w:val="32"/>
        </w:rPr>
      </w:pPr>
      <w:r>
        <w:rPr>
          <w:rFonts w:hint="eastAsia" w:hAnsi="Times New Roman"/>
          <w:sz w:val="32"/>
          <w:szCs w:val="32"/>
        </w:rPr>
        <w:t>青政办发〔20</w:t>
      </w:r>
      <w:r>
        <w:rPr>
          <w:rFonts w:hint="eastAsia" w:hAnsi="Times New Roman"/>
          <w:sz w:val="32"/>
          <w:szCs w:val="32"/>
          <w:lang w:val="en-US" w:eastAsia="zh-CN"/>
        </w:rPr>
        <w:t>22</w:t>
      </w:r>
      <w:r>
        <w:rPr>
          <w:rFonts w:hint="eastAsia" w:hAnsi="Times New Roman"/>
          <w:sz w:val="32"/>
          <w:szCs w:val="32"/>
        </w:rPr>
        <w:t>〕</w:t>
      </w:r>
      <w:r>
        <w:rPr>
          <w:rFonts w:hint="eastAsia" w:hAnsi="Times New Roman"/>
          <w:sz w:val="32"/>
          <w:szCs w:val="32"/>
          <w:lang w:val="en-US" w:eastAsia="zh-CN"/>
        </w:rPr>
        <w:t>8号</w:t>
      </w:r>
    </w:p>
    <w:p>
      <w:pPr>
        <w:keepNext w:val="0"/>
        <w:keepLines w:val="0"/>
        <w:pageBreakBefore w:val="0"/>
        <w:widowControl w:val="0"/>
        <w:tabs>
          <w:tab w:val="left" w:pos="2100"/>
        </w:tab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kern w:val="0"/>
          <w:sz w:val="32"/>
          <w:szCs w:val="32"/>
          <w:lang w:eastAsia="zh-CN"/>
        </w:rPr>
      </w:pPr>
    </w:p>
    <w:p>
      <w:pPr>
        <w:keepNext w:val="0"/>
        <w:keepLines w:val="0"/>
        <w:pageBreakBefore w:val="0"/>
        <w:widowControl w:val="0"/>
        <w:tabs>
          <w:tab w:val="left" w:pos="2100"/>
        </w:tab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kern w:val="0"/>
          <w:sz w:val="32"/>
          <w:szCs w:val="32"/>
          <w:lang w:eastAsia="zh-CN"/>
        </w:rPr>
      </w:pPr>
    </w:p>
    <w:p>
      <w:pPr>
        <w:keepNext w:val="0"/>
        <w:keepLines w:val="0"/>
        <w:pageBreakBefore w:val="0"/>
        <w:widowControl w:val="0"/>
        <w:tabs>
          <w:tab w:val="left" w:pos="2100"/>
        </w:tabs>
        <w:kinsoku/>
        <w:wordWrap/>
        <w:overflowPunct/>
        <w:topLinePunct w:val="0"/>
        <w:autoSpaceDE/>
        <w:autoSpaceDN/>
        <w:bidi w:val="0"/>
        <w:spacing w:line="540" w:lineRule="exact"/>
        <w:jc w:val="center"/>
        <w:textAlignment w:val="auto"/>
        <w:rPr>
          <w:rFonts w:hint="eastAsia" w:ascii="方正小标宋简体" w:hAnsi="方正小标宋简体" w:eastAsia="方正小标宋简体" w:cs="方正小标宋简体"/>
          <w:b w:val="0"/>
          <w:bCs w:val="0"/>
          <w:kern w:val="0"/>
          <w:sz w:val="44"/>
          <w:szCs w:val="44"/>
          <w:lang w:eastAsia="zh-CN"/>
        </w:rPr>
      </w:pPr>
      <w:r>
        <w:rPr>
          <w:rFonts w:hint="eastAsia" w:ascii="方正小标宋简体" w:hAnsi="方正小标宋简体" w:eastAsia="方正小标宋简体" w:cs="方正小标宋简体"/>
          <w:b w:val="0"/>
          <w:bCs w:val="0"/>
          <w:kern w:val="0"/>
          <w:sz w:val="44"/>
          <w:szCs w:val="44"/>
          <w:lang w:eastAsia="zh-CN"/>
        </w:rPr>
        <w:t>青云谱区人民政府办公室</w:t>
      </w:r>
    </w:p>
    <w:p>
      <w:pPr>
        <w:keepNext w:val="0"/>
        <w:keepLines w:val="0"/>
        <w:pageBreakBefore w:val="0"/>
        <w:widowControl w:val="0"/>
        <w:kinsoku/>
        <w:wordWrap/>
        <w:overflowPunct/>
        <w:topLinePunct w:val="0"/>
        <w:autoSpaceDE/>
        <w:autoSpaceDN/>
        <w:bidi w:val="0"/>
        <w:adjustRightInd/>
        <w:snapToGrid/>
        <w:spacing w:line="560" w:lineRule="exact"/>
        <w:ind w:leftChars="0"/>
        <w:jc w:val="center"/>
        <w:textAlignment w:val="auto"/>
        <w:rPr>
          <w:rFonts w:hint="eastAsia" w:ascii="方正小标宋简体" w:eastAsia="方正小标宋简体"/>
          <w:sz w:val="44"/>
          <w:szCs w:val="44"/>
        </w:rPr>
      </w:pPr>
      <w:r>
        <w:rPr>
          <w:rFonts w:hint="eastAsia" w:ascii="方正小标宋简体" w:hAnsi="方正小标宋简体" w:eastAsia="方正小标宋简体" w:cs="方正小标宋简体"/>
          <w:b w:val="0"/>
          <w:bCs w:val="0"/>
          <w:kern w:val="0"/>
          <w:sz w:val="44"/>
          <w:szCs w:val="44"/>
          <w:lang w:eastAsia="zh-CN"/>
        </w:rPr>
        <w:t>印发</w:t>
      </w:r>
      <w:r>
        <w:rPr>
          <w:rFonts w:hint="eastAsia" w:ascii="方正小标宋简体" w:eastAsia="方正小标宋简体"/>
          <w:sz w:val="44"/>
          <w:szCs w:val="44"/>
        </w:rPr>
        <w:t>关于加快推进青云谱区科技创新工作的</w:t>
      </w:r>
    </w:p>
    <w:p>
      <w:pPr>
        <w:keepNext w:val="0"/>
        <w:keepLines w:val="0"/>
        <w:pageBreakBefore w:val="0"/>
        <w:widowControl w:val="0"/>
        <w:kinsoku/>
        <w:wordWrap/>
        <w:overflowPunct/>
        <w:topLinePunct w:val="0"/>
        <w:autoSpaceDE/>
        <w:autoSpaceDN/>
        <w:bidi w:val="0"/>
        <w:adjustRightInd/>
        <w:snapToGrid/>
        <w:spacing w:line="560" w:lineRule="exact"/>
        <w:ind w:leftChars="0"/>
        <w:jc w:val="center"/>
        <w:textAlignment w:val="auto"/>
        <w:rPr>
          <w:rFonts w:hint="eastAsia" w:ascii="方正小标宋简体" w:hAnsi="方正小标宋简体" w:eastAsia="方正小标宋简体" w:cs="方正小标宋简体"/>
          <w:b w:val="0"/>
          <w:bCs w:val="0"/>
          <w:kern w:val="0"/>
          <w:sz w:val="44"/>
          <w:szCs w:val="44"/>
          <w:lang w:eastAsia="zh-CN"/>
        </w:rPr>
      </w:pPr>
      <w:r>
        <w:rPr>
          <w:rFonts w:hint="eastAsia" w:ascii="方正小标宋简体" w:eastAsia="方正小标宋简体"/>
          <w:sz w:val="44"/>
          <w:szCs w:val="44"/>
        </w:rPr>
        <w:t>实施意见</w:t>
      </w:r>
      <w:r>
        <w:rPr>
          <w:rFonts w:hint="eastAsia" w:ascii="方正小标宋简体" w:hAnsi="方正小标宋简体" w:eastAsia="方正小标宋简体" w:cs="方正小标宋简体"/>
          <w:b w:val="0"/>
          <w:bCs w:val="0"/>
          <w:kern w:val="0"/>
          <w:sz w:val="44"/>
          <w:szCs w:val="44"/>
          <w:lang w:eastAsia="zh-CN"/>
        </w:rPr>
        <w:t>的通知</w:t>
      </w:r>
    </w:p>
    <w:p>
      <w:pPr>
        <w:keepNext w:val="0"/>
        <w:keepLines w:val="0"/>
        <w:pageBreakBefore w:val="0"/>
        <w:widowControl w:val="0"/>
        <w:tabs>
          <w:tab w:val="left" w:pos="7920"/>
        </w:tabs>
        <w:kinsoku/>
        <w:wordWrap/>
        <w:overflowPunct/>
        <w:topLinePunct w:val="0"/>
        <w:autoSpaceDE/>
        <w:autoSpaceDN/>
        <w:bidi w:val="0"/>
        <w:spacing w:line="540" w:lineRule="exact"/>
        <w:textAlignment w:val="auto"/>
        <w:rPr>
          <w:rFonts w:ascii="仿宋_GB2312" w:eastAsia="仿宋_GB2312"/>
          <w:sz w:val="32"/>
          <w:szCs w:val="32"/>
        </w:rPr>
      </w:pPr>
    </w:p>
    <w:p>
      <w:pPr>
        <w:keepNext w:val="0"/>
        <w:keepLines w:val="0"/>
        <w:pageBreakBefore w:val="0"/>
        <w:widowControl w:val="0"/>
        <w:tabs>
          <w:tab w:val="left" w:pos="7920"/>
        </w:tabs>
        <w:kinsoku/>
        <w:wordWrap/>
        <w:overflowPunct/>
        <w:topLinePunct w:val="0"/>
        <w:autoSpaceDE/>
        <w:autoSpaceDN/>
        <w:bidi w:val="0"/>
        <w:spacing w:line="540" w:lineRule="exact"/>
        <w:textAlignment w:val="auto"/>
        <w:rPr>
          <w:rFonts w:ascii="仿宋_GB2312" w:hAnsi="Courier New" w:eastAsia="仿宋_GB2312"/>
          <w:sz w:val="32"/>
        </w:rPr>
      </w:pPr>
      <w:r>
        <w:rPr>
          <w:rFonts w:hint="eastAsia" w:ascii="仿宋_GB2312" w:hAnsi="Courier New" w:eastAsia="仿宋_GB2312"/>
          <w:sz w:val="32"/>
        </w:rPr>
        <w:t>各街办、镇，新经济产业集聚区，区政府各部门，区直各单位：</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ascii="仿宋_GB2312" w:hAnsi="Courier New" w:eastAsia="仿宋_GB2312"/>
          <w:b w:val="0"/>
          <w:bCs w:val="0"/>
          <w:sz w:val="32"/>
        </w:rPr>
      </w:pPr>
      <w:r>
        <w:rPr>
          <w:rFonts w:hint="eastAsia" w:ascii="仿宋_GB2312" w:hAnsi="Courier New" w:eastAsia="仿宋_GB2312" w:cs="宋体"/>
          <w:b w:val="0"/>
          <w:bCs w:val="0"/>
          <w:kern w:val="36"/>
          <w:sz w:val="32"/>
          <w:szCs w:val="48"/>
          <w:lang w:val="en-US" w:eastAsia="zh-CN" w:bidi="ar-SA"/>
        </w:rPr>
        <w:t>《关于加快推进青云谱区科技创新工作的实施意见</w:t>
      </w:r>
      <w:r>
        <w:rPr>
          <w:rFonts w:hint="eastAsia" w:ascii="仿宋_GB2312" w:hAnsi="Courier New" w:eastAsia="仿宋_GB2312"/>
          <w:b w:val="0"/>
          <w:bCs w:val="0"/>
          <w:sz w:val="32"/>
        </w:rPr>
        <w:t>》已经202</w:t>
      </w:r>
      <w:r>
        <w:rPr>
          <w:rFonts w:hint="eastAsia" w:ascii="仿宋_GB2312" w:hAnsi="Courier New" w:eastAsia="仿宋_GB2312"/>
          <w:b w:val="0"/>
          <w:bCs w:val="0"/>
          <w:sz w:val="32"/>
          <w:lang w:val="en-US" w:eastAsia="zh-CN"/>
        </w:rPr>
        <w:t>2</w:t>
      </w:r>
      <w:r>
        <w:rPr>
          <w:rFonts w:hint="eastAsia" w:ascii="仿宋_GB2312" w:hAnsi="Courier New" w:eastAsia="仿宋_GB2312"/>
          <w:b w:val="0"/>
          <w:bCs w:val="0"/>
          <w:sz w:val="32"/>
        </w:rPr>
        <w:t>年青云谱区人民政府第</w:t>
      </w:r>
      <w:r>
        <w:rPr>
          <w:rFonts w:hint="eastAsia" w:ascii="仿宋_GB2312" w:hAnsi="Courier New" w:eastAsia="仿宋_GB2312"/>
          <w:b w:val="0"/>
          <w:bCs w:val="0"/>
          <w:sz w:val="32"/>
          <w:lang w:val="en-US" w:eastAsia="zh-CN"/>
        </w:rPr>
        <w:t>9</w:t>
      </w:r>
      <w:r>
        <w:rPr>
          <w:rFonts w:hint="eastAsia" w:ascii="仿宋_GB2312" w:hAnsi="Courier New" w:eastAsia="仿宋_GB2312"/>
          <w:b w:val="0"/>
          <w:bCs w:val="0"/>
          <w:sz w:val="32"/>
        </w:rPr>
        <w:t>次常务会议审议通过，现印发给你们，请认真照此执行。</w:t>
      </w:r>
    </w:p>
    <w:p>
      <w:pPr>
        <w:keepNext w:val="0"/>
        <w:keepLines w:val="0"/>
        <w:pageBreakBefore w:val="0"/>
        <w:widowControl w:val="0"/>
        <w:tabs>
          <w:tab w:val="left" w:pos="7920"/>
        </w:tabs>
        <w:kinsoku/>
        <w:wordWrap/>
        <w:overflowPunct/>
        <w:topLinePunct w:val="0"/>
        <w:autoSpaceDE/>
        <w:autoSpaceDN/>
        <w:bidi w:val="0"/>
        <w:spacing w:line="540" w:lineRule="exact"/>
        <w:textAlignment w:val="auto"/>
        <w:rPr>
          <w:rFonts w:ascii="楷体_GB2312" w:eastAsia="楷体_GB2312"/>
          <w:sz w:val="32"/>
          <w:szCs w:val="32"/>
        </w:rPr>
      </w:pPr>
    </w:p>
    <w:p>
      <w:pPr>
        <w:keepNext w:val="0"/>
        <w:keepLines w:val="0"/>
        <w:pageBreakBefore w:val="0"/>
        <w:widowControl w:val="0"/>
        <w:tabs>
          <w:tab w:val="left" w:pos="7920"/>
        </w:tabs>
        <w:kinsoku/>
        <w:wordWrap/>
        <w:overflowPunct/>
        <w:topLinePunct w:val="0"/>
        <w:autoSpaceDE/>
        <w:autoSpaceDN/>
        <w:bidi w:val="0"/>
        <w:spacing w:line="540" w:lineRule="exact"/>
        <w:textAlignment w:val="auto"/>
        <w:rPr>
          <w:rFonts w:ascii="楷体_GB2312" w:eastAsia="楷体_GB2312"/>
          <w:sz w:val="32"/>
          <w:szCs w:val="32"/>
        </w:rPr>
      </w:pPr>
    </w:p>
    <w:p>
      <w:pPr>
        <w:pStyle w:val="14"/>
        <w:keepNext w:val="0"/>
        <w:keepLines w:val="0"/>
        <w:pageBreakBefore w:val="0"/>
        <w:widowControl w:val="0"/>
        <w:kinsoku/>
        <w:wordWrap/>
        <w:overflowPunct/>
        <w:topLinePunct w:val="0"/>
        <w:autoSpaceDE/>
        <w:autoSpaceDN/>
        <w:bidi w:val="0"/>
        <w:spacing w:line="540" w:lineRule="exact"/>
        <w:textAlignment w:val="auto"/>
      </w:pPr>
    </w:p>
    <w:p>
      <w:pPr>
        <w:keepNext w:val="0"/>
        <w:keepLines w:val="0"/>
        <w:pageBreakBefore w:val="0"/>
        <w:widowControl w:val="0"/>
        <w:tabs>
          <w:tab w:val="left" w:pos="7920"/>
        </w:tabs>
        <w:kinsoku/>
        <w:wordWrap/>
        <w:overflowPunct/>
        <w:topLinePunct w:val="0"/>
        <w:autoSpaceDE/>
        <w:autoSpaceDN/>
        <w:bidi w:val="0"/>
        <w:spacing w:line="540" w:lineRule="exact"/>
        <w:ind w:firstLine="5120" w:firstLineChars="1600"/>
        <w:textAlignment w:val="auto"/>
        <w:rPr>
          <w:rFonts w:ascii="仿宋_GB2312" w:hAnsi="Courier New" w:eastAsia="仿宋_GB2312"/>
          <w:sz w:val="32"/>
        </w:rPr>
      </w:pPr>
      <w:r>
        <w:rPr>
          <w:rFonts w:hint="eastAsia" w:ascii="仿宋_GB2312" w:hAnsi="Courier New" w:eastAsia="仿宋_GB2312"/>
          <w:sz w:val="32"/>
        </w:rPr>
        <w:t>202</w:t>
      </w:r>
      <w:r>
        <w:rPr>
          <w:rFonts w:hint="eastAsia" w:ascii="仿宋_GB2312" w:hAnsi="Courier New" w:eastAsia="仿宋_GB2312"/>
          <w:sz w:val="32"/>
          <w:lang w:val="en-US" w:eastAsia="zh-CN"/>
        </w:rPr>
        <w:t>2</w:t>
      </w:r>
      <w:r>
        <w:rPr>
          <w:rFonts w:hint="eastAsia" w:ascii="仿宋_GB2312" w:hAnsi="Courier New" w:eastAsia="仿宋_GB2312"/>
          <w:sz w:val="32"/>
        </w:rPr>
        <w:t>年</w:t>
      </w:r>
      <w:r>
        <w:rPr>
          <w:rFonts w:hint="eastAsia" w:ascii="仿宋_GB2312" w:hAnsi="Courier New" w:eastAsia="仿宋_GB2312"/>
          <w:sz w:val="32"/>
          <w:lang w:val="en-US" w:eastAsia="zh-CN"/>
        </w:rPr>
        <w:t>5</w:t>
      </w:r>
      <w:r>
        <w:rPr>
          <w:rFonts w:hint="eastAsia" w:ascii="仿宋_GB2312" w:hAnsi="Courier New" w:eastAsia="仿宋_GB2312"/>
          <w:sz w:val="32"/>
        </w:rPr>
        <w:t>月</w:t>
      </w:r>
      <w:r>
        <w:rPr>
          <w:rFonts w:hint="eastAsia" w:ascii="仿宋_GB2312" w:hAnsi="Courier New" w:eastAsia="仿宋_GB2312"/>
          <w:sz w:val="32"/>
          <w:lang w:val="en-US" w:eastAsia="zh-CN"/>
        </w:rPr>
        <w:t>7</w:t>
      </w:r>
      <w:r>
        <w:rPr>
          <w:rFonts w:hint="eastAsia" w:ascii="仿宋_GB2312" w:hAnsi="Courier New" w:eastAsia="仿宋_GB2312"/>
          <w:sz w:val="32"/>
        </w:rPr>
        <w:t>日</w:t>
      </w:r>
    </w:p>
    <w:p>
      <w:pPr>
        <w:tabs>
          <w:tab w:val="left" w:pos="7920"/>
        </w:tabs>
        <w:spacing w:line="540" w:lineRule="exact"/>
        <w:ind w:firstLine="480" w:firstLineChars="150"/>
        <w:rPr>
          <w:rFonts w:ascii="仿宋_GB2312" w:hAnsi="Courier New" w:eastAsia="仿宋_GB2312"/>
          <w:sz w:val="32"/>
        </w:rPr>
      </w:pPr>
      <w:r>
        <w:rPr>
          <w:rFonts w:hint="eastAsia" w:ascii="仿宋_GB2312" w:hAnsi="Courier New" w:eastAsia="仿宋_GB2312"/>
          <w:sz w:val="32"/>
        </w:rPr>
        <w:t>（此件主动公开）</w:t>
      </w:r>
    </w:p>
    <w:p>
      <w:pPr>
        <w:keepNext w:val="0"/>
        <w:keepLines w:val="0"/>
        <w:pageBreakBefore w:val="0"/>
        <w:widowControl w:val="0"/>
        <w:kinsoku/>
        <w:wordWrap/>
        <w:overflowPunct/>
        <w:topLinePunct w:val="0"/>
        <w:autoSpaceDE/>
        <w:autoSpaceDN/>
        <w:bidi w:val="0"/>
        <w:adjustRightInd/>
        <w:snapToGrid/>
        <w:spacing w:line="560" w:lineRule="exact"/>
        <w:ind w:leftChars="0"/>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关于加快推进青云谱区科技创新工作的</w:t>
      </w:r>
    </w:p>
    <w:p>
      <w:pPr>
        <w:keepNext w:val="0"/>
        <w:keepLines w:val="0"/>
        <w:pageBreakBefore w:val="0"/>
        <w:widowControl w:val="0"/>
        <w:kinsoku/>
        <w:wordWrap/>
        <w:overflowPunct/>
        <w:topLinePunct w:val="0"/>
        <w:autoSpaceDE/>
        <w:autoSpaceDN/>
        <w:bidi w:val="0"/>
        <w:adjustRightInd/>
        <w:snapToGrid/>
        <w:spacing w:line="560" w:lineRule="exact"/>
        <w:ind w:leftChars="0"/>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实施意见</w:t>
      </w:r>
    </w:p>
    <w:p>
      <w:pPr>
        <w:pStyle w:val="3"/>
        <w:keepNext w:val="0"/>
        <w:keepLines w:val="0"/>
        <w:pageBreakBefore w:val="0"/>
        <w:kinsoku/>
        <w:wordWrap/>
        <w:overflowPunct/>
        <w:topLinePunct w:val="0"/>
        <w:autoSpaceDE/>
        <w:autoSpaceDN/>
        <w:bidi w:val="0"/>
        <w:snapToGrid/>
        <w:spacing w:after="0" w:line="560" w:lineRule="exact"/>
        <w:ind w:leftChars="0"/>
        <w:jc w:val="center"/>
        <w:rPr>
          <w:rFonts w:hint="eastAsia" w:ascii="CESI楷体-GB2312" w:hAnsi="CESI楷体-GB2312" w:eastAsia="CESI楷体-GB2312" w:cs="CESI楷体-GB2312"/>
          <w:sz w:val="32"/>
          <w:szCs w:val="32"/>
        </w:rPr>
      </w:pP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60" w:lineRule="exact"/>
        <w:ind w:left="0" w:leftChars="0" w:right="0" w:firstLine="640" w:firstLineChars="200"/>
        <w:jc w:val="both"/>
        <w:rPr>
          <w:rFonts w:hint="eastAsia" w:ascii="楷体_GB2312" w:hAnsi="楷体_GB2312" w:eastAsia="楷体_GB2312" w:cs="楷体_GB2312"/>
          <w:b/>
          <w:bCs/>
          <w:sz w:val="32"/>
          <w:szCs w:val="32"/>
          <w:lang w:val="en-US"/>
        </w:rPr>
      </w:pPr>
      <w:r>
        <w:rPr>
          <w:rFonts w:hint="eastAsia" w:ascii="仿宋_GB2312" w:hAnsi="Arial" w:eastAsia="仿宋_GB2312" w:cs="仿宋_GB2312"/>
          <w:kern w:val="0"/>
          <w:sz w:val="32"/>
          <w:szCs w:val="32"/>
          <w:shd w:val="clear" w:color="auto" w:fill="FFFFFF"/>
          <w:lang w:val="en-US" w:eastAsia="zh-CN" w:bidi="ar"/>
        </w:rPr>
        <w:t>为贯彻落实《江西省创新驱动发展纲要》（赣发〔2017〕21号）《江西省人民政府关于印发江西省“十四五”科技创新规划的通知</w:t>
      </w:r>
      <w:r>
        <w:rPr>
          <w:rFonts w:hint="eastAsia" w:ascii="仿宋_GB2312" w:hAnsi="仿宋" w:eastAsia="仿宋_GB2312" w:cs="宋体"/>
          <w:kern w:val="0"/>
          <w:sz w:val="32"/>
          <w:szCs w:val="32"/>
          <w:lang w:val="en-US" w:eastAsia="zh-CN" w:bidi="ar"/>
        </w:rPr>
        <w:t>》（赣府发〔2021〕22号）文件精神，推动青云谱区科技创新发展，增强创新综合实力，提升自主创新能力，促进科技成果转化、产业转型升级，加强基础研究和原始创新，加快关键核心技术攻关，结合区内经济、产业发展及创新资源等实际情况，特制定该意见。</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spacing w:before="0" w:beforeAutospacing="0" w:after="0" w:afterAutospacing="0" w:line="560" w:lineRule="exact"/>
        <w:ind w:left="640" w:leftChars="0" w:right="0" w:rightChars="0"/>
        <w:jc w:val="both"/>
        <w:rPr>
          <w:rFonts w:hint="eastAsia" w:ascii="黑体" w:hAnsi="黑体" w:eastAsia="黑体" w:cs="黑体"/>
          <w:b w:val="0"/>
          <w:bCs w:val="0"/>
          <w:sz w:val="32"/>
          <w:szCs w:val="32"/>
          <w:lang w:val="en-US"/>
        </w:rPr>
      </w:pPr>
      <w:r>
        <w:rPr>
          <w:rFonts w:hint="eastAsia" w:ascii="黑体" w:hAnsi="黑体" w:eastAsia="黑体" w:cs="黑体"/>
          <w:b w:val="0"/>
          <w:bCs w:val="0"/>
          <w:kern w:val="0"/>
          <w:sz w:val="32"/>
          <w:szCs w:val="32"/>
          <w:lang w:val="en-US" w:eastAsia="zh-CN" w:bidi="ar"/>
        </w:rPr>
        <w:t>一、引领产业创新发展能力</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spacing w:before="0" w:beforeAutospacing="0" w:after="0" w:afterAutospacing="0" w:line="560" w:lineRule="exact"/>
        <w:ind w:leftChars="0" w:right="0" w:rightChars="0" w:firstLine="642" w:firstLineChars="200"/>
        <w:jc w:val="both"/>
        <w:rPr>
          <w:rFonts w:hint="eastAsia" w:ascii="楷体_GB2312" w:hAnsi="楷体_GB2312" w:eastAsia="楷体_GB2312" w:cs="楷体_GB2312"/>
          <w:b/>
          <w:bCs/>
          <w:sz w:val="32"/>
          <w:szCs w:val="32"/>
          <w:lang w:val="en-US"/>
        </w:rPr>
      </w:pPr>
      <w:r>
        <w:rPr>
          <w:rFonts w:hint="eastAsia" w:ascii="楷体_GB2312" w:hAnsi="楷体_GB2312" w:eastAsia="楷体_GB2312" w:cs="楷体_GB2312"/>
          <w:b/>
          <w:bCs/>
          <w:kern w:val="0"/>
          <w:sz w:val="32"/>
          <w:szCs w:val="32"/>
          <w:lang w:val="en-US" w:eastAsia="zh-CN" w:bidi="ar"/>
        </w:rPr>
        <w:t>1.发展高新技术企业</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60" w:lineRule="exact"/>
        <w:ind w:left="0" w:leftChars="0" w:right="0" w:firstLine="640"/>
        <w:jc w:val="both"/>
        <w:rPr>
          <w:rFonts w:hint="eastAsia" w:ascii="仿宋_GB2312" w:hAnsi="仿宋" w:eastAsia="仿宋_GB2312" w:cs="宋体"/>
          <w:sz w:val="32"/>
          <w:szCs w:val="32"/>
          <w:lang w:val="en-US"/>
        </w:rPr>
      </w:pPr>
      <w:r>
        <w:rPr>
          <w:rFonts w:hint="eastAsia" w:ascii="仿宋_GB2312" w:hAnsi="仿宋" w:eastAsia="仿宋_GB2312" w:cs="宋体"/>
          <w:kern w:val="0"/>
          <w:sz w:val="32"/>
          <w:szCs w:val="32"/>
          <w:lang w:val="en-US" w:eastAsia="zh-CN" w:bidi="ar"/>
        </w:rPr>
        <w:t>根据国家重点支持的高新技术领域，建立我区高新技术企业备选数据库，采取政策倾斜、财政扶持等手段，鼓励和支持企业提高自主创新意识与能力，挖掘和打造一批高新技术企业。</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60" w:lineRule="exact"/>
        <w:ind w:left="0" w:leftChars="0" w:right="0" w:firstLine="640" w:firstLineChars="200"/>
        <w:jc w:val="both"/>
        <w:rPr>
          <w:rFonts w:hint="eastAsia" w:ascii="楷体_GB2312" w:hAnsi="楷体_GB2312" w:eastAsia="楷体_GB2312" w:cs="楷体_GB2312"/>
          <w:sz w:val="32"/>
          <w:szCs w:val="32"/>
          <w:lang w:val="en-US"/>
        </w:rPr>
      </w:pPr>
      <w:r>
        <w:rPr>
          <w:rFonts w:hint="eastAsia" w:ascii="仿宋_GB2312" w:hAnsi="仿宋" w:eastAsia="仿宋_GB2312" w:cs="宋体"/>
          <w:kern w:val="0"/>
          <w:sz w:val="32"/>
          <w:szCs w:val="32"/>
          <w:lang w:val="en-US" w:eastAsia="zh-CN" w:bidi="ar"/>
        </w:rPr>
        <w:t>对新认定的高新技术企业，上年度主营业务收入在2000万元（含）以下的，给予1万元补助；上年度主营业务收入在2000万元至1亿元（含）的，给予10万元补助；上年度营业收入达到1亿元以上的，给予15万元的补助。</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spacing w:before="0" w:beforeAutospacing="0" w:after="0" w:afterAutospacing="0" w:line="560" w:lineRule="exact"/>
        <w:ind w:leftChars="0" w:right="0" w:rightChars="0" w:firstLine="642" w:firstLineChars="200"/>
        <w:jc w:val="both"/>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2.培育独角兽企业、瞪羚企业</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60" w:lineRule="exact"/>
        <w:ind w:left="0" w:leftChars="0" w:right="0" w:firstLine="640" w:firstLineChars="200"/>
        <w:jc w:val="both"/>
        <w:rPr>
          <w:rFonts w:hint="eastAsia" w:ascii="楷体_GB2312" w:hAnsi="楷体_GB2312" w:eastAsia="楷体_GB2312" w:cs="楷体_GB2312"/>
          <w:sz w:val="32"/>
          <w:szCs w:val="32"/>
          <w:lang w:val="en-US"/>
        </w:rPr>
      </w:pPr>
      <w:r>
        <w:rPr>
          <w:rFonts w:hint="eastAsia" w:ascii="仿宋_GB2312" w:hAnsi="仿宋" w:eastAsia="仿宋_GB2312" w:cs="宋体"/>
          <w:kern w:val="0"/>
          <w:sz w:val="32"/>
          <w:szCs w:val="32"/>
          <w:lang w:val="en-US" w:eastAsia="zh-CN" w:bidi="ar"/>
        </w:rPr>
        <w:t>对首次入选的江西省独角兽企业、潜在独角兽企业、种子独角兽企业、瞪羚企业、潜在瞪羚企业分别一次性给予200万元、30万元、20万元、10万元、5万元的补助。</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spacing w:before="0" w:beforeAutospacing="0" w:after="0" w:afterAutospacing="0" w:line="560" w:lineRule="exact"/>
        <w:ind w:right="0" w:rightChars="0" w:firstLine="640" w:firstLineChars="200"/>
        <w:jc w:val="both"/>
        <w:rPr>
          <w:rFonts w:hint="eastAsia" w:ascii="黑体" w:hAnsi="黑体" w:eastAsia="黑体" w:cs="黑体"/>
          <w:b w:val="0"/>
          <w:bCs w:val="0"/>
          <w:kern w:val="0"/>
          <w:sz w:val="32"/>
          <w:szCs w:val="32"/>
          <w:lang w:val="en-US" w:eastAsia="zh-CN" w:bidi="ar"/>
        </w:rPr>
      </w:pPr>
      <w:r>
        <w:rPr>
          <w:rFonts w:hint="eastAsia" w:ascii="黑体" w:hAnsi="黑体" w:eastAsia="黑体" w:cs="黑体"/>
          <w:b w:val="0"/>
          <w:bCs w:val="0"/>
          <w:kern w:val="0"/>
          <w:sz w:val="32"/>
          <w:szCs w:val="32"/>
          <w:lang w:val="en-US" w:eastAsia="zh-CN" w:bidi="ar"/>
        </w:rPr>
        <w:t>二、升级科技创新平台建设</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spacing w:before="0" w:beforeAutospacing="0" w:after="0" w:afterAutospacing="0" w:line="560" w:lineRule="exact"/>
        <w:ind w:leftChars="0" w:right="0" w:rightChars="0" w:firstLine="642" w:firstLineChars="200"/>
        <w:jc w:val="both"/>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3.鼓励企业建立工程技术研究中心</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60" w:lineRule="exact"/>
        <w:ind w:left="0" w:leftChars="0" w:right="0" w:firstLine="640" w:firstLineChars="200"/>
        <w:jc w:val="both"/>
        <w:rPr>
          <w:rFonts w:hint="eastAsia" w:ascii="仿宋_GB2312" w:hAnsi="仿宋" w:eastAsia="仿宋_GB2312" w:cs="宋体"/>
          <w:color w:val="000000"/>
          <w:kern w:val="0"/>
          <w:sz w:val="32"/>
          <w:szCs w:val="32"/>
          <w:lang w:val="en-US" w:eastAsia="zh-CN" w:bidi="ar"/>
        </w:rPr>
      </w:pPr>
      <w:r>
        <w:rPr>
          <w:rFonts w:hint="eastAsia" w:ascii="仿宋_GB2312" w:hAnsi="仿宋" w:eastAsia="仿宋_GB2312" w:cs="宋体"/>
          <w:color w:val="000000"/>
          <w:kern w:val="0"/>
          <w:sz w:val="32"/>
          <w:szCs w:val="32"/>
          <w:lang w:val="en-US" w:eastAsia="zh-CN" w:bidi="ar"/>
        </w:rPr>
        <w:t>对新认定为国家级、省级和市级工程技术研究中心(技术创新中心)的企业，分别一次性给予50万元、20万元、10万元的补助。</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60" w:lineRule="exact"/>
        <w:ind w:left="0" w:leftChars="0" w:right="0" w:firstLine="642" w:firstLineChars="200"/>
        <w:jc w:val="both"/>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4.鼓励企业建立重点实验室</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60" w:lineRule="exact"/>
        <w:ind w:left="0" w:leftChars="0" w:right="0" w:firstLine="640" w:firstLineChars="200"/>
        <w:jc w:val="both"/>
        <w:rPr>
          <w:rFonts w:hint="eastAsia" w:ascii="楷体_GB2312" w:hAnsi="楷体_GB2312" w:eastAsia="楷体_GB2312" w:cs="楷体_GB2312"/>
          <w:color w:val="000000"/>
          <w:sz w:val="32"/>
          <w:szCs w:val="32"/>
          <w:lang w:val="en-US"/>
        </w:rPr>
      </w:pPr>
      <w:r>
        <w:rPr>
          <w:rFonts w:hint="eastAsia" w:ascii="仿宋_GB2312" w:hAnsi="仿宋" w:eastAsia="仿宋_GB2312" w:cs="宋体"/>
          <w:color w:val="000000"/>
          <w:kern w:val="0"/>
          <w:sz w:val="32"/>
          <w:szCs w:val="32"/>
          <w:lang w:val="en-US" w:eastAsia="zh-CN" w:bidi="ar"/>
        </w:rPr>
        <w:t>对新认定为国家级、省级和市级重点实验室的企业，分别一次性给予50万元、20万元、10万元的补助。</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spacing w:before="0" w:beforeAutospacing="0" w:after="0" w:afterAutospacing="0" w:line="560" w:lineRule="exact"/>
        <w:ind w:leftChars="0" w:right="0" w:rightChars="0" w:firstLine="642" w:firstLineChars="200"/>
        <w:jc w:val="both"/>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5.鼓励企业申报新型研发机构</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60" w:lineRule="exact"/>
        <w:ind w:left="0" w:leftChars="0" w:right="0" w:firstLine="640" w:firstLineChars="200"/>
        <w:jc w:val="both"/>
        <w:rPr>
          <w:rFonts w:hint="eastAsia" w:ascii="楷体_GB2312" w:hAnsi="楷体_GB2312" w:eastAsia="仿宋_GB2312" w:cs="楷体_GB2312"/>
          <w:color w:val="000000"/>
          <w:sz w:val="32"/>
          <w:szCs w:val="32"/>
          <w:lang w:val="en-US"/>
        </w:rPr>
      </w:pPr>
      <w:r>
        <w:rPr>
          <w:rFonts w:hint="eastAsia" w:ascii="仿宋_GB2312" w:hAnsi="仿宋" w:eastAsia="仿宋_GB2312" w:cs="宋体"/>
          <w:color w:val="000000"/>
          <w:kern w:val="0"/>
          <w:sz w:val="32"/>
          <w:szCs w:val="32"/>
          <w:lang w:val="en-US" w:eastAsia="zh-CN" w:bidi="ar"/>
        </w:rPr>
        <w:t>对新认定为市级新型研发机构的企业（含机构），一次性给予50万元的补助，对新认定为省级新型研发机构的，一次性给予50万元的补助。对同时获得省级和市级新型研发机构的，不重复给予补助。</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spacing w:before="0" w:beforeAutospacing="0" w:after="0" w:afterAutospacing="0" w:line="560" w:lineRule="exact"/>
        <w:ind w:leftChars="0" w:right="0" w:rightChars="0" w:firstLine="642" w:firstLineChars="200"/>
        <w:jc w:val="both"/>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6.组建产业技术创新战略联盟</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60" w:lineRule="exact"/>
        <w:ind w:leftChars="0" w:right="0" w:firstLine="640" w:firstLineChars="200"/>
        <w:jc w:val="both"/>
        <w:rPr>
          <w:rFonts w:hint="eastAsia" w:ascii="仿宋_GB2312" w:hAnsi="仿宋" w:eastAsia="仿宋_GB2312" w:cs="宋体"/>
          <w:color w:val="000000"/>
          <w:sz w:val="32"/>
          <w:szCs w:val="32"/>
          <w:lang w:val="en-US"/>
        </w:rPr>
      </w:pPr>
      <w:r>
        <w:rPr>
          <w:rFonts w:hint="eastAsia" w:ascii="仿宋_GB2312" w:hAnsi="仿宋" w:eastAsia="仿宋_GB2312" w:cs="宋体"/>
          <w:color w:val="000000"/>
          <w:kern w:val="0"/>
          <w:sz w:val="32"/>
          <w:szCs w:val="32"/>
          <w:lang w:val="en-US" w:eastAsia="zh-CN" w:bidi="ar"/>
        </w:rPr>
        <w:t>鼓励以企业为依托，集聚创新资源要素，围绕产业技术创新链，在我区重点发展的产业和支柱产业中建立产业技术创新战略联盟，实现企业、高校和科研机构或其他相关组织在创新驱动战略层面的协同创新，形成产业集群攻关和抱团发展的新格局，进一步提升产业科技创新整体竞争力。</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60" w:lineRule="exact"/>
        <w:ind w:left="0" w:leftChars="0" w:right="0" w:firstLine="640" w:firstLineChars="200"/>
        <w:jc w:val="both"/>
        <w:rPr>
          <w:rFonts w:hint="eastAsia" w:ascii="楷体_GB2312" w:hAnsi="楷体_GB2312" w:eastAsia="楷体_GB2312" w:cs="楷体_GB2312"/>
          <w:color w:val="000000"/>
          <w:sz w:val="32"/>
          <w:szCs w:val="32"/>
          <w:lang w:val="en-US"/>
        </w:rPr>
      </w:pPr>
      <w:r>
        <w:rPr>
          <w:rFonts w:hint="eastAsia" w:ascii="仿宋_GB2312" w:hAnsi="仿宋" w:eastAsia="仿宋_GB2312" w:cs="宋体"/>
          <w:color w:val="000000"/>
          <w:kern w:val="0"/>
          <w:sz w:val="32"/>
          <w:szCs w:val="32"/>
          <w:lang w:val="en-US" w:eastAsia="zh-CN" w:bidi="ar"/>
        </w:rPr>
        <w:t>对于新成立的国家级和省级产业技术创新战略联盟，一次性分别给予依托企业20万元、10万元的奖励。</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spacing w:before="0" w:beforeAutospacing="0" w:after="0" w:afterAutospacing="0" w:line="560" w:lineRule="exact"/>
        <w:ind w:right="0" w:rightChars="0" w:firstLine="640" w:firstLineChars="200"/>
        <w:jc w:val="both"/>
        <w:rPr>
          <w:rFonts w:hint="eastAsia" w:ascii="黑体" w:hAnsi="黑体" w:eastAsia="黑体" w:cs="黑体"/>
          <w:b w:val="0"/>
          <w:bCs w:val="0"/>
          <w:kern w:val="0"/>
          <w:sz w:val="32"/>
          <w:szCs w:val="32"/>
          <w:lang w:val="en-US" w:eastAsia="zh-CN" w:bidi="ar"/>
        </w:rPr>
      </w:pPr>
      <w:r>
        <w:rPr>
          <w:rFonts w:hint="eastAsia" w:ascii="黑体" w:hAnsi="黑体" w:eastAsia="黑体" w:cs="黑体"/>
          <w:b w:val="0"/>
          <w:bCs w:val="0"/>
          <w:kern w:val="0"/>
          <w:sz w:val="32"/>
          <w:szCs w:val="32"/>
          <w:lang w:val="en-US" w:eastAsia="zh-CN" w:bidi="ar"/>
        </w:rPr>
        <w:t>三、增强自主科技创新能力</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spacing w:before="0" w:beforeAutospacing="0" w:after="0" w:afterAutospacing="0" w:line="560" w:lineRule="exact"/>
        <w:ind w:leftChars="0" w:right="0" w:rightChars="0" w:firstLine="642" w:firstLineChars="200"/>
        <w:jc w:val="both"/>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7.开展企业研发费用后补助</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60" w:lineRule="exact"/>
        <w:ind w:left="0" w:leftChars="0" w:right="0" w:firstLine="640" w:firstLineChars="200"/>
        <w:jc w:val="both"/>
        <w:rPr>
          <w:rFonts w:hint="eastAsia" w:ascii="仿宋_GB2312" w:hAnsi="仿宋" w:eastAsia="仿宋_GB2312" w:cs="宋体"/>
          <w:color w:val="000000"/>
          <w:sz w:val="32"/>
          <w:szCs w:val="32"/>
          <w:lang w:val="en-US"/>
        </w:rPr>
      </w:pPr>
      <w:r>
        <w:rPr>
          <w:rFonts w:hint="eastAsia" w:ascii="仿宋_GB2312" w:hAnsi="仿宋" w:eastAsia="仿宋_GB2312" w:cs="宋体"/>
          <w:color w:val="000000"/>
          <w:kern w:val="0"/>
          <w:sz w:val="32"/>
          <w:szCs w:val="32"/>
          <w:lang w:val="en-US" w:eastAsia="zh-CN" w:bidi="ar"/>
        </w:rPr>
        <w:t>为全面支持企业开展研发活动、鼓励企业加大研发投入，增强企业自主创新能力，确保科学、客观、公平、公开、公正，并接受社会监督，开展企业研发费用后补助。</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60" w:lineRule="exact"/>
        <w:ind w:left="0" w:leftChars="0" w:right="0" w:firstLine="640" w:firstLineChars="200"/>
        <w:jc w:val="both"/>
        <w:rPr>
          <w:rFonts w:hint="eastAsia" w:ascii="楷体_GB2312" w:hAnsi="楷体_GB2312" w:eastAsia="仿宋_GB2312" w:cs="楷体_GB2312"/>
          <w:b/>
          <w:bCs/>
          <w:color w:val="000000"/>
          <w:sz w:val="32"/>
          <w:szCs w:val="32"/>
          <w:lang w:val="en-US"/>
        </w:rPr>
      </w:pPr>
      <w:r>
        <w:rPr>
          <w:rFonts w:hint="eastAsia" w:ascii="仿宋_GB2312" w:hAnsi="仿宋" w:eastAsia="仿宋_GB2312" w:cs="宋体"/>
          <w:color w:val="000000"/>
          <w:kern w:val="0"/>
          <w:sz w:val="32"/>
          <w:szCs w:val="32"/>
          <w:lang w:val="en-US" w:eastAsia="zh-CN" w:bidi="ar"/>
        </w:rPr>
        <w:t>对上年度主营业务收入达到2000万元（含）的规上入统企业，按获得市级研发费用后补助金额的20%给予一次性补助，最高不超过50万元。</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spacing w:before="0" w:beforeAutospacing="0" w:after="0" w:afterAutospacing="0" w:line="560" w:lineRule="exact"/>
        <w:ind w:leftChars="0" w:right="0" w:rightChars="0" w:firstLine="642" w:firstLineChars="200"/>
        <w:jc w:val="both"/>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8.激励企业建设知识产权体系</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60" w:lineRule="exact"/>
        <w:ind w:left="0" w:leftChars="0" w:right="0" w:firstLine="640" w:firstLineChars="200"/>
        <w:jc w:val="both"/>
        <w:rPr>
          <w:rFonts w:hint="eastAsia" w:ascii="仿宋_GB2312" w:hAnsi="仿宋" w:eastAsia="仿宋_GB2312" w:cs="宋体"/>
          <w:color w:val="000000"/>
          <w:sz w:val="32"/>
          <w:szCs w:val="32"/>
          <w:lang w:val="en-US"/>
        </w:rPr>
      </w:pPr>
      <w:r>
        <w:rPr>
          <w:rFonts w:hint="eastAsia" w:ascii="仿宋_GB2312" w:hAnsi="仿宋" w:eastAsia="仿宋_GB2312" w:cs="宋体"/>
          <w:color w:val="000000"/>
          <w:kern w:val="0"/>
          <w:sz w:val="32"/>
          <w:szCs w:val="32"/>
          <w:lang w:val="en-US" w:eastAsia="zh-CN" w:bidi="ar"/>
        </w:rPr>
        <w:t>鼓励企业及时将科研成果、核心技术和名优产品等形成自主知识产权，对获得国内发明专利授权证书的企业，给予补助4000元，同时在国外获得授权的（多个国家仅计算一次，含PCT），可再获1万元补助。</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60" w:lineRule="exact"/>
        <w:ind w:left="0" w:leftChars="0" w:right="0" w:firstLine="640" w:firstLineChars="200"/>
        <w:jc w:val="left"/>
        <w:rPr>
          <w:rFonts w:hint="eastAsia" w:ascii="仿宋_GB2312" w:hAnsi="Arial" w:eastAsia="仿宋_GB2312" w:cs="仿宋_GB2312"/>
          <w:color w:val="000000"/>
          <w:sz w:val="32"/>
          <w:szCs w:val="32"/>
          <w:shd w:val="clear" w:color="auto" w:fill="FFFFFF"/>
          <w:lang w:val="en-US"/>
        </w:rPr>
      </w:pPr>
      <w:r>
        <w:rPr>
          <w:rFonts w:hint="eastAsia" w:ascii="仿宋_GB2312" w:hAnsi="Arial" w:eastAsia="仿宋_GB2312" w:cs="仿宋_GB2312"/>
          <w:color w:val="000000"/>
          <w:kern w:val="0"/>
          <w:sz w:val="32"/>
          <w:szCs w:val="32"/>
          <w:shd w:val="clear" w:color="auto" w:fill="FFFFFF"/>
          <w:lang w:val="en-US" w:eastAsia="zh-CN" w:bidi="ar"/>
        </w:rPr>
        <w:t>对企业通过知识产权管理体系认证的，给予一次性2万元补助。</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spacing w:before="0" w:beforeAutospacing="0" w:after="0" w:afterAutospacing="0" w:line="560" w:lineRule="exact"/>
        <w:ind w:left="640" w:leftChars="0" w:right="0" w:rightChars="0"/>
        <w:jc w:val="both"/>
        <w:rPr>
          <w:rFonts w:hint="eastAsia" w:ascii="黑体" w:hAnsi="黑体" w:eastAsia="黑体" w:cs="黑体"/>
          <w:b w:val="0"/>
          <w:bCs w:val="0"/>
          <w:i w:val="0"/>
          <w:iCs w:val="0"/>
          <w:kern w:val="0"/>
          <w:sz w:val="32"/>
          <w:szCs w:val="32"/>
          <w:lang w:val="en-US" w:eastAsia="zh-CN" w:bidi="ar"/>
        </w:rPr>
      </w:pPr>
      <w:r>
        <w:rPr>
          <w:rFonts w:hint="eastAsia" w:ascii="黑体" w:hAnsi="黑体" w:eastAsia="黑体" w:cs="黑体"/>
          <w:b w:val="0"/>
          <w:bCs w:val="0"/>
          <w:i w:val="0"/>
          <w:iCs w:val="0"/>
          <w:kern w:val="0"/>
          <w:sz w:val="32"/>
          <w:szCs w:val="32"/>
          <w:lang w:val="en-US" w:eastAsia="zh-CN" w:bidi="ar"/>
        </w:rPr>
        <w:t>四、加强科技成果转移转化</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spacing w:before="0" w:beforeAutospacing="0" w:after="0" w:afterAutospacing="0" w:line="560" w:lineRule="exact"/>
        <w:ind w:leftChars="0" w:right="0" w:rightChars="0" w:firstLine="642" w:firstLineChars="200"/>
        <w:jc w:val="both"/>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9.鼓励企业取得重大技术突破</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60" w:lineRule="exact"/>
        <w:ind w:left="0" w:leftChars="0" w:right="0" w:firstLine="640" w:firstLineChars="200"/>
        <w:jc w:val="both"/>
        <w:rPr>
          <w:rFonts w:hint="eastAsia" w:ascii="仿宋_GB2312" w:hAnsi="仿宋" w:eastAsia="仿宋_GB2312" w:cs="宋体"/>
          <w:color w:val="000000"/>
          <w:sz w:val="32"/>
          <w:szCs w:val="32"/>
          <w:lang w:val="en-US"/>
        </w:rPr>
      </w:pPr>
      <w:r>
        <w:rPr>
          <w:rFonts w:hint="eastAsia" w:ascii="仿宋_GB2312" w:hAnsi="仿宋" w:eastAsia="仿宋_GB2312" w:cs="宋体"/>
          <w:color w:val="000000"/>
          <w:kern w:val="0"/>
          <w:sz w:val="32"/>
          <w:szCs w:val="32"/>
          <w:lang w:val="en-US" w:eastAsia="zh-CN" w:bidi="ar"/>
        </w:rPr>
        <w:t>对企业（含机构）新获得的且已在生产过程中推广应用的国家科技进步一等奖、二等奖的，分别一次性给予企业50万元、20万元补助；新获得江西省科技进步一等奖、二等奖、三等奖的，分别一次性给予企业8万元、5万元、3万元补助。同一项目分获国家奖和省奖的，按就高原则予以扶持。</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spacing w:before="0" w:beforeAutospacing="0" w:after="0" w:afterAutospacing="0" w:line="560" w:lineRule="exact"/>
        <w:ind w:leftChars="0" w:right="0" w:rightChars="0" w:firstLine="642" w:firstLineChars="200"/>
        <w:jc w:val="both"/>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10.鼓励开展技术交易活动</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60" w:lineRule="exact"/>
        <w:ind w:left="0" w:leftChars="0" w:right="0" w:firstLine="640" w:firstLineChars="200"/>
        <w:jc w:val="left"/>
        <w:rPr>
          <w:rFonts w:hint="eastAsia" w:ascii="仿宋_GB2312" w:hAnsi="仿宋" w:eastAsia="仿宋_GB2312" w:cs="宋体"/>
          <w:color w:val="000000"/>
          <w:sz w:val="32"/>
          <w:szCs w:val="32"/>
          <w:lang w:val="en-US"/>
        </w:rPr>
      </w:pPr>
      <w:r>
        <w:rPr>
          <w:rFonts w:hint="eastAsia" w:ascii="仿宋_GB2312" w:hAnsi="仿宋" w:eastAsia="仿宋_GB2312" w:cs="宋体"/>
          <w:color w:val="000000"/>
          <w:kern w:val="0"/>
          <w:sz w:val="32"/>
          <w:szCs w:val="32"/>
          <w:lang w:val="en-US" w:eastAsia="zh-CN" w:bidi="ar"/>
        </w:rPr>
        <w:t>鼓励企业开展技术开发、技术转让交易活动，经南昌市技术市场办认定登记后，按照市级奖励金额1：1的比例给予奖劢，同一单位年度奖励资金总额最高不超过20万元。</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60" w:lineRule="exact"/>
        <w:ind w:left="0" w:leftChars="0" w:right="0" w:firstLine="640"/>
        <w:jc w:val="left"/>
        <w:rPr>
          <w:rFonts w:hint="eastAsia" w:ascii="仿宋_GB2312" w:hAnsi="仿宋" w:eastAsia="仿宋_GB2312" w:cs="宋体"/>
          <w:color w:val="000000"/>
          <w:sz w:val="32"/>
          <w:szCs w:val="32"/>
          <w:lang w:val="en-US"/>
        </w:rPr>
      </w:pPr>
      <w:r>
        <w:rPr>
          <w:rFonts w:hint="eastAsia" w:ascii="仿宋_GB2312" w:hAnsi="仿宋" w:eastAsia="仿宋_GB2312" w:cs="宋体"/>
          <w:color w:val="000000"/>
          <w:kern w:val="0"/>
          <w:sz w:val="32"/>
          <w:szCs w:val="32"/>
          <w:lang w:val="en-US" w:eastAsia="zh-CN" w:bidi="ar"/>
        </w:rPr>
        <w:t>鼓励企业开展技术服务、技术咨询交易活动，经我区认定登记后，对企业上年度实际发生的技术登记合同年交易总额在1000万-5000万元（含）的，一次性给予2万元补助；5000万-1亿元（含）的，一次性给予3万元补助；1亿元以上的，一次性给予5万元补助。</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spacing w:before="0" w:beforeAutospacing="0" w:after="0" w:afterAutospacing="0" w:line="560" w:lineRule="exact"/>
        <w:ind w:right="0" w:rightChars="0" w:firstLine="640" w:firstLineChars="200"/>
        <w:jc w:val="both"/>
        <w:rPr>
          <w:rFonts w:hint="eastAsia" w:ascii="黑体" w:hAnsi="黑体" w:eastAsia="黑体" w:cs="黑体"/>
          <w:b w:val="0"/>
          <w:bCs w:val="0"/>
          <w:kern w:val="0"/>
          <w:sz w:val="32"/>
          <w:szCs w:val="32"/>
          <w:lang w:val="en-US" w:eastAsia="zh-CN" w:bidi="ar"/>
        </w:rPr>
      </w:pPr>
      <w:r>
        <w:rPr>
          <w:rFonts w:hint="eastAsia" w:ascii="黑体" w:hAnsi="黑体" w:eastAsia="黑体" w:cs="黑体"/>
          <w:b w:val="0"/>
          <w:bCs w:val="0"/>
          <w:kern w:val="0"/>
          <w:sz w:val="32"/>
          <w:szCs w:val="32"/>
          <w:lang w:val="en-US" w:eastAsia="zh-CN" w:bidi="ar"/>
        </w:rPr>
        <w:t>五、壮大科技创新人才队伍</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spacing w:before="0" w:beforeAutospacing="0" w:after="0" w:afterAutospacing="0" w:line="560" w:lineRule="exact"/>
        <w:ind w:leftChars="0" w:right="0" w:rightChars="0" w:firstLine="642" w:firstLineChars="200"/>
        <w:jc w:val="both"/>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11.鼓励企业培育高端科技人才</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60" w:lineRule="exact"/>
        <w:ind w:left="0" w:leftChars="0" w:right="0" w:firstLine="640" w:firstLineChars="200"/>
        <w:jc w:val="both"/>
        <w:rPr>
          <w:rFonts w:hint="eastAsia" w:ascii="仿宋_GB2312" w:hAnsi="仿宋" w:eastAsia="仿宋_GB2312" w:cs="仿宋_GB2312"/>
          <w:color w:val="000000"/>
          <w:sz w:val="32"/>
          <w:szCs w:val="32"/>
          <w:lang w:val="en-US"/>
        </w:rPr>
      </w:pPr>
      <w:r>
        <w:rPr>
          <w:rFonts w:hint="eastAsia" w:ascii="仿宋_GB2312" w:hAnsi="仿宋" w:eastAsia="仿宋_GB2312" w:cs="仿宋_GB2312"/>
          <w:color w:val="000000"/>
          <w:kern w:val="0"/>
          <w:sz w:val="32"/>
          <w:szCs w:val="32"/>
          <w:lang w:val="en-US" w:eastAsia="zh-CN" w:bidi="ar"/>
        </w:rPr>
        <w:t>重点围绕我区优势产业，促进产业高质量跨越式发展和重点产业链人才需求，推动我区重大科技创新平台载体建设，资助和培养一批科技创新领军人才以及具有重大创新前景和发展潜力的青年科技创新人才。</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60" w:lineRule="exact"/>
        <w:ind w:left="0" w:leftChars="0" w:right="0" w:firstLine="640" w:firstLineChars="200"/>
        <w:jc w:val="both"/>
        <w:rPr>
          <w:rFonts w:hint="eastAsia" w:ascii="仿宋_GB2312" w:hAnsi="仿宋" w:eastAsia="仿宋_GB2312" w:cs="仿宋_GB2312"/>
          <w:color w:val="000000"/>
          <w:sz w:val="32"/>
          <w:szCs w:val="32"/>
          <w:lang w:val="en-US"/>
        </w:rPr>
      </w:pPr>
      <w:r>
        <w:rPr>
          <w:rFonts w:hint="eastAsia" w:ascii="仿宋_GB2312" w:hAnsi="仿宋" w:eastAsia="仿宋_GB2312" w:cs="仿宋_GB2312"/>
          <w:color w:val="000000"/>
          <w:kern w:val="0"/>
          <w:sz w:val="32"/>
          <w:szCs w:val="32"/>
          <w:lang w:val="en-US" w:eastAsia="zh-CN" w:bidi="ar"/>
        </w:rPr>
        <w:t>对获得省级以上青年人才项目（技术类）的企业，待项目通过专家组验收评估后，一次性给予20万元/项的补助。</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60" w:lineRule="exact"/>
        <w:ind w:left="0" w:leftChars="0" w:right="0" w:firstLine="640" w:firstLineChars="200"/>
        <w:jc w:val="both"/>
        <w:rPr>
          <w:rFonts w:hint="eastAsia" w:ascii="仿宋_GB2312" w:hAnsi="仿宋" w:eastAsia="仿宋_GB2312" w:cs="仿宋_GB2312"/>
          <w:color w:val="000000"/>
          <w:sz w:val="32"/>
          <w:szCs w:val="32"/>
          <w:lang w:val="en-US"/>
        </w:rPr>
      </w:pPr>
      <w:r>
        <w:rPr>
          <w:rFonts w:hint="eastAsia" w:ascii="仿宋_GB2312" w:hAnsi="仿宋" w:eastAsia="仿宋_GB2312" w:cs="仿宋_GB2312"/>
          <w:color w:val="000000"/>
          <w:kern w:val="0"/>
          <w:sz w:val="32"/>
          <w:szCs w:val="32"/>
          <w:lang w:val="en-US" w:eastAsia="zh-CN" w:bidi="ar"/>
        </w:rPr>
        <w:t>对获得省级以上领军人才项目（技术类）的企业，待项目通过专家组验收评估后，一次性给予30万元/项的补助。</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60" w:lineRule="exact"/>
        <w:ind w:left="0" w:leftChars="0" w:right="0" w:firstLine="640" w:firstLineChars="200"/>
        <w:jc w:val="both"/>
        <w:rPr>
          <w:rFonts w:hint="eastAsia" w:ascii="仿宋_GB2312" w:hAnsi="仿宋" w:eastAsia="仿宋_GB2312" w:cs="仿宋_GB2312"/>
          <w:color w:val="000000"/>
          <w:sz w:val="32"/>
          <w:szCs w:val="32"/>
          <w:lang w:val="en-US"/>
        </w:rPr>
      </w:pPr>
      <w:r>
        <w:rPr>
          <w:rFonts w:hint="eastAsia" w:ascii="仿宋_GB2312" w:hAnsi="仿宋" w:eastAsia="仿宋_GB2312" w:cs="宋体"/>
          <w:color w:val="000000"/>
          <w:kern w:val="0"/>
          <w:sz w:val="32"/>
          <w:szCs w:val="32"/>
          <w:lang w:val="en-US" w:eastAsia="zh-CN" w:bidi="ar"/>
        </w:rPr>
        <w:t>同一项目分获不同级别奖项的，不重复予以奖励。</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spacing w:before="0" w:beforeAutospacing="0" w:after="0" w:afterAutospacing="0" w:line="560" w:lineRule="exact"/>
        <w:ind w:leftChars="0" w:right="0" w:rightChars="0" w:firstLine="642" w:firstLineChars="200"/>
        <w:jc w:val="both"/>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12.鼓励企业培育创新科技人才</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60" w:lineRule="exact"/>
        <w:ind w:left="0" w:leftChars="0" w:right="0" w:firstLine="640" w:firstLineChars="200"/>
        <w:jc w:val="both"/>
        <w:rPr>
          <w:rFonts w:hint="eastAsia" w:ascii="仿宋_GB2312" w:hAnsi="仿宋" w:eastAsia="仿宋_GB2312" w:cs="宋体"/>
          <w:color w:val="000000"/>
          <w:sz w:val="32"/>
          <w:szCs w:val="32"/>
          <w:lang w:val="en-US"/>
        </w:rPr>
      </w:pPr>
      <w:r>
        <w:rPr>
          <w:rFonts w:hint="eastAsia" w:ascii="仿宋_GB2312" w:hAnsi="仿宋" w:eastAsia="仿宋_GB2312" w:cs="宋体"/>
          <w:color w:val="000000"/>
          <w:kern w:val="0"/>
          <w:sz w:val="32"/>
          <w:szCs w:val="32"/>
          <w:lang w:val="en-US" w:eastAsia="zh-CN" w:bidi="ar"/>
        </w:rPr>
        <w:t>强化人才团队引进。围绕产业高端化建设，加快引进一批高水平人才团队，吸引和培育一批具有国内外行业领先水平的高端科技创新人才。</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60" w:lineRule="exact"/>
        <w:ind w:left="0" w:leftChars="0" w:right="0" w:firstLine="640" w:firstLineChars="200"/>
        <w:jc w:val="both"/>
        <w:rPr>
          <w:rFonts w:hint="eastAsia" w:ascii="楷体_GB2312" w:hAnsi="楷体_GB2312" w:eastAsia="楷体_GB2312" w:cs="楷体_GB2312"/>
          <w:color w:val="000000"/>
          <w:sz w:val="32"/>
          <w:szCs w:val="32"/>
          <w:lang w:val="en-US"/>
        </w:rPr>
      </w:pPr>
      <w:r>
        <w:rPr>
          <w:rFonts w:hint="eastAsia" w:ascii="仿宋_GB2312" w:hAnsi="仿宋" w:eastAsia="仿宋_GB2312" w:cs="宋体"/>
          <w:color w:val="000000"/>
          <w:kern w:val="0"/>
          <w:sz w:val="32"/>
          <w:szCs w:val="32"/>
          <w:lang w:val="en-US" w:eastAsia="zh-CN" w:bidi="ar"/>
        </w:rPr>
        <w:t>对入选“双百计划”个人项目、团队项目，</w:t>
      </w:r>
      <w:r>
        <w:rPr>
          <w:rFonts w:hint="eastAsia" w:ascii="仿宋_GB2312" w:hAnsi="仿宋" w:eastAsia="仿宋_GB2312" w:cs="仿宋_GB2312"/>
          <w:color w:val="000000"/>
          <w:kern w:val="0"/>
          <w:sz w:val="32"/>
          <w:szCs w:val="32"/>
          <w:lang w:val="en-US" w:eastAsia="zh-CN" w:bidi="ar"/>
        </w:rPr>
        <w:t>待项目通过专家组验收评估后，</w:t>
      </w:r>
      <w:r>
        <w:rPr>
          <w:rFonts w:hint="eastAsia" w:ascii="仿宋_GB2312" w:hAnsi="仿宋" w:eastAsia="仿宋_GB2312" w:cs="宋体"/>
          <w:color w:val="000000"/>
          <w:kern w:val="0"/>
          <w:sz w:val="32"/>
          <w:szCs w:val="32"/>
          <w:lang w:val="en-US" w:eastAsia="zh-CN" w:bidi="ar"/>
        </w:rPr>
        <w:t>分别按照10万元、20万元标准一次性给予用人单位项目资助。</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spacing w:before="0" w:beforeAutospacing="0" w:after="0" w:afterAutospacing="0" w:line="560" w:lineRule="exact"/>
        <w:ind w:leftChars="0" w:right="0" w:rightChars="0" w:firstLine="642" w:firstLineChars="200"/>
        <w:jc w:val="both"/>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13.鼓励企业参与创新创业大赛</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leftChars="0" w:right="0" w:firstLine="640" w:firstLineChars="200"/>
        <w:jc w:val="left"/>
        <w:rPr>
          <w:rFonts w:hint="eastAsia" w:ascii="仿宋_GB2312" w:hAnsi="仿宋" w:eastAsia="仿宋_GB2312" w:cs="宋体"/>
          <w:color w:val="000000"/>
          <w:sz w:val="32"/>
          <w:szCs w:val="32"/>
          <w:lang w:val="en-US"/>
        </w:rPr>
      </w:pPr>
      <w:r>
        <w:rPr>
          <w:rFonts w:hint="eastAsia" w:ascii="仿宋_GB2312" w:hAnsi="仿宋" w:eastAsia="仿宋_GB2312" w:cs="宋体"/>
          <w:color w:val="000000"/>
          <w:kern w:val="0"/>
          <w:sz w:val="32"/>
          <w:szCs w:val="32"/>
          <w:lang w:val="en-US" w:eastAsia="zh-CN" w:bidi="ar"/>
        </w:rPr>
        <w:t>进一步激发全社会创新创业热情，扶持中小微企业创新发展，积极打造创新创业的众扶平台，促进大众创业、万众创新上水平，鼓励企业参加创新创业大赛。</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leftChars="0" w:right="0" w:firstLine="640" w:firstLineChars="200"/>
        <w:jc w:val="left"/>
        <w:rPr>
          <w:rFonts w:hint="eastAsia" w:ascii="楷体_GB2312" w:hAnsi="楷体_GB2312" w:eastAsia="楷体_GB2312" w:cs="楷体_GB2312"/>
          <w:color w:val="000000"/>
          <w:sz w:val="32"/>
          <w:szCs w:val="32"/>
          <w:lang w:val="en-US"/>
        </w:rPr>
      </w:pPr>
      <w:r>
        <w:rPr>
          <w:rFonts w:hint="eastAsia" w:ascii="仿宋_GB2312" w:hAnsi="仿宋" w:eastAsia="仿宋_GB2312" w:cs="宋体"/>
          <w:color w:val="000000"/>
          <w:kern w:val="0"/>
          <w:sz w:val="32"/>
          <w:szCs w:val="32"/>
          <w:lang w:val="en-US" w:eastAsia="zh-CN" w:bidi="ar"/>
        </w:rPr>
        <w:t>对参加国家、省创新创业大赛获奖的企业，按上级奖励金额的50%给予奖励。</w:t>
      </w:r>
      <w:r>
        <w:rPr>
          <w:rFonts w:hint="eastAsia" w:ascii="仿宋_GB2312" w:hAnsi="仿宋" w:eastAsia="仿宋_GB2312" w:cs="仿宋"/>
          <w:color w:val="000000"/>
          <w:kern w:val="0"/>
          <w:sz w:val="32"/>
          <w:szCs w:val="32"/>
          <w:shd w:val="clear" w:color="auto" w:fill="FFFFFF"/>
          <w:lang w:val="en-US" w:eastAsia="zh-CN" w:bidi="ar"/>
        </w:rPr>
        <w:t>同一个项目同时获得各级奖励的，按照最高金额给予配套，不重复享受。</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spacing w:before="0" w:beforeAutospacing="0" w:after="0" w:afterAutospacing="0" w:line="560" w:lineRule="exact"/>
        <w:ind w:left="640" w:leftChars="0" w:right="0" w:rightChars="0"/>
        <w:jc w:val="both"/>
        <w:rPr>
          <w:rFonts w:hint="eastAsia" w:ascii="黑体" w:hAnsi="黑体" w:eastAsia="黑体" w:cs="黑体"/>
          <w:b w:val="0"/>
          <w:bCs w:val="0"/>
          <w:kern w:val="0"/>
          <w:sz w:val="32"/>
          <w:szCs w:val="32"/>
          <w:lang w:val="en-US" w:eastAsia="zh-CN" w:bidi="ar"/>
        </w:rPr>
      </w:pPr>
      <w:r>
        <w:rPr>
          <w:rFonts w:hint="eastAsia" w:ascii="黑体" w:hAnsi="黑体" w:eastAsia="黑体" w:cs="黑体"/>
          <w:b w:val="0"/>
          <w:bCs w:val="0"/>
          <w:kern w:val="0"/>
          <w:sz w:val="32"/>
          <w:szCs w:val="32"/>
          <w:lang w:val="en-US" w:eastAsia="zh-CN" w:bidi="ar"/>
        </w:rPr>
        <w:t>六、优化科技创新区域体系</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spacing w:before="0" w:beforeAutospacing="0" w:after="0" w:afterAutospacing="0" w:line="560" w:lineRule="exact"/>
        <w:ind w:leftChars="0" w:right="0" w:rightChars="0" w:firstLine="642" w:firstLineChars="200"/>
        <w:jc w:val="both"/>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14.打造示范、精品孵化器、众创空间</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60" w:lineRule="exact"/>
        <w:ind w:left="0" w:leftChars="0" w:right="0" w:firstLine="640" w:firstLineChars="200"/>
        <w:jc w:val="both"/>
        <w:rPr>
          <w:rFonts w:hint="eastAsia" w:ascii="仿宋_GB2312" w:hAnsi="仿宋" w:eastAsia="仿宋_GB2312" w:cs="宋体"/>
          <w:color w:val="000000"/>
          <w:sz w:val="32"/>
          <w:szCs w:val="32"/>
          <w:lang w:val="en-US"/>
        </w:rPr>
      </w:pPr>
      <w:r>
        <w:rPr>
          <w:rFonts w:hint="eastAsia" w:ascii="仿宋_GB2312" w:hAnsi="仿宋" w:eastAsia="仿宋_GB2312" w:cs="宋体"/>
          <w:color w:val="000000"/>
          <w:kern w:val="0"/>
          <w:sz w:val="32"/>
          <w:szCs w:val="32"/>
          <w:lang w:val="en-US" w:eastAsia="zh-CN" w:bidi="ar"/>
        </w:rPr>
        <w:t>整合各类科技企业孵化器、众创空间，充分发挥其示范和聚集效应，为科技型中小企业提供孵化服务。支持区内综合型孵化器、众创空间向专业化发展，支持由龙头企业建立的市场化、专业化的空间载体建设，支持空间载体提供公共服务以外的细分领域的专业化服务。</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60" w:lineRule="exact"/>
        <w:ind w:left="0" w:leftChars="0" w:right="0" w:firstLine="640" w:firstLineChars="200"/>
        <w:jc w:val="both"/>
        <w:rPr>
          <w:rFonts w:hint="eastAsia" w:ascii="仿宋_GB2312" w:hAnsi="仿宋" w:eastAsia="仿宋_GB2312" w:cs="宋体"/>
          <w:color w:val="000000"/>
          <w:sz w:val="32"/>
          <w:szCs w:val="32"/>
          <w:lang w:val="en-US"/>
        </w:rPr>
      </w:pPr>
      <w:r>
        <w:rPr>
          <w:rFonts w:hint="eastAsia" w:ascii="仿宋_GB2312" w:hAnsi="仿宋" w:eastAsia="仿宋_GB2312" w:cs="宋体"/>
          <w:color w:val="000000"/>
          <w:kern w:val="0"/>
          <w:sz w:val="32"/>
          <w:szCs w:val="32"/>
          <w:lang w:val="en-US" w:eastAsia="zh-CN" w:bidi="ar"/>
        </w:rPr>
        <w:t>对新认定的市级、省级、国家级综合类孵化器分别一次性给予10万、15万元、25万元的补助。对新认定的市级、省级、国家级专业类孵化器分别一次性给予15万、20万元、30万元的补助。</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60" w:lineRule="exact"/>
        <w:ind w:left="0" w:leftChars="0" w:right="0" w:firstLine="640" w:firstLineChars="200"/>
        <w:jc w:val="both"/>
        <w:rPr>
          <w:rFonts w:hint="eastAsia" w:ascii="仿宋_GB2312" w:hAnsi="仿宋" w:eastAsia="仿宋_GB2312" w:cs="宋体"/>
          <w:color w:val="000000"/>
          <w:sz w:val="32"/>
          <w:szCs w:val="32"/>
          <w:lang w:val="en-US"/>
        </w:rPr>
      </w:pPr>
      <w:r>
        <w:rPr>
          <w:rFonts w:hint="eastAsia" w:ascii="仿宋_GB2312" w:hAnsi="仿宋" w:eastAsia="仿宋_GB2312" w:cs="宋体"/>
          <w:color w:val="000000"/>
          <w:kern w:val="0"/>
          <w:sz w:val="32"/>
          <w:szCs w:val="32"/>
          <w:lang w:val="en-US" w:eastAsia="zh-CN" w:bidi="ar"/>
        </w:rPr>
        <w:t>对新备案的省级、国家级综合类众创空间分别一次性给予10万元、15万元的补助。对新备案的省级、国家级专业类众创空间分别一次性给予15万元、20万元的补助。</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spacing w:before="0" w:beforeAutospacing="0" w:after="0" w:afterAutospacing="0" w:line="560" w:lineRule="exact"/>
        <w:ind w:right="0" w:rightChars="0" w:firstLine="640" w:firstLineChars="200"/>
        <w:jc w:val="both"/>
        <w:rPr>
          <w:rFonts w:hint="eastAsia" w:ascii="黑体" w:hAnsi="黑体" w:eastAsia="黑体" w:cs="黑体"/>
          <w:b w:val="0"/>
          <w:bCs w:val="0"/>
          <w:kern w:val="0"/>
          <w:sz w:val="32"/>
          <w:szCs w:val="32"/>
          <w:lang w:val="en-US" w:eastAsia="zh-CN" w:bidi="ar"/>
        </w:rPr>
      </w:pPr>
      <w:r>
        <w:rPr>
          <w:rFonts w:hint="eastAsia" w:ascii="黑体" w:hAnsi="黑体" w:eastAsia="黑体" w:cs="黑体"/>
          <w:b w:val="0"/>
          <w:bCs w:val="0"/>
          <w:kern w:val="0"/>
          <w:sz w:val="32"/>
          <w:szCs w:val="32"/>
          <w:lang w:val="en-US" w:eastAsia="zh-CN" w:bidi="ar"/>
        </w:rPr>
        <w:t>七、支持重点产业项目发展</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spacing w:before="0" w:beforeAutospacing="0" w:after="0" w:afterAutospacing="0" w:line="560" w:lineRule="exact"/>
        <w:ind w:leftChars="0" w:right="0" w:rightChars="0" w:firstLine="640" w:firstLineChars="200"/>
        <w:jc w:val="both"/>
        <w:rPr>
          <w:rFonts w:hint="eastAsia" w:ascii="仿宋_GB2312" w:hAnsi="仿宋" w:eastAsia="仿宋_GB2312" w:cs="宋体"/>
          <w:color w:val="000000"/>
          <w:sz w:val="32"/>
          <w:szCs w:val="32"/>
          <w:lang w:val="en-US"/>
        </w:rPr>
      </w:pPr>
      <w:r>
        <w:rPr>
          <w:rFonts w:hint="eastAsia" w:ascii="仿宋_GB2312" w:hAnsi="仿宋" w:eastAsia="仿宋_GB2312" w:cs="宋体"/>
          <w:color w:val="000000"/>
          <w:kern w:val="0"/>
          <w:sz w:val="32"/>
          <w:szCs w:val="32"/>
          <w:lang w:val="en-US" w:eastAsia="zh-CN" w:bidi="ar"/>
        </w:rPr>
        <w:t>15.为加快推进经济转型升级，进一步吸引和鼓励外来投资，促进重大项目早日落地投产见效，支持符合我区产业发展导向的重大（关键）项目提质升级，充分发挥重大项目对全区经济社会发展的支撑和引领作用，实行“一事一议”会商制度，给予扶持。</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60" w:lineRule="exact"/>
        <w:ind w:left="0" w:leftChars="0" w:right="0" w:firstLine="640"/>
        <w:jc w:val="left"/>
        <w:rPr>
          <w:rFonts w:eastAsia="仿宋_GB2312"/>
          <w:color w:val="000000"/>
          <w:lang w:val="en-US"/>
        </w:rPr>
      </w:pPr>
      <w:r>
        <w:rPr>
          <w:rFonts w:hint="eastAsia" w:ascii="仿宋_GB2312" w:hAnsi="仿宋" w:eastAsia="仿宋_GB2312" w:cs="宋体"/>
          <w:color w:val="000000"/>
          <w:kern w:val="0"/>
          <w:sz w:val="32"/>
          <w:szCs w:val="32"/>
          <w:lang w:val="en-US" w:eastAsia="zh-CN" w:bidi="ar"/>
        </w:rPr>
        <w:t>本政策修订自发布之日起执行，由青云谱区科技和工业信息化局负责解释，所涉及的奖补资金在区科技发展专项资金中列支，享受同类科技政策扶持的，按“就高不就低”原则，不重复享受。原政策（青办字〔2019〕88号）同时废止。</w:t>
      </w:r>
    </w:p>
    <w:p>
      <w:pPr>
        <w:keepNext w:val="0"/>
        <w:keepLines w:val="0"/>
        <w:pageBreakBefore w:val="0"/>
        <w:kinsoku/>
        <w:wordWrap/>
        <w:overflowPunct/>
        <w:topLinePunct w:val="0"/>
        <w:autoSpaceDE/>
        <w:autoSpaceDN/>
        <w:bidi w:val="0"/>
        <w:snapToGrid/>
        <w:spacing w:line="560" w:lineRule="exact"/>
        <w:ind w:leftChars="0"/>
      </w:pPr>
    </w:p>
    <w:p>
      <w:pPr>
        <w:pStyle w:val="2"/>
      </w:pPr>
    </w:p>
    <w:p>
      <w:pPr>
        <w:pStyle w:val="3"/>
      </w:pPr>
    </w:p>
    <w:p>
      <w:pPr>
        <w:pStyle w:val="4"/>
      </w:pPr>
    </w:p>
    <w:p/>
    <w:p>
      <w:pPr>
        <w:pStyle w:val="2"/>
      </w:pPr>
    </w:p>
    <w:p>
      <w:pPr>
        <w:pStyle w:val="3"/>
      </w:pPr>
    </w:p>
    <w:p>
      <w:pPr>
        <w:pStyle w:val="4"/>
      </w:pPr>
    </w:p>
    <w:p/>
    <w:p>
      <w:pPr>
        <w:pStyle w:val="2"/>
      </w:pPr>
    </w:p>
    <w:p>
      <w:pPr>
        <w:pStyle w:val="3"/>
      </w:pPr>
    </w:p>
    <w:p>
      <w:pPr>
        <w:pStyle w:val="4"/>
      </w:pPr>
    </w:p>
    <w:p/>
    <w:p>
      <w:pPr>
        <w:pStyle w:val="2"/>
      </w:pPr>
    </w:p>
    <w:p>
      <w:pPr>
        <w:pStyle w:val="3"/>
      </w:pPr>
    </w:p>
    <w:p>
      <w:pPr>
        <w:pStyle w:val="4"/>
      </w:pPr>
    </w:p>
    <w:p/>
    <w:p>
      <w:pPr>
        <w:pStyle w:val="2"/>
      </w:pPr>
    </w:p>
    <w:p>
      <w:pPr>
        <w:pStyle w:val="3"/>
      </w:pPr>
    </w:p>
    <w:p>
      <w:pPr>
        <w:pStyle w:val="4"/>
      </w:pPr>
    </w:p>
    <w:p/>
    <w:p>
      <w:pPr>
        <w:pStyle w:val="2"/>
      </w:pPr>
    </w:p>
    <w:p>
      <w:pPr>
        <w:pStyle w:val="3"/>
      </w:pPr>
    </w:p>
    <w:p>
      <w:pPr>
        <w:pStyle w:val="4"/>
      </w:pPr>
    </w:p>
    <w:p/>
    <w:p>
      <w:pPr>
        <w:pStyle w:val="2"/>
      </w:pPr>
    </w:p>
    <w:p>
      <w:pPr>
        <w:pStyle w:val="3"/>
      </w:pPr>
    </w:p>
    <w:p>
      <w:pPr>
        <w:pStyle w:val="4"/>
      </w:pPr>
    </w:p>
    <w:p/>
    <w:p>
      <w:pPr>
        <w:pStyle w:val="2"/>
      </w:pPr>
    </w:p>
    <w:p>
      <w:pPr>
        <w:pStyle w:val="3"/>
      </w:pPr>
    </w:p>
    <w:p>
      <w:pPr>
        <w:pStyle w:val="4"/>
      </w:pPr>
    </w:p>
    <w:p/>
    <w:p>
      <w:pPr>
        <w:pStyle w:val="2"/>
      </w:pPr>
    </w:p>
    <w:p>
      <w:pPr>
        <w:pStyle w:val="2"/>
      </w:pPr>
    </w:p>
    <w:p>
      <w:pPr>
        <w:pStyle w:val="3"/>
      </w:pPr>
    </w:p>
    <w:p>
      <w:pPr>
        <w:pStyle w:val="4"/>
      </w:pPr>
    </w:p>
    <w:p>
      <w:pPr>
        <w:pStyle w:val="14"/>
        <w:rPr>
          <w:rFonts w:hint="eastAsia" w:ascii="仿宋_GB2312"/>
          <w:sz w:val="32"/>
          <w:szCs w:val="32"/>
        </w:rPr>
      </w:pPr>
    </w:p>
    <w:p>
      <w:pPr>
        <w:pStyle w:val="14"/>
        <w:rPr>
          <w:rFonts w:eastAsia="方正小标宋简体"/>
          <w:szCs w:val="32"/>
          <w:u w:val="single"/>
        </w:rPr>
      </w:pPr>
      <w:r>
        <w:rPr>
          <w:rFonts w:eastAsia="方正小标宋简体"/>
          <w:szCs w:val="32"/>
          <w:u w:val="single"/>
        </w:rPr>
        <w:t xml:space="preserve">                                                                 </w:t>
      </w:r>
      <w:r>
        <w:rPr>
          <w:rFonts w:hint="eastAsia" w:eastAsia="方正小标宋简体"/>
          <w:szCs w:val="32"/>
          <w:u w:val="single"/>
        </w:rPr>
        <w:t xml:space="preserve">                    </w:t>
      </w:r>
    </w:p>
    <w:p>
      <w:pPr>
        <w:tabs>
          <w:tab w:val="left" w:pos="7680"/>
          <w:tab w:val="left" w:pos="8222"/>
        </w:tabs>
        <w:spacing w:line="480" w:lineRule="exact"/>
        <w:ind w:firstLine="140" w:firstLineChars="50"/>
        <w:rPr>
          <w:rFonts w:ascii="仿宋_GB2312" w:eastAsia="仿宋_GB2312"/>
          <w:sz w:val="28"/>
          <w:szCs w:val="28"/>
        </w:rPr>
      </w:pPr>
      <w:r>
        <w:rPr>
          <w:rFonts w:hint="eastAsia" w:ascii="仿宋_GB2312" w:eastAsia="仿宋_GB2312"/>
          <w:sz w:val="28"/>
          <w:szCs w:val="28"/>
        </w:rPr>
        <w:t xml:space="preserve">青云谱区人民政府办公室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202</w:t>
      </w:r>
      <w:r>
        <w:rPr>
          <w:rFonts w:hint="eastAsia" w:ascii="仿宋_GB2312" w:eastAsia="仿宋_GB2312"/>
          <w:sz w:val="28"/>
          <w:szCs w:val="28"/>
          <w:lang w:val="en-US" w:eastAsia="zh-CN"/>
        </w:rPr>
        <w:t>2</w:t>
      </w:r>
      <w:r>
        <w:rPr>
          <w:rFonts w:hint="eastAsia" w:ascii="仿宋_GB2312" w:eastAsia="仿宋_GB2312"/>
          <w:sz w:val="28"/>
          <w:szCs w:val="28"/>
        </w:rPr>
        <w:t>年</w:t>
      </w:r>
      <w:r>
        <w:rPr>
          <w:rFonts w:hint="eastAsia" w:ascii="仿宋_GB2312" w:eastAsia="仿宋_GB2312"/>
          <w:sz w:val="28"/>
          <w:szCs w:val="28"/>
          <w:lang w:val="en-US" w:eastAsia="zh-CN"/>
        </w:rPr>
        <w:t>5</w:t>
      </w:r>
      <w:r>
        <w:rPr>
          <w:rFonts w:hint="eastAsia" w:ascii="仿宋_GB2312" w:eastAsia="仿宋_GB2312"/>
          <w:sz w:val="28"/>
          <w:szCs w:val="28"/>
        </w:rPr>
        <w:t>月</w:t>
      </w:r>
      <w:r>
        <w:rPr>
          <w:rFonts w:hint="eastAsia" w:ascii="仿宋_GB2312" w:eastAsia="仿宋_GB2312"/>
          <w:sz w:val="28"/>
          <w:szCs w:val="28"/>
          <w:lang w:val="en-US" w:eastAsia="zh-CN"/>
        </w:rPr>
        <w:t>7</w:t>
      </w:r>
      <w:bookmarkStart w:id="0" w:name="_GoBack"/>
      <w:bookmarkEnd w:id="0"/>
      <w:r>
        <w:rPr>
          <w:rFonts w:hint="eastAsia" w:ascii="仿宋_GB2312" w:eastAsia="仿宋_GB2312"/>
          <w:sz w:val="28"/>
          <w:szCs w:val="28"/>
        </w:rPr>
        <w:t>日印发</w:t>
      </w:r>
    </w:p>
    <w:p>
      <w:pPr>
        <w:tabs>
          <w:tab w:val="left" w:pos="8222"/>
        </w:tabs>
        <w:autoSpaceDE/>
        <w:autoSpaceDN/>
        <w:snapToGrid/>
        <w:spacing w:beforeLines="-2147483648" w:line="68" w:lineRule="exact"/>
        <w:ind w:firstLine="0" w:firstLineChars="0"/>
      </w:pPr>
      <w:r>
        <w:rPr>
          <w:rFonts w:eastAsia="仿宋_GB2312"/>
          <w:szCs w:val="32"/>
          <w:u w:val="single"/>
        </w:rPr>
        <w:t xml:space="preserve">                                                             </w:t>
      </w:r>
      <w:r>
        <w:rPr>
          <w:rFonts w:hint="eastAsia" w:eastAsia="仿宋_GB2312"/>
          <w:szCs w:val="32"/>
          <w:u w:val="single"/>
        </w:rPr>
        <w:t xml:space="preserve">                        </w:t>
      </w:r>
    </w:p>
    <w:sectPr>
      <w:footerReference r:id="rId5" w:type="default"/>
      <w:pgSz w:w="11906" w:h="16838"/>
      <w:pgMar w:top="2098" w:right="1531" w:bottom="1984" w:left="1531"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ESI楷体-GB2312">
    <w:panose1 w:val="02000500000000000000"/>
    <w:charset w:val="86"/>
    <w:family w:val="auto"/>
    <w:pitch w:val="default"/>
    <w:sig w:usb0="800002BF" w:usb1="184F6CF8" w:usb2="00000012" w:usb3="00000000" w:csb0="0004000F"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6"/>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4ODY4NDU3MDAwYTM1NmNmNmU4Y2FiMTI2N2Y2MTYifQ=="/>
  </w:docVars>
  <w:rsids>
    <w:rsidRoot w:val="000764BD"/>
    <w:rsid w:val="00025203"/>
    <w:rsid w:val="00061326"/>
    <w:rsid w:val="000764BD"/>
    <w:rsid w:val="000844FA"/>
    <w:rsid w:val="00087E15"/>
    <w:rsid w:val="00096F68"/>
    <w:rsid w:val="000E0044"/>
    <w:rsid w:val="00141A93"/>
    <w:rsid w:val="0015160A"/>
    <w:rsid w:val="001A08BA"/>
    <w:rsid w:val="00271933"/>
    <w:rsid w:val="00385AD5"/>
    <w:rsid w:val="00432A33"/>
    <w:rsid w:val="004753B1"/>
    <w:rsid w:val="005E619D"/>
    <w:rsid w:val="006A7AC6"/>
    <w:rsid w:val="00835890"/>
    <w:rsid w:val="008400B6"/>
    <w:rsid w:val="00975898"/>
    <w:rsid w:val="00A0032B"/>
    <w:rsid w:val="00A27F08"/>
    <w:rsid w:val="00B70974"/>
    <w:rsid w:val="00BA65DC"/>
    <w:rsid w:val="00BB71CF"/>
    <w:rsid w:val="00C27EDF"/>
    <w:rsid w:val="00D07709"/>
    <w:rsid w:val="00D63ABC"/>
    <w:rsid w:val="00E70A18"/>
    <w:rsid w:val="00F54524"/>
    <w:rsid w:val="0F617C94"/>
    <w:rsid w:val="16024D56"/>
    <w:rsid w:val="1B0342CC"/>
    <w:rsid w:val="1F161AD0"/>
    <w:rsid w:val="28373807"/>
    <w:rsid w:val="59AC2DA9"/>
    <w:rsid w:val="5CD94D90"/>
    <w:rsid w:val="5DDFB96F"/>
    <w:rsid w:val="6275199B"/>
    <w:rsid w:val="7F374C25"/>
    <w:rsid w:val="7F7E64A8"/>
    <w:rsid w:val="7FF1236A"/>
    <w:rsid w:val="9FBB7DAD"/>
    <w:rsid w:val="BFFD3F19"/>
    <w:rsid w:val="DDF744AF"/>
    <w:rsid w:val="DFFE410B"/>
    <w:rsid w:val="FAFF89BA"/>
    <w:rsid w:val="FB374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Times New Roman" w:hAnsi="Times New Roman" w:eastAsia="宋体" w:cs="Times New Roman"/>
      <w:kern w:val="0"/>
      <w:sz w:val="21"/>
      <w:szCs w:val="21"/>
      <w:lang w:val="en-US" w:eastAsia="zh-CN" w:bidi="ar-SA"/>
    </w:rPr>
  </w:style>
  <w:style w:type="paragraph" w:styleId="5">
    <w:name w:val="heading 1"/>
    <w:basedOn w:val="1"/>
    <w:next w:val="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3"/>
    <w:qFormat/>
    <w:uiPriority w:val="0"/>
    <w:pPr>
      <w:ind w:firstLine="420" w:firstLineChars="100"/>
    </w:pPr>
  </w:style>
  <w:style w:type="paragraph" w:styleId="3">
    <w:name w:val="Body Text"/>
    <w:basedOn w:val="1"/>
    <w:next w:val="4"/>
    <w:qFormat/>
    <w:uiPriority w:val="0"/>
    <w:pPr>
      <w:spacing w:after="120"/>
    </w:pPr>
    <w:rPr>
      <w:rFonts w:eastAsia="仿宋_GB2312"/>
      <w:szCs w:val="24"/>
    </w:rPr>
  </w:style>
  <w:style w:type="paragraph" w:customStyle="1" w:styleId="4">
    <w:name w:val="Quote"/>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styleId="6">
    <w:name w:val="footer"/>
    <w:basedOn w:val="1"/>
    <w:link w:val="12"/>
    <w:semiHidden/>
    <w:unhideWhenUsed/>
    <w:qFormat/>
    <w:uiPriority w:val="99"/>
    <w:pPr>
      <w:tabs>
        <w:tab w:val="center" w:pos="4153"/>
        <w:tab w:val="right" w:pos="8306"/>
      </w:tabs>
      <w:snapToGrid w:val="0"/>
      <w:spacing w:line="240" w:lineRule="atLeast"/>
      <w:jc w:val="left"/>
    </w:pPr>
    <w:rPr>
      <w:sz w:val="18"/>
      <w:szCs w:val="18"/>
    </w:rPr>
  </w:style>
  <w:style w:type="paragraph" w:styleId="7">
    <w:name w:val="header"/>
    <w:basedOn w:val="1"/>
    <w:link w:val="11"/>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styleId="10">
    <w:name w:val="Hyperlink"/>
    <w:basedOn w:val="9"/>
    <w:qFormat/>
    <w:uiPriority w:val="0"/>
    <w:rPr>
      <w:color w:val="0000FF"/>
      <w:u w:val="single"/>
    </w:rPr>
  </w:style>
  <w:style w:type="character" w:customStyle="1" w:styleId="11">
    <w:name w:val="页眉 Char"/>
    <w:basedOn w:val="9"/>
    <w:link w:val="7"/>
    <w:semiHidden/>
    <w:qFormat/>
    <w:uiPriority w:val="99"/>
    <w:rPr>
      <w:rFonts w:ascii="Times New Roman" w:hAnsi="Times New Roman" w:eastAsia="宋体" w:cs="Times New Roman"/>
      <w:kern w:val="0"/>
      <w:sz w:val="18"/>
      <w:szCs w:val="18"/>
    </w:rPr>
  </w:style>
  <w:style w:type="character" w:customStyle="1" w:styleId="12">
    <w:name w:val="页脚 Char"/>
    <w:basedOn w:val="9"/>
    <w:link w:val="6"/>
    <w:semiHidden/>
    <w:qFormat/>
    <w:uiPriority w:val="99"/>
    <w:rPr>
      <w:rFonts w:ascii="Times New Roman" w:hAnsi="Times New Roman" w:eastAsia="宋体" w:cs="Times New Roman"/>
      <w:kern w:val="0"/>
      <w:sz w:val="18"/>
      <w:szCs w:val="18"/>
    </w:rPr>
  </w:style>
  <w:style w:type="paragraph" w:customStyle="1" w:styleId="13">
    <w:name w:val="纯文本1"/>
    <w:basedOn w:val="1"/>
    <w:qFormat/>
    <w:uiPriority w:val="0"/>
    <w:rPr>
      <w:rFonts w:ascii="仿宋_GB2312" w:hAnsi="Courier New" w:eastAsia="仿宋_GB2312"/>
      <w:sz w:val="32"/>
    </w:rPr>
  </w:style>
  <w:style w:type="paragraph" w:customStyle="1" w:styleId="14">
    <w:name w:val="样式 行距: 固定值 28.9 磅"/>
    <w:basedOn w:val="1"/>
    <w:qFormat/>
    <w:uiPriority w:val="99"/>
    <w:pPr>
      <w:spacing w:line="578" w:lineRule="exact"/>
    </w:pPr>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2573</Words>
  <Characters>2670</Characters>
  <Lines>19</Lines>
  <Paragraphs>5</Paragraphs>
  <TotalTime>9</TotalTime>
  <ScaleCrop>false</ScaleCrop>
  <LinksUpToDate>false</LinksUpToDate>
  <CharactersWithSpaces>2671</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2022-02-11T04:48:00Z</dcterms:created>
  <dc:creator>Administrator</dc:creator>
  <cp:lastModifiedBy>蜗牛的壳</cp:lastModifiedBy>
  <cp:lastPrinted>2022-05-09T11:25:33Z</cp:lastPrinted>
  <dcterms:modified xsi:type="dcterms:W3CDTF">2022-05-09T11:26:29Z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342EF32F7FAD4A4E8E6BB1CE031DA996</vt:lpwstr>
  </property>
</Properties>
</file>