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pacing w:val="-20"/>
          <w:sz w:val="84"/>
          <w:szCs w:val="84"/>
        </w:rPr>
      </w:pPr>
      <w:r>
        <w:rPr>
          <w:rFonts w:hint="eastAsia" w:ascii="方正小标宋简体" w:hAnsi="宋体" w:eastAsia="方正小标宋简体"/>
          <w:spacing w:val="-20"/>
          <w:sz w:val="84"/>
          <w:szCs w:val="84"/>
          <w:u w:val="single"/>
        </w:rPr>
        <w:t>青 云 谱 区 民 政 局</w:t>
      </w:r>
    </w:p>
    <w:p>
      <w:pPr>
        <w:jc w:val="center"/>
        <w:rPr>
          <w:rFonts w:hint="eastAsia" w:ascii="仿宋_GB2312" w:hAnsi="宋体" w:eastAsia="仿宋_GB2312"/>
          <w:sz w:val="32"/>
          <w:szCs w:val="32"/>
        </w:rPr>
      </w:pPr>
      <w:r>
        <w:rPr>
          <w:rFonts w:hint="eastAsia" w:ascii="仿宋_GB2312" w:hAnsi="宋体" w:eastAsia="仿宋_GB2312"/>
          <w:sz w:val="32"/>
          <w:szCs w:val="32"/>
        </w:rPr>
        <w:t>青民提案字〔202</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val="en-US" w:eastAsia="zh-CN"/>
        </w:rPr>
        <w:t>10</w:t>
      </w:r>
      <w:r>
        <w:rPr>
          <w:rFonts w:hint="eastAsia" w:ascii="仿宋_GB2312" w:hAnsi="宋体" w:eastAsia="仿宋_GB2312"/>
          <w:sz w:val="32"/>
          <w:szCs w:val="32"/>
        </w:rPr>
        <w:t>号</w:t>
      </w:r>
    </w:p>
    <w:p>
      <w:pPr>
        <w:jc w:val="center"/>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分类：A</w:t>
      </w:r>
      <w:r>
        <w:rPr>
          <w:rFonts w:hint="eastAsia" w:ascii="仿宋_GB2312" w:hAnsi="宋体" w:eastAsia="仿宋_GB2312"/>
          <w:sz w:val="32"/>
          <w:szCs w:val="32"/>
          <w:lang w:val="en-US" w:eastAsia="zh-CN"/>
        </w:rPr>
        <w:t>1</w:t>
      </w:r>
    </w:p>
    <w:p>
      <w:pPr>
        <w:jc w:val="center"/>
        <w:rPr>
          <w:rFonts w:ascii="宋体" w:hAnsi="宋体"/>
          <w:b/>
          <w:sz w:val="44"/>
          <w:szCs w:val="44"/>
        </w:rPr>
      </w:pPr>
      <w:r>
        <w:rPr>
          <w:rFonts w:hint="eastAsia" w:ascii="宋体" w:hAnsi="宋体"/>
          <w:b/>
          <w:sz w:val="44"/>
          <w:szCs w:val="44"/>
        </w:rPr>
        <w:t xml:space="preserve"> </w:t>
      </w: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对区政协</w:t>
      </w:r>
      <w:r>
        <w:rPr>
          <w:rFonts w:hint="eastAsia" w:ascii="方正小标宋简体" w:hAnsi="宋体" w:eastAsia="方正小标宋简体"/>
          <w:sz w:val="44"/>
          <w:szCs w:val="44"/>
          <w:lang w:eastAsia="zh-CN"/>
        </w:rPr>
        <w:t>十</w:t>
      </w:r>
      <w:r>
        <w:rPr>
          <w:rFonts w:hint="eastAsia" w:ascii="方正小标宋简体" w:hAnsi="宋体" w:eastAsia="方正小标宋简体"/>
          <w:sz w:val="44"/>
          <w:szCs w:val="44"/>
        </w:rPr>
        <w:t>届</w:t>
      </w:r>
      <w:r>
        <w:rPr>
          <w:rFonts w:hint="eastAsia" w:ascii="方正小标宋简体" w:hAnsi="宋体" w:eastAsia="方正小标宋简体"/>
          <w:sz w:val="44"/>
          <w:szCs w:val="44"/>
          <w:lang w:eastAsia="zh-CN"/>
        </w:rPr>
        <w:t>二</w:t>
      </w:r>
      <w:r>
        <w:rPr>
          <w:rFonts w:hint="eastAsia" w:ascii="方正小标宋简体" w:hAnsi="宋体" w:eastAsia="方正小标宋简体"/>
          <w:sz w:val="44"/>
          <w:szCs w:val="44"/>
        </w:rPr>
        <w:t>次会议第</w:t>
      </w:r>
      <w:r>
        <w:rPr>
          <w:rFonts w:hint="eastAsia" w:ascii="方正小标宋简体" w:hAnsi="宋体" w:eastAsia="方正小标宋简体"/>
          <w:sz w:val="44"/>
          <w:szCs w:val="44"/>
          <w:lang w:val="en-US" w:eastAsia="zh-CN"/>
        </w:rPr>
        <w:t>82</w:t>
      </w:r>
      <w:r>
        <w:rPr>
          <w:rFonts w:hint="eastAsia" w:ascii="方正小标宋简体" w:hAnsi="宋体" w:eastAsia="方正小标宋简体"/>
          <w:sz w:val="44"/>
          <w:szCs w:val="44"/>
        </w:rPr>
        <w:t>号提案的答复</w:t>
      </w:r>
    </w:p>
    <w:p>
      <w:pPr>
        <w:spacing w:line="520" w:lineRule="exact"/>
        <w:ind w:firstLine="640" w:firstLineChars="200"/>
        <w:rPr>
          <w:rFonts w:hint="eastAsia" w:ascii="仿宋_GB2312" w:hAnsi="宋体" w:eastAsia="仿宋_GB2312"/>
          <w:sz w:val="32"/>
          <w:szCs w:val="32"/>
        </w:rPr>
      </w:pP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王雪琴委员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00" w:firstLineChars="2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您提出的</w:t>
      </w:r>
      <w:r>
        <w:rPr>
          <w:rFonts w:hint="eastAsia" w:ascii="仿宋_GB2312" w:hAnsi="仿宋_GB2312" w:eastAsia="仿宋_GB2312" w:cs="仿宋_GB2312"/>
          <w:color w:val="000000"/>
          <w:sz w:val="32"/>
          <w:szCs w:val="32"/>
          <w:lang w:eastAsia="zh-CN"/>
        </w:rPr>
        <w:t>“关于推进养老事业高质量发展”</w:t>
      </w:r>
      <w:r>
        <w:rPr>
          <w:rFonts w:hint="eastAsia" w:ascii="仿宋_GB2312" w:hAnsi="仿宋_GB2312" w:eastAsia="仿宋_GB2312" w:cs="仿宋_GB2312"/>
          <w:color w:val="000000"/>
          <w:sz w:val="32"/>
          <w:szCs w:val="32"/>
        </w:rPr>
        <w:t xml:space="preserve">                      的建议收悉，现答复如下：</w:t>
      </w:r>
    </w:p>
    <w:p>
      <w:pPr>
        <w:ind w:firstLine="640" w:firstLineChars="200"/>
        <w:rPr>
          <w:rFonts w:hint="eastAsia" w:ascii="仿宋_GB2312" w:hAnsi="仿宋_GB2312" w:eastAsia="仿宋_GB2312" w:cs="仿宋_GB2312"/>
          <w:color w:val="3D3D3D"/>
          <w:sz w:val="32"/>
          <w:szCs w:val="32"/>
          <w:shd w:val="clear" w:color="auto" w:fill="FFFFFF"/>
          <w:lang w:eastAsia="zh-CN"/>
        </w:rPr>
      </w:pPr>
      <w:r>
        <w:rPr>
          <w:rFonts w:hint="eastAsia" w:ascii="仿宋_GB2312" w:hAnsi="仿宋_GB2312" w:eastAsia="仿宋_GB2312" w:cs="仿宋_GB2312"/>
          <w:color w:val="3D3D3D"/>
          <w:sz w:val="32"/>
          <w:szCs w:val="32"/>
          <w:shd w:val="clear" w:color="auto" w:fill="FFFFFF"/>
        </w:rPr>
        <w:t>在区委、区政府的领导下，我区紧紧围绕区情实际，及时抓住热点、难点，积极推动和规范养老服务，</w:t>
      </w:r>
      <w:r>
        <w:rPr>
          <w:rFonts w:hint="eastAsia" w:ascii="仿宋_GB2312" w:hAnsi="仿宋_GB2312" w:eastAsia="仿宋_GB2312" w:cs="仿宋_GB2312"/>
          <w:bCs/>
          <w:sz w:val="32"/>
          <w:szCs w:val="32"/>
        </w:rPr>
        <w:t>通过培育品牌机构、鼓励智慧养老等方式，促进全区</w:t>
      </w:r>
      <w:r>
        <w:rPr>
          <w:rFonts w:hint="eastAsia" w:ascii="仿宋_GB2312" w:hAnsi="仿宋_GB2312" w:eastAsia="仿宋_GB2312" w:cs="仿宋_GB2312"/>
          <w:bCs/>
          <w:sz w:val="32"/>
          <w:szCs w:val="32"/>
          <w:lang w:eastAsia="zh-CN"/>
        </w:rPr>
        <w:t>养老事业高质量</w:t>
      </w:r>
      <w:r>
        <w:rPr>
          <w:rFonts w:hint="eastAsia" w:ascii="仿宋_GB2312" w:hAnsi="仿宋_GB2312" w:eastAsia="仿宋_GB2312" w:cs="仿宋_GB2312"/>
          <w:bCs/>
          <w:sz w:val="32"/>
          <w:szCs w:val="32"/>
        </w:rPr>
        <w:t>发展</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color w:val="3D3D3D"/>
          <w:sz w:val="32"/>
          <w:szCs w:val="32"/>
          <w:shd w:val="clear" w:color="auto" w:fill="FFFFFF"/>
          <w:lang w:eastAsia="zh-CN"/>
        </w:rPr>
        <w:t>主要做法有：</w:t>
      </w:r>
    </w:p>
    <w:p>
      <w:pPr>
        <w:numPr>
          <w:ilvl w:val="0"/>
          <w:numId w:val="0"/>
        </w:numPr>
        <w:ind w:firstLine="643" w:firstLineChars="200"/>
        <w:rPr>
          <w:rFonts w:hint="eastAsia" w:ascii="仿宋_GB2312" w:hAnsi="仿宋_GB2312" w:eastAsia="仿宋_GB2312" w:cs="仿宋_GB2312"/>
          <w:b/>
          <w:bCs/>
          <w:i w:val="0"/>
          <w:iCs w:val="0"/>
          <w:caps w:val="0"/>
          <w:color w:val="000000"/>
          <w:spacing w:val="0"/>
          <w:w w:val="100"/>
          <w:sz w:val="32"/>
          <w:szCs w:val="32"/>
          <w:shd w:val="clear" w:color="auto" w:fill="FFFFFF"/>
        </w:rPr>
      </w:pPr>
      <w:r>
        <w:rPr>
          <w:rFonts w:hint="eastAsia" w:ascii="仿宋_GB2312" w:hAnsi="仿宋_GB2312" w:eastAsia="仿宋_GB2312" w:cs="仿宋_GB2312"/>
          <w:b/>
          <w:bCs w:val="0"/>
          <w:sz w:val="32"/>
          <w:szCs w:val="32"/>
          <w:lang w:eastAsia="zh-CN"/>
        </w:rPr>
        <w:t>一、</w:t>
      </w:r>
      <w:r>
        <w:rPr>
          <w:rFonts w:hint="eastAsia" w:ascii="仿宋_GB2312" w:hAnsi="仿宋_GB2312" w:eastAsia="仿宋_GB2312" w:cs="仿宋_GB2312"/>
          <w:b/>
          <w:bCs/>
          <w:i w:val="0"/>
          <w:iCs w:val="0"/>
          <w:caps w:val="0"/>
          <w:color w:val="000000"/>
          <w:spacing w:val="0"/>
          <w:w w:val="100"/>
          <w:sz w:val="32"/>
          <w:szCs w:val="32"/>
          <w:shd w:val="clear" w:color="auto" w:fill="FFFFFF"/>
        </w:rPr>
        <w:t>聚焦供需匹配</w:t>
      </w:r>
      <w:r>
        <w:rPr>
          <w:rFonts w:hint="eastAsia" w:ascii="仿宋_GB2312" w:hAnsi="仿宋_GB2312" w:eastAsia="仿宋_GB2312" w:cs="仿宋_GB2312"/>
          <w:b/>
          <w:bCs/>
          <w:i w:val="0"/>
          <w:iCs w:val="0"/>
          <w:caps w:val="0"/>
          <w:color w:val="000000"/>
          <w:spacing w:val="0"/>
          <w:w w:val="100"/>
          <w:sz w:val="32"/>
          <w:szCs w:val="32"/>
          <w:shd w:val="clear" w:color="auto" w:fill="FFFFFF"/>
          <w:lang w:eastAsia="zh-CN"/>
        </w:rPr>
        <w:t>，</w:t>
      </w:r>
      <w:r>
        <w:rPr>
          <w:rFonts w:hint="eastAsia" w:ascii="仿宋_GB2312" w:hAnsi="仿宋_GB2312" w:eastAsia="仿宋_GB2312" w:cs="仿宋_GB2312"/>
          <w:b/>
          <w:bCs/>
          <w:i w:val="0"/>
          <w:iCs w:val="0"/>
          <w:caps w:val="0"/>
          <w:color w:val="000000"/>
          <w:spacing w:val="0"/>
          <w:w w:val="100"/>
          <w:sz w:val="32"/>
          <w:szCs w:val="32"/>
          <w:shd w:val="clear" w:color="auto" w:fill="FFFFFF"/>
        </w:rPr>
        <w:t>补齐养老设施短板</w:t>
      </w:r>
    </w:p>
    <w:p>
      <w:pPr>
        <w:keepNext w:val="0"/>
        <w:keepLines w:val="0"/>
        <w:pageBreakBefore w:val="0"/>
        <w:kinsoku/>
        <w:wordWrap/>
        <w:overflowPunct/>
        <w:topLinePunct w:val="0"/>
        <w:autoSpaceDE/>
        <w:autoSpaceDN/>
        <w:bidi w:val="0"/>
        <w:adjustRightInd/>
        <w:snapToGrid/>
        <w:spacing w:before="0" w:beforeAutospacing="0" w:afterAutospacing="0" w:line="58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为补齐养老服务设施短板，我区依托邻里中心建设，结合城市建管十大提升行动、党群服务中心建设、老旧小区改造等项目，整合多方资源，加快构建居家养老服务网络。</w:t>
      </w:r>
      <w:r>
        <w:rPr>
          <w:rFonts w:hint="eastAsia" w:ascii="仿宋_GB2312" w:hAnsi="仿宋_GB2312" w:eastAsia="仿宋_GB2312" w:cs="仿宋_GB2312"/>
          <w:b/>
          <w:bCs/>
          <w:i w:val="0"/>
          <w:caps w:val="0"/>
          <w:spacing w:val="0"/>
          <w:w w:val="100"/>
          <w:sz w:val="32"/>
          <w:szCs w:val="32"/>
          <w:lang w:val="en-US" w:eastAsia="zh-CN"/>
        </w:rPr>
        <w:t>一是领导重视，扩宽资金渠道。</w:t>
      </w:r>
      <w:r>
        <w:rPr>
          <w:rFonts w:hint="eastAsia" w:ascii="仿宋_GB2312" w:hAnsi="仿宋_GB2312" w:eastAsia="仿宋_GB2312" w:cs="仿宋_GB2312"/>
          <w:b w:val="0"/>
          <w:i w:val="0"/>
          <w:caps w:val="0"/>
          <w:spacing w:val="0"/>
          <w:w w:val="100"/>
          <w:sz w:val="32"/>
          <w:szCs w:val="32"/>
          <w:lang w:val="en-US" w:eastAsia="zh-CN"/>
        </w:rPr>
        <w:t>区委区政府高度重视养老服务设施建设，成功向市财政申报了3000万元地方政府一般债券用于社区邻里中心建设，同时将社区邻里中心建设纳入老旧小区改造项目，从老旧小区改造经费中解决“大头”建设资金，全年投入改造经费1.2亿元；</w:t>
      </w:r>
      <w:r>
        <w:rPr>
          <w:rFonts w:hint="eastAsia" w:ascii="仿宋_GB2312" w:hAnsi="仿宋_GB2312" w:eastAsia="仿宋_GB2312" w:cs="仿宋_GB2312"/>
          <w:b/>
          <w:bCs/>
          <w:i w:val="0"/>
          <w:caps w:val="0"/>
          <w:spacing w:val="0"/>
          <w:w w:val="100"/>
          <w:sz w:val="32"/>
          <w:szCs w:val="32"/>
          <w:lang w:val="en-US" w:eastAsia="zh-CN"/>
        </w:rPr>
        <w:t>二是争取支持，扩展场地面积。</w:t>
      </w:r>
      <w:r>
        <w:rPr>
          <w:rFonts w:hint="eastAsia" w:ascii="仿宋_GB2312" w:hAnsi="仿宋_GB2312" w:eastAsia="仿宋_GB2312" w:cs="仿宋_GB2312"/>
          <w:b w:val="0"/>
          <w:i w:val="0"/>
          <w:caps w:val="0"/>
          <w:spacing w:val="0"/>
          <w:w w:val="100"/>
          <w:sz w:val="32"/>
          <w:szCs w:val="32"/>
          <w:lang w:val="en-US" w:eastAsia="zh-CN"/>
        </w:rPr>
        <w:t>我区通过建立共驻共建机制，与驻区单位主动对接、积极协调，2021年5家嵌入式养老院（面积750㎡以上，25张床位）通过争取多方支持，拓展场地面积，已全部完工并投入运营；</w:t>
      </w:r>
      <w:r>
        <w:rPr>
          <w:rFonts w:hint="eastAsia" w:ascii="仿宋_GB2312" w:hAnsi="仿宋_GB2312" w:eastAsia="仿宋_GB2312" w:cs="仿宋_GB2312"/>
          <w:b/>
          <w:bCs/>
          <w:i w:val="0"/>
          <w:caps w:val="0"/>
          <w:spacing w:val="0"/>
          <w:w w:val="100"/>
          <w:sz w:val="32"/>
          <w:szCs w:val="32"/>
          <w:lang w:val="en-US" w:eastAsia="zh-CN"/>
        </w:rPr>
        <w:t>三是吸纳专业，确保长效运营。</w:t>
      </w:r>
      <w:r>
        <w:rPr>
          <w:rFonts w:hint="eastAsia" w:ascii="仿宋_GB2312" w:hAnsi="仿宋_GB2312" w:eastAsia="仿宋_GB2312" w:cs="仿宋_GB2312"/>
          <w:b w:val="0"/>
          <w:i w:val="0"/>
          <w:caps w:val="0"/>
          <w:spacing w:val="0"/>
          <w:w w:val="100"/>
          <w:sz w:val="32"/>
          <w:szCs w:val="32"/>
          <w:lang w:val="en-US" w:eastAsia="zh-CN"/>
        </w:rPr>
        <w:t>我区积极鼓励社会力量运营养老服务设施并切实落实补助政策，所有居家养老服务设施均与专业机构签订了运营合作协议，为养老机构和居家养老站点拨付补贴资金187.76万元，为养老设施长效运营提供资金扶持。</w:t>
      </w:r>
    </w:p>
    <w:p>
      <w:pPr>
        <w:numPr>
          <w:ilvl w:val="0"/>
          <w:numId w:val="0"/>
        </w:numPr>
        <w:ind w:firstLine="643"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二、聚焦民生实事，力推政府购买服务</w:t>
      </w:r>
    </w:p>
    <w:p>
      <w:pPr>
        <w:keepNext w:val="0"/>
        <w:keepLines w:val="0"/>
        <w:pageBreakBefore w:val="0"/>
        <w:kinsoku/>
        <w:wordWrap/>
        <w:overflowPunct/>
        <w:topLinePunct w:val="0"/>
        <w:autoSpaceDE/>
        <w:autoSpaceDN/>
        <w:bidi w:val="0"/>
        <w:adjustRightInd/>
        <w:snapToGrid/>
        <w:spacing w:before="0" w:beforeAutospacing="0" w:afterAutospacing="0" w:line="58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我区切实做好各项民生实事，确保基本养老服务无缺项，不断提高老年人的获得感、幸福感和满意度。</w:t>
      </w:r>
      <w:r>
        <w:rPr>
          <w:rFonts w:hint="eastAsia" w:ascii="仿宋_GB2312" w:hAnsi="仿宋_GB2312" w:eastAsia="仿宋_GB2312" w:cs="仿宋_GB2312"/>
          <w:b/>
          <w:bCs/>
          <w:i w:val="0"/>
          <w:caps w:val="0"/>
          <w:spacing w:val="0"/>
          <w:w w:val="100"/>
          <w:sz w:val="32"/>
          <w:szCs w:val="32"/>
          <w:lang w:val="en-US" w:eastAsia="zh-CN"/>
        </w:rPr>
        <w:t>一是精准摸底，严格履行程序。</w:t>
      </w:r>
      <w:r>
        <w:rPr>
          <w:rFonts w:hint="eastAsia" w:ascii="仿宋_GB2312" w:hAnsi="仿宋_GB2312" w:eastAsia="仿宋_GB2312" w:cs="仿宋_GB2312"/>
          <w:b w:val="0"/>
          <w:i w:val="0"/>
          <w:caps w:val="0"/>
          <w:spacing w:val="0"/>
          <w:w w:val="100"/>
          <w:sz w:val="32"/>
          <w:szCs w:val="32"/>
          <w:lang w:val="en-US" w:eastAsia="zh-CN"/>
        </w:rPr>
        <w:t>为提高资金使用效率，我区对符合条件的老年人进行全面摸底并精准测算资金，对“政府为五类人群购买居家养老服务采购项目”和“政府为80周岁以上老年人购买养老服务项目”进行公开招标，两项服务中标价分别为173.8万元和338万元，服务方式采取“按需点单”，为老年人提供9大类41项可选服务，整个服务过程实行全程监管；</w:t>
      </w:r>
      <w:r>
        <w:rPr>
          <w:rFonts w:hint="eastAsia" w:ascii="仿宋_GB2312" w:hAnsi="仿宋_GB2312" w:eastAsia="仿宋_GB2312" w:cs="仿宋_GB2312"/>
          <w:b/>
          <w:bCs/>
          <w:i w:val="0"/>
          <w:caps w:val="0"/>
          <w:spacing w:val="0"/>
          <w:w w:val="100"/>
          <w:sz w:val="32"/>
          <w:szCs w:val="32"/>
          <w:lang w:val="en-US" w:eastAsia="zh-CN"/>
        </w:rPr>
        <w:t>二是暖心服务，提升服务水平。</w:t>
      </w:r>
      <w:r>
        <w:rPr>
          <w:rFonts w:hint="eastAsia" w:ascii="仿宋_GB2312" w:hAnsi="仿宋_GB2312" w:eastAsia="仿宋_GB2312" w:cs="仿宋_GB2312"/>
          <w:b w:val="0"/>
          <w:i w:val="0"/>
          <w:caps w:val="0"/>
          <w:spacing w:val="0"/>
          <w:w w:val="100"/>
          <w:sz w:val="32"/>
          <w:szCs w:val="32"/>
          <w:lang w:val="en-US" w:eastAsia="zh-CN"/>
        </w:rPr>
        <w:t>为消除老年人居家生活的安全隐患，提升老年人的幸福感，我区对老年人的生理特点和家居环境进行评估，实行“一户一案”，通过施工改造、设施配置、辅具适配等方式等，为290名经济困难、高龄老人进行了家庭适老化改造，增加老年人居家生活的安全性、舒适性和便利性，《新闻联播》头条和《人民日报》均对我区适老化改造工作进行了报道；</w:t>
      </w:r>
      <w:r>
        <w:rPr>
          <w:rFonts w:hint="eastAsia" w:ascii="仿宋_GB2312" w:hAnsi="仿宋_GB2312" w:eastAsia="仿宋_GB2312" w:cs="仿宋_GB2312"/>
          <w:b/>
          <w:bCs/>
          <w:i w:val="0"/>
          <w:caps w:val="0"/>
          <w:spacing w:val="0"/>
          <w:w w:val="100"/>
          <w:sz w:val="32"/>
          <w:szCs w:val="32"/>
          <w:lang w:val="en-US" w:eastAsia="zh-CN"/>
        </w:rPr>
        <w:t>三是认真部署，稳步推进家庭养老床位试点工作。</w:t>
      </w:r>
      <w:r>
        <w:rPr>
          <w:rFonts w:hint="eastAsia" w:ascii="仿宋_GB2312" w:hAnsi="仿宋_GB2312" w:eastAsia="仿宋_GB2312" w:cs="仿宋_GB2312"/>
          <w:b w:val="0"/>
          <w:i w:val="0"/>
          <w:caps w:val="0"/>
          <w:spacing w:val="0"/>
          <w:w w:val="100"/>
          <w:sz w:val="32"/>
          <w:szCs w:val="32"/>
          <w:lang w:val="en-US" w:eastAsia="zh-CN"/>
        </w:rPr>
        <w:t>家庭养老照护床位试点工作是为长期居住在本辖区内，具有本地户籍的60周岁及以上分散供养特困、低保、失独、低收入家庭、支出型困难家庭等困难老年人中经评估为轻度、中度或重度失能的老年人建设家庭养老床位,经评定全区达到建床要求的有231人。目前家庭养老床位工作正在有序开展。</w:t>
      </w:r>
    </w:p>
    <w:p>
      <w:pPr>
        <w:numPr>
          <w:ilvl w:val="0"/>
          <w:numId w:val="0"/>
        </w:numPr>
        <w:ind w:firstLine="643"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三、聚焦服务能力，提升养老综合水平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我区通过加强培训、以赛促学和关爱人才等方式，显著提高全区养老服务水平。</w:t>
      </w:r>
      <w:r>
        <w:rPr>
          <w:rFonts w:hint="eastAsia" w:ascii="仿宋_GB2312" w:hAnsi="仿宋_GB2312" w:eastAsia="仿宋_GB2312" w:cs="仿宋_GB2312"/>
          <w:b/>
          <w:bCs/>
          <w:i w:val="0"/>
          <w:caps w:val="0"/>
          <w:spacing w:val="0"/>
          <w:w w:val="100"/>
          <w:sz w:val="32"/>
          <w:szCs w:val="32"/>
          <w:lang w:val="en-US" w:eastAsia="zh-CN"/>
        </w:rPr>
        <w:t>一是多措并举，建立培训激励机制。</w:t>
      </w:r>
      <w:r>
        <w:rPr>
          <w:rFonts w:hint="eastAsia" w:ascii="仿宋_GB2312" w:hAnsi="仿宋_GB2312" w:eastAsia="仿宋_GB2312" w:cs="仿宋_GB2312"/>
          <w:b w:val="0"/>
          <w:i w:val="0"/>
          <w:caps w:val="0"/>
          <w:spacing w:val="0"/>
          <w:w w:val="100"/>
          <w:sz w:val="32"/>
          <w:szCs w:val="32"/>
          <w:lang w:val="en-US" w:eastAsia="zh-CN"/>
        </w:rPr>
        <w:t>全年培训护理员320人次，选拔2名护理员参加全市养老护理员职业技能大赛，荣获二等奖，在全市率先落实区财政对3名养老服务人才的资金奖补15000元，鼓励更多专业人才投身养老服务业；</w:t>
      </w:r>
      <w:r>
        <w:rPr>
          <w:rFonts w:hint="eastAsia" w:ascii="仿宋_GB2312" w:hAnsi="仿宋_GB2312" w:eastAsia="仿宋_GB2312" w:cs="仿宋_GB2312"/>
          <w:b/>
          <w:bCs/>
          <w:i w:val="0"/>
          <w:caps w:val="0"/>
          <w:spacing w:val="0"/>
          <w:w w:val="100"/>
          <w:sz w:val="32"/>
          <w:szCs w:val="32"/>
          <w:lang w:val="en-US" w:eastAsia="zh-CN"/>
        </w:rPr>
        <w:t>二是主动作为，积极协调消防事宜。</w:t>
      </w:r>
      <w:r>
        <w:rPr>
          <w:rFonts w:hint="eastAsia" w:ascii="仿宋_GB2312" w:hAnsi="仿宋_GB2312" w:eastAsia="仿宋_GB2312" w:cs="仿宋_GB2312"/>
          <w:b w:val="0"/>
          <w:i w:val="0"/>
          <w:caps w:val="0"/>
          <w:spacing w:val="0"/>
          <w:w w:val="100"/>
          <w:sz w:val="32"/>
          <w:szCs w:val="32"/>
          <w:lang w:val="en-US" w:eastAsia="zh-CN"/>
        </w:rPr>
        <w:t>我区积极推进公办养老机构消防安全改造提升工和民办养老院消防安全达标，全程跟踪监管公办社会福利院装修改造施工，确保工程安全高质量交付使用，截至</w:t>
      </w:r>
      <w:bookmarkStart w:id="0" w:name="_GoBack"/>
      <w:bookmarkEnd w:id="0"/>
      <w:r>
        <w:rPr>
          <w:rFonts w:hint="eastAsia" w:ascii="仿宋_GB2312" w:hAnsi="仿宋_GB2312" w:eastAsia="仿宋_GB2312" w:cs="仿宋_GB2312"/>
          <w:b w:val="0"/>
          <w:i w:val="0"/>
          <w:caps w:val="0"/>
          <w:spacing w:val="0"/>
          <w:w w:val="100"/>
          <w:sz w:val="32"/>
          <w:szCs w:val="32"/>
          <w:lang w:val="en-US" w:eastAsia="zh-CN"/>
        </w:rPr>
        <w:t>目前全区3家民办养老机构已全部获得建设消防设施审验，消防验收合格率100%；</w:t>
      </w:r>
      <w:r>
        <w:rPr>
          <w:rFonts w:hint="eastAsia" w:ascii="仿宋_GB2312" w:hAnsi="仿宋_GB2312" w:eastAsia="仿宋_GB2312" w:cs="仿宋_GB2312"/>
          <w:b/>
          <w:bCs/>
          <w:i w:val="0"/>
          <w:caps w:val="0"/>
          <w:spacing w:val="0"/>
          <w:w w:val="100"/>
          <w:sz w:val="32"/>
          <w:szCs w:val="32"/>
          <w:lang w:val="en-US" w:eastAsia="zh-CN"/>
        </w:rPr>
        <w:t>三是严格督查，开展跨部门监管。</w:t>
      </w:r>
      <w:r>
        <w:rPr>
          <w:rFonts w:hint="eastAsia" w:ascii="仿宋_GB2312" w:hAnsi="仿宋_GB2312" w:eastAsia="仿宋_GB2312" w:cs="仿宋_GB2312"/>
          <w:b w:val="0"/>
          <w:i w:val="0"/>
          <w:caps w:val="0"/>
          <w:spacing w:val="0"/>
          <w:w w:val="100"/>
          <w:sz w:val="32"/>
          <w:szCs w:val="32"/>
          <w:lang w:val="en-US" w:eastAsia="zh-CN"/>
        </w:rPr>
        <w:t>为做好养老机构各类安全风险防范工作，区民政局、区市管局、区消防大队等单位成立联合督察组开展专项检查，查处消防安全隐患25处，食品安隐患20处；同时坚决落实养老机构疫情防控的各项工作部署，严格执行养老机构人员的核酸检测频次。在2021年度全市养老领域风险防范交叉排查中，我区养老机构的评分均为“优秀”</w:t>
      </w:r>
      <w:r>
        <w:rPr>
          <w:rFonts w:hint="eastAsia" w:ascii="仿宋_GB2312" w:hAnsi="仿宋_GB2312" w:eastAsia="仿宋_GB2312" w:cs="仿宋_GB2312"/>
          <w:color w:val="auto"/>
          <w:sz w:val="32"/>
          <w:szCs w:val="32"/>
          <w:lang w:eastAsia="zh-CN"/>
        </w:rPr>
        <w:t>。</w:t>
      </w:r>
    </w:p>
    <w:p>
      <w:pPr>
        <w:spacing w:line="520" w:lineRule="exact"/>
        <w:ind w:firstLine="640" w:firstLineChars="200"/>
        <w:rPr>
          <w:rFonts w:hint="eastAsia" w:ascii="仿宋_GB2312" w:hAnsi="仿宋" w:eastAsia="仿宋_GB2312" w:cs="方正小标宋简体"/>
          <w:bCs/>
          <w:sz w:val="32"/>
          <w:szCs w:val="32"/>
        </w:rPr>
      </w:pP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附件：委员提案办理情况征询意见表</w:t>
      </w:r>
    </w:p>
    <w:p>
      <w:pPr>
        <w:rPr>
          <w:rFonts w:hint="eastAsia" w:ascii="仿宋_GB2312" w:hAnsi="仿宋" w:eastAsia="仿宋_GB2312"/>
          <w:sz w:val="32"/>
          <w:szCs w:val="32"/>
        </w:rPr>
      </w:pPr>
    </w:p>
    <w:p>
      <w:pPr>
        <w:jc w:val="right"/>
        <w:rPr>
          <w:rFonts w:hint="eastAsia" w:ascii="仿宋_GB2312" w:hAnsi="仿宋" w:eastAsia="仿宋_GB2312"/>
          <w:sz w:val="32"/>
          <w:szCs w:val="32"/>
        </w:rPr>
      </w:pPr>
    </w:p>
    <w:p>
      <w:pPr>
        <w:jc w:val="right"/>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w:t>
      </w:r>
    </w:p>
    <w:p>
      <w:pPr>
        <w:jc w:val="both"/>
        <w:rPr>
          <w:rFonts w:hint="eastAsia" w:ascii="仿宋_GB2312" w:hAnsi="宋体" w:eastAsia="仿宋_GB2312"/>
          <w:sz w:val="32"/>
          <w:szCs w:val="32"/>
        </w:rPr>
      </w:pPr>
    </w:p>
    <w:p>
      <w:pPr>
        <w:jc w:val="both"/>
        <w:rPr>
          <w:rFonts w:hint="eastAsia" w:ascii="仿宋_GB2312" w:hAnsi="宋体" w:eastAsia="仿宋_GB2312"/>
          <w:sz w:val="32"/>
          <w:szCs w:val="32"/>
        </w:rPr>
      </w:pPr>
      <w:r>
        <w:rPr>
          <w:rFonts w:hint="eastAsia" w:ascii="仿宋_GB2312" w:hAnsi="宋体" w:eastAsia="仿宋_GB2312"/>
          <w:sz w:val="32"/>
          <w:szCs w:val="32"/>
        </w:rPr>
        <w:t>抄送：区政府办公室，区政协提案委员会</w:t>
      </w:r>
    </w:p>
    <w:p>
      <w:pPr>
        <w:rPr>
          <w:rFonts w:hint="eastAsia" w:ascii="仿宋_GB2312" w:hAnsi="宋体" w:eastAsia="仿宋_GB2312"/>
          <w:sz w:val="32"/>
          <w:szCs w:val="32"/>
        </w:rPr>
      </w:pPr>
      <w:r>
        <w:rPr>
          <w:rFonts w:hint="eastAsia" w:ascii="仿宋_GB2312" w:hAnsi="宋体" w:eastAsia="仿宋_GB2312"/>
          <w:sz w:val="32"/>
          <w:szCs w:val="32"/>
        </w:rPr>
        <w:t>联系单位及电话：青云谱区民政局  88462681</w:t>
      </w:r>
    </w:p>
    <w:p>
      <w:pPr>
        <w:rPr>
          <w:rFonts w:hint="eastAsia" w:ascii="仿宋_GB2312" w:hAnsi="仿宋" w:eastAsia="仿宋_GB2312" w:cs="方正小标宋简体"/>
          <w:bCs/>
          <w:sz w:val="32"/>
          <w:szCs w:val="32"/>
        </w:rPr>
      </w:pPr>
      <w:r>
        <w:rPr>
          <w:rFonts w:hint="eastAsia" w:ascii="仿宋_GB2312" w:hAnsi="宋体" w:eastAsia="仿宋_GB2312"/>
          <w:sz w:val="32"/>
          <w:szCs w:val="32"/>
        </w:rPr>
        <w:t>邮政编码：330001</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I0ODRlYTgzZjc3NWNlYzVkZTM2NjQxYzI1MDZjMjIifQ=="/>
  </w:docVars>
  <w:rsids>
    <w:rsidRoot w:val="007900BC"/>
    <w:rsid w:val="0008797C"/>
    <w:rsid w:val="0009220E"/>
    <w:rsid w:val="000971EA"/>
    <w:rsid w:val="00156710"/>
    <w:rsid w:val="00181ED5"/>
    <w:rsid w:val="00185831"/>
    <w:rsid w:val="001A0F8C"/>
    <w:rsid w:val="001C6F4B"/>
    <w:rsid w:val="002B0A92"/>
    <w:rsid w:val="002F58A0"/>
    <w:rsid w:val="00350056"/>
    <w:rsid w:val="003A7F7C"/>
    <w:rsid w:val="003C0806"/>
    <w:rsid w:val="003F7DA6"/>
    <w:rsid w:val="004029F7"/>
    <w:rsid w:val="0041506D"/>
    <w:rsid w:val="004654C0"/>
    <w:rsid w:val="00467FF1"/>
    <w:rsid w:val="004E72BF"/>
    <w:rsid w:val="006D68CA"/>
    <w:rsid w:val="00745D84"/>
    <w:rsid w:val="007900BC"/>
    <w:rsid w:val="008371C3"/>
    <w:rsid w:val="00891438"/>
    <w:rsid w:val="008E7DAE"/>
    <w:rsid w:val="00967687"/>
    <w:rsid w:val="009A2F7E"/>
    <w:rsid w:val="00A1051D"/>
    <w:rsid w:val="00AF26B6"/>
    <w:rsid w:val="00C1054E"/>
    <w:rsid w:val="00D57CD2"/>
    <w:rsid w:val="00DA098F"/>
    <w:rsid w:val="00E8027B"/>
    <w:rsid w:val="00FC3973"/>
    <w:rsid w:val="048E609E"/>
    <w:rsid w:val="0F051D6A"/>
    <w:rsid w:val="0FC76B54"/>
    <w:rsid w:val="17FB3777"/>
    <w:rsid w:val="1E432C32"/>
    <w:rsid w:val="22613689"/>
    <w:rsid w:val="39442297"/>
    <w:rsid w:val="3C74349C"/>
    <w:rsid w:val="428D1912"/>
    <w:rsid w:val="4689539C"/>
    <w:rsid w:val="52603083"/>
    <w:rsid w:val="553E78F3"/>
    <w:rsid w:val="63044B46"/>
    <w:rsid w:val="70A56CAF"/>
    <w:rsid w:val="7B946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ind w:left="200" w:leftChars="200"/>
    </w:pPr>
    <w:rPr>
      <w:rFonts w:ascii="Calibri" w:hAnsi="Calibri" w:eastAsia="宋体"/>
      <w:color w:val="000000"/>
      <w:sz w:val="21"/>
      <w:szCs w:val="24"/>
      <w:lang w:val="en-US" w:eastAsia="zh-CN" w:bidi="ar-SA"/>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List"/>
    <w:basedOn w:val="1"/>
    <w:unhideWhenUsed/>
    <w:qFormat/>
    <w:uiPriority w:val="99"/>
    <w:pPr>
      <w:spacing w:before="100" w:beforeAutospacing="1" w:after="100" w:afterAutospacing="1"/>
      <w:ind w:left="200" w:hanging="200" w:hangingChars="200"/>
      <w:contextualSpacing/>
    </w:p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w:basedOn w:val="3"/>
    <w:qFormat/>
    <w:uiPriority w:val="0"/>
    <w:pPr>
      <w:spacing w:after="0"/>
      <w:ind w:firstLine="420" w:firstLineChars="100"/>
    </w:pPr>
    <w:rPr>
      <w:rFonts w:eastAsia="仿宋_GB2312"/>
      <w:sz w:val="32"/>
    </w:rPr>
  </w:style>
  <w:style w:type="paragraph" w:styleId="10">
    <w:name w:val="Body Text First Indent 2"/>
    <w:basedOn w:val="1"/>
    <w:next w:val="1"/>
    <w:qFormat/>
    <w:uiPriority w:val="0"/>
    <w:pPr>
      <w:ind w:firstLine="200" w:firstLineChars="200"/>
    </w:pPr>
    <w:rPr>
      <w:kern w:val="2"/>
    </w:rPr>
  </w:style>
  <w:style w:type="character" w:customStyle="1" w:styleId="13">
    <w:name w:val="页眉 Char"/>
    <w:basedOn w:val="12"/>
    <w:link w:val="6"/>
    <w:qFormat/>
    <w:uiPriority w:val="0"/>
    <w:rPr>
      <w:kern w:val="2"/>
      <w:sz w:val="18"/>
      <w:szCs w:val="18"/>
    </w:rPr>
  </w:style>
  <w:style w:type="character" w:customStyle="1" w:styleId="14">
    <w:name w:val="页脚 Char"/>
    <w:basedOn w:val="12"/>
    <w:link w:val="5"/>
    <w:qFormat/>
    <w:uiPriority w:val="0"/>
    <w:rPr>
      <w:kern w:val="2"/>
      <w:sz w:val="18"/>
      <w:szCs w:val="18"/>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1604</Words>
  <Characters>1669</Characters>
  <Lines>4</Lines>
  <Paragraphs>1</Paragraphs>
  <TotalTime>1</TotalTime>
  <ScaleCrop>false</ScaleCrop>
  <LinksUpToDate>false</LinksUpToDate>
  <CharactersWithSpaces>1739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2021-04-28T08:03:00Z</dcterms:created>
  <dc:creator>user</dc:creator>
  <cp:lastModifiedBy>fenfen</cp:lastModifiedBy>
  <dcterms:modified xsi:type="dcterms:W3CDTF">2022-10-10T07:57:44Z</dcterms:modified>
  <dc:title>一、中国人民政治协商会议南昌市青云谱区委员会第88号提案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97D929D069BF41D8911C905348ADA1C6</vt:lpwstr>
  </property>
</Properties>
</file>