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青民提案字〔202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分类：A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对区政协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宋体" w:eastAsia="方正小标宋简体"/>
          <w:sz w:val="44"/>
          <w:szCs w:val="44"/>
        </w:rPr>
        <w:t>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79</w:t>
      </w:r>
      <w:r>
        <w:rPr>
          <w:rFonts w:hint="eastAsia" w:ascii="方正小标宋简体" w:hAnsi="宋体" w:eastAsia="方正小标宋简体"/>
          <w:sz w:val="44"/>
          <w:szCs w:val="44"/>
        </w:rPr>
        <w:t>号提案的答复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姜诺委员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您提出的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“关于对空巢老人加强关爱”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的建议收悉，现答复如下：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空巢</w:t>
      </w:r>
      <w:r>
        <w:rPr>
          <w:rFonts w:hint="eastAsia" w:ascii="仿宋_GB2312" w:hAnsi="仿宋_GB2312" w:eastAsia="仿宋_GB2312" w:cs="仿宋_GB2312"/>
          <w:sz w:val="32"/>
          <w:szCs w:val="32"/>
        </w:rPr>
        <w:t>老人的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关爱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问题一直以来都是民政工作关注的重点，为有效解决包括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空巢</w:t>
      </w:r>
      <w:r>
        <w:rPr>
          <w:rFonts w:hint="eastAsia" w:ascii="仿宋_GB2312" w:hAnsi="仿宋_GB2312" w:eastAsia="仿宋_GB2312" w:cs="仿宋_GB2312"/>
          <w:sz w:val="32"/>
          <w:szCs w:val="32"/>
        </w:rPr>
        <w:t>老人等在内的养老需求迫切的老年人切身问题，我区针对该问题采取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一系列措施。</w:t>
      </w:r>
    </w:p>
    <w:p>
      <w:pPr>
        <w:ind w:firstLine="630" w:firstLineChars="196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青云谱区下辖五个街道、一个镇和一个新经济产业集聚区，根据第七次全国人口普查数据，我区常住人口共349074人，60岁及以上人口为69358人，占总人口的19.87%。全区各类养老服务设施达到49家，（其中养老机构4家、居家养老服务中心29家、农村颐养之家11家、社区嵌入式养老院5家）全区养老床位1700余张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对居家养老服务的投入从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450万元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1800万元，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再到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2021年总投资近亿元打造居家养老站点在内的社区邻里中心；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每年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预算157万元用于为经济困难高龄、失能等老年人购买居家养老服务，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年均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投入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万元用于发放高龄老人生活补贴，全区投入养老服务体系建设的资金逐年增加。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4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二、主要做法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4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（一）加快推进居家养老服务设施建设</w:t>
      </w:r>
    </w:p>
    <w:p>
      <w:pPr>
        <w:ind w:firstLine="640" w:firstLineChars="200"/>
        <w:rPr>
          <w:rStyle w:val="1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加快构建居家养老服务网络，我区依托邻里中心建设，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结合城市建管十大提升行动、老旧小区改造等项目，整合多方资源，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加快推进今年全区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居家养老站点和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嵌入式养老院建设。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领导重视，扩宽资金渠道。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区委区政府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高度重视养老服务设施建设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</w:rPr>
        <w:t>，形成了高位推动效应，将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社区邻里中心建设纳入老旧小区改造项目，从上级转移支付的老旧小区改造经费中解决“大头”建设资金，预计投入改造经费1.2亿元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，所有项目年底前可完工；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争取支持，扩展场地面积。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共驻共建机制，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与驻区单位主动对接、积极协调，得到了驻区省直和市直单位的大力支持，省大成国资公司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市城投集团等市直单位、市属企业，向5个社区无偿提供了近5000平方米的活动场所；区资产公司、国投集团、住建局向4个社区无偿提供了近2000平方米的活动场所。</w:t>
      </w:r>
      <w:r>
        <w:rPr>
          <w:rStyle w:val="1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4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（二）集中力量做好民生实事重点工作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我区切实做好各项民生实事，确保基本养老服务无缺项，不断提高老年人的获得感、幸福感和满意度。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一是精准摸底，严格履行程序。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为提高资金使用效率，我区对符合条件的老年人进行全面摸底并精准测算资金，对“政府为五类人群购买居家养老服务采购项目”和“政府为80周岁以上老年人购买养老服务项目”进行公开招标，两项服务中标价分别为173.8万元和338万元，服务方式采取“按需点单”，为老年人提供9大类41项可选服务，整个服务过程实行全程监管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二是暖心服务，提升服务水平。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为消除老年人居家生活的安全隐患，提升老年人的幸福感，我区对老年人的生理特点和家居环境进行评估，实行“一户一案”，通过施工改造、设施配置、辅具适配等方式等，为290名经济困难、高龄老人进行了家庭适老化改造，增加老年人居家生活的安全性、舒适性和便利性，《新闻联播》头条和《人民日报》均对我区适老化改造工作进行了报道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三是认真部署，稳步推进家庭养老床位试点工作。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家庭养老照护床位试点工作是为长期居住在本辖区内，具有本地户籍的60周岁及以上分散供养特困、低保、失独、低收入家庭、支出型困难家庭等困难老年人中经评估为轻度、中度或重度失能的老年人建设家庭养老床位,经评定全区达到建床要求的有231人。目前家庭养老床位工作正在有序开展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Chars="4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（三）大力提升养老服务机构服务水平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一是多措并举，建立养老服务人员培训激励机制。我区通过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加强培训、以赛促学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关爱人才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等方式，显著提高养老护理员服务能力水平。举办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青云谱区养老机构护理员技能培训班，培训50名护理员，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区财政为3名符合条件的养老服务人才进行奖补，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鼓励更多专业人才投身养老服务业；二是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严格督查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、开展跨部门常态化协同监管。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区民政局、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区市管局、区消防大队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区应急局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对各养老机构消防安全及食品安全进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多次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共查处消防安全隐患6处，食品安隐患8处，当场整改12处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，限期整改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2处，现已全部整改到位。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我区将继续推进各类为老服务、加快养老机构和居家养老站点建设、提升全区的养老服务水平，同时大力弘扬敬老爱老孝老的传统文化美德，在全区营造良好的敬老爱老氛围，提升空巢老人的幸福感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方正小标宋简体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附件：委员提案办理情况征询意见表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抄送：区政府办公室，区政协提案委员会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联系单位及电话：青云谱区民政局  88462681</w:t>
      </w:r>
    </w:p>
    <w:p>
      <w:pPr>
        <w:rPr>
          <w:rFonts w:hint="eastAsia" w:ascii="仿宋_GB2312" w:hAnsi="仿宋" w:eastAsia="仿宋_GB2312" w:cs="方正小标宋简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邮政编码：330001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kNDgyMmFhNjljYzg2YWIzZTE0YTA5YzRmNWVhYWIifQ=="/>
  </w:docVars>
  <w:rsids>
    <w:rsidRoot w:val="007900BC"/>
    <w:rsid w:val="0008797C"/>
    <w:rsid w:val="0009220E"/>
    <w:rsid w:val="000971EA"/>
    <w:rsid w:val="00156710"/>
    <w:rsid w:val="00181ED5"/>
    <w:rsid w:val="00185831"/>
    <w:rsid w:val="001A0F8C"/>
    <w:rsid w:val="001C6F4B"/>
    <w:rsid w:val="002B0A92"/>
    <w:rsid w:val="002F58A0"/>
    <w:rsid w:val="00350056"/>
    <w:rsid w:val="003A7F7C"/>
    <w:rsid w:val="003C0806"/>
    <w:rsid w:val="003F7DA6"/>
    <w:rsid w:val="004029F7"/>
    <w:rsid w:val="0041506D"/>
    <w:rsid w:val="004654C0"/>
    <w:rsid w:val="00467FF1"/>
    <w:rsid w:val="004E72BF"/>
    <w:rsid w:val="006D68CA"/>
    <w:rsid w:val="00745D84"/>
    <w:rsid w:val="007900BC"/>
    <w:rsid w:val="008371C3"/>
    <w:rsid w:val="00891438"/>
    <w:rsid w:val="008E7DAE"/>
    <w:rsid w:val="00967687"/>
    <w:rsid w:val="009A2F7E"/>
    <w:rsid w:val="00A1051D"/>
    <w:rsid w:val="00AF26B6"/>
    <w:rsid w:val="00C1054E"/>
    <w:rsid w:val="00D57CD2"/>
    <w:rsid w:val="00DA098F"/>
    <w:rsid w:val="00E8027B"/>
    <w:rsid w:val="00FC3973"/>
    <w:rsid w:val="0F051D6A"/>
    <w:rsid w:val="0FC76B54"/>
    <w:rsid w:val="17FB3777"/>
    <w:rsid w:val="1E432C32"/>
    <w:rsid w:val="22613689"/>
    <w:rsid w:val="39442297"/>
    <w:rsid w:val="428D1912"/>
    <w:rsid w:val="4689539C"/>
    <w:rsid w:val="52603083"/>
    <w:rsid w:val="553E78F3"/>
    <w:rsid w:val="63044B46"/>
    <w:rsid w:val="7B9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 w:afterLines="0"/>
      <w:ind w:left="200" w:leftChars="200"/>
    </w:pPr>
    <w:rPr>
      <w:rFonts w:ascii="Calibri" w:hAnsi="Calibri" w:eastAsia="宋体"/>
      <w:color w:val="000000"/>
      <w:sz w:val="21"/>
      <w:szCs w:val="24"/>
      <w:lang w:val="en-US" w:eastAsia="zh-CN" w:bidi="ar-SA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spacing w:after="0"/>
      <w:ind w:firstLine="420" w:firstLineChars="100"/>
    </w:pPr>
    <w:rPr>
      <w:rFonts w:eastAsia="仿宋_GB2312"/>
      <w:sz w:val="32"/>
    </w:rPr>
  </w:style>
  <w:style w:type="paragraph" w:styleId="10">
    <w:name w:val="Body Text First Indent 2"/>
    <w:basedOn w:val="1"/>
    <w:next w:val="1"/>
    <w:qFormat/>
    <w:uiPriority w:val="0"/>
    <w:pPr>
      <w:ind w:firstLine="200" w:firstLineChars="200"/>
    </w:pPr>
    <w:rPr>
      <w:kern w:val="2"/>
    </w:rPr>
  </w:style>
  <w:style w:type="character" w:customStyle="1" w:styleId="13">
    <w:name w:val="页眉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367</Words>
  <Characters>395</Characters>
  <Lines>4</Lines>
  <Paragraphs>1</Paragraphs>
  <TotalTime>1</TotalTime>
  <ScaleCrop>false</ScaleCrop>
  <LinksUpToDate>false</LinksUpToDate>
  <CharactersWithSpaces>443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2021-04-28T08:03:00Z</dcterms:created>
  <dc:creator>user</dc:creator>
  <cp:lastModifiedBy>Administrator</cp:lastModifiedBy>
  <dcterms:modified xsi:type="dcterms:W3CDTF">2022-07-05T02:08:15Z</dcterms:modified>
  <dc:title>一、中国人民政治协商会议南昌市青云谱区委员会第88号提案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97D929D069BF41D8911C905348ADA1C6</vt:lpwstr>
  </property>
</Properties>
</file>