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after="0" w:line="1200" w:lineRule="exact"/>
        <w:jc w:val="center"/>
        <w:rPr>
          <w:rFonts w:hint="eastAsia" w:ascii="方正小标宋简体" w:eastAsia="方正小标宋简体"/>
          <w:color w:val="FF0000"/>
          <w:w w:val="60"/>
          <w:sz w:val="72"/>
          <w:szCs w:val="72"/>
        </w:rPr>
      </w:pPr>
      <w:r>
        <w:rPr>
          <w:rFonts w:hint="eastAsia" w:ascii="方正小标宋简体" w:eastAsia="方正小标宋简体"/>
          <w:color w:val="FF0000"/>
          <w:w w:val="60"/>
          <w:sz w:val="72"/>
          <w:szCs w:val="72"/>
        </w:rPr>
        <w:t>青云谱区</w:t>
      </w:r>
      <w:r>
        <w:rPr>
          <w:rFonts w:hint="eastAsia" w:ascii="方正小标宋简体" w:eastAsia="方正小标宋简体"/>
          <w:color w:val="FF0000"/>
          <w:w w:val="60"/>
          <w:sz w:val="72"/>
          <w:szCs w:val="72"/>
          <w:lang w:eastAsia="zh-CN"/>
        </w:rPr>
        <w:t>城市管理和综合执法局</w:t>
      </w:r>
    </w:p>
    <w:p>
      <w:pPr>
        <w:snapToGrid w:val="0"/>
        <w:spacing w:line="72" w:lineRule="auto"/>
        <w:rPr>
          <w:rFonts w:hint="eastAsia"/>
          <w:bCs/>
          <w:color w:val="auto"/>
          <w:spacing w:val="-20"/>
          <w:szCs w:val="32"/>
          <w:u w:val="double" w:color="FF0000"/>
          <w14:textOutline w14:w="15875" w14:cmpd="dbl">
            <w14:solidFill>
              <w14:srgbClr w14:val="FF0000">
                <w14:alpha w14:val="0"/>
              </w14:srgbClr>
            </w14:solidFill>
            <w14:prstDash w14:val="solid"/>
            <w14:round/>
          </w14:textOutline>
        </w:rPr>
      </w:pPr>
      <w:r>
        <w:rPr>
          <w:rFonts w:hint="eastAsia"/>
          <w:color w:val="auto"/>
          <w:sz w:val="21"/>
          <w:u w:val="double" w:color="FF0000"/>
          <w:lang w:val="en-US" w:eastAsia="zh-CN"/>
          <w14:textOutline w14:w="15875" w14:cmpd="dbl">
            <w14:solidFill>
              <w14:srgbClr w14:val="FF0000">
                <w14:alpha w14:val="0"/>
              </w14:srgbClr>
            </w14:solidFill>
            <w14:prstDash w14:val="solid"/>
            <w14:round/>
          </w14:textOutline>
        </w:rPr>
        <w:t xml:space="preserve">                                                                              </w:t>
      </w:r>
      <w:r>
        <w:rPr>
          <w:color w:val="auto"/>
          <w:kern w:val="0"/>
          <w:sz w:val="44"/>
          <w:szCs w:val="44"/>
          <w:u w:val="double" w:color="FF0000"/>
          <w14:textOutline w14:w="15875" w14:cmpd="dbl">
            <w14:solidFill>
              <w14:srgbClr w14:val="FF0000">
                <w14:alpha w14:val="0"/>
              </w14:srgbClr>
            </w14:solidFill>
            <w14:prstDash w14:val="solid"/>
            <w14:round/>
          </w14:textOutline>
        </w:rPr>
        <w:t xml:space="preserve">                              </w:t>
      </w:r>
    </w:p>
    <w:p>
      <w:pPr>
        <w:jc w:val="center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  <w:lang w:eastAsia="zh-CN"/>
        </w:rPr>
        <w:t>青管案</w:t>
      </w:r>
      <w:r>
        <w:rPr>
          <w:rFonts w:eastAsia="仿宋_GB2312"/>
          <w:color w:val="000000"/>
          <w:sz w:val="32"/>
          <w:szCs w:val="32"/>
        </w:rPr>
        <w:t>字〔20</w:t>
      </w:r>
      <w:r>
        <w:rPr>
          <w:rFonts w:hint="eastAsia" w:eastAsia="仿宋_GB2312"/>
          <w:color w:val="000000"/>
          <w:sz w:val="32"/>
          <w:szCs w:val="32"/>
        </w:rPr>
        <w:t>2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2</w:t>
      </w:r>
      <w:r>
        <w:rPr>
          <w:rFonts w:eastAsia="仿宋_GB2312"/>
          <w:color w:val="000000"/>
          <w:sz w:val="32"/>
          <w:szCs w:val="32"/>
        </w:rPr>
        <w:t>〕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4</w:t>
      </w:r>
      <w:r>
        <w:rPr>
          <w:rFonts w:eastAsia="仿宋_GB2312"/>
          <w:color w:val="000000"/>
          <w:sz w:val="32"/>
          <w:szCs w:val="32"/>
        </w:rPr>
        <w:t>号</w:t>
      </w:r>
    </w:p>
    <w:p>
      <w:pPr>
        <w:jc w:val="right"/>
        <w:rPr>
          <w:rFonts w:hint="default" w:eastAsia="仿宋_GB2312"/>
          <w:color w:val="000000"/>
          <w:sz w:val="32"/>
          <w:szCs w:val="32"/>
          <w:lang w:val="en-US" w:eastAsia="zh-CN"/>
        </w:rPr>
      </w:pPr>
      <w:r>
        <w:rPr>
          <w:rFonts w:eastAsia="仿宋_GB2312"/>
          <w:color w:val="000000"/>
          <w:sz w:val="32"/>
          <w:szCs w:val="32"/>
        </w:rPr>
        <w:t>分类：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A1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b/>
          <w:color w:val="00000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>对</w:t>
      </w:r>
      <w:bookmarkStart w:id="0" w:name="_GoBack"/>
      <w:r>
        <w:rPr>
          <w:b/>
          <w:color w:val="000000"/>
          <w:sz w:val="44"/>
          <w:szCs w:val="44"/>
        </w:rPr>
        <w:t>区</w:t>
      </w:r>
      <w:r>
        <w:rPr>
          <w:rFonts w:hint="eastAsia"/>
          <w:b/>
          <w:color w:val="000000"/>
          <w:sz w:val="44"/>
          <w:szCs w:val="44"/>
          <w:lang w:eastAsia="zh-CN"/>
        </w:rPr>
        <w:t>政协十届二次会议</w:t>
      </w:r>
      <w:r>
        <w:rPr>
          <w:b/>
          <w:color w:val="000000"/>
          <w:sz w:val="44"/>
          <w:szCs w:val="44"/>
        </w:rPr>
        <w:t>第</w:t>
      </w:r>
      <w:r>
        <w:rPr>
          <w:rFonts w:hint="eastAsia"/>
          <w:b/>
          <w:color w:val="000000"/>
          <w:sz w:val="44"/>
          <w:szCs w:val="44"/>
          <w:lang w:val="en-US" w:eastAsia="zh-CN"/>
        </w:rPr>
        <w:t>68</w:t>
      </w:r>
      <w:r>
        <w:rPr>
          <w:b/>
          <w:color w:val="000000"/>
          <w:sz w:val="44"/>
          <w:szCs w:val="44"/>
        </w:rPr>
        <w:t>号</w:t>
      </w:r>
      <w:r>
        <w:rPr>
          <w:rFonts w:hint="eastAsia"/>
          <w:b/>
          <w:color w:val="000000"/>
          <w:sz w:val="44"/>
          <w:szCs w:val="44"/>
          <w:lang w:eastAsia="zh-CN"/>
        </w:rPr>
        <w:t>提案</w:t>
      </w:r>
      <w:r>
        <w:rPr>
          <w:b/>
          <w:color w:val="000000"/>
          <w:sz w:val="44"/>
          <w:szCs w:val="44"/>
        </w:rPr>
        <w:t>的答复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eastAsia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陈晓韬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委员：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您提出的关于利用数字化赋能，提高城市管理水平的提案收悉，现答复如下：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黑体" w:hAnsi="黑体" w:eastAsia="黑体"/>
          <w:b/>
          <w:color w:val="000000"/>
          <w:sz w:val="32"/>
          <w:szCs w:val="32"/>
        </w:rPr>
      </w:pPr>
      <w:r>
        <w:rPr>
          <w:rFonts w:hint="eastAsia" w:ascii="黑体" w:hAnsi="黑体" w:eastAsia="黑体"/>
          <w:b/>
          <w:color w:val="000000"/>
          <w:sz w:val="32"/>
          <w:szCs w:val="32"/>
        </w:rPr>
        <w:t>一、健全执法制度，完善执法程序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进一步规范权力运行监控机制,提高执法透明度和公正性,推进依法行政,我局根据上级有关要求，结合我区实际制定了《行政执法公示制度、行政执法全过程记录规定和重大案件集体讨论制度》等三项制度，聚焦行政执法的源头、过程、结果等关键环节，着力推进行政执法透明、规范、合法、公正。我局按照“谁执法谁公示”的原则，明确公示内容的采集、传递、审核、发布职责，规范信息公示内容的标准、格式，及时通过政府网站及政务新媒体、办事大厅公示栏、服务窗口等平台向社会公开行政执法基本信息、结果信息。我局通过文字、音像等记录形式，对行政执法的启动、调查取证、审核决定、送达执行等全部过程进行记录，并全面系统归档保存，做到执法全过程留痕和可回溯管理。我局在作出重大执法决定前，严格进行法制审核，未经法制审核或者审核未通过的，不得作出决定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黑体" w:hAnsi="黑体" w:eastAsia="黑体"/>
          <w:b/>
          <w:color w:val="000000"/>
          <w:sz w:val="32"/>
          <w:szCs w:val="32"/>
        </w:rPr>
      </w:pPr>
      <w:r>
        <w:rPr>
          <w:rFonts w:hint="eastAsia" w:ascii="黑体" w:hAnsi="黑体" w:eastAsia="黑体"/>
          <w:b/>
          <w:color w:val="000000"/>
          <w:sz w:val="32"/>
          <w:szCs w:val="32"/>
        </w:rPr>
        <w:t>二、强化数据治理，提升执法效率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实时管控部分重点路段的建筑渣土车辆道路运输情况，切实做好道路扬尘控制工作，防止建筑渣土车辆带泥上路、沿途沙漏等违法行为，我局在我区部分工地集中路段设置了城市管理移动执法岗亭，采用“人防+技防”对建筑垃圾运输车辆及施工工地进行巡查，全过程规范化监管。对接卫星定位系统，结合互联网大数据对施工工地、办证车辆、处置场地和未办证车辆实时监管和远程监控。每个执法岗亭配置远程无线高清摄像头，整合到我区沿线摄像系统中，可通过电脑实时查看摄像区域周边情况，并对执法人员执勤中的部分工作动态实现全程监控，做到有据可查。今年已录入工地9个、运输企业5个、运输车辆117个、装修垃圾车辆15辆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黑体" w:hAnsi="黑体" w:eastAsia="黑体"/>
          <w:b/>
          <w:color w:val="000000"/>
          <w:sz w:val="32"/>
          <w:szCs w:val="32"/>
        </w:rPr>
      </w:pPr>
      <w:r>
        <w:rPr>
          <w:rFonts w:hint="eastAsia" w:ascii="黑体" w:hAnsi="黑体" w:eastAsia="黑体"/>
          <w:b/>
          <w:color w:val="000000"/>
          <w:sz w:val="32"/>
          <w:szCs w:val="32"/>
        </w:rPr>
        <w:t>三、深化“放管服”改革，落实“互联网+政务服务”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我区财政票据和非税收入收缴电子一体化管理改革要求，我局全面推进非税收入收缴管理系统建设。在不突破“罚缴分离”的原则基础上，遵循“安全、统一、高效、环保、便民”的原则，实现了云支付。通过对接省政府“政务服务网”和“赣服通”，开通了银行柜面、企业网银、个人网银、自助缴款设备、银行网关支付、聚合支付、支付宝等资金收缴渠道，大大便利了缴款人，同时开设了政策查询、电子支付、票据真伪查验和票据入账认证等相关服务，切实保障了公众权益，提高了公共服务水平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下一步，我局将继续立足本职、发散思维、开拓进取、勇于创新，争取上级的更大支持，依托数字化先进技术为城市管理增添动能。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感谢您对我局工作的支持和关心！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eastAsia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</w:pPr>
      <w:r>
        <w:rPr>
          <w:rFonts w:eastAsia="仿宋_GB2312"/>
          <w:color w:val="000000"/>
          <w:sz w:val="32"/>
          <w:szCs w:val="32"/>
        </w:rPr>
        <w:t>附件：委员提案办理情况征询意见表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eastAsia="仿宋_GB2312"/>
          <w:color w:val="000000"/>
          <w:sz w:val="32"/>
          <w:szCs w:val="32"/>
          <w:lang w:eastAsia="zh-CN"/>
        </w:rPr>
      </w:pPr>
      <w:r>
        <w:rPr>
          <w:rFonts w:hint="eastAsia" w:eastAsia="仿宋_GB2312"/>
          <w:color w:val="000000"/>
          <w:sz w:val="32"/>
          <w:szCs w:val="32"/>
          <w:lang w:eastAsia="zh-CN"/>
        </w:rPr>
        <w:t>青云谱区城管和执法局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</w:pPr>
      <w:r>
        <w:rPr>
          <w:rFonts w:hint="eastAsia" w:eastAsia="仿宋_GB2312"/>
          <w:color w:val="000000"/>
          <w:sz w:val="32"/>
          <w:szCs w:val="32"/>
          <w:lang w:val="en-US" w:eastAsia="zh-CN"/>
        </w:rPr>
        <w:t xml:space="preserve">                                 </w:t>
      </w:r>
      <w:r>
        <w:rPr>
          <w:rFonts w:eastAsia="仿宋_GB2312"/>
          <w:color w:val="000000"/>
          <w:sz w:val="32"/>
          <w:szCs w:val="32"/>
        </w:rPr>
        <w:t>20</w:t>
      </w:r>
      <w:r>
        <w:rPr>
          <w:rFonts w:hint="eastAsia" w:eastAsia="仿宋_GB2312"/>
          <w:color w:val="000000"/>
          <w:sz w:val="32"/>
          <w:szCs w:val="32"/>
        </w:rPr>
        <w:t>2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2</w:t>
      </w:r>
      <w:r>
        <w:rPr>
          <w:rFonts w:eastAsia="仿宋_GB2312"/>
          <w:color w:val="000000"/>
          <w:sz w:val="32"/>
          <w:szCs w:val="32"/>
        </w:rPr>
        <w:t>年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7</w:t>
      </w:r>
      <w:r>
        <w:rPr>
          <w:rFonts w:eastAsia="仿宋_GB2312"/>
          <w:color w:val="000000"/>
          <w:sz w:val="32"/>
          <w:szCs w:val="32"/>
        </w:rPr>
        <w:t>月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27</w:t>
      </w:r>
      <w:r>
        <w:rPr>
          <w:rFonts w:eastAsia="仿宋_GB2312"/>
          <w:color w:val="000000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eastAsia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eastAsia="仿宋_GB2312"/>
          <w:color w:val="000000"/>
          <w:sz w:val="32"/>
          <w:szCs w:val="32"/>
          <w:lang w:eastAsia="zh-CN"/>
        </w:rPr>
      </w:pPr>
      <w:r>
        <w:rPr>
          <w:rFonts w:eastAsia="仿宋_GB2312"/>
          <w:color w:val="000000"/>
          <w:sz w:val="32"/>
          <w:szCs w:val="32"/>
        </w:rPr>
        <w:t>抄送：区政府办公室，区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政协提案委员会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eastAsia="仿宋_GB2312"/>
          <w:color w:val="000000"/>
          <w:sz w:val="32"/>
          <w:szCs w:val="32"/>
          <w:lang w:val="en-US" w:eastAsia="zh-CN"/>
        </w:rPr>
      </w:pPr>
      <w:r>
        <w:rPr>
          <w:rFonts w:eastAsia="仿宋_GB2312"/>
          <w:color w:val="000000"/>
          <w:sz w:val="32"/>
          <w:szCs w:val="32"/>
        </w:rPr>
        <w:t>联系单位及电话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：青云谱区城管和执法局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 xml:space="preserve">  88461753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  <w:r>
        <w:rPr>
          <w:rFonts w:eastAsia="仿宋_GB2312"/>
          <w:color w:val="000000"/>
          <w:sz w:val="32"/>
          <w:szCs w:val="32"/>
        </w:rPr>
        <w:t>邮政编码：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330001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JkOTA0ODc2OWEwZDY0OTU3ZDc0NWI1MzRhOTBhZDgifQ=="/>
  </w:docVars>
  <w:rsids>
    <w:rsidRoot w:val="6E95412F"/>
    <w:rsid w:val="6E954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Cs w:val="32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4"/>
    <w:qFormat/>
    <w:uiPriority w:val="0"/>
    <w:pPr>
      <w:spacing w:after="120"/>
    </w:pPr>
  </w:style>
  <w:style w:type="paragraph" w:customStyle="1" w:styleId="4">
    <w:name w:val="引用1"/>
    <w:next w:val="1"/>
    <w:qFormat/>
    <w:uiPriority w:val="0"/>
    <w:pPr>
      <w:wordWrap w:val="0"/>
      <w:spacing w:before="200" w:after="160"/>
      <w:ind w:left="864" w:right="864"/>
      <w:jc w:val="center"/>
    </w:pPr>
    <w:rPr>
      <w:rFonts w:ascii="Times New Roman" w:hAnsi="Times New Roman" w:eastAsia="宋体" w:cs="Times New Roman"/>
      <w:i/>
      <w:sz w:val="21"/>
      <w:szCs w:val="22"/>
      <w:lang w:val="en-US" w:eastAsia="zh-CN" w:bidi="ar-SA"/>
    </w:rPr>
  </w:style>
  <w:style w:type="paragraph" w:styleId="5">
    <w:name w:val="Body Text First Indent"/>
    <w:basedOn w:val="3"/>
    <w:qFormat/>
    <w:uiPriority w:val="0"/>
    <w:pPr>
      <w:ind w:firstLine="6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1149</Words>
  <Characters>1173</Characters>
  <Lines>0</Lines>
  <Paragraphs>0</Paragraphs>
  <TotalTime>9</TotalTime>
  <ScaleCrop>false</ScaleCrop>
  <LinksUpToDate>false</LinksUpToDate>
  <CharactersWithSpaces>1316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2022-07-27T08:13:00Z</dcterms:created>
  <dc:creator>Administrator</dc:creator>
  <cp:lastModifiedBy>Administrator</cp:lastModifiedBy>
  <dcterms:modified xsi:type="dcterms:W3CDTF">2022-07-27T08:23:54Z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A5FC40B01D8C4BA691A8B853113B409D</vt:lpwstr>
  </property>
</Properties>
</file>