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1200" w:lineRule="exact"/>
        <w:jc w:val="center"/>
        <w:rPr>
          <w:rFonts w:hint="eastAsia" w:ascii="方正小标宋简体" w:eastAsia="方正小标宋简体"/>
          <w:color w:val="FF0000"/>
          <w:w w:val="60"/>
          <w:sz w:val="72"/>
          <w:szCs w:val="72"/>
        </w:rPr>
      </w:pPr>
      <w:r>
        <w:rPr>
          <w:rFonts w:hint="eastAsia" w:ascii="方正小标宋简体" w:eastAsia="方正小标宋简体"/>
          <w:color w:val="FF0000"/>
          <w:w w:val="60"/>
          <w:sz w:val="72"/>
          <w:szCs w:val="72"/>
        </w:rPr>
        <w:t>青云谱区</w:t>
      </w:r>
      <w:r>
        <w:rPr>
          <w:rFonts w:hint="eastAsia" w:ascii="方正小标宋简体" w:eastAsia="方正小标宋简体"/>
          <w:color w:val="FF0000"/>
          <w:w w:val="60"/>
          <w:sz w:val="72"/>
          <w:szCs w:val="72"/>
          <w:lang w:eastAsia="zh-CN"/>
        </w:rPr>
        <w:t>城市管理和综合执法局</w:t>
      </w:r>
    </w:p>
    <w:p>
      <w:pPr>
        <w:snapToGrid w:val="0"/>
        <w:spacing w:line="72" w:lineRule="auto"/>
        <w:rPr>
          <w:rFonts w:hint="eastAsia"/>
          <w:bCs/>
          <w:color w:val="auto"/>
          <w:spacing w:val="-20"/>
          <w:szCs w:val="32"/>
          <w:u w:val="double" w:color="FF0000"/>
          <w14:textOutline w14:w="15875" w14:cmpd="dbl">
            <w14:solidFill>
              <w14:srgbClr w14:val="FF0000">
                <w14:alpha w14:val="0"/>
              </w14:srgbClr>
            </w14:solidFill>
            <w14:prstDash w14:val="solid"/>
            <w14:round/>
          </w14:textOutline>
        </w:rPr>
      </w:pPr>
      <w:r>
        <w:rPr>
          <w:rFonts w:hint="eastAsia"/>
          <w:color w:val="auto"/>
          <w:sz w:val="21"/>
          <w:u w:val="double" w:color="FF0000"/>
          <w:lang w:val="en-US" w:eastAsia="zh-CN"/>
          <w14:textOutline w14:w="15875" w14:cmpd="dbl">
            <w14:solidFill>
              <w14:srgbClr w14:val="FF0000">
                <w14:alpha w14:val="0"/>
              </w14:srgbClr>
            </w14:solidFill>
            <w14:prstDash w14:val="solid"/>
            <w14:round/>
          </w14:textOutline>
        </w:rPr>
        <w:t xml:space="preserve">                                                                              </w:t>
      </w:r>
      <w:r>
        <w:rPr>
          <w:color w:val="auto"/>
          <w:kern w:val="0"/>
          <w:sz w:val="44"/>
          <w:szCs w:val="44"/>
          <w:u w:val="double" w:color="FF0000"/>
          <w14:textOutline w14:w="15875" w14:cmpd="dbl">
            <w14:solidFill>
              <w14:srgbClr w14:val="FF0000">
                <w14:alpha w14:val="0"/>
              </w14:srgbClr>
            </w14:solidFill>
            <w14:prstDash w14:val="solid"/>
            <w14:round/>
          </w14:textOutline>
        </w:rPr>
        <w:t xml:space="preserve">                              </w:t>
      </w:r>
    </w:p>
    <w:p>
      <w:pPr>
        <w:jc w:val="center"/>
        <w:rPr>
          <w:rFonts w:eastAsia="仿宋_GB2312"/>
          <w:color w:val="000000"/>
          <w:sz w:val="32"/>
          <w:szCs w:val="32"/>
        </w:rPr>
      </w:pPr>
      <w:r>
        <w:rPr>
          <w:rFonts w:hint="eastAsia" w:eastAsia="仿宋_GB2312"/>
          <w:color w:val="000000"/>
          <w:sz w:val="32"/>
          <w:szCs w:val="32"/>
          <w:lang w:eastAsia="zh-CN"/>
        </w:rPr>
        <w:t>青管</w:t>
      </w:r>
      <w:r>
        <w:rPr>
          <w:rFonts w:eastAsia="仿宋_GB2312"/>
          <w:color w:val="000000"/>
          <w:sz w:val="32"/>
          <w:szCs w:val="32"/>
        </w:rPr>
        <w:t>建字〔20</w:t>
      </w:r>
      <w:r>
        <w:rPr>
          <w:rFonts w:hint="eastAsia" w:eastAsia="仿宋_GB2312"/>
          <w:color w:val="000000"/>
          <w:sz w:val="32"/>
          <w:szCs w:val="32"/>
        </w:rPr>
        <w:t>2</w:t>
      </w:r>
      <w:r>
        <w:rPr>
          <w:rFonts w:hint="eastAsia" w:eastAsia="仿宋_GB2312"/>
          <w:color w:val="000000"/>
          <w:sz w:val="32"/>
          <w:szCs w:val="32"/>
          <w:lang w:val="en-US" w:eastAsia="zh-CN"/>
        </w:rPr>
        <w:t>2</w:t>
      </w:r>
      <w:r>
        <w:rPr>
          <w:rFonts w:eastAsia="仿宋_GB2312"/>
          <w:color w:val="000000"/>
          <w:sz w:val="32"/>
          <w:szCs w:val="32"/>
        </w:rPr>
        <w:t>〕</w:t>
      </w:r>
      <w:r>
        <w:rPr>
          <w:rFonts w:hint="eastAsia" w:eastAsia="仿宋_GB2312"/>
          <w:color w:val="000000"/>
          <w:sz w:val="32"/>
          <w:szCs w:val="32"/>
          <w:lang w:val="en-US" w:eastAsia="zh-CN"/>
        </w:rPr>
        <w:t>1</w:t>
      </w:r>
      <w:r>
        <w:rPr>
          <w:rFonts w:eastAsia="仿宋_GB2312"/>
          <w:color w:val="000000"/>
          <w:sz w:val="32"/>
          <w:szCs w:val="32"/>
        </w:rPr>
        <w:t>号</w:t>
      </w:r>
    </w:p>
    <w:p>
      <w:pPr>
        <w:jc w:val="right"/>
        <w:rPr>
          <w:rFonts w:hint="default" w:eastAsia="仿宋_GB2312"/>
          <w:color w:val="000000"/>
          <w:sz w:val="32"/>
          <w:szCs w:val="32"/>
          <w:lang w:val="en-US" w:eastAsia="zh-CN"/>
        </w:rPr>
      </w:pPr>
      <w:r>
        <w:rPr>
          <w:rFonts w:eastAsia="仿宋_GB2312"/>
          <w:color w:val="000000"/>
          <w:sz w:val="32"/>
          <w:szCs w:val="32"/>
        </w:rPr>
        <w:t>分类：</w:t>
      </w:r>
      <w:r>
        <w:rPr>
          <w:rFonts w:hint="eastAsia" w:eastAsia="仿宋_GB2312"/>
          <w:color w:val="000000"/>
          <w:sz w:val="32"/>
          <w:szCs w:val="32"/>
          <w:lang w:val="en-US" w:eastAsia="zh-CN"/>
        </w:rPr>
        <w:t>A1</w:t>
      </w:r>
    </w:p>
    <w:p>
      <w:pPr>
        <w:jc w:val="center"/>
        <w:rPr>
          <w:b/>
          <w:color w:val="000000"/>
          <w:sz w:val="44"/>
          <w:szCs w:val="44"/>
        </w:rPr>
      </w:pPr>
    </w:p>
    <w:p>
      <w:pPr>
        <w:jc w:val="center"/>
        <w:rPr>
          <w:b/>
          <w:color w:val="000000"/>
          <w:sz w:val="44"/>
          <w:szCs w:val="44"/>
        </w:rPr>
      </w:pPr>
      <w:r>
        <w:rPr>
          <w:b/>
          <w:color w:val="000000"/>
          <w:sz w:val="44"/>
          <w:szCs w:val="44"/>
        </w:rPr>
        <w:t>对区</w:t>
      </w:r>
      <w:r>
        <w:rPr>
          <w:rFonts w:hint="eastAsia"/>
          <w:b/>
          <w:color w:val="000000"/>
          <w:sz w:val="44"/>
          <w:szCs w:val="44"/>
          <w:lang w:eastAsia="zh-CN"/>
        </w:rPr>
        <w:t>十七</w:t>
      </w:r>
      <w:r>
        <w:rPr>
          <w:b/>
          <w:color w:val="000000"/>
          <w:sz w:val="44"/>
          <w:szCs w:val="44"/>
        </w:rPr>
        <w:t>届人大</w:t>
      </w:r>
      <w:r>
        <w:rPr>
          <w:rFonts w:hint="eastAsia"/>
          <w:b/>
          <w:color w:val="000000"/>
          <w:sz w:val="44"/>
          <w:szCs w:val="44"/>
          <w:lang w:eastAsia="zh-CN"/>
        </w:rPr>
        <w:t>二</w:t>
      </w:r>
      <w:r>
        <w:rPr>
          <w:b/>
          <w:color w:val="000000"/>
          <w:sz w:val="44"/>
          <w:szCs w:val="44"/>
        </w:rPr>
        <w:t>次会议第</w:t>
      </w:r>
      <w:r>
        <w:rPr>
          <w:rFonts w:hint="eastAsia"/>
          <w:b/>
          <w:color w:val="000000"/>
          <w:sz w:val="44"/>
          <w:szCs w:val="44"/>
          <w:lang w:val="en-US" w:eastAsia="zh-CN"/>
        </w:rPr>
        <w:t>8</w:t>
      </w:r>
      <w:r>
        <w:rPr>
          <w:b/>
          <w:color w:val="000000"/>
          <w:sz w:val="44"/>
          <w:szCs w:val="44"/>
        </w:rPr>
        <w:t>号建议的答复</w:t>
      </w:r>
    </w:p>
    <w:p>
      <w:pPr>
        <w:jc w:val="center"/>
        <w:rPr>
          <w:rFonts w:eastAsia="仿宋_GB2312"/>
          <w:color w:val="000000"/>
          <w:sz w:val="32"/>
          <w:szCs w:val="32"/>
        </w:rPr>
      </w:pPr>
    </w:p>
    <w:p>
      <w:pPr>
        <w:rPr>
          <w:rFonts w:eastAsia="仿宋_GB2312"/>
          <w:color w:val="000000"/>
          <w:sz w:val="32"/>
          <w:szCs w:val="32"/>
        </w:rPr>
      </w:pPr>
      <w:r>
        <w:rPr>
          <w:rFonts w:hint="eastAsia" w:eastAsia="仿宋_GB2312"/>
          <w:color w:val="000000"/>
          <w:sz w:val="32"/>
          <w:szCs w:val="32"/>
          <w:lang w:eastAsia="zh-CN"/>
        </w:rPr>
        <w:t>黄秋兰</w:t>
      </w:r>
      <w:r>
        <w:rPr>
          <w:rFonts w:eastAsia="仿宋_GB2312"/>
          <w:color w:val="000000"/>
          <w:sz w:val="32"/>
          <w:szCs w:val="32"/>
        </w:rPr>
        <w:t>代表：</w:t>
      </w:r>
    </w:p>
    <w:p>
      <w:pPr>
        <w:ind w:firstLine="480" w:firstLineChars="150"/>
        <w:rPr>
          <w:rFonts w:eastAsia="仿宋_GB2312"/>
          <w:color w:val="000000"/>
          <w:sz w:val="32"/>
          <w:szCs w:val="32"/>
        </w:rPr>
      </w:pPr>
      <w:r>
        <w:rPr>
          <w:rFonts w:eastAsia="仿宋_GB2312"/>
          <w:color w:val="000000"/>
          <w:sz w:val="32"/>
          <w:szCs w:val="32"/>
        </w:rPr>
        <w:t>您提出的关于</w:t>
      </w:r>
      <w:r>
        <w:rPr>
          <w:rFonts w:hint="eastAsia" w:eastAsia="仿宋_GB2312"/>
          <w:color w:val="000000"/>
          <w:sz w:val="32"/>
          <w:szCs w:val="32"/>
          <w:lang w:eastAsia="zh-CN"/>
        </w:rPr>
        <w:t>加强校园周边居民楼环境治理</w:t>
      </w:r>
      <w:r>
        <w:rPr>
          <w:rFonts w:eastAsia="仿宋_GB2312"/>
          <w:color w:val="000000"/>
          <w:sz w:val="32"/>
          <w:szCs w:val="32"/>
        </w:rPr>
        <w:t>的建议收悉，现答复如下：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color w:val="000000"/>
          <w:sz w:val="32"/>
          <w:szCs w:val="32"/>
        </w:rPr>
      </w:pPr>
      <w:r>
        <w:rPr>
          <w:rFonts w:hint="eastAsia" w:eastAsia="仿宋_GB2312"/>
          <w:color w:val="000000"/>
          <w:sz w:val="32"/>
          <w:szCs w:val="32"/>
        </w:rPr>
        <w:t>一直以来，区政府都在有序推进城市管理工作，并逐步理顺管理体制，强化管理举措，进一步规范管理。尤其是环卫市场化服务外包之后，全区各条主次干道环境卫生管理水平都有明显改善，我局作为城市管理的牵头单位，对各项具体工作也有相应的考核方案，确保全区城市管理</w:t>
      </w:r>
      <w:r>
        <w:rPr>
          <w:rFonts w:hint="eastAsia" w:eastAsia="仿宋_GB2312"/>
          <w:color w:val="000000"/>
          <w:sz w:val="32"/>
          <w:szCs w:val="32"/>
          <w:lang w:eastAsia="zh-CN"/>
        </w:rPr>
        <w:t>工作</w:t>
      </w:r>
      <w:r>
        <w:rPr>
          <w:rFonts w:hint="eastAsia" w:eastAsia="仿宋_GB2312"/>
          <w:color w:val="000000"/>
          <w:sz w:val="32"/>
          <w:szCs w:val="32"/>
        </w:rPr>
        <w:t>稳步推进。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color w:val="000000"/>
          <w:sz w:val="32"/>
          <w:szCs w:val="32"/>
        </w:rPr>
      </w:pPr>
      <w:r>
        <w:rPr>
          <w:rFonts w:hint="eastAsia" w:eastAsia="仿宋_GB2312"/>
          <w:color w:val="000000"/>
          <w:sz w:val="32"/>
          <w:szCs w:val="32"/>
        </w:rPr>
        <w:t>针对您提出的统一规划设置集中充电点，满足校园两侧居民楼里住户电动车充电需求的建议。我单位将与属地加强联系，督促属地街道全面整治私拉电线行为，协调属地街道对设置集中充电点的建议进行研究，在条件允许的情况下统一规划设置集中充电点，满足校园两侧居民楼里住户电动车充电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color w:val="000000"/>
          <w:sz w:val="32"/>
          <w:szCs w:val="32"/>
        </w:rPr>
      </w:pPr>
      <w:r>
        <w:rPr>
          <w:rFonts w:hint="eastAsia" w:eastAsia="仿宋_GB2312"/>
          <w:color w:val="000000"/>
          <w:sz w:val="32"/>
          <w:szCs w:val="32"/>
        </w:rPr>
        <w:t>针对您提出的广泛宣传，增强群众环境意识的建议，我单位将积极与属地沟通对接，充分落实街道、社区的宣传</w:t>
      </w:r>
      <w:r>
        <w:rPr>
          <w:rFonts w:hint="eastAsia" w:eastAsia="仿宋_GB2312"/>
          <w:color w:val="000000"/>
          <w:sz w:val="32"/>
          <w:szCs w:val="32"/>
          <w:lang w:eastAsia="zh-CN"/>
        </w:rPr>
        <w:t>、</w:t>
      </w:r>
      <w:r>
        <w:rPr>
          <w:rFonts w:hint="eastAsia" w:eastAsia="仿宋_GB2312"/>
          <w:color w:val="000000"/>
          <w:sz w:val="32"/>
          <w:szCs w:val="32"/>
        </w:rPr>
        <w:t>教育和管理的主体责任。发动居民群众参与到环境卫生治理行动中来，及时制止楼上乱抛垃圾等不文明行为。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color w:val="000000"/>
          <w:sz w:val="32"/>
          <w:szCs w:val="32"/>
        </w:rPr>
      </w:pPr>
      <w:r>
        <w:rPr>
          <w:rFonts w:hint="eastAsia" w:eastAsia="仿宋_GB2312"/>
          <w:color w:val="000000"/>
          <w:sz w:val="32"/>
          <w:szCs w:val="32"/>
        </w:rPr>
        <w:t>针对您提出的在健全保洁员管理的同时加强对一楼商户日常管理，与商户签订责任状，各自负责自己门前的环境卫生及规范管理的建议。一直以来，南昌市针对门前责任制工作就有较规范的制度和模式，近年来，我单位结合《南昌市深化创建全国文明城市门前管理责任制工作方案》，扎实推进门前管理责任制落实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color w:val="000000"/>
          <w:sz w:val="32"/>
          <w:szCs w:val="32"/>
          <w:lang w:eastAsia="zh-CN"/>
        </w:rPr>
      </w:pPr>
      <w:r>
        <w:rPr>
          <w:rFonts w:hint="eastAsia" w:eastAsia="仿宋_GB2312"/>
          <w:b/>
          <w:bCs/>
          <w:color w:val="000000"/>
          <w:sz w:val="32"/>
          <w:szCs w:val="32"/>
        </w:rPr>
        <w:t>一是积极做好宣传工作。</w:t>
      </w:r>
      <w:r>
        <w:rPr>
          <w:rFonts w:hint="eastAsia" w:eastAsia="仿宋_GB2312"/>
          <w:color w:val="000000"/>
          <w:sz w:val="32"/>
          <w:szCs w:val="32"/>
        </w:rPr>
        <w:t>我单位投入近20万元印制临街单位（经营业主）承诺书、标志标识和《致广大经营业主的一封公开信》，由各街道、镇、集聚区、梅湖景区环卫和执法部门联合上门宣传，与商家面对面宣传讲解，向其重申“门前管理责任制”责任书的意义及自身应履行的责任，告知他们在平时的经营过程中，务必严格遵守“门前管理责任制”的相关规定，文明经营。</w:t>
      </w:r>
      <w:r>
        <w:rPr>
          <w:rFonts w:hint="eastAsia" w:eastAsia="仿宋_GB2312"/>
          <w:color w:val="000000"/>
          <w:sz w:val="32"/>
          <w:szCs w:val="32"/>
          <w:lang w:eastAsia="zh-CN"/>
        </w:rPr>
        <w:t>截至</w:t>
      </w:r>
      <w:r>
        <w:rPr>
          <w:rFonts w:hint="eastAsia" w:eastAsia="仿宋_GB2312"/>
          <w:color w:val="000000"/>
          <w:sz w:val="32"/>
          <w:szCs w:val="32"/>
        </w:rPr>
        <w:t>目前，共与临街店面签订《南昌市城区临街门前管理责任制单位（经营业主）承诺书》4400余张、装订门前管理责任牌4400块、发放《致广大经营业主的一份公开信》5000余张</w:t>
      </w:r>
      <w:r>
        <w:rPr>
          <w:rFonts w:hint="eastAsia"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color w:val="000000"/>
          <w:sz w:val="32"/>
          <w:szCs w:val="32"/>
        </w:rPr>
      </w:pPr>
      <w:bookmarkStart w:id="0" w:name="_GoBack"/>
      <w:bookmarkEnd w:id="0"/>
      <w:r>
        <w:rPr>
          <w:rFonts w:hint="eastAsia" w:eastAsia="仿宋_GB2312"/>
          <w:b/>
          <w:bCs/>
          <w:color w:val="000000"/>
          <w:sz w:val="32"/>
          <w:szCs w:val="32"/>
        </w:rPr>
        <w:t>二是打造示范街区道路</w:t>
      </w:r>
      <w:r>
        <w:rPr>
          <w:rFonts w:hint="eastAsia" w:eastAsia="仿宋_GB2312"/>
          <w:b/>
          <w:bCs/>
          <w:color w:val="000000"/>
          <w:sz w:val="32"/>
          <w:szCs w:val="32"/>
          <w:lang w:eastAsia="zh-CN"/>
        </w:rPr>
        <w:t>。</w:t>
      </w:r>
      <w:r>
        <w:rPr>
          <w:rFonts w:hint="eastAsia" w:eastAsia="仿宋_GB2312"/>
          <w:color w:val="000000"/>
          <w:sz w:val="32"/>
          <w:szCs w:val="32"/>
        </w:rPr>
        <w:t>制定工作方案，定期召集各街道、镇、集聚区和梅湖景区调度门前管理责任制工作，同时，要求各街道、镇、集聚区分别报送一条示范道路开展集中整治，通过以点带面的方式抓好门前责任制工作</w:t>
      </w:r>
      <w:r>
        <w:rPr>
          <w:rFonts w:hint="eastAsia" w:eastAsia="仿宋_GB2312"/>
          <w:color w:val="000000"/>
          <w:sz w:val="32"/>
          <w:szCs w:val="32"/>
          <w:lang w:eastAsia="zh-CN"/>
        </w:rPr>
        <w:t>。</w:t>
      </w:r>
      <w:r>
        <w:rPr>
          <w:rFonts w:hint="eastAsia" w:eastAsia="仿宋_GB2312"/>
          <w:color w:val="000000"/>
          <w:sz w:val="32"/>
          <w:szCs w:val="32"/>
        </w:rPr>
        <w:t>如三店西路，前期，区城管</w:t>
      </w:r>
      <w:r>
        <w:rPr>
          <w:rFonts w:hint="eastAsia" w:eastAsia="仿宋_GB2312"/>
          <w:color w:val="000000"/>
          <w:sz w:val="32"/>
          <w:szCs w:val="32"/>
          <w:lang w:eastAsia="zh-CN"/>
        </w:rPr>
        <w:t>和执法</w:t>
      </w:r>
      <w:r>
        <w:rPr>
          <w:rFonts w:hint="eastAsia" w:eastAsia="仿宋_GB2312"/>
          <w:color w:val="000000"/>
          <w:sz w:val="32"/>
          <w:szCs w:val="32"/>
        </w:rPr>
        <w:t>局组织三店街办、服务外包公司等单位到现场对三店西路门前责任制工作进行协调，对三店西路沿线垃圾桶进行撤桶并点，并由属地引导商户定点投放，由外包公司定点收集，摸索门前责任制管理新模式，洪都街道新溪桥北二路垃圾定时上门收集工作也为门前责任制工作奠定了基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color w:val="000000"/>
          <w:sz w:val="32"/>
          <w:szCs w:val="32"/>
        </w:rPr>
      </w:pPr>
      <w:r>
        <w:rPr>
          <w:rFonts w:hint="eastAsia" w:eastAsia="仿宋_GB2312"/>
          <w:b/>
          <w:bCs/>
          <w:color w:val="000000"/>
          <w:sz w:val="32"/>
          <w:szCs w:val="32"/>
        </w:rPr>
        <w:t>三是加强巡查考核处罚</w:t>
      </w:r>
      <w:r>
        <w:rPr>
          <w:rFonts w:hint="eastAsia" w:eastAsia="仿宋_GB2312"/>
          <w:b/>
          <w:bCs/>
          <w:color w:val="000000"/>
          <w:sz w:val="32"/>
          <w:szCs w:val="32"/>
          <w:lang w:eastAsia="zh-CN"/>
        </w:rPr>
        <w:t>。</w:t>
      </w:r>
      <w:r>
        <w:rPr>
          <w:rFonts w:hint="eastAsia" w:eastAsia="仿宋_GB2312"/>
          <w:color w:val="000000"/>
          <w:sz w:val="32"/>
          <w:szCs w:val="32"/>
        </w:rPr>
        <w:t>各街道、镇、集聚区和梅湖景区均已成立督查队伍，每天对店面门前管理责任制落实情况进行巡查，发现问题及时整改，并且，充分发挥执法队伍职能，以宣传疏导为主，处罚扣款为辅，积极配合环境卫生整治，树标杆、罚典型，以先进带动后进，严格按照沿街店面门前管理责任的工作要求，在规定时间段内逐步推进主次干道、背街小巷门前责任制全部落实到位，努力提高我区商户自觉维护市容环境参与度。去年一年，共处罚违规店面2715件，处罚金额61390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仿宋_GB2312"/>
          <w:color w:val="000000"/>
          <w:sz w:val="32"/>
          <w:szCs w:val="32"/>
        </w:rPr>
      </w:pPr>
      <w:r>
        <w:rPr>
          <w:rFonts w:hint="eastAsia" w:eastAsia="仿宋_GB2312"/>
          <w:color w:val="000000"/>
          <w:sz w:val="32"/>
          <w:szCs w:val="32"/>
        </w:rPr>
        <w:t>下步，我单位将从以下几个方面深入、扎实推进门前责任制工作：</w:t>
      </w:r>
      <w:r>
        <w:rPr>
          <w:rFonts w:hint="eastAsia" w:eastAsia="仿宋_GB2312"/>
          <w:b/>
          <w:bCs/>
          <w:color w:val="000000"/>
          <w:sz w:val="32"/>
          <w:szCs w:val="32"/>
        </w:rPr>
        <w:t>一是落实属地主体责任，</w:t>
      </w:r>
      <w:r>
        <w:rPr>
          <w:rFonts w:hint="eastAsia" w:eastAsia="仿宋_GB2312"/>
          <w:color w:val="000000"/>
          <w:sz w:val="32"/>
          <w:szCs w:val="32"/>
        </w:rPr>
        <w:t>目前门前责任制相关执法权限已全部下放，我单位将督促各街道、镇、集聚区按照门前管理责任制加强宣传、监督、考核制度，同时，根据街道自身实际，推广切实可行的撤桶并点方式、或定时上门收集的方式做好门前管理责任制。</w:t>
      </w:r>
      <w:r>
        <w:rPr>
          <w:rFonts w:hint="eastAsia" w:eastAsia="仿宋_GB2312"/>
          <w:b/>
          <w:bCs/>
          <w:color w:val="000000"/>
          <w:sz w:val="32"/>
          <w:szCs w:val="32"/>
        </w:rPr>
        <w:t>二是加大部门处罚力度，</w:t>
      </w:r>
      <w:r>
        <w:rPr>
          <w:rFonts w:hint="eastAsia" w:eastAsia="仿宋_GB2312"/>
          <w:color w:val="000000"/>
          <w:sz w:val="32"/>
          <w:szCs w:val="32"/>
        </w:rPr>
        <w:t>按照相关处罚依据，对沿街违规商铺高标准进行处罚，对屡教不改的商户由属地连同市场监管部门进行取缔，通过强有力的处罚措施，以疏堵相结合的方式抓好落实。</w:t>
      </w:r>
      <w:r>
        <w:rPr>
          <w:rFonts w:hint="eastAsia" w:eastAsia="仿宋_GB2312"/>
          <w:b/>
          <w:bCs/>
          <w:color w:val="000000"/>
          <w:sz w:val="32"/>
          <w:szCs w:val="32"/>
        </w:rPr>
        <w:t>三是多措并举抓好落实，</w:t>
      </w:r>
      <w:r>
        <w:rPr>
          <w:rFonts w:hint="eastAsia" w:eastAsia="仿宋_GB2312"/>
          <w:color w:val="000000"/>
          <w:sz w:val="32"/>
          <w:szCs w:val="32"/>
        </w:rPr>
        <w:t>下步，结合生活垃圾处理费收取、餐厨垃圾收运及垃圾分类相关工作，多措并举，抓好抓实门前责任制管理工作。</w:t>
      </w:r>
    </w:p>
    <w:p>
      <w:pPr>
        <w:rPr>
          <w:rFonts w:eastAsia="仿宋_GB2312"/>
          <w:color w:val="000000"/>
          <w:sz w:val="32"/>
          <w:szCs w:val="32"/>
        </w:rPr>
      </w:pPr>
    </w:p>
    <w:p>
      <w:pPr>
        <w:ind w:firstLine="640" w:firstLineChars="200"/>
        <w:rPr>
          <w:rFonts w:eastAsia="仿宋_GB2312"/>
          <w:color w:val="000000"/>
          <w:sz w:val="32"/>
          <w:szCs w:val="32"/>
        </w:rPr>
      </w:pPr>
      <w:r>
        <w:rPr>
          <w:rFonts w:eastAsia="仿宋_GB2312"/>
          <w:color w:val="000000"/>
          <w:sz w:val="32"/>
          <w:szCs w:val="32"/>
        </w:rPr>
        <w:t>附件：代表建议办理情况征询意见表</w:t>
      </w:r>
    </w:p>
    <w:p>
      <w:pPr>
        <w:rPr>
          <w:rFonts w:eastAsia="仿宋_GB2312"/>
          <w:color w:val="000000"/>
          <w:sz w:val="32"/>
          <w:szCs w:val="32"/>
        </w:rPr>
      </w:pPr>
    </w:p>
    <w:p>
      <w:pPr>
        <w:jc w:val="right"/>
        <w:rPr>
          <w:rFonts w:hint="eastAsia" w:eastAsia="仿宋_GB2312"/>
          <w:color w:val="000000"/>
          <w:sz w:val="32"/>
          <w:szCs w:val="32"/>
          <w:lang w:eastAsia="zh-CN"/>
        </w:rPr>
      </w:pPr>
      <w:r>
        <w:rPr>
          <w:rFonts w:hint="eastAsia" w:eastAsia="仿宋_GB2312"/>
          <w:color w:val="000000"/>
          <w:sz w:val="32"/>
          <w:szCs w:val="32"/>
          <w:lang w:eastAsia="zh-CN"/>
        </w:rPr>
        <w:t>青云谱区城管和执法局</w:t>
      </w:r>
    </w:p>
    <w:p>
      <w:pPr>
        <w:jc w:val="center"/>
        <w:rPr>
          <w:rFonts w:eastAsia="仿宋_GB2312"/>
          <w:color w:val="000000"/>
          <w:sz w:val="32"/>
          <w:szCs w:val="32"/>
        </w:rPr>
      </w:pPr>
      <w:r>
        <w:rPr>
          <w:rFonts w:hint="eastAsia" w:eastAsia="仿宋_GB2312"/>
          <w:color w:val="000000"/>
          <w:sz w:val="32"/>
          <w:szCs w:val="32"/>
          <w:lang w:val="en-US" w:eastAsia="zh-CN"/>
        </w:rPr>
        <w:t xml:space="preserve">                                 </w:t>
      </w:r>
      <w:r>
        <w:rPr>
          <w:rFonts w:eastAsia="仿宋_GB2312"/>
          <w:color w:val="000000"/>
          <w:sz w:val="32"/>
          <w:szCs w:val="32"/>
        </w:rPr>
        <w:t>20</w:t>
      </w:r>
      <w:r>
        <w:rPr>
          <w:rFonts w:hint="eastAsia" w:eastAsia="仿宋_GB2312"/>
          <w:color w:val="000000"/>
          <w:sz w:val="32"/>
          <w:szCs w:val="32"/>
        </w:rPr>
        <w:t>2</w:t>
      </w:r>
      <w:r>
        <w:rPr>
          <w:rFonts w:hint="eastAsia" w:eastAsia="仿宋_GB2312"/>
          <w:color w:val="000000"/>
          <w:sz w:val="32"/>
          <w:szCs w:val="32"/>
          <w:lang w:val="en-US" w:eastAsia="zh-CN"/>
        </w:rPr>
        <w:t>2</w:t>
      </w:r>
      <w:r>
        <w:rPr>
          <w:rFonts w:eastAsia="仿宋_GB2312"/>
          <w:color w:val="000000"/>
          <w:sz w:val="32"/>
          <w:szCs w:val="32"/>
        </w:rPr>
        <w:t>年</w:t>
      </w:r>
      <w:r>
        <w:rPr>
          <w:rFonts w:hint="eastAsia" w:eastAsia="仿宋_GB2312"/>
          <w:color w:val="000000"/>
          <w:sz w:val="32"/>
          <w:szCs w:val="32"/>
          <w:lang w:val="en-US" w:eastAsia="zh-CN"/>
        </w:rPr>
        <w:t>6</w:t>
      </w:r>
      <w:r>
        <w:rPr>
          <w:rFonts w:eastAsia="仿宋_GB2312"/>
          <w:color w:val="000000"/>
          <w:sz w:val="32"/>
          <w:szCs w:val="32"/>
        </w:rPr>
        <w:t>月</w:t>
      </w:r>
      <w:r>
        <w:rPr>
          <w:rFonts w:hint="eastAsia" w:eastAsia="仿宋_GB2312"/>
          <w:color w:val="000000"/>
          <w:sz w:val="32"/>
          <w:szCs w:val="32"/>
          <w:lang w:val="en-US" w:eastAsia="zh-CN"/>
        </w:rPr>
        <w:t>16</w:t>
      </w:r>
      <w:r>
        <w:rPr>
          <w:rFonts w:eastAsia="仿宋_GB2312"/>
          <w:color w:val="000000"/>
          <w:sz w:val="32"/>
          <w:szCs w:val="32"/>
        </w:rPr>
        <w:t>日</w:t>
      </w:r>
    </w:p>
    <w:p>
      <w:pPr>
        <w:rPr>
          <w:rFonts w:eastAsia="仿宋_GB2312"/>
          <w:color w:val="000000"/>
          <w:sz w:val="32"/>
          <w:szCs w:val="32"/>
        </w:rPr>
      </w:pPr>
    </w:p>
    <w:p>
      <w:pPr>
        <w:rPr>
          <w:rFonts w:eastAsia="仿宋_GB2312"/>
          <w:color w:val="000000"/>
          <w:sz w:val="32"/>
          <w:szCs w:val="32"/>
        </w:rPr>
      </w:pPr>
      <w:r>
        <w:rPr>
          <w:rFonts w:eastAsia="仿宋_GB2312"/>
          <w:color w:val="000000"/>
          <w:sz w:val="32"/>
          <w:szCs w:val="32"/>
        </w:rPr>
        <w:t>抄送：区政府办公室，区人大常委会选任联工委</w:t>
      </w:r>
    </w:p>
    <w:p>
      <w:pPr>
        <w:rPr>
          <w:rFonts w:hint="default" w:eastAsia="仿宋_GB2312"/>
          <w:color w:val="000000"/>
          <w:sz w:val="32"/>
          <w:szCs w:val="32"/>
          <w:lang w:val="en-US" w:eastAsia="zh-CN"/>
        </w:rPr>
      </w:pPr>
      <w:r>
        <w:rPr>
          <w:rFonts w:eastAsia="仿宋_GB2312"/>
          <w:color w:val="000000"/>
          <w:sz w:val="32"/>
          <w:szCs w:val="32"/>
        </w:rPr>
        <w:t>联系单位及电话</w:t>
      </w:r>
      <w:r>
        <w:rPr>
          <w:rFonts w:hint="eastAsia" w:eastAsia="仿宋_GB2312"/>
          <w:color w:val="000000"/>
          <w:sz w:val="32"/>
          <w:szCs w:val="32"/>
          <w:lang w:eastAsia="zh-CN"/>
        </w:rPr>
        <w:t>：青云谱区城管和执法局</w:t>
      </w:r>
      <w:r>
        <w:rPr>
          <w:rFonts w:hint="eastAsia" w:eastAsia="仿宋_GB2312"/>
          <w:color w:val="000000"/>
          <w:sz w:val="32"/>
          <w:szCs w:val="32"/>
          <w:lang w:val="en-US" w:eastAsia="zh-CN"/>
        </w:rPr>
        <w:t xml:space="preserve">  88461753</w:t>
      </w:r>
    </w:p>
    <w:p>
      <w:pPr>
        <w:rPr>
          <w:rFonts w:hint="default" w:eastAsia="仿宋_GB2312"/>
          <w:color w:val="000000"/>
          <w:sz w:val="32"/>
          <w:szCs w:val="32"/>
          <w:lang w:val="en-US" w:eastAsia="zh-CN"/>
        </w:rPr>
      </w:pPr>
      <w:r>
        <w:rPr>
          <w:rFonts w:eastAsia="仿宋_GB2312"/>
          <w:color w:val="000000"/>
          <w:sz w:val="32"/>
          <w:szCs w:val="32"/>
        </w:rPr>
        <w:t>邮政编码：</w:t>
      </w:r>
      <w:r>
        <w:rPr>
          <w:rFonts w:hint="eastAsia" w:eastAsia="仿宋_GB2312"/>
          <w:color w:val="000000"/>
          <w:sz w:val="32"/>
          <w:szCs w:val="32"/>
          <w:lang w:val="en-US" w:eastAsia="zh-CN"/>
        </w:rPr>
        <w:t>330001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OTA0ODc2OWEwZDY0OTU3ZDc0NWI1MzRhOTBhZDgifQ=="/>
  </w:docVars>
  <w:rsids>
    <w:rsidRoot w:val="0C5753E6"/>
    <w:rsid w:val="0C5753E6"/>
    <w:rsid w:val="0FAA11F4"/>
    <w:rsid w:val="1D965502"/>
    <w:rsid w:val="2057330D"/>
    <w:rsid w:val="22FE6D71"/>
    <w:rsid w:val="34F3563B"/>
    <w:rsid w:val="3C7277E0"/>
    <w:rsid w:val="42A33B1C"/>
    <w:rsid w:val="599124C8"/>
    <w:rsid w:val="6F4B2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600"/>
    </w:pPr>
  </w:style>
  <w:style w:type="paragraph" w:styleId="3">
    <w:name w:val="Body Text"/>
    <w:basedOn w:val="1"/>
    <w:next w:val="4"/>
    <w:qFormat/>
    <w:uiPriority w:val="0"/>
    <w:pPr>
      <w:spacing w:after="120"/>
    </w:pPr>
  </w:style>
  <w:style w:type="paragraph" w:customStyle="1" w:styleId="4">
    <w:name w:val="引用1"/>
    <w:next w:val="1"/>
    <w:qFormat/>
    <w:uiPriority w:val="0"/>
    <w:pPr>
      <w:wordWrap w:val="0"/>
      <w:spacing w:before="200" w:after="160"/>
      <w:ind w:left="864" w:right="864"/>
      <w:jc w:val="center"/>
    </w:pPr>
    <w:rPr>
      <w:rFonts w:ascii="Times New Roman" w:hAnsi="Times New Roman"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1645</Words>
  <Characters>1682</Characters>
  <Lines>0</Lines>
  <Paragraphs>0</Paragraphs>
  <TotalTime>43</TotalTime>
  <ScaleCrop>false</ScaleCrop>
  <LinksUpToDate>false</LinksUpToDate>
  <CharactersWithSpaces>1825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2022-06-16T01:10:00Z</dcterms:created>
  <dc:creator>Administrator</dc:creator>
  <cp:lastModifiedBy>Administrator</cp:lastModifiedBy>
  <dcterms:modified xsi:type="dcterms:W3CDTF">2022-06-16T07:01:35Z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CF7840317EF149049F02DCF7555E4811</vt:lpwstr>
  </property>
</Properties>
</file>