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1200" w:lineRule="exact"/>
        <w:jc w:val="center"/>
        <w:rPr>
          <w:rFonts w:hint="eastAsia" w:ascii="方正小标宋简体" w:eastAsia="方正小标宋简体"/>
          <w:color w:val="FF0000"/>
          <w:w w:val="60"/>
          <w:sz w:val="72"/>
          <w:szCs w:val="72"/>
        </w:rPr>
      </w:pPr>
      <w:r>
        <w:rPr>
          <w:rFonts w:hint="eastAsia" w:ascii="方正小标宋简体" w:eastAsia="方正小标宋简体"/>
          <w:color w:val="FF0000"/>
          <w:w w:val="60"/>
          <w:sz w:val="72"/>
          <w:szCs w:val="72"/>
        </w:rPr>
        <w:t>青云谱区</w:t>
      </w:r>
      <w:r>
        <w:rPr>
          <w:rFonts w:hint="eastAsia" w:ascii="方正小标宋简体" w:eastAsia="方正小标宋简体"/>
          <w:color w:val="FF0000"/>
          <w:w w:val="60"/>
          <w:sz w:val="72"/>
          <w:szCs w:val="72"/>
          <w:lang w:eastAsia="zh-CN"/>
        </w:rPr>
        <w:t>城市管理和综合执法局</w:t>
      </w:r>
    </w:p>
    <w:p>
      <w:pPr>
        <w:snapToGrid w:val="0"/>
        <w:spacing w:line="72" w:lineRule="auto"/>
        <w:rPr>
          <w:rFonts w:hint="eastAsia"/>
          <w:bCs/>
          <w:color w:val="auto"/>
          <w:spacing w:val="-20"/>
          <w:szCs w:val="32"/>
          <w:u w:val="double" w:color="FF0000"/>
          <w14:textOutline w14:w="15875" w14:cmpd="dbl">
            <w14:solidFill>
              <w14:srgbClr w14:val="FF0000">
                <w14:alpha w14:val="0"/>
              </w14:srgbClr>
            </w14:solidFill>
            <w14:prstDash w14:val="solid"/>
            <w14:round/>
          </w14:textOutline>
        </w:rPr>
      </w:pPr>
      <w:r>
        <w:rPr>
          <w:rFonts w:hint="eastAsia"/>
          <w:color w:val="auto"/>
          <w:sz w:val="21"/>
          <w:u w:val="double" w:color="FF0000"/>
          <w:lang w:val="en-US" w:eastAsia="zh-CN"/>
          <w14:textOutline w14:w="15875" w14:cmpd="dbl">
            <w14:solidFill>
              <w14:srgbClr w14:val="FF0000">
                <w14:alpha w14:val="0"/>
              </w14:srgbClr>
            </w14:solidFill>
            <w14:prstDash w14:val="solid"/>
            <w14:round/>
          </w14:textOutline>
        </w:rPr>
        <w:t xml:space="preserve">                                                                              </w:t>
      </w:r>
      <w:r>
        <w:rPr>
          <w:color w:val="auto"/>
          <w:kern w:val="0"/>
          <w:sz w:val="44"/>
          <w:szCs w:val="44"/>
          <w:u w:val="double" w:color="FF0000"/>
          <w14:textOutline w14:w="15875" w14:cmpd="dbl">
            <w14:solidFill>
              <w14:srgbClr w14:val="FF0000">
                <w14:alpha w14:val="0"/>
              </w14:srgbClr>
            </w14:solidFill>
            <w14:prstDash w14:val="solid"/>
            <w14:round/>
          </w14:textOutline>
        </w:rPr>
        <w:t xml:space="preserve">                              </w:t>
      </w:r>
    </w:p>
    <w:p>
      <w:pPr>
        <w:jc w:val="center"/>
        <w:rPr>
          <w:rFonts w:eastAsia="仿宋_GB2312"/>
          <w:color w:val="000000"/>
          <w:sz w:val="32"/>
          <w:szCs w:val="32"/>
        </w:rPr>
      </w:pPr>
      <w:r>
        <w:rPr>
          <w:rFonts w:hint="eastAsia" w:eastAsia="仿宋_GB2312"/>
          <w:color w:val="000000"/>
          <w:sz w:val="32"/>
          <w:szCs w:val="32"/>
          <w:lang w:eastAsia="zh-CN"/>
        </w:rPr>
        <w:t>青管案</w:t>
      </w:r>
      <w:r>
        <w:rPr>
          <w:rFonts w:eastAsia="仿宋_GB2312"/>
          <w:color w:val="000000"/>
          <w:sz w:val="32"/>
          <w:szCs w:val="32"/>
        </w:rPr>
        <w:t>字〔20</w:t>
      </w:r>
      <w:r>
        <w:rPr>
          <w:rFonts w:hint="eastAsia" w:eastAsia="仿宋_GB2312"/>
          <w:color w:val="000000"/>
          <w:sz w:val="32"/>
          <w:szCs w:val="32"/>
        </w:rPr>
        <w:t>2</w:t>
      </w:r>
      <w:r>
        <w:rPr>
          <w:rFonts w:hint="eastAsia" w:eastAsia="仿宋_GB2312"/>
          <w:color w:val="000000"/>
          <w:sz w:val="32"/>
          <w:szCs w:val="32"/>
          <w:lang w:val="en-US" w:eastAsia="zh-CN"/>
        </w:rPr>
        <w:t>2</w:t>
      </w:r>
      <w:r>
        <w:rPr>
          <w:rFonts w:eastAsia="仿宋_GB2312"/>
          <w:color w:val="000000"/>
          <w:sz w:val="32"/>
          <w:szCs w:val="32"/>
        </w:rPr>
        <w:t>〕</w:t>
      </w:r>
      <w:r>
        <w:rPr>
          <w:rFonts w:hint="eastAsia" w:eastAsia="仿宋_GB2312"/>
          <w:color w:val="000000"/>
          <w:sz w:val="32"/>
          <w:szCs w:val="32"/>
          <w:lang w:val="en-US" w:eastAsia="zh-CN"/>
        </w:rPr>
        <w:t>5</w:t>
      </w:r>
      <w:r>
        <w:rPr>
          <w:rFonts w:eastAsia="仿宋_GB2312"/>
          <w:color w:val="000000"/>
          <w:sz w:val="32"/>
          <w:szCs w:val="32"/>
        </w:rPr>
        <w:t>号</w:t>
      </w:r>
    </w:p>
    <w:p>
      <w:pPr>
        <w:jc w:val="right"/>
        <w:rPr>
          <w:rFonts w:hint="default" w:eastAsia="仿宋_GB2312"/>
          <w:color w:val="000000"/>
          <w:sz w:val="32"/>
          <w:szCs w:val="32"/>
          <w:lang w:val="en-US" w:eastAsia="zh-CN"/>
        </w:rPr>
      </w:pPr>
      <w:r>
        <w:rPr>
          <w:rFonts w:eastAsia="仿宋_GB2312"/>
          <w:color w:val="000000"/>
          <w:sz w:val="32"/>
          <w:szCs w:val="32"/>
        </w:rPr>
        <w:t>分类：</w:t>
      </w:r>
      <w:r>
        <w:rPr>
          <w:rFonts w:hint="eastAsia" w:eastAsia="仿宋_GB2312"/>
          <w:color w:val="000000"/>
          <w:sz w:val="32"/>
          <w:szCs w:val="32"/>
          <w:lang w:val="en-US" w:eastAsia="zh-CN"/>
        </w:rPr>
        <w:t>A1</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b/>
          <w:color w:val="000000"/>
          <w:sz w:val="44"/>
          <w:szCs w:val="44"/>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b/>
          <w:color w:val="000000"/>
          <w:sz w:val="44"/>
          <w:szCs w:val="44"/>
        </w:rPr>
      </w:pPr>
      <w:r>
        <w:rPr>
          <w:b/>
          <w:color w:val="000000"/>
          <w:sz w:val="44"/>
          <w:szCs w:val="44"/>
        </w:rPr>
        <w:t>对区</w:t>
      </w:r>
      <w:r>
        <w:rPr>
          <w:rFonts w:hint="eastAsia"/>
          <w:b/>
          <w:color w:val="000000"/>
          <w:sz w:val="44"/>
          <w:szCs w:val="44"/>
          <w:lang w:eastAsia="zh-CN"/>
        </w:rPr>
        <w:t>政协十届二次会议</w:t>
      </w:r>
      <w:r>
        <w:rPr>
          <w:b/>
          <w:color w:val="000000"/>
          <w:sz w:val="44"/>
          <w:szCs w:val="44"/>
        </w:rPr>
        <w:t>第</w:t>
      </w:r>
      <w:r>
        <w:rPr>
          <w:rFonts w:hint="eastAsia"/>
          <w:b/>
          <w:color w:val="000000"/>
          <w:sz w:val="44"/>
          <w:szCs w:val="44"/>
          <w:lang w:val="en-US" w:eastAsia="zh-CN"/>
        </w:rPr>
        <w:t>69</w:t>
      </w:r>
      <w:r>
        <w:rPr>
          <w:b/>
          <w:color w:val="000000"/>
          <w:sz w:val="44"/>
          <w:szCs w:val="44"/>
        </w:rPr>
        <w:t>号</w:t>
      </w:r>
      <w:r>
        <w:rPr>
          <w:rFonts w:hint="eastAsia"/>
          <w:b/>
          <w:color w:val="000000"/>
          <w:sz w:val="44"/>
          <w:szCs w:val="44"/>
          <w:lang w:eastAsia="zh-CN"/>
        </w:rPr>
        <w:t>提案</w:t>
      </w:r>
      <w:r>
        <w:rPr>
          <w:b/>
          <w:color w:val="000000"/>
          <w:sz w:val="44"/>
          <w:szCs w:val="44"/>
        </w:rPr>
        <w:t>的答复</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eastAsia="仿宋_GB2312"/>
          <w:color w:val="000000"/>
          <w:sz w:val="32"/>
          <w:szCs w:val="32"/>
        </w:rPr>
      </w:pPr>
    </w:p>
    <w:p>
      <w:pPr>
        <w:keepNext w:val="0"/>
        <w:keepLines w:val="0"/>
        <w:pageBreakBefore w:val="0"/>
        <w:kinsoku/>
        <w:wordWrap/>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夏宇蒙委员：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您提出的关于加强城市管理的提案收悉，现答复如下：</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宋体"/>
          <w:w w:val="96"/>
          <w:kern w:val="0"/>
          <w:sz w:val="32"/>
          <w:szCs w:val="32"/>
        </w:rPr>
      </w:pPr>
      <w:r>
        <w:rPr>
          <w:rFonts w:hint="eastAsia" w:ascii="黑体" w:hAnsi="黑体" w:eastAsia="黑体" w:cs="Arial"/>
          <w:b/>
          <w:sz w:val="32"/>
          <w:szCs w:val="32"/>
          <w:shd w:val="clear" w:color="auto" w:fill="FFFFFF"/>
        </w:rPr>
        <w:t>一、推进重心下移，赋权执法下基层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000000"/>
          <w:sz w:val="32"/>
          <w:szCs w:val="32"/>
        </w:rPr>
      </w:pPr>
      <w:r>
        <w:rPr>
          <w:rFonts w:hint="eastAsia" w:ascii="仿宋_GB2312" w:hAnsi="仿宋_GB2312" w:eastAsia="仿宋_GB2312" w:cs="仿宋_GB2312"/>
          <w:color w:val="000000"/>
          <w:sz w:val="32"/>
          <w:szCs w:val="32"/>
        </w:rPr>
        <w:t>根据《江西省人民政府关于赋权乡镇（街道）首批县级审批服务执法权限的通知》（赣府发〔2020〕1号）文件精神，按照《青云谱区人民政府关于赋予乡镇（街道）首批审批服务执法权限的通知》（青政发〔2020〕3号）的要求，我局在区领导的有力支持和推动下，推进基层整合审批服务执法力量，将在街道两侧和公共场地临时堆放物料、搭建非永久性建筑、构筑物或其他设施审批等27项区级审批服务执法权限赋权给被赋权乡镇（街道），同时将执法人员、执法办公设备一并下放。目前7个乡镇（街道）已全部签订了赋权协议。我局落实做好下放的区级审批服务执法权力事项的政策解读、业务培训、执法人员和执法办公设备交接转续工作，指导乡镇（街道）编制办事指南，并对被赋权乡镇（街道）行使下放的区级审批服务执法权力进行监督管理，以此进一步理顺城市管理机制，实现城市管理与执法机构有机结合。</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黑体" w:hAnsi="黑体" w:eastAsia="黑体" w:cs="Arial"/>
          <w:b/>
          <w:sz w:val="32"/>
          <w:szCs w:val="32"/>
          <w:shd w:val="clear" w:color="auto" w:fill="FFFFFF"/>
        </w:rPr>
      </w:pPr>
      <w:r>
        <w:rPr>
          <w:rFonts w:hint="eastAsia" w:ascii="黑体" w:hAnsi="黑体" w:eastAsia="黑体" w:cs="Arial"/>
          <w:b/>
          <w:sz w:val="32"/>
          <w:szCs w:val="32"/>
          <w:shd w:val="clear" w:color="auto" w:fill="FFFFFF"/>
        </w:rPr>
        <w:t>二、强化协同处置，开展“城管进社区”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深化“放管服”改革，推动服务事项最大限度下放到基层，我局创新开展“城管进社区”工作模式。通过将执法力量前移,将主动作为的范围延伸覆盖到背街小巷和居住小区，进而提高与群众之间的信息互通，精准掌握各类突出问题并及时协调处置化解矛盾，初步实现社区城管网格化。目前，我区已有75个社区实现了线上全覆盖，建立了“城管进社区”微信群，其中6个精品社区已建立线下工作站，每个社区两名执法人员，协助各社区开展城市管理工作。通过推行“城管进社区”工作模式，实现了城管重心下移的新突破。主要表现在一是理念新。实行进社区制度后，城管职责直接由主次干道的“大市容”转移到背街小巷和居住小区的“小市容”上；二是职责新。进社区城管人员职能主要是“三主三辅”，以社区为主中队为辅，以管理为主整治为辅，以长效为主突击为辅；三是模式新。进社区城管人员实行每周不少于一次的与社区工作对接，辅助社区完成社区责任片区内的脏乱差治理工作以及对突出矛盾问题的协助化解工作；四是作用新。“城管进社区”工作模式充分发挥了宣传站的作用，通过指导各社区工作人员的法律法规学习，提高城市管理法律法规的知晓率，有效避免小问题积累成大矛盾。自实行“城管进社区”工作模式以来，共受理各类城市管理方面投诉20余件，及时制止各类违章搭建3次，制止店外经营60余起，社区风貌得到了有效改善。</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黑体" w:hAnsi="黑体" w:eastAsia="黑体"/>
          <w:b/>
          <w:color w:val="000000"/>
          <w:sz w:val="32"/>
          <w:szCs w:val="32"/>
        </w:rPr>
      </w:pPr>
      <w:r>
        <w:rPr>
          <w:rFonts w:hint="eastAsia" w:ascii="黑体" w:hAnsi="黑体" w:eastAsia="黑体"/>
          <w:b/>
          <w:color w:val="000000"/>
          <w:sz w:val="32"/>
          <w:szCs w:val="32"/>
        </w:rPr>
        <w:t>三、健全执法制度，完善执法程序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进一步规范权力运行监控机制,提高执法透明度和公正性,推进依法行政,我局根据上级有关要求，结合我区实际制定了《行政执法公示制度、行政执法全过程记录规定和重大案件集体讨论制度》等三项制度，聚焦行政执法的源头、过程、结果等关键环节，着力推进行政执法透明、规范、合法、公正。我局按照“谁执法谁公示”的原则，明确公示内容的采集、传递、审核、发布职责，规范信息公示内容的标准、格式，及时通过政府网站及政务新媒体、办事大厅公示栏、服务窗口等平台向社会公开行政执法基本信息、结果信息。我局通过文字、音像等记录形式，对行政执法的启动、调查取证、审核决定、送达执行等全部过程进行记录，并全面系统归档保存，做到执法全过程留痕和可回溯管理。我局在作出重大执法决定前，严格进行法制审核，未经法制审核或者审核未通过的，不得作出决定。</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宋体"/>
          <w:w w:val="96"/>
          <w:kern w:val="0"/>
          <w:sz w:val="32"/>
          <w:szCs w:val="32"/>
        </w:rPr>
      </w:pPr>
      <w:r>
        <w:rPr>
          <w:rFonts w:hint="eastAsia" w:ascii="黑体" w:hAnsi="黑体" w:eastAsia="黑体" w:cs="Arial"/>
          <w:b/>
          <w:sz w:val="32"/>
          <w:szCs w:val="32"/>
          <w:shd w:val="clear" w:color="auto" w:fill="FFFFFF"/>
        </w:rPr>
        <w:t>四、</w:t>
      </w:r>
      <w:r>
        <w:rPr>
          <w:rFonts w:hint="eastAsia" w:ascii="黑体" w:hAnsi="黑体" w:eastAsia="黑体"/>
          <w:b/>
          <w:w w:val="96"/>
          <w:sz w:val="32"/>
          <w:szCs w:val="32"/>
        </w:rPr>
        <w:t>聚焦短板弱项，强化精细化管理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局深入贯彻落实省委、省政府城乡环境综合整治、城市功能与品质提升三年行动决策部署，聚焦城管执法系统新“五大整治”等工作要求，全面开展职责领域内的行政执法工作。一是我局通过强化对全区城市主次干道、繁华商业区、人流密集区的集中整治和管控，科学开展“街面秩序”整治；二是我局通过对存在违法违规建筑的施工项目列出清单，登记造册，并建立工作台账，明确整改责任单位、整改责任人和整改时限、实行动态管理，逐个整改落实，确保项目不查清不放过、责任不落实不放过、整治不到位不放过，扎实推进“无证施工”整治；三是我局通过全面开展餐饮油烟、露天烧烤、秸秆焚烧、水体污染、排水设施、无证排污、夜间施工、生活噪声等环境污染防治工作，持续推进“环境污染”整治；四是我局通过联合物业、居委等多部门，大力推进“毁绿占绿”整治；五是我局通过加强对全区主要道路、背街小巷、学校、小区内的巡查，涵盖各小区、企事业单位、个体工商户、公司，重点加大对居民不实行源头分类、随意乱扔垃圾、混合投放垃圾现象的执法检查力度，针对公共机构、重点行业和重点场所进行逐一排查，重点查处不按规定设置生活垃圾收集容器、未监督生活垃圾分类投放的行为，创新开展“垃圾分类”整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下一步，我局将继续坚持从实际出发，紧紧围绕区委、区政府总体目标，认真履行工作职责，创新工作思路，改进工作方法，把精细化标准贯穿城市管理各个环节，为深入推进城市管理工作做出更加积极的贡献。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pPr>
      <w:r>
        <w:rPr>
          <w:rFonts w:hint="eastAsia" w:ascii="仿宋_GB2312" w:hAnsi="仿宋_GB2312" w:eastAsia="仿宋_GB2312" w:cs="仿宋_GB2312"/>
          <w:color w:val="000000"/>
          <w:sz w:val="32"/>
          <w:szCs w:val="32"/>
        </w:rPr>
        <w:t>感谢您对我局工作的支持和关心！</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pPr>
      <w:r>
        <w:rPr>
          <w:rFonts w:eastAsia="仿宋_GB2312"/>
          <w:color w:val="000000"/>
          <w:sz w:val="32"/>
          <w:szCs w:val="32"/>
        </w:rPr>
        <w:t>附件：委员提案办理情况征询意见表</w:t>
      </w:r>
    </w:p>
    <w:p>
      <w:pPr>
        <w:pStyle w:val="6"/>
        <w:keepNext w:val="0"/>
        <w:keepLines w:val="0"/>
        <w:pageBreakBefore w:val="0"/>
        <w:widowControl w:val="0"/>
        <w:kinsoku/>
        <w:wordWrap/>
        <w:overflowPunct w:val="0"/>
        <w:topLinePunct w:val="0"/>
        <w:autoSpaceDE/>
        <w:autoSpaceDN/>
        <w:bidi w:val="0"/>
        <w:adjustRightInd/>
        <w:snapToGrid/>
        <w:spacing w:line="560" w:lineRule="exact"/>
        <w:textAlignment w:val="auto"/>
      </w:pPr>
    </w:p>
    <w:p>
      <w:pPr>
        <w:keepNext w:val="0"/>
        <w:keepLines w:val="0"/>
        <w:pageBreakBefore w:val="0"/>
        <w:widowControl w:val="0"/>
        <w:kinsoku/>
        <w:wordWrap/>
        <w:overflowPunct w:val="0"/>
        <w:topLinePunct w:val="0"/>
        <w:autoSpaceDE/>
        <w:autoSpaceDN/>
        <w:bidi w:val="0"/>
        <w:adjustRightInd/>
        <w:snapToGrid/>
        <w:spacing w:line="560" w:lineRule="exact"/>
        <w:jc w:val="right"/>
        <w:textAlignment w:val="auto"/>
        <w:rPr>
          <w:rFonts w:hint="eastAsia" w:eastAsia="仿宋_GB2312"/>
          <w:color w:val="000000"/>
          <w:sz w:val="32"/>
          <w:szCs w:val="32"/>
          <w:lang w:eastAsia="zh-CN"/>
        </w:rPr>
      </w:pPr>
      <w:r>
        <w:rPr>
          <w:rFonts w:hint="eastAsia" w:eastAsia="仿宋_GB2312"/>
          <w:color w:val="000000"/>
          <w:sz w:val="32"/>
          <w:szCs w:val="32"/>
          <w:lang w:eastAsia="zh-CN"/>
        </w:rPr>
        <w:t>青云谱区城管和执法局</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pPr>
      <w:r>
        <w:rPr>
          <w:rFonts w:hint="eastAsia" w:eastAsia="仿宋_GB2312"/>
          <w:color w:val="000000"/>
          <w:sz w:val="32"/>
          <w:szCs w:val="32"/>
          <w:lang w:val="en-US" w:eastAsia="zh-CN"/>
        </w:rPr>
        <w:t xml:space="preserve">                                 </w:t>
      </w:r>
      <w:r>
        <w:rPr>
          <w:rFonts w:eastAsia="仿宋_GB2312"/>
          <w:color w:val="000000"/>
          <w:sz w:val="32"/>
          <w:szCs w:val="32"/>
        </w:rPr>
        <w:t>20</w:t>
      </w:r>
      <w:r>
        <w:rPr>
          <w:rFonts w:hint="eastAsia" w:eastAsia="仿宋_GB2312"/>
          <w:color w:val="000000"/>
          <w:sz w:val="32"/>
          <w:szCs w:val="32"/>
        </w:rPr>
        <w:t>2</w:t>
      </w:r>
      <w:r>
        <w:rPr>
          <w:rFonts w:hint="eastAsia" w:eastAsia="仿宋_GB2312"/>
          <w:color w:val="000000"/>
          <w:sz w:val="32"/>
          <w:szCs w:val="32"/>
          <w:lang w:val="en-US" w:eastAsia="zh-CN"/>
        </w:rPr>
        <w:t>2</w:t>
      </w:r>
      <w:r>
        <w:rPr>
          <w:rFonts w:eastAsia="仿宋_GB2312"/>
          <w:color w:val="000000"/>
          <w:sz w:val="32"/>
          <w:szCs w:val="32"/>
        </w:rPr>
        <w:t>年</w:t>
      </w:r>
      <w:r>
        <w:rPr>
          <w:rFonts w:hint="eastAsia" w:eastAsia="仿宋_GB2312"/>
          <w:color w:val="000000"/>
          <w:sz w:val="32"/>
          <w:szCs w:val="32"/>
          <w:lang w:val="en-US" w:eastAsia="zh-CN"/>
        </w:rPr>
        <w:t>7</w:t>
      </w:r>
      <w:r>
        <w:rPr>
          <w:rFonts w:eastAsia="仿宋_GB2312"/>
          <w:color w:val="000000"/>
          <w:sz w:val="32"/>
          <w:szCs w:val="32"/>
        </w:rPr>
        <w:t>月</w:t>
      </w:r>
      <w:r>
        <w:rPr>
          <w:rFonts w:hint="eastAsia" w:eastAsia="仿宋_GB2312"/>
          <w:color w:val="000000"/>
          <w:sz w:val="32"/>
          <w:szCs w:val="32"/>
          <w:lang w:val="en-US" w:eastAsia="zh-CN"/>
        </w:rPr>
        <w:t>27</w:t>
      </w:r>
      <w:r>
        <w:rPr>
          <w:rFonts w:eastAsia="仿宋_GB2312"/>
          <w:color w:val="000000"/>
          <w:sz w:val="32"/>
          <w:szCs w:val="32"/>
        </w:rPr>
        <w:t>日</w: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eastAsia="仿宋_GB2312"/>
          <w:color w:val="000000"/>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eastAsia="仿宋_GB2312"/>
          <w:color w:val="000000"/>
          <w:sz w:val="32"/>
          <w:szCs w:val="32"/>
          <w:lang w:eastAsia="zh-CN"/>
        </w:rPr>
      </w:pPr>
      <w:r>
        <w:rPr>
          <w:rFonts w:eastAsia="仿宋_GB2312"/>
          <w:color w:val="000000"/>
          <w:sz w:val="32"/>
          <w:szCs w:val="32"/>
        </w:rPr>
        <w:t>抄送：区政府办公室，区</w:t>
      </w:r>
      <w:r>
        <w:rPr>
          <w:rFonts w:hint="eastAsia" w:eastAsia="仿宋_GB2312"/>
          <w:color w:val="000000"/>
          <w:sz w:val="32"/>
          <w:szCs w:val="32"/>
          <w:lang w:eastAsia="zh-CN"/>
        </w:rPr>
        <w:t>政协提案委员会</w: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eastAsia="仿宋_GB2312"/>
          <w:color w:val="000000"/>
          <w:sz w:val="32"/>
          <w:szCs w:val="32"/>
          <w:lang w:val="en-US" w:eastAsia="zh-CN"/>
        </w:rPr>
      </w:pPr>
      <w:r>
        <w:rPr>
          <w:rFonts w:eastAsia="仿宋_GB2312"/>
          <w:color w:val="000000"/>
          <w:sz w:val="32"/>
          <w:szCs w:val="32"/>
        </w:rPr>
        <w:t>联系单位及电话</w:t>
      </w:r>
      <w:r>
        <w:rPr>
          <w:rFonts w:hint="eastAsia" w:eastAsia="仿宋_GB2312"/>
          <w:color w:val="000000"/>
          <w:sz w:val="32"/>
          <w:szCs w:val="32"/>
          <w:lang w:eastAsia="zh-CN"/>
        </w:rPr>
        <w:t>：青云谱区城管和执法局</w:t>
      </w:r>
      <w:r>
        <w:rPr>
          <w:rFonts w:hint="eastAsia" w:eastAsia="仿宋_GB2312"/>
          <w:color w:val="000000"/>
          <w:sz w:val="32"/>
          <w:szCs w:val="32"/>
          <w:lang w:val="en-US" w:eastAsia="zh-CN"/>
        </w:rPr>
        <w:t xml:space="preserve">  88461753</w:t>
      </w:r>
    </w:p>
    <w:p>
      <w:pPr>
        <w:keepNext w:val="0"/>
        <w:keepLines w:val="0"/>
        <w:pageBreakBefore w:val="0"/>
        <w:widowControl w:val="0"/>
        <w:kinsoku/>
        <w:wordWrap/>
        <w:overflowPunct w:val="0"/>
        <w:topLinePunct w:val="0"/>
        <w:autoSpaceDE/>
        <w:autoSpaceDN/>
        <w:bidi w:val="0"/>
        <w:adjustRightInd/>
        <w:snapToGrid/>
        <w:spacing w:line="560" w:lineRule="exact"/>
        <w:textAlignment w:val="auto"/>
      </w:pPr>
      <w:r>
        <w:rPr>
          <w:rFonts w:eastAsia="仿宋_GB2312"/>
          <w:color w:val="000000"/>
          <w:sz w:val="32"/>
          <w:szCs w:val="32"/>
        </w:rPr>
        <w:t>邮政编码：</w:t>
      </w:r>
      <w:r>
        <w:rPr>
          <w:rFonts w:hint="eastAsia" w:eastAsia="仿宋_GB2312"/>
          <w:color w:val="000000"/>
          <w:sz w:val="32"/>
          <w:szCs w:val="32"/>
          <w:lang w:val="en-US" w:eastAsia="zh-CN"/>
        </w:rPr>
        <w:t>330001</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kOTA0ODc2OWEwZDY0OTU3ZDc0NWI1MzRhOTBhZDgifQ=="/>
  </w:docVars>
  <w:rsids>
    <w:rsidRoot w:val="76F849BC"/>
    <w:rsid w:val="2B997F63"/>
    <w:rsid w:val="76F84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spacing w:after="120"/>
    </w:pPr>
  </w:style>
  <w:style w:type="paragraph" w:customStyle="1" w:styleId="4">
    <w:name w:val="引用1"/>
    <w:next w:val="1"/>
    <w:qFormat/>
    <w:uiPriority w:val="0"/>
    <w:pPr>
      <w:wordWrap w:val="0"/>
      <w:spacing w:before="200" w:after="160"/>
      <w:ind w:left="864" w:right="864"/>
      <w:jc w:val="center"/>
    </w:pPr>
    <w:rPr>
      <w:rFonts w:ascii="Times New Roman" w:hAnsi="Times New Roman" w:eastAsia="宋体" w:cs="Times New Roman"/>
      <w:i/>
      <w:sz w:val="21"/>
      <w:szCs w:val="22"/>
      <w:lang w:val="en-US" w:eastAsia="zh-CN" w:bidi="ar-SA"/>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6">
    <w:name w:val="Body Text First Indent"/>
    <w:basedOn w:val="3"/>
    <w:qFormat/>
    <w:uiPriority w:val="0"/>
    <w:pPr>
      <w:ind w:firstLine="6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2110</Words>
  <Characters>2141</Characters>
  <Lines>0</Lines>
  <Paragraphs>0</Paragraphs>
  <TotalTime>13</TotalTime>
  <ScaleCrop>false</ScaleCrop>
  <LinksUpToDate>false</LinksUpToDate>
  <CharactersWithSpaces>2284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2022-07-27T08:08:00Z</dcterms:created>
  <dc:creator>Administrator</dc:creator>
  <cp:lastModifiedBy>Administrator</cp:lastModifiedBy>
  <dcterms:modified xsi:type="dcterms:W3CDTF">2022-07-27T08:38:31Z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7683D57EA3E748298B3CA6BD0B0710CB</vt:lpwstr>
  </property>
</Properties>
</file>