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en-US" w:bidi="ar-SA"/>
        </w:rPr>
        <w:t>2024年市《政府工作报告》重点工作责任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en-US" w:bidi="ar-SA"/>
        </w:rPr>
        <w:t>分工方案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firstLine="640" w:firstLineChars="200"/>
        <w:jc w:val="left"/>
        <w:textAlignment w:val="baseline"/>
        <w:rPr>
          <w:rFonts w:ascii="Arial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为确保市十六届人大四次会议2024年市《政府工作报告》确定目标任务扎实推进并取得成效，现就贯彻落实市十六届人大四次会议2024年市《政府工作报告》重点工作责任分工安排制定如下方案。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firstLine="640" w:firstLineChars="200"/>
        <w:jc w:val="left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ascii="黑体" w:hAnsi="黑体" w:eastAsia="黑体" w:cs="黑体"/>
          <w:spacing w:val="0"/>
          <w:sz w:val="32"/>
          <w:szCs w:val="32"/>
        </w:rPr>
        <w:t>一、以科技创新引领现代化产业体系建设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全面实施“8810”行动计划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打造8条制造业标志性产业链，8个优势明显、集中度高、关联性强、有竞争力的特色产业集群，力争实现全市规模以上工业营业收入年均增长10%左右的目标。加快优质企业梯次培育，发展壮大一批链主企业、领航企业和单项冠军、专精特新企业。</w:t>
      </w:r>
      <w:r>
        <w:rPr>
          <w:rFonts w:hint="eastAsia" w:ascii="仿宋_GB2312" w:hAnsi="仿宋_GB2312" w:eastAsia="仿宋_GB2312" w:cs="仿宋_GB2312"/>
          <w:b/>
          <w:bCs w:val="0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中小企业局，各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 w:val="0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2.引导企业以高端化、智能化、绿色化、融合化为主攻方向实施技术改造，促进技术装备和产品更新换代，不断扩大产能规模、提高生产效率。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杨峰、丁有渌；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区科工局、区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中小企业局；参加单位：各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3.高效实施产业链“链长制”，探索重点产业链“链长＋”“链主＋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工作模式和“产业链＋链主企业＋X”运作机制。大力开展先进制造业集群梯次建设行动，重点在电子信息、航空、汽车及装备、新材料等领域打造一批国家级、省级先进制造业集群。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丰富壮大研发设计、检测认证、法务咨询、知识产权、会计审计、现代物流、软件信息、文化创意等服务业态，推动现代服务业与先进制造业互动融合、价值共造。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市场监管局、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司法局、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审计局、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做优做强数字经济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.加快产业数字化和数字产业化进程，示范推进中小企业数字化转型试点城市建设，深入实施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万企上云上平台”工程。加快电子元器件、软件和信息服务等数字经济核心产业发展，积极打造移动智能终端产业示范基地，加快培育有竞争力的数字产业集群。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徐志勇、杨峰、丁有渌；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中小企业局；参加单位：各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.充分发挥世界VR产业大会、世界VR产业暨元宇宙博览会等品牌优势，建设世界级VR中心。加快推动数字技术创新能力提升、数字产业能级提升，打造数字经济强市。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强化科技创新引领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.持续推进创新协同，加强与G60科创走廊、粤港澳大湾区等地科创合作。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.强化企业科技创新主体地位，实施全社会研发投入攻坚行动，持续推动知识产权创造、运用和保护，鼓励企业建立和扩大研发队伍，大力推进规上工业企业、专精特新企业建立研发机构。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中小企业局、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市场监管局，各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.支持企业与高校院所合作共建新型研发机构，推动更多科技成果转化为企业项目。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（四）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加大金融支持实体力度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.推进企业上市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映山红行动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升级工程，开展资本聚洪城系列活动，实施北交所上市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黑马计划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力争全年新增3家以上上市公司。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应卓伟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.做好科技金融、绿色金融、普惠金融、养老金融、数字金融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五篇大文章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不断满足企业全领域、深层次、多样化的金融需求。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应卓伟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青云谱生态环境局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民政局、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政数局，各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ascii="黑体" w:hAnsi="黑体" w:eastAsia="黑体" w:cs="黑体"/>
          <w:spacing w:val="0"/>
          <w:sz w:val="32"/>
          <w:szCs w:val="32"/>
        </w:rPr>
        <w:t>二、积极扩大有效需求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全力扩大有效投资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.抢抓积极的财政政策机遇，紧密衔接国债增发以及专项债发行，围绕新型基础设施、新能源、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平急两用”、城中村改造、地下管网、保障性住房等重点领域，高起点谋划一批新项目、好项目。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区城管执法局、区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.聚焦长三角、粤港澳大湾区等重点区域，紧盯世界500强、跨国公司、央企等龙头企业，大力推进产业链招商、专业招商、资本招商。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杨峰、丁有渌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商务局、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区科工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中小企业局；参加单位：各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充分挖掘消费潜力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.持续完善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一江两岸”核心商圈网点布局，优化升级历史文化街区和大型商超等消费载体，积极发展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四首”经济，促进零售、餐饮业高质量发展，不断延长和丰富“吃住行购”链条，提升线下消费热度。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大力提振汽车、家电、住房等大宗消费，深入挖掘县乡消费潜力。加快发展体验消费、健康消费、数字消费等新模式，催生更多夜间经济、直播经济、假日经济、楼宇经济热点，积极培育文旅、赛事、会展、国货“潮品”等新的消费增长点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徐志勇、杨峰、聂洪明、夏辉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区教体局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高标准谋划举办2024年世界青年羽毛球锦标赛、南昌马拉松、迎春烟花晚会、八一广场升旗仪式、第十六届中国绿色食品博览会等活动，积极申办第十六届全国运动会，规划建设南昌国际会展中心，促进“文体旅商”一体融合发展，推动人流、物流、资金流加速集聚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徐志勇、杨峰、夏辉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区教体局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激发经营主体活力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.坚持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两个毫不动摇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三个没有变”，促进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两个健康”，全面落实中央促进民营经济发展壮大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31条”及省委省政府促进民营经济发展壮大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36条”，学习借鉴“晋江经验”，在市场准入、要素获取、公平执法、权益保护等方面制定系列政策措施，增强经营主体信心和底气。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徐志勇、杨峰；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工商联；参加单位：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市场监管局、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中小企业局、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政数局、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商务局、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区科工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.持续做好我市第五次全国经济普查。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统计局；参加单位：各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.围绕企业发展所需制定相应产业政策和扶持措施。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徐志勇、杨峰、丁有渌；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区科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工局、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中小企业局；参加单位：各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.深化与民营企业常态化沟通交流，构建亲清统一的新型政商关系。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徐志勇、杨峰、丁有渌；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中小企业局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、区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工商联；参加单位：各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.支持民间投资参与盘活国有存量资产、城市老旧资源。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区财政局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.开展质量强市、质量强企建设，培育一批企业标准“领跑者”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市场监管局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.进一步完善涉企行政执法四张清单，健全完善民营企业社会责任评价体系和激励机制。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徐志勇、聂洪明；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司法局、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直各行政执法部门，各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.大力弘扬企业家精神，建设一支数量众多、素质优良的新时代企业家队伍。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工商联；参加单位：各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ascii="黑体" w:hAnsi="黑体" w:eastAsia="黑体" w:cs="黑体"/>
          <w:spacing w:val="0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0"/>
          <w:sz w:val="32"/>
          <w:szCs w:val="32"/>
          <w:highlight w:val="none"/>
        </w:rPr>
        <w:t>三、持续推动城市提质扩容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eastAsia="en-US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</w:rPr>
        <w:t>优化城市空间布局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.加快构建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一核一带，两翼多点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的城乡空间格局。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相关街办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eastAsia="en-US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</w:rPr>
        <w:t>建设综合交通枢纽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扎实推进交通强市建设行动计划，集中力量组织实施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1688”工程。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直相关单位，各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.扎实推进昌九高铁建设，力争推动昌福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、武咸昌、长昌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等线路纳入国家铁路中长期规划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修编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重点项目管理中心；参加单位：各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en-US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提升城市功能品质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.高标准完成《南昌市2024年度城市自体检报告》编制，一体化推进城市更新行动和城市功能与品质再提升行动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.扎实推进26个城中村改造。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.扎实推进240个老旧小区改造。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.加快既有住宅加装电梯进程，有效推动配售型保障性住房建设。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.完工交付8个在建旧改安置房项目，全面完成中心城区旧改安置房建设分配任务。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区住建局（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旧改办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.稳步推进“打通断头路、畅通微循环”攻坚行动。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区交警大队，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.加快推进水环境治理攻坚行动，基本完成城市排水单元整治和老城区雨污管网改造工程。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、区住建局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.排查建成区范围内窨井盖安全隐患，优化完善窨井盖建设和管理维护。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自然资源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.规范城市家具暨道路全要素设置。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.大力推动南昌动物园改扩建，新建12个城市公园，打造16条绿化彩化示范路，创建25个“席地而坐”城市客厅示范点。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相关街办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.深入推进海绵城市示范建设，加强重点片区建设示范项目全流程跟踪管控，稳步推进鱼目山、鱼尾洲片区建设。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.建设城市运行管理服务平台，推动各类感知数据整合应用，实现城市运行“一网统管”。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.持续巩固全国文明城市、国家卫生城市创建成果，全面提升市民文明素质和城市文明程度。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涂艳彬、胡启明；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文明创建办、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区卫健委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.推动文旅深度融合。坚持以文塑旅、以旅彰文，全面整合南昌红色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绿色、古色资源，重点打造“八一起义”“海昏侯”“万寿宫”“八大山人”等文旅核心IP。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夏辉；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、梅湖景区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.推进洪都工业文化创意园项目建设。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区商务局、洪都街办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区科工局、区文广新旅局；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.持续优化全市“孺子书房”运营管理。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夏辉；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区国投集团，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tabs>
          <w:tab w:val="left" w:pos="607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pacing w:val="0"/>
          <w:sz w:val="32"/>
          <w:szCs w:val="32"/>
        </w:rPr>
        <w:t>四、统筹推进深层次改革和高水平开放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深化重点领域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</w:rPr>
        <w:t>改革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.实施国有企业改革深化提升行动，加快完善现代公司治理，不断提高国有企业核心竞争力。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区财政局、区国投集团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.统筹推进投融资、科技创新、生态文明等重点领域改革贸易互通。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徐志勇、杨峰、涂艳彬、应卓伟；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生态环境局；参加单位：各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2" w:firstLineChars="200"/>
        <w:jc w:val="left"/>
        <w:textAlignment w:val="baseline"/>
        <w:rPr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营造一流营商环境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46.围绕“打造区域性营商环境标杆城市”目标，持续深化“放管服”改革，加快“数字政府”建设，放宽市场准入，深化商事制度改革，稳步扩大规则、规制、管理、标准等制度型开放，争取更多指标在国家营商环境评价中进入“优异”行列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徐志勇、丁有渌、涂艳彬；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责任单位：区发改委（区营商办）、区市场监管局、区城管执法局、区政数局；参加单位：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47.扎实开展企业“大走访、大帮扶”活动，解决融资难、用工难、物流成本高等问题，强化用水、用电、用气等要素保障，降低制度性交易成本和经营成本，推动惠企政策“快享直达”，切实为企业纾困解难、保驾护航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责任单位：区科工局；参加单位：区直相关单位，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2" w:firstLineChars="200"/>
        <w:jc w:val="left"/>
        <w:textAlignment w:val="baseline"/>
        <w:rPr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（三）</w:t>
      </w:r>
      <w:r>
        <w:rPr>
          <w:rFonts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扩大对内对外开放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48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深度融入共建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一带一路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，不断开拓沿线国家市场，加强贸易互通。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（牵头领导：徐志勇；责任单位：区发改委；参加单位：区直相关单位，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.重点对接和服务长三角一体化发展、粤港澳大湾区建设，推进与浙、闽、粤等沿海港口深化合作。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.加强与赣江新区深度融合发展，促进产业发展协同协作、基础设施互联互通、公共服务共建共享，持续促进昌九、昌抚同城化发展，建设富有创新活力和竞争力的南昌都市圈。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直相关单位，各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五、坚持不懈抓好“三农”工作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保障粮食稳定安全供给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.压紧压实耕地保护责任，坚决遏制耕地“非农化”、防止“非粮化”。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、聂洪明；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区商务局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推进农业产业化发展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.以“粮头食尾”“农头工尾”为抓手，围绕农副产品加工、食品制造、预制菜等产业，提高招商精准度，力争引进10个3000万元以上农业产业化项目。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区商务局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" w:hAnsi="楷体" w:eastAsia="楷体" w:cs="楷体"/>
          <w:b/>
          <w:bCs/>
          <w:spacing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pacing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pacing w:val="0"/>
          <w:sz w:val="32"/>
          <w:szCs w:val="32"/>
          <w:highlight w:val="none"/>
        </w:rPr>
        <w:t>加快美丽乡村建设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.完善现代乡村治理体系，加快构建共建共治共享的乡村治理格局。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区商务局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青云谱公安分局、区司法局、区民政局、区信访局、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.加强乡村精神文明建设，深入推进移风易俗，重点整治厚葬薄养、封建迷信等不良风气，推进乡村振兴不断取得实质性进展、阶段性成果。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区商务局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区民政局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底）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六、切实加强生态文明建设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深入打好污染防治攻坚战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.持续打好蓝天、碧水、净土保卫战，全面落实空气质量持续改善行动计划，确保空气质量在中部省会城市持续领先。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青云谱生态环境局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环委会成员单位，各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加大覆盖全域的入河排污口排查整治力度，深入推进鄱阳湖南昌湖区总磷污染削减。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青云谱生态环境局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.强化城区排水单元和污水管网建设工作监督与成效评估，稳步提升城区水环境质量。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聂洪明、涂艳彬；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城管执法局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、区住建局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.推进“无废城市”建设，加强重点建设用地安全利用和农田土壤污染风险管控。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青云谱生态环境局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.全力推进日处理能力300吨的泉岭厨余垃圾处理厂项目建设，实现餐厨垃圾资源化利用和无害化处理。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城管执法局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.进一步抓好中央、省生态环境保护督察反馈问题整改落实。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青云谱生态环境局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直相关单位，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各相关街办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" w:hAnsi="楷体" w:eastAsia="楷体" w:cs="楷体"/>
          <w:b/>
          <w:bCs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pacing w:val="0"/>
          <w:sz w:val="32"/>
          <w:szCs w:val="32"/>
        </w:rPr>
        <w:t>大力实施生态保护和修复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.深入实施河湖长制、林长制，统筹推进山水林田湖草沙一体化保护和系统治理。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.大力推进国土绿化、森林质量提升行动，持续巩固国际湿地城市、国家森林城市、国家水生态文明城市创建成果。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.强化与鄱阳湖周边地市的联谊联防、湖岸共治，严打非法捕捞、非法采砂等突出违法行为。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聂洪明、夏玉龙；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加快推动全面绿色转型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.深入推进“碳达峰七大行动”，加快打造绿色低碳供应链，一体推动结构降碳、技术降碳、节能降碳、循环降碳和生态固碳。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徐志勇、杨峰、聂洪明；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.大力发展林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下经济。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.加速构建新型能源体系，重点发展光伏、新型储能、风电产业。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.推进国家绿色金融改革创新试验区申报工作，积极探索EOD模式，全面拓宽生态产品投融资渠道。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涂艳彬、应卓伟；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生态环境局；参加单位：各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.高规格举办中国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南昌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绿色金融峰会。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应卓伟；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七、兜住兜准兜牢民生底线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织密扎牢社会保障网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.深入实施就业优先战略，推进公共就业服务能力提升示范项目和“5+2就业之家”建设，引导高校毕业生、农民工、城镇困难人员、退役军人等重点群体创业和灵活就业。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区人社局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退役军人局、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残联、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区教体局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.全面拓宽城乡居民财产性收入渠道，完善创新性要素参与分配机制。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徐志勇、杨峰；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区人社局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区科工局、区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.健全完善多层次社会保障体系，扎实开展补充工伤保险工作，推进新就业形态劳动者等重点群体参保。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：区人社局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应急局、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市场监管局、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医保局、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总工会、各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.优化教育资源配置，深入实施教育基本公共服务体系建设高质量发展三年行动，谋划新开工中小学校建设项目16个，持续推进普惠性园位扩容，全力做好乡村小规模学校撤并工作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落实教师待遇保障长效机制，保障教师合法权益。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区教体局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.加快健康南昌建设，在完善医疗卫生服务体系的基础上形成基层首诊、双向转诊、急慢分治、上下联动的分级诊疗格局。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胡启明；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卫健委；参加单位：各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.持续完善“15分钟健身圈”，推动全民健身与全民健康深度融合。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区教体局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.争创城市社区嵌入式服务设施建设国家试点，把优质普惠公共服务送到群众家门口。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民政局、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文广新旅局、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区卫健委，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.完善“一老一幼”服务体系，推进区域性养老服务中心建设，深入实施留守儿童关爱三年行动计划，进一步强化儿童福利保障。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夏辉；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民政局；参加单位：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妇联、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区卫健委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.建立分层分类救助体系，关爱老幼残困等特殊群体。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夏辉；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民政局；参加单位：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残联，各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.完善生育支持政策体系，推动人口高质量发展。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胡启明；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区卫健委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直相关单位，各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.市人大代表票选确定的十件民生实事，市政府将全力办实办好。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政府办公室、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发改委；参加单位：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城管执法局、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住建局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防范化解风险隐患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.围绕国家安全发展示范城市创建，全力实施安全生产治本攻坚三年行动计划，加强事故和涉险事件分析研判、收集预警，举一反三，严防发生较大以上安全生产事故。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应急局；参加单位：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安委会各成员单位，各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.推动应急管理、民兵、国防动员队伍正规化、专业化发展，提升防灾减灾救灾能力；加快城市安全风险综合监测预警体系建设，促进公共安全治理模式向事前预防转型。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应急局；参加单位：各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.严格落实政府债务风险防范化解机制，有效防范化解中小金融机构风险，强化非法集资重点案件风险处置。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徐志勇、应卓伟；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金融办；参加单位：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委政法委、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.持续开展“促销售、督开工、保交楼”攻坚行动，加强房地产领域风险防控，促进房地产市场平稳健康发展。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青云谱自然资源和规划分局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深入打造“食安南昌”品牌，严格落实食品安全管理机制，加强行刑衔接，严厉打击食品药品安全领域各类违法犯罪，确保人民群众“舌尖上的安全”。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丁有渌；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市场监管局；参加单位：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2" w:firstLineChars="200"/>
        <w:jc w:val="left"/>
        <w:textAlignment w:val="baseline"/>
        <w:rPr>
          <w:rFonts w:hint="eastAsia" w:ascii="楷体" w:hAnsi="楷体" w:eastAsia="楷体" w:cs="楷体"/>
          <w:b/>
          <w:bCs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pacing w:val="0"/>
          <w:sz w:val="32"/>
          <w:szCs w:val="32"/>
        </w:rPr>
        <w:t>维护社会和谐稳定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坚持和发展新时代“枫桥经验”“浦江经验”，学习和发扬“邱娥国工作法”，围绕信访工作预防、受理、办理、监督追责、维护秩序“五个法治化”目标，全力推动信访事项化解，不断提升信访工作法治化水平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夏辉；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委政法委、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信访局；参加单位：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局、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司法局，各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.深化社会治安防控体系建设，强化重点行业领域专项整治，持续推进常态化扫黑除恶斗争，严厉打击电信网络诈骗、侵害弱势群体利益等突出违法犯罪，努力以高水平安全保障高质量发展。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夏玉龙；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委政法委、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青云谱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局；参加单位：各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.深入贯彻习近平法治思想，锚定全国法治政府建设示范城市目标，加速推进第三方评估，整体提升依法行政工作水平。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司法局；参加单位：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直相关单位，各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  <w:lang w:eastAsia="zh-CN"/>
        </w:rPr>
        <w:sectPr>
          <w:footerReference r:id="rId5" w:type="default"/>
          <w:pgSz w:w="11906" w:h="16839"/>
          <w:pgMar w:top="2098" w:right="1531" w:bottom="1984" w:left="1531" w:header="0" w:footer="1455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.加快推动重点领域、新兴领域立法，强力推进提升行政 执法质量三年行动计划。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牵头领导：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聂洪明；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司法局；参加单位：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直各行政执法部门，各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街办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集聚区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；完成时限：2024年12月底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leftChars="0" w:right="0"/>
        <w:jc w:val="left"/>
        <w:textAlignment w:val="baseline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6" w:type="default"/>
      <w:pgSz w:w="11906" w:h="16839"/>
      <w:pgMar w:top="2098" w:right="1531" w:bottom="1984" w:left="1531" w:header="0" w:footer="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M3MzkwZjA5MDY5Zjk2ZTZhYWZlNGEyYmM5NzcxZmUifQ=="/>
  </w:docVars>
  <w:rsids>
    <w:rsidRoot w:val="00000000"/>
    <w:rsid w:val="01F01BD2"/>
    <w:rsid w:val="0240322F"/>
    <w:rsid w:val="03FC2C41"/>
    <w:rsid w:val="03FE4FA5"/>
    <w:rsid w:val="042612D9"/>
    <w:rsid w:val="05452C3E"/>
    <w:rsid w:val="0603173B"/>
    <w:rsid w:val="06992233"/>
    <w:rsid w:val="090146C5"/>
    <w:rsid w:val="098E63AA"/>
    <w:rsid w:val="0BDF70DE"/>
    <w:rsid w:val="0C364685"/>
    <w:rsid w:val="0D71793F"/>
    <w:rsid w:val="0F20161D"/>
    <w:rsid w:val="0FF705D0"/>
    <w:rsid w:val="10AA73F0"/>
    <w:rsid w:val="12492C39"/>
    <w:rsid w:val="16757429"/>
    <w:rsid w:val="177D4BF3"/>
    <w:rsid w:val="17901D0B"/>
    <w:rsid w:val="181AE0F2"/>
    <w:rsid w:val="190F7BFF"/>
    <w:rsid w:val="194303E2"/>
    <w:rsid w:val="1A4D30BB"/>
    <w:rsid w:val="1D4D7A81"/>
    <w:rsid w:val="21D23332"/>
    <w:rsid w:val="2B7B0798"/>
    <w:rsid w:val="2BC01F6A"/>
    <w:rsid w:val="2EA94D3F"/>
    <w:rsid w:val="2FA7E36E"/>
    <w:rsid w:val="38563F1C"/>
    <w:rsid w:val="38DD3F57"/>
    <w:rsid w:val="397075BE"/>
    <w:rsid w:val="39FE4185"/>
    <w:rsid w:val="3AEE41FA"/>
    <w:rsid w:val="3DE19F84"/>
    <w:rsid w:val="3EAD5A84"/>
    <w:rsid w:val="3F4563B2"/>
    <w:rsid w:val="3F745965"/>
    <w:rsid w:val="4356612F"/>
    <w:rsid w:val="449753BF"/>
    <w:rsid w:val="46170428"/>
    <w:rsid w:val="47207727"/>
    <w:rsid w:val="48CE11C6"/>
    <w:rsid w:val="48DC7D87"/>
    <w:rsid w:val="4A5D01F9"/>
    <w:rsid w:val="4F276AF0"/>
    <w:rsid w:val="4F8E7901"/>
    <w:rsid w:val="50F87728"/>
    <w:rsid w:val="55730E86"/>
    <w:rsid w:val="57FFB106"/>
    <w:rsid w:val="585B5C1B"/>
    <w:rsid w:val="587B423F"/>
    <w:rsid w:val="5A670E91"/>
    <w:rsid w:val="5BE70AC5"/>
    <w:rsid w:val="5C76005E"/>
    <w:rsid w:val="5C8648E5"/>
    <w:rsid w:val="5EEBE11C"/>
    <w:rsid w:val="5FD5231D"/>
    <w:rsid w:val="5FF73552"/>
    <w:rsid w:val="5FFEFD68"/>
    <w:rsid w:val="65CB6D62"/>
    <w:rsid w:val="676D5F2A"/>
    <w:rsid w:val="6BF7A6F9"/>
    <w:rsid w:val="6EE175F6"/>
    <w:rsid w:val="6FDF2D6D"/>
    <w:rsid w:val="6FFF58B1"/>
    <w:rsid w:val="70446601"/>
    <w:rsid w:val="7119126F"/>
    <w:rsid w:val="734819F2"/>
    <w:rsid w:val="74E10D62"/>
    <w:rsid w:val="75F70685"/>
    <w:rsid w:val="777DB7D4"/>
    <w:rsid w:val="77873F8F"/>
    <w:rsid w:val="77FE889F"/>
    <w:rsid w:val="77FFCBDF"/>
    <w:rsid w:val="78CF0742"/>
    <w:rsid w:val="7AFE025D"/>
    <w:rsid w:val="7B046E75"/>
    <w:rsid w:val="7BA4CC7F"/>
    <w:rsid w:val="7D7B639F"/>
    <w:rsid w:val="7DBFECF2"/>
    <w:rsid w:val="7DFFFB16"/>
    <w:rsid w:val="7F27A22C"/>
    <w:rsid w:val="7F88E0F6"/>
    <w:rsid w:val="7F9939A3"/>
    <w:rsid w:val="7F9DDCE8"/>
    <w:rsid w:val="7FE02FB2"/>
    <w:rsid w:val="7FFDD215"/>
    <w:rsid w:val="7FFFD450"/>
    <w:rsid w:val="8FB9C6DB"/>
    <w:rsid w:val="8FFDC52D"/>
    <w:rsid w:val="9EC7FD96"/>
    <w:rsid w:val="A6ED2AB6"/>
    <w:rsid w:val="ABA79226"/>
    <w:rsid w:val="AF6D7066"/>
    <w:rsid w:val="B7419AC0"/>
    <w:rsid w:val="BAEFE2C6"/>
    <w:rsid w:val="BB6FEF0A"/>
    <w:rsid w:val="BFB7177C"/>
    <w:rsid w:val="BFBB7469"/>
    <w:rsid w:val="BFBD30A7"/>
    <w:rsid w:val="BFFD3101"/>
    <w:rsid w:val="BFFFA10D"/>
    <w:rsid w:val="C4E6E961"/>
    <w:rsid w:val="D5EE6528"/>
    <w:rsid w:val="D7FF4D83"/>
    <w:rsid w:val="DDF71442"/>
    <w:rsid w:val="DDFD433F"/>
    <w:rsid w:val="DF7DA717"/>
    <w:rsid w:val="DFA87D6F"/>
    <w:rsid w:val="DFDE6FF7"/>
    <w:rsid w:val="E5CCB501"/>
    <w:rsid w:val="EBA5E6D4"/>
    <w:rsid w:val="EBD11DD1"/>
    <w:rsid w:val="ECF67D70"/>
    <w:rsid w:val="ED77E3E9"/>
    <w:rsid w:val="F0F95A2E"/>
    <w:rsid w:val="F35F75C0"/>
    <w:rsid w:val="F73CA0F1"/>
    <w:rsid w:val="F7DF8D0E"/>
    <w:rsid w:val="FBDBECC8"/>
    <w:rsid w:val="FDFAB439"/>
    <w:rsid w:val="FF5F2A86"/>
    <w:rsid w:val="FF9F4F68"/>
    <w:rsid w:val="FFBC164A"/>
    <w:rsid w:val="FFCF0925"/>
    <w:rsid w:val="FFEB7D34"/>
    <w:rsid w:val="FFFF3AEF"/>
    <w:rsid w:val="FFFFC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ScaleCrop>false</ScaleCrop>
  <LinksUpToDate>false</LinksUpToDate>
  <Application>WPS Office_11.8.2.1130_F1E327BC-269C-435d-A152-05C5408002CA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2024-02-09T21:19:00Z</dcterms:created>
  <dc:creator>kylin</dc:creator>
  <cp:lastModifiedBy>kylin</cp:lastModifiedBy>
  <cp:lastPrinted>2024-03-12T10:36:41Z</cp:lastPrinted>
  <dcterms:modified xsi:type="dcterms:W3CDTF">2024-03-12T10:36:49Z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2024-02-18T09:55:51Z</vt:filetime>
  </property>
  <property fmtid="{D5CDD505-2E9C-101B-9397-08002B2CF9AE}" pid="4" name="KSOProductBuildVer">
    <vt:lpwstr>2052-11.8.2.1130</vt:lpwstr>
  </property>
  <property fmtid="{D5CDD505-2E9C-101B-9397-08002B2CF9AE}" pid="5" name="ICV">
    <vt:lpwstr>FBB46B2C797740AFAE63C05B5598D87F_12</vt:lpwstr>
  </property>
</Properties>
</file>