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bCs/>
          <w:sz w:val="44"/>
          <w:szCs w:val="44"/>
        </w:rPr>
      </w:pPr>
      <w:bookmarkStart w:id="0" w:name="_Hlk5635261"/>
    </w:p>
    <w:p>
      <w:pPr>
        <w:spacing w:line="560" w:lineRule="exact"/>
        <w:jc w:val="center"/>
        <w:rPr>
          <w:rFonts w:ascii="方正小标宋简体" w:hAnsi="方正小标宋简体" w:eastAsia="方正小标宋简体" w:cs="方正小标宋简体"/>
          <w:b/>
          <w:bCs/>
          <w:sz w:val="44"/>
          <w:szCs w:val="44"/>
        </w:rPr>
      </w:pPr>
    </w:p>
    <w:p>
      <w:pPr>
        <w:spacing w:line="560" w:lineRule="exact"/>
        <w:jc w:val="center"/>
        <w:rPr>
          <w:rFonts w:ascii="方正小标宋简体" w:hAnsi="方正小标宋简体" w:eastAsia="方正小标宋简体" w:cs="方正小标宋简体"/>
          <w:b/>
          <w:bCs/>
          <w:sz w:val="44"/>
          <w:szCs w:val="44"/>
        </w:rPr>
      </w:pPr>
      <w:r>
        <w:rPr>
          <w:rFonts w:ascii="方正小标宋简体" w:hAnsi="方正小标宋简体" w:eastAsia="方正小标宋简体" w:cs="方正小标宋简体"/>
          <w:b/>
          <w:bCs/>
          <w:sz w:val="44"/>
          <w:szCs w:val="44"/>
        </w:rPr>
        <w:pict>
          <v:shape id="AutoShape 14" o:spid="_x0000_s2050" o:spt="136" type="#_x0000_t136" style="position:absolute;left:0pt;margin-left:2.35pt;margin-top:6.1pt;height:67.5pt;width:441.75pt;mso-wrap-distance-bottom:0pt;mso-wrap-distance-left:9pt;mso-wrap-distance-right:9pt;mso-wrap-distance-top:0pt;z-index:251660288;mso-width-relative:page;mso-height-relative:page;" fillcolor="#FF0000" filled="t" stroked="t" coordsize="21600,21600">
            <v:path/>
            <v:fill on="t" focussize="0,0"/>
            <v:stroke color="#FF0000"/>
            <v:imagedata o:title=""/>
            <o:lock v:ext="edit"/>
            <v:textpath on="t" fitshape="t" fitpath="t" trim="t" xscale="f" string="南昌市青云谱区教育体育局" style="font-family:宋体;font-size:36pt;v-text-align:center;"/>
            <w10:wrap type="square"/>
          </v:shape>
        </w:pict>
      </w:r>
    </w:p>
    <w:p>
      <w:pPr>
        <w:spacing w:line="560" w:lineRule="exact"/>
        <w:jc w:val="center"/>
        <w:rPr>
          <w:rFonts w:ascii="方正小标宋简体" w:hAnsi="方正小标宋简体" w:eastAsia="方正小标宋简体" w:cs="方正小标宋简体"/>
          <w:b/>
          <w:bCs/>
          <w:sz w:val="44"/>
          <w:szCs w:val="44"/>
        </w:rPr>
      </w:pPr>
    </w:p>
    <w:p>
      <w:pPr>
        <w:spacing w:line="560" w:lineRule="exact"/>
        <w:rPr>
          <w:rFonts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青教体基教字〔2021〕</w:t>
      </w:r>
      <w:r>
        <w:rPr>
          <w:rFonts w:hint="eastAsia" w:ascii="仿宋_GB2312" w:hAnsi="仿宋_GB2312" w:eastAsia="等线" w:cs="仿宋_GB2312"/>
          <w:sz w:val="32"/>
          <w:szCs w:val="32"/>
          <w:lang w:val="en-US" w:eastAsia="zh-CN"/>
        </w:rPr>
        <w:t>34</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zh-CN"/>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11430</wp:posOffset>
                </wp:positionV>
                <wp:extent cx="5615940" cy="635"/>
                <wp:effectExtent l="0" t="13970" r="3810" b="23495"/>
                <wp:wrapNone/>
                <wp:docPr id="3" name="直接连接符 3"/>
                <wp:cNvGraphicFramePr/>
                <a:graphic xmlns:a="http://schemas.openxmlformats.org/drawingml/2006/main">
                  <a:graphicData uri="http://schemas.microsoft.com/office/word/2010/wordprocessingShape">
                    <wps:wsp>
                      <wps:cNvCnPr/>
                      <wps:spPr>
                        <a:xfrm flipV="1">
                          <a:off x="0" y="0"/>
                          <a:ext cx="5831840" cy="6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55pt;margin-top:0.9pt;height:0.05pt;width:442.2pt;z-index:251661312;mso-width-relative:page;mso-height-relative:page;" filled="f" stroked="t" coordsize="21600,21600" o:gfxdata="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olCh7VAAAABQEAAA8AAAAAAAAAAQAgAAAAIgAAAGRycy9kb3ducmV2Lnht&#10;bFBLAQIUABQAAAAIAIdO4kCGQzGX/AEAAPMDAAAOAAAAAAAAAAEAIAAAACQBAABkcnMvZTJvRG9j&#10;LnhtbFBLBQYAAAAABgAGAFkBAACSBQAAAAA=&#10;">
                <v:fill on="f" focussize="0,0"/>
                <v:stroke weight="2.25pt" color="#FF0000" joinstyle="round"/>
                <v:imagedata o:title=""/>
                <o:lock v:ext="edit" aspectratio="f"/>
              </v:line>
            </w:pict>
          </mc:Fallback>
        </mc:AlternateConten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8"/>
        </w:rPr>
      </w:pPr>
      <w:r>
        <w:rPr>
          <w:rFonts w:hint="eastAsia" w:ascii="方正小标宋简体" w:eastAsia="方正小标宋简体"/>
          <w:sz w:val="44"/>
          <w:szCs w:val="48"/>
        </w:rPr>
        <w:t>关于印发《青云谱区大中小学思政课一体化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8"/>
        </w:rPr>
      </w:pPr>
      <w:r>
        <w:rPr>
          <w:rFonts w:hint="eastAsia" w:ascii="方正小标宋简体" w:eastAsia="方正小标宋简体"/>
          <w:sz w:val="44"/>
          <w:szCs w:val="48"/>
        </w:rPr>
        <w:t>建设实施方案》的通知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eastAsia="仿宋_GB2312"/>
          <w:sz w:val="32"/>
          <w:szCs w:val="32"/>
        </w:rPr>
        <w:t>区属各学校：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按照南昌市教育局《关于印发〈南昌市大中小学思政课一体化建设实施方案〉的通知》，为加快推进青云谱区思政课一体化建设，我局制定了《青云谱区大中小学思政课一体化建设实施方案》，现印发给你们，请结合实际，认真贯彻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工作推进过程中，形成的好经验、好做法，请及时向区教体局报送，联系人：刘应举，电话：8</w:t>
      </w:r>
      <w:r>
        <w:rPr>
          <w:rFonts w:ascii="仿宋_GB2312" w:eastAsia="仿宋_GB2312"/>
          <w:sz w:val="32"/>
          <w:szCs w:val="32"/>
        </w:rPr>
        <w:t>8461813</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bookmarkStart w:id="1" w:name="_GoBack"/>
      <w:bookmarkEnd w:id="1"/>
      <w:r>
        <w:rPr>
          <w:rFonts w:hint="eastAsia" w:ascii="仿宋_GB2312" w:eastAsia="仿宋_GB2312"/>
          <w:sz w:val="32"/>
          <w:szCs w:val="32"/>
        </w:rPr>
        <w:t>附件：青云谱区大中小学思政课一体化建设实施方案</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ascii="仿宋_GB2312" w:eastAsia="仿宋_GB2312"/>
          <w:sz w:val="32"/>
          <w:szCs w:val="32"/>
        </w:rPr>
      </w:pPr>
      <w:r>
        <w:rPr>
          <w:rFonts w:hint="eastAsia" w:ascii="仿宋_GB2312" w:eastAsia="仿宋_GB2312"/>
          <w:sz w:val="32"/>
          <w:szCs w:val="32"/>
        </w:rPr>
        <w:t>青云谱区教育体育局</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eastAsia" w:ascii="仿宋_GB2312" w:eastAsia="仿宋_GB2312"/>
          <w:sz w:val="16"/>
          <w:szCs w:val="16"/>
          <w:lang w:val="en-US" w:eastAsia="zh-CN"/>
        </w:rPr>
      </w:pP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年1</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r>
        <w:rPr>
          <w:rFonts w:hint="eastAsia" w:ascii="仿宋_GB2312" w:eastAsia="仿宋_GB2312"/>
          <w:sz w:val="16"/>
          <w:szCs w:val="16"/>
          <w:lang w:val="en-US" w:eastAsia="zh-CN"/>
        </w:rPr>
        <w:t xml:space="preserve"> </w:t>
      </w:r>
    </w:p>
    <w:p>
      <w:pPr>
        <w:rPr>
          <w:rFonts w:hint="eastAsia" w:ascii="黑体" w:hAnsi="黑体" w:eastAsia="黑体" w:cs="黑体"/>
          <w:sz w:val="32"/>
          <w:szCs w:val="32"/>
        </w:rPr>
      </w:pPr>
      <w:r>
        <w:rPr>
          <w:rFonts w:hint="eastAsia" w:ascii="黑体" w:hAnsi="黑体" w:eastAsia="黑体" w:cs="黑体"/>
          <w:sz w:val="32"/>
          <w:szCs w:val="32"/>
        </w:rPr>
        <w:br w:type="page"/>
      </w: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eastAsia="方正小标宋简体"/>
          <w:sz w:val="44"/>
          <w:szCs w:val="48"/>
        </w:rPr>
      </w:pPr>
      <w:r>
        <w:rPr>
          <w:rFonts w:hint="eastAsia" w:ascii="方正小标宋简体" w:eastAsia="方正小标宋简体"/>
          <w:sz w:val="44"/>
          <w:szCs w:val="48"/>
        </w:rPr>
        <w:t>青云谱区大中小学思政课一体化建设实施方案</w:t>
      </w:r>
    </w:p>
    <w:p>
      <w:pPr>
        <w:spacing w:line="56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按照南昌市教育局《关于印发〈南昌市大中小学思政课一体化建设实施方案〉的通知》，为进一步推进我区大中小学思想政治教育一体化建设工作，特制定如下实施方案。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（一）坚持党对思政课建设的全面领导，把加强和改进思政课建设摆在大中小学教育突出位置。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（二）坚持思政课建设与党的创新理论武装同步推进，全面推动习近平新时代中国特色社会主义思想进教材进课堂进学生头脑，把社会主义核心价值观贯穿大中小学教育全过程。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（三）坚持守正和创新相统一，落实新时代思政课改革创新要求，不断增强思政课的思想性、理论性和亲和力、针对性。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（四）坚持思政课在课程体系中的政治引领和价值引领作用，统筹大中小学思政课一体化建设，推动各类课程与思政课建设形成协同效应。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（五）坚持培养高素质专业化思政课教师队伍。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（一）实现课程目标一体化。</w:t>
      </w:r>
      <w:r>
        <w:rPr>
          <w:rFonts w:hint="eastAsia" w:ascii="仿宋_GB2312" w:hAnsi="仿宋_GB2312" w:eastAsia="仿宋_GB2312" w:cs="仿宋_GB2312"/>
          <w:sz w:val="32"/>
          <w:szCs w:val="32"/>
        </w:rPr>
        <w:t>按照循序渐进、螺旋上升的原则，立足于思政课的政治性属性，与属地高校、高中进行衔接，对大中小学思政课课程目标进行一体化设计，以了解学习、理解把握习近平新时代中国特色社会主义思想为课程主线，在政治认同、家国情怀、道德修养、法治意识、文化修养等方面提出明确要求，引导学生坚定“四个自信”，做德智体美劳全面发展的社会主义建设者和接班人。小学阶段重在培养学生的道德情感，初中阶段重在打牢学生的思想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（二）实现课程设置一体化。</w:t>
      </w:r>
      <w:r>
        <w:rPr>
          <w:rFonts w:hint="eastAsia" w:ascii="仿宋_GB2312" w:hAnsi="仿宋_GB2312" w:eastAsia="仿宋_GB2312" w:cs="仿宋_GB2312"/>
          <w:sz w:val="32"/>
          <w:szCs w:val="32"/>
        </w:rPr>
        <w:t>根据学生成长规律，结合不同年龄段学生的认知特点，构建大中小学一体化思政课课程体系，重点推进习近平新时代中国特色社会主义思想融入课程，实现整体设计、逐步深化。按照中宣部、教育部规定的思政课必修课和选择性必修课开设要求，开齐开足课程，确保学时学分。聚焦《红色文化》系列课程，小学阶段课堂教学和实践教学累计不少于</w:t>
      </w:r>
      <w:r>
        <w:rPr>
          <w:rFonts w:ascii="仿宋_GB2312" w:hAnsi="仿宋_GB2312" w:eastAsia="仿宋_GB2312" w:cs="仿宋_GB2312"/>
          <w:sz w:val="32"/>
          <w:szCs w:val="32"/>
        </w:rPr>
        <w:t>32课时，初中阶段不少于12课时，高中阶段不少于8课时，大学阶段不少于16课时。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（三）实现课程内容一体化。</w:t>
      </w:r>
      <w:r>
        <w:rPr>
          <w:rFonts w:hint="eastAsia" w:ascii="仿宋_GB2312" w:hAnsi="仿宋_GB2312" w:eastAsia="仿宋_GB2312" w:cs="仿宋_GB2312"/>
          <w:sz w:val="32"/>
          <w:szCs w:val="32"/>
        </w:rPr>
        <w:t>在各学段现有课程内容基础上，重点强化习近平新时代中国特色社会主义思想进课程进教材，培育和践行社会主义核心价值观，推进法治教育、劳动教育、总体国家安全观教育、公共卫生安全教育等方面内容的全面融入，实现学段纵向衔接、逐层递进，学科、课程协同联动，助推思政课教学内容和学习方式的优化。在对接辖区高中和高校的基础上，小学课程以学生的生活为基础，初中课程以学生的体验为基础，根据不同类型学校和不同层次人才培养要求，进一步增强教学的针对性和实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三、建设任务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（一）教学教材体系一体化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1.加强一体化教材建设。</w:t>
      </w:r>
      <w:r>
        <w:rPr>
          <w:rFonts w:hint="eastAsia" w:ascii="仿宋_GB2312" w:hAnsi="仿宋_GB2312" w:eastAsia="仿宋_GB2312" w:cs="仿宋_GB2312"/>
          <w:sz w:val="32"/>
          <w:szCs w:val="32"/>
        </w:rPr>
        <w:t>统一使用国家统编的思政课必修课教材，规范选用思政课选择性必修课教材。用好大中小学红色文化教材，建立一体化教材建设监测反馈机制，跟踪研判评估教材使用情况。用好《美丽江西》和垃圾分类等地方教材。各学校使用的思政课校本教材，必须经区教体局组织初审并报市教育局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2.建设一体化教学资源平台。</w:t>
      </w:r>
      <w:r>
        <w:rPr>
          <w:rFonts w:hint="eastAsia" w:ascii="仿宋_GB2312" w:hAnsi="仿宋_GB2312" w:eastAsia="仿宋_GB2312" w:cs="仿宋_GB2312"/>
          <w:sz w:val="32"/>
          <w:szCs w:val="32"/>
        </w:rPr>
        <w:t>用好国家统编大中小学思政课教材配套用书和大中小学红色文化课程教材教辅用书，广泛征集一批优质课例资源，推动优质教学资源共享。用好江西教育系统融媒体中心、“赣教云”平台。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（二）教学形式一体化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1.线上课程教学一体化。</w:t>
      </w:r>
      <w:r>
        <w:rPr>
          <w:rFonts w:hint="eastAsia" w:ascii="仿宋_GB2312" w:hAnsi="仿宋_GB2312" w:eastAsia="仿宋_GB2312" w:cs="仿宋_GB2312"/>
          <w:sz w:val="32"/>
          <w:szCs w:val="32"/>
        </w:rPr>
        <w:t>完善融媒体思政公开课建设机制，围绕同一教学主题，积极组织中小学思政课教师参加“同备一堂思政课”，组织中小学生“同上一堂思政课”。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2.社会实践一体化。</w:t>
      </w:r>
      <w:r>
        <w:rPr>
          <w:rFonts w:hint="eastAsia" w:ascii="仿宋_GB2312" w:hAnsi="仿宋_GB2312" w:eastAsia="仿宋_GB2312" w:cs="仿宋_GB2312"/>
          <w:sz w:val="32"/>
          <w:szCs w:val="32"/>
        </w:rPr>
        <w:t>围绕同一实践教学主题，用好大学生文明实践志愿服务、中小学生研学实践、青少年学生志愿服务等社会实践机制，依托新时代文明实践中心（所、站）建立大中小学思政课一体化学生实践基地，结合不同学段特点研发社会实践学习项目，探索实施大中小学生联合、“大手牵小手”方式等一体化实践教学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3.“四史”教育一体化。</w:t>
      </w:r>
      <w:r>
        <w:rPr>
          <w:rFonts w:hint="eastAsia" w:ascii="仿宋_GB2312" w:hAnsi="仿宋_GB2312" w:eastAsia="仿宋_GB2312" w:cs="仿宋_GB2312"/>
          <w:sz w:val="32"/>
          <w:szCs w:val="32"/>
        </w:rPr>
        <w:t>在思政课中加强以党史为重点的“四史”教育，持续深化所有思政课必修课中“四史”学习教育相关内容的有机融入，各中小学校要积极组织开展“从小学党史</w:t>
      </w:r>
      <w:r>
        <w:rPr>
          <w:rFonts w:ascii="仿宋_GB2312" w:hAnsi="仿宋_GB2312" w:eastAsia="仿宋_GB2312" w:cs="仿宋_GB2312"/>
          <w:sz w:val="32"/>
          <w:szCs w:val="32"/>
        </w:rPr>
        <w:t xml:space="preserve"> 永远跟党走”主题教育活动。用好《习近平新时代中国特色社会主义思想学生读本》、“读懂新时代”丛书等读本读物</w:t>
      </w:r>
      <w:r>
        <w:rPr>
          <w:rFonts w:hint="eastAsia" w:ascii="仿宋_GB2312" w:hAnsi="仿宋_GB2312" w:eastAsia="仿宋_GB2312" w:cs="仿宋_GB2312"/>
          <w:sz w:val="32"/>
          <w:szCs w:val="32"/>
        </w:rPr>
        <w:t>。围绕同一教育主题，一体化设计形式多样、符合各学段学生特点的知识传授和社会实践系列项目。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（三）教学教研一体化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1.健全一体化教研机构（组织）建设。</w:t>
      </w:r>
      <w:r>
        <w:rPr>
          <w:rFonts w:hint="eastAsia" w:ascii="仿宋_GB2312" w:hAnsi="仿宋_GB2312" w:eastAsia="仿宋_GB2312" w:cs="仿宋_GB2312"/>
          <w:sz w:val="32"/>
          <w:szCs w:val="32"/>
        </w:rPr>
        <w:t>完善大中小学校思政课教研机构建设，配齐建强中小学思政课教研员，形成上下联动、通力协作的大中小思政课一体化教研格局。建立健全大中小学思政课教师一体化备课机制，普遍实行思政课教师集体备课制度，学校领导干部要积极支持和主动参与，全面提升教研水平。在市教育局指导下，探索建立区级思政一体化建设指导委员会，建立一体化思政教师研修基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2.完善一体化协作机制。</w:t>
      </w:r>
      <w:r>
        <w:rPr>
          <w:rFonts w:hint="eastAsia" w:ascii="仿宋_GB2312" w:hAnsi="仿宋_GB2312" w:eastAsia="仿宋_GB2312" w:cs="仿宋_GB2312"/>
          <w:sz w:val="32"/>
          <w:szCs w:val="32"/>
        </w:rPr>
        <w:t>围绕选段内整体水平提升，持续实施名师工作室帮扶中小学校思政课建设。围绕相邻学段课程纵向衔接，按照“本科</w:t>
      </w:r>
      <w:r>
        <w:rPr>
          <w:rFonts w:ascii="仿宋_GB2312" w:hAnsi="仿宋_GB2312" w:eastAsia="仿宋_GB2312" w:cs="仿宋_GB2312"/>
          <w:sz w:val="32"/>
          <w:szCs w:val="32"/>
        </w:rPr>
        <w:t>+高职、本科+普通高中、高职+中职、普通高中+初中、初中+小学”的纵向衔接模式，</w:t>
      </w:r>
      <w:r>
        <w:rPr>
          <w:rFonts w:hint="eastAsia" w:ascii="仿宋_GB2312" w:hAnsi="仿宋_GB2312" w:eastAsia="仿宋_GB2312" w:cs="仿宋_GB2312"/>
          <w:sz w:val="32"/>
          <w:szCs w:val="32"/>
        </w:rPr>
        <w:t>组建若干个区域性思政课一体化联盟，欢迎大学、中学优秀思政课教师分别走进中学、小学课堂教学实践，组织小学、中学思政课教师走进中学、大学课堂教学观摩。围绕跨学段有序衔接，积极参加高校牵头组织的区域性一体化思政课教学改革创新联合体，开展理论学习、教学研讨、学术研究、教学观摩、集体备课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3.建立一体化备课机制。</w:t>
      </w:r>
      <w:r>
        <w:rPr>
          <w:rFonts w:hint="eastAsia" w:ascii="仿宋_GB2312" w:hAnsi="仿宋_GB2312" w:eastAsia="仿宋_GB2312" w:cs="仿宋_GB2312"/>
          <w:sz w:val="32"/>
          <w:szCs w:val="32"/>
        </w:rPr>
        <w:t>围绕教材使用，参与区域性集体备课机制和平台建设，用好“学习强国”平台，发挥各学段优秀教师带领备课示范作用，分课程、跨课程、跨学段组织大中小学思政课教师集体备课。结合教学实践，组织大中小学思政课教师交流研讨，共同探讨思政课一体化教学规律，促进不同学段教师在共同备课学习过程中相互融通、整合资源，提高对教学内容的一体化把握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4.推出一体化优秀教研成果。</w:t>
      </w:r>
      <w:r>
        <w:rPr>
          <w:rFonts w:hint="eastAsia" w:ascii="仿宋_GB2312" w:hAnsi="仿宋_GB2312" w:eastAsia="仿宋_GB2312" w:cs="仿宋_GB2312"/>
          <w:sz w:val="32"/>
          <w:szCs w:val="32"/>
        </w:rPr>
        <w:t>鼓励思政教师开展课程教材、教学方法、社会实践等一体化研究。定期组织思政课教师教学展示、优秀示范课巡讲、教学观摩等活动，对接属地高中、高校，举办大中小学思政课一体化建设论坛，及时推广一体化建设优秀成果、分享一体化建设经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5.整体推进课程思政和中小学学科德育。</w:t>
      </w:r>
      <w:r>
        <w:rPr>
          <w:rFonts w:hint="eastAsia" w:ascii="仿宋_GB2312" w:hAnsi="仿宋_GB2312" w:eastAsia="仿宋_GB2312" w:cs="仿宋_GB2312"/>
          <w:sz w:val="32"/>
          <w:szCs w:val="32"/>
        </w:rPr>
        <w:t>深度挖掘中小学语文、历史、地理、体育、艺术等所有课程蕴含的思想政治教育资源，构建全面覆盖、类型丰富、层次递进、相互支撑的课程体系，使各类课程与思政课同向同行。建成一批课学科德育示范中小学校，推出一批课程思政和学科德育示范课程，选树一批课程思政和学科德育教学名师和团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（四）队伍建设一体化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1.落实思政课教师队伍配备要求。</w:t>
      </w:r>
      <w:r>
        <w:rPr>
          <w:rFonts w:hint="eastAsia" w:ascii="仿宋_GB2312" w:hAnsi="仿宋_GB2312" w:eastAsia="仿宋_GB2312" w:cs="仿宋_GB2312"/>
          <w:sz w:val="32"/>
          <w:szCs w:val="32"/>
        </w:rPr>
        <w:t>小学专职思政课教师应不少于应配思政课教师总数的</w:t>
      </w:r>
      <w:r>
        <w:rPr>
          <w:rFonts w:ascii="仿宋_GB2312" w:hAnsi="仿宋_GB2312" w:eastAsia="仿宋_GB2312" w:cs="仿宋_GB2312"/>
          <w:sz w:val="32"/>
          <w:szCs w:val="32"/>
        </w:rPr>
        <w:t>50%，中学应配齐专职思政课教师。落实专职思政课教师任职资格标准，健全专职思政课教师退出机制，完善兼职思政课教师培训上岗制度，每3年对中小学思政课教师至少进行一次不少于5天的集中脱产培训。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2.加强一体化后备人才培养。</w:t>
      </w:r>
      <w:r>
        <w:rPr>
          <w:rFonts w:hint="eastAsia" w:ascii="仿宋_GB2312" w:hAnsi="仿宋_GB2312" w:eastAsia="仿宋_GB2312" w:cs="仿宋_GB2312"/>
          <w:sz w:val="32"/>
          <w:szCs w:val="32"/>
        </w:rPr>
        <w:t>在接收公费师范毕业生、选聘高层次教育人才、定向培养农村师范生、公开招聘教师等工作中，须有一定比例的中小学思政课教师计划。支持一批优秀中小学思政课教师在职攻读思政教育相关硕士学位。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3.提升各学段思政课教师水平。</w:t>
      </w:r>
      <w:r>
        <w:rPr>
          <w:rFonts w:hint="eastAsia" w:ascii="仿宋_GB2312" w:hAnsi="仿宋_GB2312" w:eastAsia="仿宋_GB2312" w:cs="仿宋_GB2312"/>
          <w:sz w:val="32"/>
          <w:szCs w:val="32"/>
        </w:rPr>
        <w:t>围绕各学段内课程目标、课程设置和课程内容，以学段、年级为基础，围绕统编教材教法、专题教学、实践锻炼教育等方面，一体化规划设计思政课教师培训体系，实现各学段都有一批优秀思政课教师的目标。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4.加快一体化专业团队建设。</w:t>
      </w:r>
      <w:r>
        <w:rPr>
          <w:rFonts w:hint="eastAsia" w:ascii="仿宋_GB2312" w:hAnsi="仿宋_GB2312" w:eastAsia="仿宋_GB2312" w:cs="仿宋_GB2312"/>
          <w:sz w:val="32"/>
          <w:szCs w:val="32"/>
        </w:rPr>
        <w:t>开展“同一主题、四个联合”系列活动（联合举办培训研修、联合开展教学研讨、联合组织教学展示、联合实施实践研学），积极实施与“名师工作室”结对共建，重点培养一批引领一体化建设的领军团队，孵化一批一体化建设骨干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学校书记、校长作为思政课建设第一责任人，要带头推动思政课建设，研究制定思政课一体化建设实施方案，及时研究解决工作中的重大问题，确保工作有序推进。督导部门要将中小学思政课一体化建设纳入教育督导范畴，督导检查相关工作落实情况。各学校要把中小学思政课建设所需经费纳入年度预算，重点支持中小学思政课教师学术交流、专业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宣传表彰、实践研修等。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（二）加强平台机制建设。</w:t>
      </w:r>
      <w:r>
        <w:rPr>
          <w:rFonts w:hint="eastAsia" w:ascii="仿宋_GB2312" w:hAnsi="仿宋_GB2312" w:eastAsia="仿宋_GB2312" w:cs="仿宋_GB2312"/>
          <w:sz w:val="32"/>
          <w:szCs w:val="32"/>
        </w:rPr>
        <w:t>建立“机构</w:t>
      </w:r>
      <w:r>
        <w:rPr>
          <w:rFonts w:ascii="仿宋_GB2312" w:hAnsi="仿宋_GB2312" w:eastAsia="仿宋_GB2312" w:cs="仿宋_GB2312"/>
          <w:sz w:val="32"/>
          <w:szCs w:val="32"/>
        </w:rPr>
        <w:t>+专家组织”工作机制，定期召开专家组工作例会，研究解决一体化建设过程中遇到的困难问题。推动建立区级大中小学思政课一体化建设交流平台，定期组织开展集体备课、教学观摩。创新一体化评价激励机制，推选一批大中小学优秀思政课教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（三)改革教学评价。</w:t>
      </w:r>
      <w:r>
        <w:rPr>
          <w:rFonts w:hint="eastAsia" w:ascii="仿宋_GB2312" w:hAnsi="仿宋_GB2312" w:eastAsia="仿宋_GB2312" w:cs="仿宋_GB2312"/>
          <w:sz w:val="32"/>
          <w:szCs w:val="32"/>
        </w:rPr>
        <w:t>各学校要坚持开门办思政课，推动思政课实践教学与学生社会实践活动、志愿服务活动结合，思政小课堂和社会大课堂结合，结合各学段学生不同特点，探索学习效果评价办法。小学阶段以测验方式进行认知评价，中学阶段重点考察学生案例分析和判断能力，将思政课学习实践情况等作为重要内容纳入学生综合素质评价体系，作为学生评奖评优重要依据，作为加入中国少年先锋队、中国共产主义青年团的重要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（四）加强舆论引导。</w:t>
      </w:r>
      <w:r>
        <w:rPr>
          <w:rFonts w:hint="eastAsia" w:ascii="仿宋_GB2312" w:hAnsi="仿宋_GB2312" w:eastAsia="仿宋_GB2312" w:cs="仿宋_GB2312"/>
          <w:sz w:val="32"/>
          <w:szCs w:val="32"/>
        </w:rPr>
        <w:t>积极协调新闻媒体，加大对思政课一体化建设的经验做法、优秀思政课教师的宣传力度，积极营造一体化建设的浓厚氛围，努力形成全社会努力办好思政课、教师认真讲好思政课、学生积极学好思政课的良好氛围。</w:t>
      </w:r>
    </w:p>
    <w:p>
      <w:pPr>
        <w:pStyle w:val="2"/>
        <w:ind w:firstLine="640"/>
        <w:rPr>
          <w:rFonts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val="0"/>
        <w:snapToGrid w:val="0"/>
        <w:spacing w:after="0" w:line="800" w:lineRule="exact"/>
        <w:ind w:left="0" w:leftChars="0" w:firstLine="0" w:firstLineChars="0"/>
        <w:textAlignment w:val="auto"/>
        <w:rPr>
          <w:rFonts w:hint="eastAsia" w:ascii="仿宋_GB2312" w:hAnsi="仿宋_GB2312" w:eastAsia="仿宋_GB2312" w:cs="仿宋_GB2312"/>
          <w:sz w:val="32"/>
          <w:szCs w:val="32"/>
        </w:rPr>
      </w:pPr>
    </w:p>
    <w:tbl>
      <w:tblPr>
        <w:tblStyle w:val="6"/>
        <w:tblpPr w:leftFromText="180" w:rightFromText="180" w:vertAnchor="text" w:horzAnchor="page" w:tblpXSpec="center" w:tblpY="54"/>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071" w:type="dxa"/>
            <w:vAlign w:val="center"/>
          </w:tcPr>
          <w:p>
            <w:pPr>
              <w:spacing w:line="500" w:lineRule="exact"/>
              <w:ind w:firstLine="84" w:firstLineChars="30"/>
              <w:rPr>
                <w:rFonts w:ascii="仿宋_GB2312" w:hAnsi="Times New Roman" w:eastAsia="宋体" w:cs="Times New Roman"/>
                <w:position w:val="6"/>
                <w:sz w:val="28"/>
                <w:szCs w:val="28"/>
              </w:rPr>
            </w:pPr>
            <w:r>
              <w:rPr>
                <w:rFonts w:hint="eastAsia" w:ascii="仿宋_GB2312" w:hAnsi="仿宋_GB2312" w:eastAsia="仿宋_GB2312" w:cs="仿宋_GB2312"/>
                <w:position w:val="6"/>
                <w:sz w:val="28"/>
                <w:szCs w:val="28"/>
              </w:rPr>
              <w:t xml:space="preserve">青云谱区教育体育局办公室           </w:t>
            </w:r>
            <w:r>
              <w:rPr>
                <w:rFonts w:hint="eastAsia" w:ascii="仿宋_GB2312" w:hAnsi="仿宋_GB2312" w:cs="仿宋_GB2312"/>
                <w:position w:val="6"/>
                <w:sz w:val="28"/>
                <w:szCs w:val="28"/>
              </w:rPr>
              <w:t xml:space="preserve"> </w:t>
            </w:r>
            <w:r>
              <w:rPr>
                <w:rFonts w:hint="eastAsia" w:ascii="仿宋_GB2312" w:hAnsi="仿宋_GB2312" w:eastAsia="仿宋_GB2312" w:cs="仿宋_GB2312"/>
                <w:position w:val="6"/>
                <w:sz w:val="28"/>
                <w:szCs w:val="28"/>
              </w:rPr>
              <w:t xml:space="preserve">       2021年</w:t>
            </w:r>
            <w:r>
              <w:rPr>
                <w:rFonts w:hint="eastAsia" w:ascii="仿宋_GB2312" w:hAnsi="仿宋_GB2312" w:cs="仿宋_GB2312"/>
                <w:position w:val="6"/>
                <w:sz w:val="28"/>
                <w:szCs w:val="28"/>
              </w:rPr>
              <w:t>12</w:t>
            </w:r>
            <w:r>
              <w:rPr>
                <w:rFonts w:hint="eastAsia" w:ascii="仿宋_GB2312" w:hAnsi="仿宋_GB2312" w:eastAsia="仿宋_GB2312" w:cs="仿宋_GB2312"/>
                <w:position w:val="6"/>
                <w:sz w:val="28"/>
                <w:szCs w:val="28"/>
              </w:rPr>
              <w:t>月</w:t>
            </w:r>
            <w:r>
              <w:rPr>
                <w:rFonts w:hint="eastAsia" w:ascii="仿宋_GB2312" w:hAnsi="仿宋_GB2312" w:eastAsia="仿宋_GB2312" w:cs="仿宋_GB2312"/>
                <w:position w:val="6"/>
                <w:sz w:val="28"/>
                <w:szCs w:val="28"/>
                <w:lang w:val="en-US" w:eastAsia="zh-CN"/>
              </w:rPr>
              <w:t>14</w:t>
            </w:r>
            <w:r>
              <w:rPr>
                <w:rFonts w:hint="eastAsia" w:ascii="仿宋_GB2312" w:hAnsi="仿宋_GB2312" w:eastAsia="仿宋_GB2312" w:cs="仿宋_GB2312"/>
                <w:position w:val="6"/>
                <w:sz w:val="28"/>
                <w:szCs w:val="28"/>
              </w:rPr>
              <w:t>日印发</w:t>
            </w:r>
          </w:p>
        </w:tc>
      </w:tr>
    </w:tbl>
    <w:p>
      <w:pPr>
        <w:pStyle w:val="2"/>
        <w:spacing w:after="0" w:line="20" w:lineRule="exact"/>
        <w:ind w:firstLine="640"/>
        <w:rPr>
          <w:rFonts w:ascii="仿宋_GB2312" w:hAnsi="仿宋_GB2312" w:eastAsia="仿宋_GB2312" w:cs="仿宋_GB2312"/>
          <w:sz w:val="32"/>
          <w:szCs w:val="32"/>
        </w:rPr>
      </w:pPr>
    </w:p>
    <w:sectPr>
      <w:footerReference r:id="rId3"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2807335</wp:posOffset>
              </wp:positionH>
              <wp:positionV relativeFrom="paragraph">
                <wp:posOffset>-173355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1.05pt;margin-top:-13.65pt;height:144pt;width:144pt;mso-position-horizontal-relative:margin;mso-wrap-style:none;z-index:251659264;mso-width-relative:page;mso-height-relative:page;" filled="f" stroked="f" coordsize="21600,21600" o:gfxdata="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kB162NgAAAALAQAADwAAAAAAAAABACAAAAAiAAAAZHJzL2Rvd25yZXYueG1s&#10;UEsBAhQAFAAAAAgAh07iQEi29ifcAgAAJAYAAA4AAAAAAAAAAQAgAAAAJwEAAGRycy9lMm9Eb2Mu&#10;eG1sUEsFBgAAAAAGAAYAWQEAAHU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6A"/>
    <w:rsid w:val="00010BE6"/>
    <w:rsid w:val="00011C6A"/>
    <w:rsid w:val="000E3D3D"/>
    <w:rsid w:val="001B1B08"/>
    <w:rsid w:val="00677064"/>
    <w:rsid w:val="007457F1"/>
    <w:rsid w:val="007A5759"/>
    <w:rsid w:val="009D7DB6"/>
    <w:rsid w:val="00A45B28"/>
    <w:rsid w:val="00B75AE8"/>
    <w:rsid w:val="00B94E78"/>
    <w:rsid w:val="00BA28E6"/>
    <w:rsid w:val="00BF6FB1"/>
    <w:rsid w:val="00CD7DE9"/>
    <w:rsid w:val="00DB116D"/>
    <w:rsid w:val="00DE2D8B"/>
    <w:rsid w:val="00F209FF"/>
    <w:rsid w:val="00FA436B"/>
    <w:rsid w:val="1B067C00"/>
    <w:rsid w:val="40FC2F44"/>
    <w:rsid w:val="491943E1"/>
    <w:rsid w:val="4F9A761D"/>
    <w:rsid w:val="741B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qFormat/>
    <w:uiPriority w:val="0"/>
    <w:pPr>
      <w:adjustRightInd w:val="0"/>
      <w:snapToGrid w:val="0"/>
      <w:spacing w:after="200"/>
      <w:ind w:left="420" w:leftChars="200" w:firstLine="420" w:firstLineChars="200"/>
    </w:pPr>
    <w:rPr>
      <w:rFonts w:ascii="Tahoma" w:hAnsi="Tahoma" w:eastAsia="宋体" w:cs="Times New Roman"/>
      <w:sz w:val="28"/>
      <w:szCs w:val="22"/>
      <w:lang w:val="en-US" w:eastAsia="zh-CN" w:bidi="ar-SA"/>
    </w:rPr>
  </w:style>
  <w:style w:type="paragraph" w:styleId="3">
    <w:name w:val="Date"/>
    <w:basedOn w:val="1"/>
    <w:next w:val="1"/>
    <w:link w:val="8"/>
    <w:semiHidden/>
    <w:unhideWhenUsed/>
    <w:qFormat/>
    <w:uiPriority w:val="99"/>
    <w:pPr>
      <w:ind w:left="100" w:leftChars="2500"/>
    </w:p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日期 字符"/>
    <w:basedOn w:val="7"/>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3879</Words>
  <Characters>3919</Characters>
  <Lines>28</Lines>
  <Paragraphs>7</Paragraphs>
  <TotalTime>40</TotalTime>
  <ScaleCrop>false</ScaleCrop>
  <LinksUpToDate>false</LinksUpToDate>
  <CharactersWithSpaces>3940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2021-11-30T08:08:00Z</dcterms:created>
  <dc:creator>刘应举</dc:creator>
  <cp:lastModifiedBy>王小贱</cp:lastModifiedBy>
  <cp:lastPrinted>2021-12-10T06:53:00Z</cp:lastPrinted>
  <dcterms:modified xsi:type="dcterms:W3CDTF">2021-12-14T08:44:55Z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DB4594E55E4B4A708085CBB3EE1C569E</vt:lpwstr>
  </property>
</Properties>
</file>