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eastAsia="方正小标宋简体"/>
          <w:sz w:val="44"/>
          <w:szCs w:val="44"/>
        </w:rPr>
      </w:pPr>
      <w:bookmarkStart w:id="0" w:name="_Toc54278819"/>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eastAsia="方正小标宋简体"/>
          <w:sz w:val="44"/>
          <w:szCs w:val="44"/>
        </w:rPr>
      </w:pPr>
    </w:p>
    <w:p>
      <w:pPr>
        <w:ind w:firstLine="0" w:firstLineChars="0"/>
        <w:jc w:val="center"/>
        <w:rPr>
          <w:rFonts w:hint="eastAsia" w:eastAsia="方正小标宋简体"/>
          <w:sz w:val="44"/>
          <w:szCs w:val="44"/>
        </w:rPr>
      </w:pPr>
      <w:r>
        <w:rPr>
          <w:rFonts w:hint="eastAsia" w:eastAsia="方正小标宋简体"/>
          <w:sz w:val="56"/>
          <w:szCs w:val="56"/>
          <w:lang w:eastAsia="zh-CN"/>
        </w:rPr>
        <w:t>青云谱镇</w:t>
      </w:r>
      <w:r>
        <w:rPr>
          <w:rFonts w:hint="eastAsia" w:eastAsia="方正小标宋简体"/>
          <w:sz w:val="56"/>
          <w:szCs w:val="56"/>
        </w:rPr>
        <w:t>市政服务领域政务公开标准目录</w:t>
      </w: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bookmarkStart w:id="2" w:name="_GoBack"/>
      <w:bookmarkEnd w:id="2"/>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jc w:val="center"/>
        <w:rPr>
          <w:rFonts w:hint="eastAsia" w:ascii="方正小标宋简体" w:eastAsia="方正小标宋简体"/>
          <w:sz w:val="56"/>
          <w:szCs w:val="56"/>
        </w:rPr>
      </w:pPr>
      <w:r>
        <w:rPr>
          <w:rFonts w:hint="eastAsia" w:ascii="方正小标宋简体" w:eastAsia="方正小标宋简体"/>
          <w:sz w:val="56"/>
          <w:szCs w:val="56"/>
        </w:rPr>
        <w:t>202</w:t>
      </w:r>
      <w:r>
        <w:rPr>
          <w:rFonts w:hint="eastAsia" w:ascii="方正小标宋简体" w:eastAsia="方正小标宋简体"/>
          <w:sz w:val="56"/>
          <w:szCs w:val="56"/>
          <w:lang w:val="en-US" w:eastAsia="zh-CN"/>
        </w:rPr>
        <w:t>2</w:t>
      </w:r>
      <w:r>
        <w:rPr>
          <w:rFonts w:hint="eastAsia" w:ascii="方正小标宋简体" w:eastAsia="方正小标宋简体"/>
          <w:sz w:val="56"/>
          <w:szCs w:val="56"/>
        </w:rPr>
        <w:t>年</w:t>
      </w:r>
    </w:p>
    <w:p>
      <w:pPr>
        <w:jc w:val="center"/>
        <w:rPr>
          <w:rFonts w:hint="eastAsia" w:ascii="方正小标宋简体" w:eastAsia="方正小标宋简体"/>
          <w:sz w:val="56"/>
          <w:szCs w:val="56"/>
        </w:rPr>
      </w:pPr>
    </w:p>
    <w:bookmarkEnd w:id="0"/>
    <w:p>
      <w:pPr>
        <w:pStyle w:val="2"/>
        <w:spacing w:before="0" w:after="0" w:line="600" w:lineRule="exact"/>
        <w:ind w:firstLine="0" w:firstLineChars="0"/>
        <w:jc w:val="center"/>
        <w:rPr>
          <w:rFonts w:hint="eastAsia" w:ascii="方正小标宋简体" w:hAnsi="方正小标宋简体" w:eastAsia="方正小标宋简体"/>
          <w:b w:val="0"/>
          <w:bCs w:val="0"/>
          <w:sz w:val="32"/>
        </w:rPr>
      </w:pPr>
      <w:bookmarkStart w:id="1" w:name="_Toc54278828"/>
      <w:r>
        <w:rPr>
          <w:rFonts w:hint="eastAsia" w:ascii="方正小标宋简体" w:hAnsi="方正小标宋简体" w:eastAsia="方正小标宋简体"/>
          <w:b w:val="0"/>
          <w:bCs w:val="0"/>
          <w:sz w:val="32"/>
          <w:lang w:eastAsia="zh-CN"/>
        </w:rPr>
        <w:t>青云谱镇</w:t>
      </w:r>
      <w:r>
        <w:rPr>
          <w:rFonts w:hint="eastAsia" w:ascii="方正小标宋简体" w:hAnsi="方正小标宋简体" w:eastAsia="方正小标宋简体"/>
          <w:b w:val="0"/>
          <w:bCs w:val="0"/>
          <w:sz w:val="32"/>
        </w:rPr>
        <w:t>市政服务领域政务公开标准目录</w:t>
      </w:r>
      <w:bookmarkEnd w:id="1"/>
    </w:p>
    <w:tbl>
      <w:tblPr>
        <w:tblStyle w:val="3"/>
        <w:tblW w:w="12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0"/>
        <w:gridCol w:w="1100"/>
        <w:gridCol w:w="1300"/>
        <w:gridCol w:w="1719"/>
        <w:gridCol w:w="992"/>
        <w:gridCol w:w="889"/>
        <w:gridCol w:w="1186"/>
        <w:gridCol w:w="491"/>
        <w:gridCol w:w="573"/>
        <w:gridCol w:w="409"/>
        <w:gridCol w:w="450"/>
        <w:gridCol w:w="464"/>
        <w:gridCol w:w="43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540"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序号</w:t>
            </w:r>
          </w:p>
        </w:tc>
        <w:tc>
          <w:tcPr>
            <w:tcW w:w="1780" w:type="dxa"/>
            <w:gridSpan w:val="2"/>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公开事项</w:t>
            </w:r>
          </w:p>
        </w:tc>
        <w:tc>
          <w:tcPr>
            <w:tcW w:w="1300"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公开内容</w:t>
            </w:r>
          </w:p>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（要素）</w:t>
            </w:r>
          </w:p>
        </w:tc>
        <w:tc>
          <w:tcPr>
            <w:tcW w:w="1719"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公开依据</w:t>
            </w:r>
          </w:p>
        </w:tc>
        <w:tc>
          <w:tcPr>
            <w:tcW w:w="992"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公开时限</w:t>
            </w:r>
          </w:p>
        </w:tc>
        <w:tc>
          <w:tcPr>
            <w:tcW w:w="889" w:type="dxa"/>
            <w:vMerge w:val="restart"/>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lang w:val="en-US" w:eastAsia="zh-CN"/>
              </w:rPr>
              <w:t>五公开阶段</w:t>
            </w:r>
          </w:p>
        </w:tc>
        <w:tc>
          <w:tcPr>
            <w:tcW w:w="1186" w:type="dxa"/>
            <w:vMerge w:val="restart"/>
            <w:noWrap w:val="0"/>
            <w:vAlign w:val="center"/>
          </w:tcPr>
          <w:p>
            <w:pPr>
              <w:widowControl/>
              <w:adjustRightInd/>
              <w:spacing w:line="240" w:lineRule="exact"/>
              <w:ind w:firstLine="0" w:firstLineChars="0"/>
              <w:jc w:val="left"/>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公开渠道和载体</w:t>
            </w:r>
          </w:p>
        </w:tc>
        <w:tc>
          <w:tcPr>
            <w:tcW w:w="1064"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公开对象</w:t>
            </w:r>
          </w:p>
        </w:tc>
        <w:tc>
          <w:tcPr>
            <w:tcW w:w="859"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公开方式</w:t>
            </w:r>
          </w:p>
        </w:tc>
        <w:tc>
          <w:tcPr>
            <w:tcW w:w="900"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公开层级</w:t>
            </w:r>
          </w:p>
        </w:tc>
        <w:tc>
          <w:tcPr>
            <w:tcW w:w="1666" w:type="dxa"/>
            <w:vMerge w:val="restart"/>
            <w:noWrap w:val="0"/>
            <w:vAlign w:val="center"/>
          </w:tcPr>
          <w:p>
            <w:pPr>
              <w:widowControl/>
              <w:adjustRightInd/>
              <w:spacing w:line="240" w:lineRule="exact"/>
              <w:ind w:firstLine="0" w:firstLineChars="0"/>
              <w:jc w:val="center"/>
              <w:rPr>
                <w:rFonts w:hint="eastAsia" w:ascii="黑体" w:hAnsi="黑体" w:eastAsia="黑体" w:cs="宋体"/>
                <w:color w:val="auto"/>
                <w:kern w:val="0"/>
                <w:sz w:val="18"/>
                <w:szCs w:val="18"/>
                <w:lang w:val="en-US" w:eastAsia="zh-CN" w:bidi="ar-SA"/>
              </w:rPr>
            </w:pPr>
            <w:r>
              <w:rPr>
                <w:rFonts w:hint="eastAsia" w:ascii="黑体" w:hAnsi="宋体" w:eastAsia="黑体" w:cs="宋体"/>
                <w:color w:val="auto"/>
                <w:kern w:val="0"/>
                <w:sz w:val="18"/>
                <w:szCs w:val="18"/>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jc w:val="center"/>
        </w:trPr>
        <w:tc>
          <w:tcPr>
            <w:tcW w:w="540"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680"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一级 事项</w:t>
            </w:r>
          </w:p>
        </w:tc>
        <w:tc>
          <w:tcPr>
            <w:tcW w:w="1100"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二级事项</w:t>
            </w:r>
          </w:p>
        </w:tc>
        <w:tc>
          <w:tcPr>
            <w:tcW w:w="1300"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1719"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992"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889"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1186"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491"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全社会</w:t>
            </w:r>
          </w:p>
        </w:tc>
        <w:tc>
          <w:tcPr>
            <w:tcW w:w="573"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特定 群体</w:t>
            </w:r>
          </w:p>
        </w:tc>
        <w:tc>
          <w:tcPr>
            <w:tcW w:w="409"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主动</w:t>
            </w:r>
          </w:p>
        </w:tc>
        <w:tc>
          <w:tcPr>
            <w:tcW w:w="450"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申请</w:t>
            </w:r>
          </w:p>
        </w:tc>
        <w:tc>
          <w:tcPr>
            <w:tcW w:w="464"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县级</w:t>
            </w:r>
          </w:p>
        </w:tc>
        <w:tc>
          <w:tcPr>
            <w:tcW w:w="436"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乡级</w:t>
            </w:r>
          </w:p>
        </w:tc>
        <w:tc>
          <w:tcPr>
            <w:tcW w:w="1666" w:type="dxa"/>
            <w:vMerge w:val="continue"/>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9"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w:t>
            </w:r>
          </w:p>
        </w:tc>
        <w:tc>
          <w:tcPr>
            <w:tcW w:w="680" w:type="dxa"/>
            <w:vMerge w:val="restart"/>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城镇燃气管理</w:t>
            </w:r>
          </w:p>
        </w:tc>
        <w:tc>
          <w:tcPr>
            <w:tcW w:w="11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燃气经营许可证核发</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1.申请条件</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2.申请材料</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3.申请流程</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xml:space="preserve">4.法定依据   </w:t>
            </w:r>
          </w:p>
        </w:tc>
        <w:tc>
          <w:tcPr>
            <w:tcW w:w="1719" w:type="dxa"/>
            <w:noWrap w:val="0"/>
            <w:vAlign w:val="center"/>
          </w:tcPr>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1.《中华人民共和国政府信息公开条例》（国务院令第711号）</w:t>
            </w:r>
          </w:p>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 xml:space="preserve">2.《城镇燃气管理条例》(国务院令第583号公布)                </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sz w:val="18"/>
                <w:szCs w:val="18"/>
              </w:rPr>
              <w:t>3.《江西省燃气管理办法》（江西省人民政府令第123号）</w:t>
            </w:r>
          </w:p>
        </w:tc>
        <w:tc>
          <w:tcPr>
            <w:tcW w:w="992"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eastAsia="仿宋_GB2312" w:cs="宋体"/>
                <w:bCs/>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eastAsia="仿宋_GB2312" w:cs="宋体"/>
                <w:kern w:val="0"/>
                <w:sz w:val="18"/>
                <w:szCs w:val="18"/>
                <w:lang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9"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2</w:t>
            </w:r>
          </w:p>
        </w:tc>
        <w:tc>
          <w:tcPr>
            <w:tcW w:w="680"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1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燃气经营者改动市政燃气设施审批</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1.申请条件</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2.申请材料</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3.申请流程</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xml:space="preserve">4.法定依据   </w:t>
            </w:r>
          </w:p>
        </w:tc>
        <w:tc>
          <w:tcPr>
            <w:tcW w:w="1719" w:type="dxa"/>
            <w:noWrap w:val="0"/>
            <w:vAlign w:val="center"/>
          </w:tcPr>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1.《中华人民共和国政府信息公开条例》（国务院令第711号）</w:t>
            </w:r>
          </w:p>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 xml:space="preserve">2.《城镇燃气管理条例》(国务院令第583号公布)                </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sz w:val="18"/>
                <w:szCs w:val="18"/>
              </w:rPr>
              <w:t>3.《江西省燃气管理办法》（江西省人民政府令第123号）</w:t>
            </w:r>
          </w:p>
        </w:tc>
        <w:tc>
          <w:tcPr>
            <w:tcW w:w="992"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both"/>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3</w:t>
            </w:r>
          </w:p>
        </w:tc>
        <w:tc>
          <w:tcPr>
            <w:tcW w:w="680" w:type="dxa"/>
            <w:vMerge w:val="restart"/>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市政设施建设类审批</w:t>
            </w:r>
          </w:p>
        </w:tc>
        <w:tc>
          <w:tcPr>
            <w:tcW w:w="11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占用、挖掘城市道路审批</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1.申请条件</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2.申请材料</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3.申请流程</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xml:space="preserve">4.法定依据   </w:t>
            </w:r>
          </w:p>
        </w:tc>
        <w:tc>
          <w:tcPr>
            <w:tcW w:w="1719" w:type="dxa"/>
            <w:vMerge w:val="restart"/>
            <w:noWrap w:val="0"/>
            <w:vAlign w:val="center"/>
          </w:tcPr>
          <w:p>
            <w:pPr>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1.《城市道路管理条例》(国务院令第198号发布，第676号令修订)</w:t>
            </w:r>
          </w:p>
          <w:p>
            <w:pPr>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2.《城市道路占用挖掘收费管理办法》（建城〔1993〕410号）</w:t>
            </w:r>
          </w:p>
          <w:p>
            <w:pPr>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3.《江西省城市道路挖掘修复收费标准》（赣建城〔2001〕28号）</w:t>
            </w:r>
          </w:p>
          <w:p>
            <w:pPr>
              <w:spacing w:line="240" w:lineRule="exact"/>
              <w:ind w:firstLine="0" w:firstLineChars="0"/>
              <w:jc w:val="left"/>
              <w:rPr>
                <w:rFonts w:hint="eastAsia" w:ascii="仿宋_GB2312" w:hAnsi="宋体" w:cs="宋体"/>
                <w:kern w:val="0"/>
                <w:sz w:val="18"/>
                <w:szCs w:val="18"/>
              </w:rPr>
            </w:pPr>
            <w:r>
              <w:rPr>
                <w:rFonts w:hint="eastAsia" w:ascii="仿宋_GB2312"/>
                <w:sz w:val="18"/>
                <w:szCs w:val="18"/>
              </w:rPr>
              <w:t>4.《江西省城市道路挖掘修复收费标准》补充通知（赣建城〔2006〕41号）</w:t>
            </w:r>
          </w:p>
        </w:tc>
        <w:tc>
          <w:tcPr>
            <w:tcW w:w="992"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4</w:t>
            </w:r>
          </w:p>
        </w:tc>
        <w:tc>
          <w:tcPr>
            <w:tcW w:w="680"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1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依附城市道路建设各种管线及城市桥梁上架设各类市政管线审批</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1.申请条件</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2.申请材料</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3.申请流程</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xml:space="preserve">4.法定依据   </w:t>
            </w:r>
          </w:p>
        </w:tc>
        <w:tc>
          <w:tcPr>
            <w:tcW w:w="1719" w:type="dxa"/>
            <w:vMerge w:val="continue"/>
            <w:noWrap w:val="0"/>
            <w:vAlign w:val="center"/>
          </w:tcPr>
          <w:p>
            <w:pPr>
              <w:spacing w:line="240" w:lineRule="exact"/>
              <w:ind w:firstLine="360"/>
              <w:jc w:val="left"/>
              <w:rPr>
                <w:rFonts w:hint="eastAsia" w:ascii="仿宋_GB2312" w:hAnsi="宋体" w:cs="宋体"/>
                <w:kern w:val="0"/>
                <w:sz w:val="18"/>
                <w:szCs w:val="18"/>
              </w:rPr>
            </w:pPr>
          </w:p>
        </w:tc>
        <w:tc>
          <w:tcPr>
            <w:tcW w:w="992"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5</w:t>
            </w:r>
          </w:p>
        </w:tc>
        <w:tc>
          <w:tcPr>
            <w:tcW w:w="680"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1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特殊车辆在城市道路上行驶</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1.申请条件</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2.申请材料</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3.申请流程</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xml:space="preserve">4.法定依据   </w:t>
            </w:r>
          </w:p>
        </w:tc>
        <w:tc>
          <w:tcPr>
            <w:tcW w:w="1719"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992"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jc w:val="center"/>
        </w:trPr>
        <w:tc>
          <w:tcPr>
            <w:tcW w:w="540" w:type="dxa"/>
            <w:tcBorders>
              <w:bottom w:val="single" w:color="auto" w:sz="4" w:space="0"/>
            </w:tcBorders>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6</w:t>
            </w:r>
          </w:p>
        </w:tc>
        <w:tc>
          <w:tcPr>
            <w:tcW w:w="680" w:type="dxa"/>
            <w:vMerge w:val="restart"/>
            <w:tcBorders>
              <w:bottom w:val="single" w:color="auto" w:sz="4" w:space="0"/>
            </w:tcBorders>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城市园林绿化管理</w:t>
            </w:r>
          </w:p>
        </w:tc>
        <w:tc>
          <w:tcPr>
            <w:tcW w:w="1100" w:type="dxa"/>
            <w:tcBorders>
              <w:bottom w:val="single" w:color="auto" w:sz="4" w:space="0"/>
            </w:tcBorders>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城市园林绿化行政审批</w:t>
            </w:r>
          </w:p>
        </w:tc>
        <w:tc>
          <w:tcPr>
            <w:tcW w:w="1300" w:type="dxa"/>
            <w:tcBorders>
              <w:bottom w:val="single" w:color="auto" w:sz="4" w:space="0"/>
            </w:tcBorders>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对临时占用城市绿化用地，砍伐城市树木，迁移古树名木，改变绿化规划绿化用地的使用性质等审批事项申请条件申请材料申请流程法定依据受理机构办理结果。</w:t>
            </w:r>
          </w:p>
        </w:tc>
        <w:tc>
          <w:tcPr>
            <w:tcW w:w="1719" w:type="dxa"/>
            <w:vMerge w:val="restart"/>
            <w:tcBorders>
              <w:bottom w:val="single" w:color="auto" w:sz="4" w:space="0"/>
            </w:tcBorders>
            <w:noWrap w:val="0"/>
            <w:vAlign w:val="center"/>
          </w:tcPr>
          <w:p>
            <w:pPr>
              <w:spacing w:line="240" w:lineRule="exact"/>
              <w:ind w:left="0" w:leftChars="0" w:firstLine="0" w:firstLineChars="0"/>
              <w:rPr>
                <w:rFonts w:hint="eastAsia" w:ascii="仿宋_GB2312" w:eastAsia="仿宋_GB2312"/>
                <w:sz w:val="18"/>
                <w:szCs w:val="18"/>
                <w:lang w:eastAsia="zh-CN"/>
              </w:rPr>
            </w:pPr>
            <w:r>
              <w:rPr>
                <w:rFonts w:hint="eastAsia" w:ascii="仿宋_GB2312"/>
                <w:sz w:val="18"/>
                <w:szCs w:val="18"/>
              </w:rPr>
              <w:t>1.《中华人民共和国政府信息公开条例》（国务院令第711号）</w:t>
            </w:r>
          </w:p>
          <w:p>
            <w:pPr>
              <w:spacing w:line="240" w:lineRule="exact"/>
              <w:ind w:left="0" w:leftChars="0" w:firstLine="0" w:firstLineChars="0"/>
              <w:rPr>
                <w:rFonts w:hint="eastAsia" w:ascii="仿宋_GB2312" w:eastAsia="仿宋_GB2312"/>
                <w:sz w:val="18"/>
                <w:szCs w:val="18"/>
                <w:lang w:eastAsia="zh-CN"/>
              </w:rPr>
            </w:pPr>
            <w:r>
              <w:rPr>
                <w:rFonts w:hint="eastAsia" w:ascii="仿宋_GB2312"/>
                <w:sz w:val="18"/>
                <w:szCs w:val="18"/>
              </w:rPr>
              <w:t>2.《城市绿化条例》（国务院令第100号公布，第676号修正）</w:t>
            </w:r>
          </w:p>
          <w:p>
            <w:pPr>
              <w:spacing w:line="240" w:lineRule="exact"/>
              <w:ind w:left="0" w:leftChars="0" w:firstLine="0" w:firstLineChars="0"/>
              <w:rPr>
                <w:rFonts w:hint="eastAsia" w:ascii="仿宋_GB2312" w:eastAsia="仿宋_GB2312"/>
                <w:sz w:val="18"/>
                <w:szCs w:val="18"/>
                <w:lang w:eastAsia="zh-CN"/>
              </w:rPr>
            </w:pPr>
            <w:r>
              <w:rPr>
                <w:rFonts w:hint="eastAsia" w:ascii="仿宋_GB2312"/>
                <w:sz w:val="18"/>
                <w:szCs w:val="18"/>
              </w:rPr>
              <w:t>3.《城市绿线管理办法》（建设部令第112号公布，住建部令第9号修正）</w:t>
            </w:r>
          </w:p>
          <w:p>
            <w:pPr>
              <w:spacing w:line="240" w:lineRule="exact"/>
              <w:ind w:left="0" w:leftChars="0" w:firstLine="0" w:firstLineChars="0"/>
              <w:rPr>
                <w:rFonts w:hint="eastAsia" w:ascii="仿宋_GB2312" w:eastAsia="仿宋_GB2312"/>
                <w:sz w:val="18"/>
                <w:szCs w:val="18"/>
                <w:lang w:eastAsia="zh-CN"/>
              </w:rPr>
            </w:pPr>
            <w:r>
              <w:rPr>
                <w:rFonts w:hint="eastAsia" w:ascii="仿宋_GB2312"/>
                <w:sz w:val="18"/>
                <w:szCs w:val="18"/>
              </w:rPr>
              <w:t>4.《国务院对确需保留的行政审批项目设定行政许可的决定》（国务院令第412号公布，第671号修正）</w:t>
            </w:r>
          </w:p>
          <w:p>
            <w:pPr>
              <w:spacing w:line="240" w:lineRule="exact"/>
              <w:ind w:left="0" w:leftChars="0" w:firstLine="0" w:firstLineChars="0"/>
              <w:rPr>
                <w:rFonts w:hint="eastAsia" w:ascii="仿宋_GB2312" w:hAnsi="宋体" w:cs="宋体"/>
                <w:kern w:val="0"/>
                <w:sz w:val="18"/>
                <w:szCs w:val="18"/>
              </w:rPr>
            </w:pPr>
            <w:r>
              <w:rPr>
                <w:rFonts w:hint="eastAsia" w:ascii="仿宋_GB2312"/>
                <w:sz w:val="18"/>
                <w:szCs w:val="18"/>
              </w:rPr>
              <w:t>5.《江西省城市绿化管理办法》（省政府令第79号公布，第242号修正）</w:t>
            </w:r>
          </w:p>
        </w:tc>
        <w:tc>
          <w:tcPr>
            <w:tcW w:w="992" w:type="dxa"/>
            <w:tcBorders>
              <w:bottom w:val="single" w:color="auto" w:sz="4" w:space="0"/>
            </w:tcBorders>
            <w:noWrap w:val="0"/>
            <w:vAlign w:val="center"/>
          </w:tcPr>
          <w:p>
            <w:pPr>
              <w:widowControl/>
              <w:adjustRightInd/>
              <w:spacing w:line="240" w:lineRule="exact"/>
              <w:ind w:firstLine="0" w:firstLineChars="0"/>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tcBorders>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tcBorders>
              <w:bottom w:val="single" w:color="auto" w:sz="4" w:space="0"/>
            </w:tcBorders>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tcBorders>
              <w:bottom w:val="single" w:color="auto" w:sz="4" w:space="0"/>
            </w:tcBorders>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tcBorders>
              <w:bottom w:val="single" w:color="auto" w:sz="4" w:space="0"/>
            </w:tcBorders>
            <w:noWrap w:val="0"/>
            <w:vAlign w:val="top"/>
          </w:tcPr>
          <w:p>
            <w:pPr>
              <w:widowControl/>
              <w:adjustRightInd/>
              <w:spacing w:line="240" w:lineRule="exact"/>
              <w:ind w:firstLine="0" w:firstLineChars="0"/>
              <w:jc w:val="left"/>
              <w:rPr>
                <w:rFonts w:hint="eastAsia" w:ascii="仿宋_GB2312" w:hAnsi="宋体" w:cs="宋体"/>
                <w:b/>
                <w:bCs/>
                <w:kern w:val="0"/>
                <w:sz w:val="18"/>
                <w:szCs w:val="18"/>
              </w:rPr>
            </w:pPr>
            <w:r>
              <w:rPr>
                <w:rFonts w:hint="eastAsia" w:ascii="仿宋_GB2312" w:hAnsi="宋体" w:cs="宋体"/>
                <w:b/>
                <w:bCs/>
                <w:kern w:val="0"/>
                <w:sz w:val="18"/>
                <w:szCs w:val="18"/>
              </w:rPr>
              <w:t>　</w:t>
            </w:r>
          </w:p>
        </w:tc>
        <w:tc>
          <w:tcPr>
            <w:tcW w:w="409" w:type="dxa"/>
            <w:tcBorders>
              <w:bottom w:val="single" w:color="auto" w:sz="4" w:space="0"/>
            </w:tcBorders>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tcBorders>
              <w:bottom w:val="single" w:color="auto" w:sz="4" w:space="0"/>
            </w:tcBorders>
            <w:noWrap w:val="0"/>
            <w:vAlign w:val="top"/>
          </w:tcPr>
          <w:p>
            <w:pPr>
              <w:widowControl/>
              <w:adjustRightInd/>
              <w:spacing w:line="240" w:lineRule="exact"/>
              <w:ind w:firstLine="0" w:firstLineChars="0"/>
              <w:jc w:val="left"/>
              <w:rPr>
                <w:rFonts w:hint="eastAsia" w:ascii="仿宋_GB2312" w:hAnsi="宋体" w:cs="宋体"/>
                <w:b/>
                <w:bCs/>
                <w:kern w:val="0"/>
                <w:sz w:val="18"/>
                <w:szCs w:val="18"/>
              </w:rPr>
            </w:pPr>
            <w:r>
              <w:rPr>
                <w:rFonts w:hint="eastAsia" w:ascii="仿宋_GB2312" w:hAnsi="宋体" w:cs="宋体"/>
                <w:b/>
                <w:bCs/>
                <w:kern w:val="0"/>
                <w:sz w:val="18"/>
                <w:szCs w:val="18"/>
              </w:rPr>
              <w:t>　</w:t>
            </w:r>
          </w:p>
        </w:tc>
        <w:tc>
          <w:tcPr>
            <w:tcW w:w="464" w:type="dxa"/>
            <w:tcBorders>
              <w:bottom w:val="single" w:color="auto" w:sz="4" w:space="0"/>
            </w:tcBorders>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tcBorders>
              <w:bottom w:val="single" w:color="auto" w:sz="4" w:space="0"/>
            </w:tcBorders>
            <w:noWrap w:val="0"/>
            <w:vAlign w:val="top"/>
          </w:tcPr>
          <w:p>
            <w:pPr>
              <w:widowControl/>
              <w:adjustRightInd/>
              <w:spacing w:line="240" w:lineRule="exact"/>
              <w:ind w:firstLine="0" w:firstLineChars="0"/>
              <w:jc w:val="left"/>
              <w:rPr>
                <w:rFonts w:hint="eastAsia" w:ascii="仿宋_GB2312" w:hAnsi="宋体" w:cs="宋体"/>
                <w:b/>
                <w:bCs/>
                <w:kern w:val="0"/>
                <w:sz w:val="18"/>
                <w:szCs w:val="18"/>
              </w:rPr>
            </w:pPr>
            <w:r>
              <w:rPr>
                <w:rFonts w:hint="eastAsia" w:ascii="仿宋_GB2312" w:hAnsi="宋体" w:cs="宋体"/>
                <w:b/>
                <w:bCs/>
                <w:kern w:val="0"/>
                <w:sz w:val="18"/>
                <w:szCs w:val="18"/>
              </w:rPr>
              <w:t>　</w:t>
            </w:r>
          </w:p>
        </w:tc>
        <w:tc>
          <w:tcPr>
            <w:tcW w:w="1666" w:type="dxa"/>
            <w:tcBorders>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b/>
                <w:bCs/>
                <w:kern w:val="0"/>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7</w:t>
            </w:r>
          </w:p>
        </w:tc>
        <w:tc>
          <w:tcPr>
            <w:tcW w:w="680"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10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城市园林绿化行政处罚</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对违规占用城市绿化用地砍伐城市树木迁移古树名木等城市绿化违法违规行为的处罚内容处罚依据处罚流程和实施机关。对城市绿化违法违规行为的处罚结果。</w:t>
            </w:r>
          </w:p>
        </w:tc>
        <w:tc>
          <w:tcPr>
            <w:tcW w:w="1719" w:type="dxa"/>
            <w:vMerge w:val="continue"/>
            <w:noWrap w:val="0"/>
            <w:vAlign w:val="center"/>
          </w:tcPr>
          <w:p>
            <w:pPr>
              <w:widowControl/>
              <w:adjustRightInd/>
              <w:spacing w:line="240" w:lineRule="exact"/>
              <w:ind w:firstLine="0" w:firstLineChars="0"/>
              <w:rPr>
                <w:rFonts w:hint="eastAsia" w:ascii="仿宋_GB2312" w:hAnsi="宋体" w:cs="宋体"/>
                <w:kern w:val="0"/>
                <w:sz w:val="18"/>
                <w:szCs w:val="18"/>
              </w:rPr>
            </w:pPr>
          </w:p>
        </w:tc>
        <w:tc>
          <w:tcPr>
            <w:tcW w:w="992" w:type="dxa"/>
            <w:noWrap w:val="0"/>
            <w:vAlign w:val="center"/>
          </w:tcPr>
          <w:p>
            <w:pPr>
              <w:widowControl/>
              <w:adjustRightInd/>
              <w:spacing w:line="240" w:lineRule="exact"/>
              <w:ind w:firstLine="0" w:firstLineChars="0"/>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top"/>
          </w:tcPr>
          <w:p>
            <w:pPr>
              <w:widowControl/>
              <w:adjustRightInd/>
              <w:spacing w:line="240" w:lineRule="exact"/>
              <w:ind w:firstLine="0" w:firstLineChars="0"/>
              <w:jc w:val="left"/>
              <w:rPr>
                <w:rFonts w:hint="eastAsia" w:ascii="仿宋_GB2312" w:hAnsi="宋体" w:cs="宋体"/>
                <w:b/>
                <w:bCs/>
                <w:kern w:val="0"/>
                <w:sz w:val="18"/>
                <w:szCs w:val="18"/>
              </w:rPr>
            </w:pPr>
            <w:r>
              <w:rPr>
                <w:rFonts w:hint="eastAsia" w:ascii="仿宋_GB2312" w:hAnsi="宋体" w:cs="宋体"/>
                <w:b/>
                <w:bCs/>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top"/>
          </w:tcPr>
          <w:p>
            <w:pPr>
              <w:widowControl/>
              <w:adjustRightInd/>
              <w:spacing w:line="240" w:lineRule="exact"/>
              <w:ind w:firstLine="0" w:firstLineChars="0"/>
              <w:jc w:val="left"/>
              <w:rPr>
                <w:rFonts w:hint="eastAsia" w:ascii="仿宋_GB2312" w:hAnsi="宋体" w:cs="宋体"/>
                <w:b/>
                <w:bCs/>
                <w:kern w:val="0"/>
                <w:sz w:val="18"/>
                <w:szCs w:val="18"/>
              </w:rPr>
            </w:pPr>
            <w:r>
              <w:rPr>
                <w:rFonts w:hint="eastAsia" w:ascii="仿宋_GB2312" w:hAnsi="宋体" w:cs="宋体"/>
                <w:b/>
                <w:bCs/>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8</w:t>
            </w:r>
          </w:p>
        </w:tc>
        <w:tc>
          <w:tcPr>
            <w:tcW w:w="680" w:type="dxa"/>
            <w:vMerge w:val="restart"/>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城市供水、城镇排水与污水处理</w:t>
            </w:r>
          </w:p>
        </w:tc>
        <w:tc>
          <w:tcPr>
            <w:tcW w:w="11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因工程建设需要拆除、改动、迁移供水、排水与污水处理设施审核</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1.申请条件</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2.申请材料</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3.申请流程</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xml:space="preserve">4.法定依据   </w:t>
            </w:r>
          </w:p>
        </w:tc>
        <w:tc>
          <w:tcPr>
            <w:tcW w:w="1719" w:type="dxa"/>
            <w:noWrap w:val="0"/>
            <w:vAlign w:val="center"/>
          </w:tcPr>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1.《城市供水条例》（国务院令第158号）</w:t>
            </w:r>
          </w:p>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2.《城镇排水与污水处理条例》（国务院令第641号）</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3.《国务院关于印发清理规范投资项目报建审批事项实施方案的通知》（</w:t>
            </w:r>
            <w:r>
              <w:rPr>
                <w:rFonts w:hint="eastAsia" w:ascii="仿宋_GB2312" w:hAnsi="Arial" w:cs="Arial"/>
                <w:color w:val="333333"/>
                <w:sz w:val="18"/>
                <w:szCs w:val="18"/>
                <w:shd w:val="clear" w:color="auto" w:fill="FFFFFF"/>
              </w:rPr>
              <w:t>国发〔2016〕29号</w:t>
            </w:r>
            <w:r>
              <w:rPr>
                <w:rFonts w:hint="eastAsia" w:ascii="仿宋_GB2312" w:hAnsi="宋体" w:cs="宋体"/>
                <w:kern w:val="0"/>
                <w:sz w:val="18"/>
                <w:szCs w:val="18"/>
              </w:rPr>
              <w:t>）</w:t>
            </w:r>
          </w:p>
        </w:tc>
        <w:tc>
          <w:tcPr>
            <w:tcW w:w="99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9</w:t>
            </w:r>
          </w:p>
        </w:tc>
        <w:tc>
          <w:tcPr>
            <w:tcW w:w="680"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1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因工程施工、设备维修等确需停止供水的审批</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1.申请条件</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2.申请材料</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3.申请流程</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xml:space="preserve">4.法定依据   </w:t>
            </w:r>
          </w:p>
        </w:tc>
        <w:tc>
          <w:tcPr>
            <w:tcW w:w="1719"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sz w:val="18"/>
                <w:szCs w:val="18"/>
              </w:rPr>
              <w:t>1.《城市供水条例》（国务院令第158号）</w:t>
            </w:r>
          </w:p>
        </w:tc>
        <w:tc>
          <w:tcPr>
            <w:tcW w:w="99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54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10</w:t>
            </w:r>
          </w:p>
        </w:tc>
        <w:tc>
          <w:tcPr>
            <w:tcW w:w="680"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1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对从事工业、建筑、餐饮、医疗等活动的企业事业单位、个体工商户向城镇排水设施排放污水许可的审批</w:t>
            </w:r>
          </w:p>
        </w:tc>
        <w:tc>
          <w:tcPr>
            <w:tcW w:w="1300"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1.申请条件</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2.申请材料</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3.申请流程</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xml:space="preserve">4.法定依据   </w:t>
            </w:r>
          </w:p>
        </w:tc>
        <w:tc>
          <w:tcPr>
            <w:tcW w:w="1719" w:type="dxa"/>
            <w:noWrap w:val="0"/>
            <w:vAlign w:val="center"/>
          </w:tcPr>
          <w:p>
            <w:pPr>
              <w:widowControl/>
              <w:adjustRightInd/>
              <w:spacing w:line="240" w:lineRule="exact"/>
              <w:ind w:firstLine="0" w:firstLineChars="0"/>
              <w:jc w:val="left"/>
              <w:rPr>
                <w:rFonts w:hint="eastAsia" w:ascii="仿宋_GB2312"/>
                <w:sz w:val="18"/>
                <w:szCs w:val="18"/>
              </w:rPr>
            </w:pPr>
            <w:r>
              <w:rPr>
                <w:rFonts w:hint="eastAsia" w:ascii="仿宋_GB2312"/>
                <w:sz w:val="18"/>
                <w:szCs w:val="18"/>
              </w:rPr>
              <w:t>1.《城镇排水与污水处理条例》（国务院令第641号）</w:t>
            </w:r>
          </w:p>
        </w:tc>
        <w:tc>
          <w:tcPr>
            <w:tcW w:w="99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信息形成（变更）20个工作日内</w:t>
            </w:r>
          </w:p>
        </w:tc>
        <w:tc>
          <w:tcPr>
            <w:tcW w:w="88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186"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91"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57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36"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666"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rPr>
            </w:pPr>
            <w:r>
              <w:rPr>
                <w:rFonts w:hint="eastAsia" w:ascii="仿宋_GB2312"/>
                <w:sz w:val="18"/>
                <w:szCs w:val="18"/>
                <w:lang w:val="en-US" w:eastAsia="zh-CN"/>
              </w:rPr>
              <w:t>0791-88464116</w:t>
            </w:r>
          </w:p>
        </w:tc>
      </w:tr>
    </w:tbl>
    <w:p>
      <w:pPr>
        <w:widowControl/>
        <w:adjustRightInd/>
        <w:spacing w:line="240" w:lineRule="auto"/>
        <w:ind w:firstLine="0" w:firstLineChars="0"/>
        <w:jc w:val="left"/>
      </w:pPr>
    </w:p>
    <w:sectPr>
      <w:pgSz w:w="16838" w:h="11906" w:orient="landscape"/>
      <w:pgMar w:top="1587" w:right="1440" w:bottom="1587"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DRlMjVjMWM4ODk0M2ZiYTExODQ5MjYwMTljNDIifQ=="/>
  </w:docVars>
  <w:rsids>
    <w:rsidRoot w:val="FBD3BD1E"/>
    <w:rsid w:val="03DD1545"/>
    <w:rsid w:val="04967EE2"/>
    <w:rsid w:val="0BC878BB"/>
    <w:rsid w:val="5EF559EB"/>
    <w:rsid w:val="67291892"/>
    <w:rsid w:val="681366A4"/>
    <w:rsid w:val="6FF28EBF"/>
    <w:rsid w:val="777B116E"/>
    <w:rsid w:val="7EEE2CC8"/>
    <w:rsid w:val="BD7D77F1"/>
    <w:rsid w:val="BF8F28DA"/>
    <w:rsid w:val="BFF7E988"/>
    <w:rsid w:val="DD7F4A1F"/>
    <w:rsid w:val="DF1F1F69"/>
    <w:rsid w:val="EF97BE5C"/>
    <w:rsid w:val="EFD81334"/>
    <w:rsid w:val="F7FE6C00"/>
    <w:rsid w:val="FBD3BD1E"/>
    <w:rsid w:val="FF7FA7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1778</Words>
  <Characters>2729</Characters>
  <Lines>0</Lines>
  <Paragraphs>0</Paragraphs>
  <TotalTime>1</TotalTime>
  <ScaleCrop>false</ScaleCrop>
  <LinksUpToDate>false</LinksUpToDate>
  <CharactersWithSpaces>2817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2021-10-28T03:42:00Z</dcterms:created>
  <dc:creator>user</dc:creator>
  <cp:lastModifiedBy>雅文</cp:lastModifiedBy>
  <dcterms:modified xsi:type="dcterms:W3CDTF">2022-10-21T09:22:45Z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2649A9D8FC8A43EE8949B61B439A9154</vt:lpwstr>
  </property>
</Properties>
</file>