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both"/>
        <w:rPr>
          <w:rFonts w:hint="eastAsia" w:ascii="黑体" w:hAnsi="黑体" w:eastAsia="黑体" w:cs="黑体"/>
          <w:sz w:val="32"/>
          <w:szCs w:val="32"/>
          <w:lang w:val="en-US" w:eastAsia="zh-CN"/>
        </w:rPr>
      </w:pPr>
      <w:bookmarkStart w:id="148" w:name="_GoBack"/>
      <w:bookmarkEnd w:id="148"/>
      <w:r>
        <w:rPr>
          <w:rFonts w:hint="eastAsia" w:ascii="黑体" w:hAnsi="黑体" w:eastAsia="黑体" w:cs="黑体"/>
          <w:sz w:val="32"/>
          <w:szCs w:val="32"/>
          <w:lang w:val="en-US" w:eastAsia="zh-CN"/>
        </w:rPr>
        <w:t>附件：</w:t>
      </w:r>
    </w:p>
    <w:p>
      <w:pPr>
        <w:spacing w:line="560" w:lineRule="exact"/>
        <w:jc w:val="center"/>
        <w:rPr>
          <w:rFonts w:hint="eastAsia" w:ascii="方正小标宋简体" w:hAnsi="方正小标宋简体" w:eastAsia="方正小标宋简体" w:cs="方正小标宋简体"/>
          <w:sz w:val="44"/>
          <w:szCs w:val="44"/>
        </w:rPr>
      </w:pPr>
    </w:p>
    <w:p>
      <w:pPr>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青云谱区生态文明建设示范区规划</w: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（2023-2030年）</w:t>
      </w:r>
    </w:p>
    <w:p>
      <w:pPr>
        <w:pStyle w:val="2"/>
        <w:ind w:firstLine="0" w:firstLineChars="0"/>
        <w:rPr>
          <w:rFonts w:hint="eastAsia" w:ascii="仿宋_GB2312" w:hAnsi="仿宋_GB2312" w:cs="仿宋_GB2312"/>
          <w:szCs w:val="32"/>
        </w:rPr>
      </w:pPr>
    </w:p>
    <w:p>
      <w:pPr>
        <w:ind w:firstLine="960"/>
        <w:jc w:val="center"/>
        <w:rPr>
          <w:rStyle w:val="15"/>
          <w:rFonts w:eastAsia="方正小标宋简体"/>
          <w:kern w:val="0"/>
          <w:sz w:val="48"/>
          <w:szCs w:val="48"/>
        </w:rPr>
      </w:pPr>
    </w:p>
    <w:p>
      <w:pPr>
        <w:pStyle w:val="3"/>
      </w:pPr>
    </w:p>
    <w:p>
      <w:pPr>
        <w:rPr>
          <w:rStyle w:val="15"/>
          <w:rFonts w:eastAsia="方正小标宋_GBK"/>
          <w:kern w:val="0"/>
          <w:sz w:val="52"/>
          <w:szCs w:val="38"/>
        </w:rPr>
      </w:pPr>
      <w:r>
        <w:drawing>
          <wp:inline distT="0" distB="0" distL="114300" distR="114300">
            <wp:extent cx="5276850" cy="2781300"/>
            <wp:effectExtent l="0" t="0" r="0" b="0"/>
            <wp:docPr id="1" name="Picture 1" descr="青云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青云谱"/>
                    <pic:cNvPicPr>
                      <a:picLocks noChangeAspect="1" noChangeArrowheads="1"/>
                    </pic:cNvPicPr>
                  </pic:nvPicPr>
                  <pic:blipFill>
                    <a:blip r:embed="rId11"/>
                    <a:srcRect/>
                    <a:stretch>
                      <a:fillRect/>
                    </a:stretch>
                  </pic:blipFill>
                  <pic:spPr>
                    <a:xfrm>
                      <a:off x="0" y="0"/>
                      <a:ext cx="5274310" cy="2777490"/>
                    </a:xfrm>
                    <a:prstGeom prst="rect">
                      <a:avLst/>
                    </a:prstGeom>
                    <a:noFill/>
                    <a:ln>
                      <a:noFill/>
                    </a:ln>
                    <a:effectLst>
                      <a:softEdge rad="112500"/>
                    </a:effectLst>
                  </pic:spPr>
                </pic:pic>
              </a:graphicData>
            </a:graphic>
          </wp:inline>
        </w:drawing>
      </w:r>
    </w:p>
    <w:p>
      <w:pPr>
        <w:pStyle w:val="3"/>
      </w:pPr>
    </w:p>
    <w:p>
      <w:pPr>
        <w:pStyle w:val="3"/>
      </w:pPr>
    </w:p>
    <w:p>
      <w:pPr>
        <w:pStyle w:val="3"/>
      </w:pPr>
    </w:p>
    <w:p>
      <w:pPr>
        <w:snapToGrid w:val="0"/>
        <w:jc w:val="center"/>
        <w:rPr>
          <w:rStyle w:val="15"/>
          <w:rFonts w:ascii="楷体_GB2312" w:eastAsia="楷体_GB2312"/>
          <w:kern w:val="0"/>
          <w:szCs w:val="32"/>
        </w:rPr>
      </w:pPr>
      <w:r>
        <w:rPr>
          <w:rStyle w:val="15"/>
          <w:rFonts w:hint="eastAsia" w:ascii="楷体_GB2312" w:eastAsia="楷体_GB2312"/>
          <w:kern w:val="0"/>
          <w:szCs w:val="32"/>
        </w:rPr>
        <w:t>南昌市青云谱区人民政府</w:t>
      </w:r>
    </w:p>
    <w:p>
      <w:pPr>
        <w:snapToGrid w:val="0"/>
        <w:jc w:val="center"/>
        <w:rPr>
          <w:rStyle w:val="15"/>
          <w:rFonts w:ascii="楷体_GB2312" w:eastAsia="楷体_GB2312"/>
          <w:kern w:val="0"/>
          <w:szCs w:val="32"/>
        </w:rPr>
      </w:pPr>
      <w:r>
        <w:rPr>
          <w:rStyle w:val="15"/>
          <w:rFonts w:hint="eastAsia" w:ascii="楷体_GB2312" w:eastAsia="楷体_GB2312"/>
          <w:kern w:val="0"/>
          <w:szCs w:val="32"/>
        </w:rPr>
        <w:t>二</w:t>
      </w:r>
      <w:r>
        <w:rPr>
          <w:rStyle w:val="15"/>
          <w:rFonts w:hint="eastAsia" w:ascii="微软雅黑" w:hAnsi="微软雅黑" w:eastAsia="微软雅黑" w:cs="微软雅黑"/>
          <w:kern w:val="0"/>
          <w:szCs w:val="32"/>
        </w:rPr>
        <w:t>〇</w:t>
      </w:r>
      <w:r>
        <w:rPr>
          <w:rStyle w:val="15"/>
          <w:rFonts w:hint="eastAsia" w:ascii="楷体_GB2312" w:eastAsia="楷体_GB2312"/>
          <w:kern w:val="0"/>
          <w:szCs w:val="32"/>
        </w:rPr>
        <w:t>二三年十二月</w:t>
      </w:r>
    </w:p>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青云谱区生态文明建设示范区规划</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（2023-2030年）</w:t>
      </w:r>
    </w:p>
    <w:p>
      <w:pPr>
        <w:keepNext w:val="0"/>
        <w:keepLines w:val="0"/>
        <w:pageBreakBefore w:val="0"/>
        <w:widowControl w:val="0"/>
        <w:kinsoku/>
        <w:wordWrap/>
        <w:overflowPunct/>
        <w:topLinePunct w:val="0"/>
        <w:autoSpaceDE/>
        <w:autoSpaceDN/>
        <w:bidi w:val="0"/>
        <w:adjustRightInd/>
        <w:snapToGrid/>
        <w:spacing w:line="560" w:lineRule="exact"/>
        <w:textAlignment w:val="auto"/>
        <w:rPr>
          <w:b/>
          <w:bCs/>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b/>
          <w:bCs/>
          <w:sz w:val="32"/>
          <w:szCs w:val="32"/>
        </w:rPr>
      </w:pPr>
      <w:r>
        <w:rPr>
          <w:b/>
          <w:bCs/>
          <w:sz w:val="32"/>
          <w:szCs w:val="32"/>
        </w:rPr>
        <w:t>委托单位：</w:t>
      </w:r>
    </w:p>
    <w:p>
      <w:pPr>
        <w:keepNext w:val="0"/>
        <w:keepLines w:val="0"/>
        <w:pageBreakBefore w:val="0"/>
        <w:widowControl w:val="0"/>
        <w:kinsoku/>
        <w:wordWrap/>
        <w:overflowPunct/>
        <w:topLinePunct w:val="0"/>
        <w:autoSpaceDE/>
        <w:autoSpaceDN/>
        <w:bidi w:val="0"/>
        <w:adjustRightInd/>
        <w:snapToGrid/>
        <w:spacing w:line="560" w:lineRule="exact"/>
        <w:textAlignment w:val="auto"/>
        <w:rPr>
          <w:sz w:val="32"/>
          <w:szCs w:val="32"/>
        </w:rPr>
      </w:pPr>
      <w:r>
        <w:rPr>
          <w:rFonts w:hint="eastAsia"/>
          <w:sz w:val="32"/>
          <w:szCs w:val="32"/>
        </w:rPr>
        <w:t>南昌市青云谱区人民政府</w:t>
      </w:r>
    </w:p>
    <w:p>
      <w:pPr>
        <w:keepNext w:val="0"/>
        <w:keepLines w:val="0"/>
        <w:pageBreakBefore w:val="0"/>
        <w:widowControl w:val="0"/>
        <w:kinsoku/>
        <w:wordWrap/>
        <w:overflowPunct/>
        <w:topLinePunct w:val="0"/>
        <w:autoSpaceDE/>
        <w:autoSpaceDN/>
        <w:bidi w:val="0"/>
        <w:adjustRightInd/>
        <w:snapToGrid/>
        <w:spacing w:line="560" w:lineRule="exact"/>
        <w:textAlignment w:val="auto"/>
        <w:rPr>
          <w:b/>
          <w:bCs/>
          <w:sz w:val="32"/>
          <w:szCs w:val="32"/>
        </w:rPr>
      </w:pPr>
      <w:r>
        <w:rPr>
          <w:b/>
          <w:bCs/>
          <w:sz w:val="32"/>
          <w:szCs w:val="32"/>
        </w:rPr>
        <w:t>编制单位：</w:t>
      </w:r>
    </w:p>
    <w:p>
      <w:pPr>
        <w:keepNext w:val="0"/>
        <w:keepLines w:val="0"/>
        <w:pageBreakBefore w:val="0"/>
        <w:widowControl w:val="0"/>
        <w:kinsoku/>
        <w:wordWrap/>
        <w:overflowPunct/>
        <w:topLinePunct w:val="0"/>
        <w:autoSpaceDE/>
        <w:autoSpaceDN/>
        <w:bidi w:val="0"/>
        <w:adjustRightInd/>
        <w:snapToGrid/>
        <w:spacing w:line="560" w:lineRule="exact"/>
        <w:textAlignment w:val="auto"/>
        <w:rPr>
          <w:sz w:val="32"/>
          <w:szCs w:val="32"/>
        </w:rPr>
      </w:pPr>
      <w:r>
        <w:rPr>
          <w:sz w:val="32"/>
          <w:szCs w:val="32"/>
        </w:rPr>
        <w:t>江西省生态环境科学研究与规划院</w:t>
      </w:r>
    </w:p>
    <w:p>
      <w:pPr>
        <w:keepNext w:val="0"/>
        <w:keepLines w:val="0"/>
        <w:pageBreakBefore w:val="0"/>
        <w:widowControl w:val="0"/>
        <w:kinsoku/>
        <w:wordWrap/>
        <w:overflowPunct/>
        <w:topLinePunct w:val="0"/>
        <w:autoSpaceDE/>
        <w:autoSpaceDN/>
        <w:bidi w:val="0"/>
        <w:adjustRightInd/>
        <w:snapToGrid/>
        <w:spacing w:line="560" w:lineRule="exact"/>
        <w:textAlignment w:val="auto"/>
        <w:rPr>
          <w:b/>
          <w:bCs/>
          <w:sz w:val="32"/>
          <w:szCs w:val="32"/>
        </w:rPr>
      </w:pPr>
      <w:r>
        <w:rPr>
          <w:rFonts w:hint="eastAsia"/>
          <w:b/>
          <w:bCs/>
          <w:sz w:val="32"/>
          <w:szCs w:val="32"/>
        </w:rPr>
        <w:t>项目</w:t>
      </w:r>
      <w:r>
        <w:rPr>
          <w:b/>
          <w:bCs/>
          <w:sz w:val="32"/>
          <w:szCs w:val="32"/>
        </w:rPr>
        <w:t>负责人：</w:t>
      </w:r>
    </w:p>
    <w:p>
      <w:pPr>
        <w:keepNext w:val="0"/>
        <w:keepLines w:val="0"/>
        <w:pageBreakBefore w:val="0"/>
        <w:widowControl w:val="0"/>
        <w:kinsoku/>
        <w:wordWrap/>
        <w:overflowPunct/>
        <w:topLinePunct w:val="0"/>
        <w:autoSpaceDE/>
        <w:autoSpaceDN/>
        <w:bidi w:val="0"/>
        <w:adjustRightInd/>
        <w:snapToGrid/>
        <w:spacing w:line="560" w:lineRule="exact"/>
        <w:textAlignment w:val="auto"/>
        <w:rPr>
          <w:sz w:val="32"/>
          <w:szCs w:val="32"/>
        </w:rPr>
      </w:pPr>
      <w:r>
        <w:rPr>
          <w:sz w:val="32"/>
          <w:szCs w:val="32"/>
        </w:rPr>
        <w:t>万</w:t>
      </w:r>
      <w:r>
        <w:rPr>
          <w:rFonts w:hint="eastAsia"/>
          <w:sz w:val="32"/>
          <w:szCs w:val="32"/>
        </w:rPr>
        <w:t>飞</w:t>
      </w:r>
      <w:r>
        <w:rPr>
          <w:sz w:val="32"/>
          <w:szCs w:val="32"/>
        </w:rPr>
        <w:t>江西省生态环境科学研究与规划院工程师</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b/>
          <w:bCs/>
          <w:sz w:val="32"/>
          <w:szCs w:val="32"/>
        </w:rPr>
      </w:pPr>
      <w:r>
        <w:rPr>
          <w:rFonts w:hint="eastAsia"/>
          <w:b/>
          <w:bCs/>
          <w:sz w:val="32"/>
          <w:szCs w:val="32"/>
        </w:rPr>
        <w:t>编制人员：</w:t>
      </w:r>
    </w:p>
    <w:p>
      <w:pPr>
        <w:keepNext w:val="0"/>
        <w:keepLines w:val="0"/>
        <w:pageBreakBefore w:val="0"/>
        <w:widowControl w:val="0"/>
        <w:kinsoku/>
        <w:wordWrap/>
        <w:overflowPunct/>
        <w:topLinePunct w:val="0"/>
        <w:autoSpaceDE/>
        <w:autoSpaceDN/>
        <w:bidi w:val="0"/>
        <w:adjustRightInd/>
        <w:snapToGrid/>
        <w:spacing w:line="560" w:lineRule="exact"/>
        <w:textAlignment w:val="auto"/>
        <w:rPr>
          <w:sz w:val="32"/>
          <w:szCs w:val="32"/>
        </w:rPr>
      </w:pPr>
      <w:r>
        <w:rPr>
          <w:rFonts w:hint="eastAsia"/>
          <w:sz w:val="32"/>
          <w:szCs w:val="32"/>
        </w:rPr>
        <w:t>熊鹏</w:t>
      </w:r>
      <w:r>
        <w:rPr>
          <w:sz w:val="32"/>
          <w:szCs w:val="32"/>
        </w:rPr>
        <w:t>江西省生态环境科学研究与规划院</w:t>
      </w:r>
      <w:r>
        <w:rPr>
          <w:rFonts w:hint="eastAsia"/>
          <w:sz w:val="32"/>
          <w:szCs w:val="32"/>
        </w:rPr>
        <w:t>高级工程师</w:t>
      </w:r>
    </w:p>
    <w:p>
      <w:pPr>
        <w:keepNext w:val="0"/>
        <w:keepLines w:val="0"/>
        <w:pageBreakBefore w:val="0"/>
        <w:widowControl w:val="0"/>
        <w:kinsoku/>
        <w:wordWrap/>
        <w:overflowPunct/>
        <w:topLinePunct w:val="0"/>
        <w:autoSpaceDE/>
        <w:autoSpaceDN/>
        <w:bidi w:val="0"/>
        <w:adjustRightInd/>
        <w:snapToGrid/>
        <w:spacing w:line="560" w:lineRule="exact"/>
        <w:textAlignment w:val="auto"/>
        <w:rPr>
          <w:sz w:val="32"/>
          <w:szCs w:val="32"/>
        </w:rPr>
      </w:pPr>
      <w:r>
        <w:rPr>
          <w:rFonts w:hint="eastAsia"/>
          <w:sz w:val="32"/>
          <w:szCs w:val="32"/>
        </w:rPr>
        <w:t>袁定波</w:t>
      </w:r>
      <w:r>
        <w:rPr>
          <w:sz w:val="32"/>
          <w:szCs w:val="32"/>
        </w:rPr>
        <w:t>江西省生态环境科学研究与规划院</w:t>
      </w:r>
      <w:r>
        <w:rPr>
          <w:rFonts w:hint="eastAsia"/>
          <w:sz w:val="32"/>
          <w:szCs w:val="32"/>
        </w:rPr>
        <w:t>高级工程师</w:t>
      </w:r>
    </w:p>
    <w:p>
      <w:pPr>
        <w:keepNext w:val="0"/>
        <w:keepLines w:val="0"/>
        <w:pageBreakBefore w:val="0"/>
        <w:widowControl w:val="0"/>
        <w:kinsoku/>
        <w:wordWrap/>
        <w:overflowPunct/>
        <w:topLinePunct w:val="0"/>
        <w:autoSpaceDE/>
        <w:autoSpaceDN/>
        <w:bidi w:val="0"/>
        <w:adjustRightInd/>
        <w:snapToGrid/>
        <w:spacing w:line="560" w:lineRule="exact"/>
        <w:textAlignment w:val="auto"/>
        <w:rPr>
          <w:sz w:val="32"/>
          <w:szCs w:val="32"/>
        </w:rPr>
      </w:pPr>
      <w:r>
        <w:rPr>
          <w:rFonts w:hint="eastAsia"/>
          <w:sz w:val="32"/>
          <w:szCs w:val="32"/>
        </w:rPr>
        <w:t>万莹</w:t>
      </w:r>
      <w:r>
        <w:rPr>
          <w:sz w:val="32"/>
          <w:szCs w:val="32"/>
        </w:rPr>
        <w:t>江西省生态环境科学研究与规划院工程师</w:t>
      </w:r>
    </w:p>
    <w:p>
      <w:pPr>
        <w:keepNext w:val="0"/>
        <w:keepLines w:val="0"/>
        <w:pageBreakBefore w:val="0"/>
        <w:widowControl w:val="0"/>
        <w:kinsoku/>
        <w:wordWrap/>
        <w:overflowPunct/>
        <w:topLinePunct w:val="0"/>
        <w:autoSpaceDE/>
        <w:autoSpaceDN/>
        <w:bidi w:val="0"/>
        <w:adjustRightInd/>
        <w:snapToGrid/>
        <w:spacing w:line="560" w:lineRule="exact"/>
        <w:textAlignment w:val="auto"/>
        <w:rPr>
          <w:sz w:val="32"/>
          <w:szCs w:val="32"/>
        </w:rPr>
      </w:pPr>
      <w:r>
        <w:rPr>
          <w:rFonts w:hint="eastAsia"/>
          <w:sz w:val="32"/>
          <w:szCs w:val="32"/>
        </w:rPr>
        <w:t>舒鹏</w:t>
      </w:r>
      <w:r>
        <w:rPr>
          <w:sz w:val="32"/>
          <w:szCs w:val="32"/>
        </w:rPr>
        <w:t>江西省生态环境科学研究与规划院工程师</w:t>
      </w:r>
    </w:p>
    <w:p>
      <w:pPr>
        <w:pStyle w:val="3"/>
        <w:keepNext w:val="0"/>
        <w:keepLines w:val="0"/>
        <w:pageBreakBefore w:val="0"/>
        <w:widowControl w:val="0"/>
        <w:kinsoku/>
        <w:wordWrap/>
        <w:overflowPunct/>
        <w:topLinePunct w:val="0"/>
        <w:autoSpaceDE/>
        <w:autoSpaceDN/>
        <w:bidi w:val="0"/>
        <w:adjustRightInd/>
        <w:snapToGrid/>
        <w:spacing w:after="0" w:line="560" w:lineRule="exact"/>
        <w:textAlignment w:val="auto"/>
        <w:rPr>
          <w:sz w:val="32"/>
          <w:szCs w:val="32"/>
        </w:rPr>
      </w:pPr>
      <w:r>
        <w:rPr>
          <w:rFonts w:hint="eastAsia"/>
          <w:sz w:val="32"/>
          <w:szCs w:val="32"/>
        </w:rPr>
        <w:t>刘桂成</w:t>
      </w:r>
      <w:r>
        <w:rPr>
          <w:sz w:val="32"/>
          <w:szCs w:val="32"/>
        </w:rPr>
        <w:t>江西省生态环境科学研究与规划院工程师</w:t>
      </w:r>
    </w:p>
    <w:p>
      <w:pPr>
        <w:keepNext w:val="0"/>
        <w:keepLines w:val="0"/>
        <w:pageBreakBefore w:val="0"/>
        <w:widowControl w:val="0"/>
        <w:kinsoku/>
        <w:wordWrap/>
        <w:overflowPunct/>
        <w:topLinePunct w:val="0"/>
        <w:autoSpaceDE/>
        <w:autoSpaceDN/>
        <w:bidi w:val="0"/>
        <w:adjustRightInd/>
        <w:snapToGrid/>
        <w:spacing w:line="560" w:lineRule="exact"/>
        <w:textAlignment w:val="auto"/>
        <w:rPr>
          <w:sz w:val="32"/>
          <w:szCs w:val="32"/>
        </w:rPr>
      </w:pPr>
      <w:r>
        <w:rPr>
          <w:rFonts w:hint="eastAsia"/>
          <w:sz w:val="32"/>
          <w:szCs w:val="32"/>
        </w:rPr>
        <w:t>王顺根南昌市青云谱生态环境局局长</w:t>
      </w:r>
    </w:p>
    <w:p>
      <w:pPr>
        <w:keepNext w:val="0"/>
        <w:keepLines w:val="0"/>
        <w:pageBreakBefore w:val="0"/>
        <w:widowControl w:val="0"/>
        <w:kinsoku/>
        <w:wordWrap/>
        <w:overflowPunct/>
        <w:topLinePunct w:val="0"/>
        <w:autoSpaceDE/>
        <w:autoSpaceDN/>
        <w:bidi w:val="0"/>
        <w:adjustRightInd/>
        <w:snapToGrid/>
        <w:spacing w:line="560" w:lineRule="exact"/>
        <w:textAlignment w:val="auto"/>
        <w:rPr>
          <w:sz w:val="32"/>
          <w:szCs w:val="32"/>
        </w:rPr>
      </w:pPr>
      <w:r>
        <w:rPr>
          <w:rFonts w:hint="eastAsia"/>
          <w:sz w:val="32"/>
          <w:szCs w:val="32"/>
        </w:rPr>
        <w:t>陈晋南昌市青云谱生态环境局总工</w:t>
      </w:r>
    </w:p>
    <w:p>
      <w:pPr>
        <w:keepNext w:val="0"/>
        <w:keepLines w:val="0"/>
        <w:pageBreakBefore w:val="0"/>
        <w:widowControl w:val="0"/>
        <w:kinsoku/>
        <w:wordWrap/>
        <w:overflowPunct/>
        <w:topLinePunct w:val="0"/>
        <w:autoSpaceDE/>
        <w:autoSpaceDN/>
        <w:bidi w:val="0"/>
        <w:adjustRightInd/>
        <w:snapToGrid/>
        <w:spacing w:line="560" w:lineRule="exact"/>
        <w:textAlignment w:val="auto"/>
        <w:rPr>
          <w:sz w:val="32"/>
          <w:szCs w:val="32"/>
        </w:rPr>
      </w:pPr>
      <w:r>
        <w:rPr>
          <w:rFonts w:hint="eastAsia"/>
          <w:sz w:val="32"/>
          <w:szCs w:val="32"/>
        </w:rPr>
        <w:t>吴小红南昌市生态环境监测中心青云谱实验室负责人</w:t>
      </w:r>
    </w:p>
    <w:p>
      <w:pPr>
        <w:keepNext w:val="0"/>
        <w:keepLines w:val="0"/>
        <w:pageBreakBefore w:val="0"/>
        <w:widowControl w:val="0"/>
        <w:kinsoku/>
        <w:wordWrap/>
        <w:overflowPunct/>
        <w:topLinePunct w:val="0"/>
        <w:autoSpaceDE/>
        <w:autoSpaceDN/>
        <w:bidi w:val="0"/>
        <w:adjustRightInd/>
        <w:snapToGrid/>
        <w:spacing w:line="560" w:lineRule="exact"/>
        <w:textAlignment w:val="auto"/>
        <w:rPr>
          <w:sz w:val="32"/>
          <w:szCs w:val="32"/>
        </w:rPr>
      </w:pPr>
      <w:r>
        <w:rPr>
          <w:rFonts w:hint="eastAsia"/>
          <w:sz w:val="32"/>
          <w:szCs w:val="32"/>
        </w:rPr>
        <w:t>娄民南昌市生态环境保护综合执法支队工程师</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b/>
          <w:bCs/>
          <w:sz w:val="32"/>
          <w:szCs w:val="32"/>
        </w:rPr>
      </w:pPr>
      <w:r>
        <w:rPr>
          <w:rFonts w:hint="eastAsia"/>
          <w:b/>
          <w:bCs/>
          <w:sz w:val="32"/>
          <w:szCs w:val="32"/>
        </w:rPr>
        <w:t>技术审核：</w:t>
      </w:r>
    </w:p>
    <w:p>
      <w:pPr>
        <w:keepNext w:val="0"/>
        <w:keepLines w:val="0"/>
        <w:pageBreakBefore w:val="0"/>
        <w:widowControl w:val="0"/>
        <w:kinsoku/>
        <w:wordWrap/>
        <w:overflowPunct/>
        <w:topLinePunct w:val="0"/>
        <w:autoSpaceDE/>
        <w:autoSpaceDN/>
        <w:bidi w:val="0"/>
        <w:adjustRightInd/>
        <w:snapToGrid/>
        <w:spacing w:line="560" w:lineRule="exact"/>
        <w:textAlignment w:val="auto"/>
        <w:rPr>
          <w:kern w:val="0"/>
          <w:sz w:val="32"/>
          <w:szCs w:val="32"/>
        </w:rPr>
      </w:pPr>
      <w:r>
        <w:rPr>
          <w:rFonts w:hint="eastAsia"/>
          <w:sz w:val="32"/>
          <w:szCs w:val="32"/>
        </w:rPr>
        <w:t>江英英</w:t>
      </w:r>
      <w:r>
        <w:rPr>
          <w:sz w:val="32"/>
          <w:szCs w:val="32"/>
        </w:rPr>
        <w:t>江西省生态环境科学研究与规划院</w:t>
      </w:r>
      <w:r>
        <w:rPr>
          <w:rFonts w:hint="eastAsia"/>
          <w:sz w:val="32"/>
          <w:szCs w:val="32"/>
        </w:rPr>
        <w:t>工程师</w:t>
      </w:r>
    </w:p>
    <w:p>
      <w:pPr>
        <w:pStyle w:val="5"/>
        <w:rPr>
          <w:sz w:val="32"/>
          <w:szCs w:val="32"/>
        </w:rPr>
        <w:sectPr>
          <w:footerReference r:id="rId3" w:type="default"/>
          <w:pgSz w:w="11906" w:h="16838"/>
          <w:pgMar w:top="2098" w:right="1531" w:bottom="1984" w:left="1531" w:header="851" w:footer="992" w:gutter="0"/>
          <w:pgNumType w:fmt="numberInDash" w:chapStyle="1"/>
          <w:cols w:space="720" w:num="1"/>
          <w:docGrid w:type="lines" w:linePitch="312" w:charSpace="0"/>
        </w:sectPr>
      </w:pPr>
    </w:p>
    <w:p>
      <w:pPr>
        <w:bidi w:val="0"/>
        <w:rPr>
          <w:rFonts w:hint="eastAsia" w:ascii="黑体" w:hAnsi="黑体" w:eastAsia="黑体" w:cs="黑体"/>
        </w:rPr>
      </w:pPr>
      <w:r>
        <w:rPr>
          <w:rFonts w:hint="eastAsia" w:ascii="黑体" w:hAnsi="黑体" w:eastAsia="黑体" w:cs="黑体"/>
        </w:rPr>
        <w:t>前言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党的十八大以来，习近平总书记针对生态文明建设提出了一系列新理念新思想新战略，开展了一系列根本性、开创性、长远性工作，推动生态文明建设和生态环境保护从实践到认识发生历史性、转折性、全局性变化，形成了习近平生态文明思想。党的二十大报告中指出，大自然是人类赖以生存发展的基本条件，必须牢固树立和践行绿水青山就是金山银山的理念，站在人与自然和谐共生的高度谋划发展。二十大报告明确了我国新时代生态文明建设的战略任务，总基调是推动绿色发展，促进人与自然和谐共生。2023年7月，习近平总书记在全国生态环境保护大会上，系统阐释了推进生态文明建设要处理好“高质量发展和高水平保护、重点攻坚和协同治理、自然恢复和人工修复、外部约束和内生动力、‘双碳’承诺和自主行动”五个重大关系，为新征程指明了前进方向。2023年10月，习近平总书记第三次考察江西强调，要坚持共抓大保护、不搞大开发，坚持生态优先、绿色发展。这为我们进一步做好生态文明示范创建工作指明了前进方向、提供了根本遵循。</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青云谱区位于江西省省会——南昌市城区南部，素有“英雄城南大门”之称，环境优美，人杰地灵，自古以来就有“城南胜地、人世蓬岛”之美誉。青云谱区是新中国第一架飞机、第一辆轮式拖拉机、第一辆摩托车和第一枚海防导弹的诞生地，是江西工业的摇篮。境内八大山人被联合国教科文组织评为“中国十大文化艺术名人”之一。全区绿化覆盖率达到34.51%，是全省第一个获评“江西省生态县（区）的城区。近年来，青云谱区深入学习贯彻习近平生态文明思想，牢固树立“绿水青山就是金山银山”的发展理念，围绕“生态人文都市区、产业创新未来城”发展定位，全力推进老工业区转型升级，着力培育新产业新业态新模式，聚力抓好生态文明制度落地落实，奋力打好污染防治攻坚战标志性战役，推动国家生态文明试验区建设取得突破性进展。青云谱区生态环境良好，产业基础扎实，城市品位独特，又是全省首批省级生态县，具备生态示范建设示范区的基础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为了深入贯彻习近平生态文明思想，全面落实中央、省、市关于生态文明建设的决策部署，促进青云谱区经济高质量发展，持续巩固生态示范创建成果，青云谱区区委、区政府委托江西省生态环境科学研究与规划院编制《青云谱区生态文明建设示范区规划（2023-2030年）》（以下简称规划）。规划按照《江西省省级生态市县管理规程》《江西省省级生态市县建设指标》《江西省省级生态市县规划编制指南》等有关文件的要求，从青云谱区的实际出发进行编制。《规划》以生态学、生态经济学理论为指导，提出切合青云谱区实际的生态文明建设具体措施，力求科学性、先进性和可操作性，以确保生态文明示范区建设的持续发展。本次规划范围为青云谱区行政管辖的区域，规划总面积43.2平方公里。规划基准年为2022年，规划期为2023年至2030年。</w:t>
      </w:r>
    </w:p>
    <w:p>
      <w:pPr>
        <w:pStyle w:val="3"/>
        <w:keepNext w:val="0"/>
        <w:keepLines w:val="0"/>
        <w:pageBreakBefore w:val="0"/>
        <w:widowControl w:val="0"/>
        <w:kinsoku/>
        <w:wordWrap/>
        <w:overflowPunct/>
        <w:topLinePunct w:val="0"/>
        <w:autoSpaceDE/>
        <w:autoSpaceDN/>
        <w:bidi w:val="0"/>
        <w:adjustRightInd/>
        <w:snapToGrid/>
        <w:spacing w:after="0" w:line="560" w:lineRule="exact"/>
        <w:textAlignment w:val="auto"/>
        <w:rPr>
          <w:rFonts w:hint="eastAsia" w:ascii="仿宋_GB2312" w:hAnsi="仿宋_GB2312" w:eastAsia="仿宋_GB2312" w:cs="仿宋_GB2312"/>
        </w:rPr>
        <w:sectPr>
          <w:headerReference r:id="rId4" w:type="default"/>
          <w:footerReference r:id="rId5" w:type="default"/>
          <w:pgSz w:w="11906" w:h="16838"/>
          <w:pgMar w:top="2098" w:right="1531" w:bottom="1984" w:left="1531" w:header="851" w:footer="992" w:gutter="0"/>
          <w:pgNumType w:fmt="numberInDash" w:chapStyle="1"/>
          <w:cols w:space="720" w:num="1"/>
          <w:docGrid w:type="lines" w:linePitch="312" w:charSpace="0"/>
        </w:sectPr>
      </w:pPr>
    </w:p>
    <w:p>
      <w:pPr>
        <w:pStyle w:val="8"/>
        <w:ind w:left="1280"/>
        <w:jc w:val="center"/>
        <w:rPr>
          <w:rFonts w:hint="eastAsia" w:ascii="黑体" w:hAnsi="黑体" w:eastAsia="黑体" w:cs="黑体"/>
          <w:sz w:val="32"/>
          <w:szCs w:val="32"/>
        </w:rPr>
      </w:pPr>
      <w:r>
        <w:rPr>
          <w:rFonts w:hint="eastAsia" w:ascii="黑体" w:hAnsi="黑体" w:eastAsia="黑体" w:cs="黑体"/>
          <w:sz w:val="32"/>
          <w:szCs w:val="32"/>
        </w:rPr>
        <w:t>目录</w:t>
      </w:r>
    </w:p>
    <w:p>
      <w:pPr>
        <w:bidi w:val="0"/>
        <w:rPr>
          <w:rFonts w:hint="default"/>
          <w:lang w:val="en-US"/>
        </w:rPr>
      </w:pPr>
      <w:r>
        <w:rPr>
          <w:rFonts w:hint="eastAsia"/>
        </w:rPr>
        <w:fldChar w:fldCharType="begin"/>
      </w:r>
      <w:r>
        <w:rPr>
          <w:rFonts w:hint="eastAsia"/>
        </w:rPr>
        <w:instrText xml:space="preserve"> TOC \o "1-3" \h \z \u </w:instrText>
      </w:r>
      <w:r>
        <w:rPr>
          <w:rFonts w:hint="eastAsia"/>
        </w:rPr>
        <w:fldChar w:fldCharType="separate"/>
      </w:r>
      <w:r>
        <w:rPr>
          <w:rFonts w:hint="eastAsia"/>
        </w:rPr>
        <w:fldChar w:fldCharType="begin"/>
      </w:r>
      <w:r>
        <w:rPr>
          <w:rFonts w:hint="eastAsia"/>
        </w:rPr>
        <w:instrText xml:space="preserve"> HYPERLINK \l "_Toc152315052" </w:instrText>
      </w:r>
      <w:r>
        <w:rPr>
          <w:rFonts w:hint="eastAsia"/>
        </w:rPr>
        <w:fldChar w:fldCharType="separate"/>
      </w:r>
      <w:r>
        <w:rPr>
          <w:rStyle w:val="16"/>
          <w:rFonts w:hint="eastAsia" w:ascii="仿宋_GB2312" w:hAnsi="仿宋_GB2312" w:eastAsia="仿宋_GB2312" w:cs="仿宋_GB2312"/>
          <w:szCs w:val="32"/>
        </w:rPr>
        <w:t>前言</w:t>
      </w:r>
      <w:r>
        <w:rPr>
          <w:rFonts w:hint="eastAsia"/>
        </w:rPr>
        <w:tab/>
      </w:r>
      <w:r>
        <w:rPr>
          <w:rFonts w:hint="default"/>
          <w:lang w:val="en-US"/>
        </w:rPr>
        <w:t xml:space="preserve">                                               </w:t>
      </w:r>
      <w:r>
        <w:rPr>
          <w:rFonts w:hint="eastAsia"/>
        </w:rPr>
        <w:fldChar w:fldCharType="begin"/>
      </w:r>
      <w:r>
        <w:rPr>
          <w:rFonts w:hint="eastAsia"/>
        </w:rPr>
        <w:instrText xml:space="preserve"> PAGEREF _Toc152315052 \h </w:instrText>
      </w:r>
      <w:r>
        <w:rPr>
          <w:rFonts w:hint="eastAsia"/>
        </w:rPr>
        <w:fldChar w:fldCharType="separate"/>
      </w:r>
      <w:r>
        <w:rPr>
          <w:rFonts w:hint="eastAsia"/>
        </w:rPr>
        <w:t>3</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"_Toc152315053" </w:instrText>
      </w:r>
      <w:r>
        <w:rPr>
          <w:rFonts w:hint="eastAsia"/>
        </w:rPr>
        <w:fldChar w:fldCharType="separate"/>
      </w:r>
      <w:r>
        <w:rPr>
          <w:rStyle w:val="16"/>
          <w:rFonts w:hint="eastAsia" w:ascii="仿宋_GB2312" w:hAnsi="仿宋_GB2312" w:eastAsia="仿宋_GB2312" w:cs="仿宋_GB2312"/>
          <w:szCs w:val="32"/>
        </w:rPr>
        <w:t>第一章创建基础</w:t>
      </w:r>
      <w:r>
        <w:rPr>
          <w:rFonts w:hint="eastAsia"/>
        </w:rPr>
        <w:tab/>
      </w:r>
      <w:r>
        <w:rPr>
          <w:rFonts w:hint="default"/>
          <w:lang w:val="en-US"/>
        </w:rPr>
        <w:t xml:space="preserve">                                     </w:t>
      </w:r>
      <w:r>
        <w:rPr>
          <w:rFonts w:hint="eastAsia"/>
        </w:rPr>
        <w:fldChar w:fldCharType="begin"/>
      </w:r>
      <w:r>
        <w:rPr>
          <w:rFonts w:hint="eastAsia"/>
        </w:rPr>
        <w:instrText xml:space="preserve"> PAGEREF _Toc152315053 \h </w:instrText>
      </w:r>
      <w:r>
        <w:rPr>
          <w:rFonts w:hint="eastAsia"/>
        </w:rPr>
        <w:fldChar w:fldCharType="separate"/>
      </w:r>
      <w:r>
        <w:rPr>
          <w:rFonts w:hint="eastAsia"/>
        </w:rPr>
        <w:t>9</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"_Toc152315054" </w:instrText>
      </w:r>
      <w:r>
        <w:rPr>
          <w:rFonts w:hint="eastAsia"/>
        </w:rPr>
        <w:fldChar w:fldCharType="separate"/>
      </w:r>
      <w:r>
        <w:rPr>
          <w:rStyle w:val="16"/>
          <w:rFonts w:hint="eastAsia" w:ascii="仿宋_GB2312" w:hAnsi="仿宋_GB2312" w:eastAsia="仿宋_GB2312" w:cs="仿宋_GB2312"/>
          <w:szCs w:val="32"/>
        </w:rPr>
        <w:t>（一）地理区位优势显著</w:t>
      </w:r>
      <w:r>
        <w:rPr>
          <w:rFonts w:hint="eastAsia"/>
        </w:rPr>
        <w:tab/>
      </w:r>
      <w:r>
        <w:rPr>
          <w:rFonts w:hint="default"/>
          <w:lang w:val="en-US"/>
        </w:rPr>
        <w:t xml:space="preserve">                             </w:t>
      </w:r>
      <w:r>
        <w:rPr>
          <w:rFonts w:hint="eastAsia"/>
        </w:rPr>
        <w:fldChar w:fldCharType="begin"/>
      </w:r>
      <w:r>
        <w:rPr>
          <w:rFonts w:hint="eastAsia"/>
        </w:rPr>
        <w:instrText xml:space="preserve"> PAGEREF _Toc152315054 \h </w:instrText>
      </w:r>
      <w:r>
        <w:rPr>
          <w:rFonts w:hint="eastAsia"/>
        </w:rPr>
        <w:fldChar w:fldCharType="separate"/>
      </w:r>
      <w:r>
        <w:rPr>
          <w:rFonts w:hint="eastAsia"/>
        </w:rPr>
        <w:t>9</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"_Toc152315055" </w:instrText>
      </w:r>
      <w:r>
        <w:rPr>
          <w:rFonts w:hint="eastAsia"/>
        </w:rPr>
        <w:fldChar w:fldCharType="separate"/>
      </w:r>
      <w:r>
        <w:rPr>
          <w:rStyle w:val="16"/>
          <w:rFonts w:hint="eastAsia" w:ascii="仿宋_GB2312" w:hAnsi="仿宋_GB2312" w:eastAsia="仿宋_GB2312" w:cs="仿宋_GB2312"/>
          <w:szCs w:val="32"/>
        </w:rPr>
        <w:t>（二）产业结构持续优化</w:t>
      </w:r>
      <w:r>
        <w:rPr>
          <w:rFonts w:hint="eastAsia"/>
        </w:rPr>
        <w:tab/>
      </w:r>
      <w:r>
        <w:rPr>
          <w:rFonts w:hint="default"/>
          <w:lang w:val="en-US"/>
        </w:rPr>
        <w:t xml:space="preserve">                             </w:t>
      </w:r>
      <w:r>
        <w:rPr>
          <w:rFonts w:hint="eastAsia"/>
        </w:rPr>
        <w:fldChar w:fldCharType="begin"/>
      </w:r>
      <w:r>
        <w:rPr>
          <w:rFonts w:hint="eastAsia"/>
        </w:rPr>
        <w:instrText xml:space="preserve"> PAGEREF _Toc152315055 \h </w:instrText>
      </w:r>
      <w:r>
        <w:rPr>
          <w:rFonts w:hint="eastAsia"/>
        </w:rPr>
        <w:fldChar w:fldCharType="separate"/>
      </w:r>
      <w:r>
        <w:rPr>
          <w:rFonts w:hint="eastAsia"/>
        </w:rPr>
        <w:t>9</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"_Toc152315056" </w:instrText>
      </w:r>
      <w:r>
        <w:rPr>
          <w:rFonts w:hint="eastAsia"/>
        </w:rPr>
        <w:fldChar w:fldCharType="separate"/>
      </w:r>
      <w:r>
        <w:rPr>
          <w:rStyle w:val="16"/>
          <w:rFonts w:hint="eastAsia" w:ascii="仿宋_GB2312" w:hAnsi="仿宋_GB2312" w:eastAsia="仿宋_GB2312" w:cs="仿宋_GB2312"/>
          <w:szCs w:val="32"/>
        </w:rPr>
        <w:t>（三）生态环境持续改善</w:t>
      </w:r>
      <w:r>
        <w:rPr>
          <w:rFonts w:hint="eastAsia"/>
        </w:rPr>
        <w:tab/>
      </w:r>
      <w:r>
        <w:rPr>
          <w:rFonts w:hint="default"/>
          <w:lang w:val="en-US"/>
        </w:rPr>
        <w:t xml:space="preserve">                            </w:t>
      </w:r>
      <w:r>
        <w:rPr>
          <w:rFonts w:hint="eastAsia"/>
        </w:rPr>
        <w:fldChar w:fldCharType="begin"/>
      </w:r>
      <w:r>
        <w:rPr>
          <w:rFonts w:hint="eastAsia"/>
        </w:rPr>
        <w:instrText xml:space="preserve"> PAGEREF _Toc152315056 \h </w:instrText>
      </w:r>
      <w:r>
        <w:rPr>
          <w:rFonts w:hint="eastAsia"/>
        </w:rPr>
        <w:fldChar w:fldCharType="separate"/>
      </w:r>
      <w:r>
        <w:rPr>
          <w:rFonts w:hint="eastAsia"/>
        </w:rPr>
        <w:t>10</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"_Toc152315057" </w:instrText>
      </w:r>
      <w:r>
        <w:rPr>
          <w:rFonts w:hint="eastAsia"/>
        </w:rPr>
        <w:fldChar w:fldCharType="separate"/>
      </w:r>
      <w:r>
        <w:rPr>
          <w:rStyle w:val="16"/>
          <w:rFonts w:hint="eastAsia" w:ascii="仿宋_GB2312" w:hAnsi="仿宋_GB2312" w:eastAsia="仿宋_GB2312" w:cs="仿宋_GB2312"/>
          <w:szCs w:val="32"/>
        </w:rPr>
        <w:t>（四）城市品质不断提升</w:t>
      </w:r>
      <w:r>
        <w:rPr>
          <w:rFonts w:hint="eastAsia"/>
        </w:rPr>
        <w:tab/>
      </w:r>
      <w:r>
        <w:rPr>
          <w:rFonts w:hint="default"/>
          <w:lang w:val="en-US"/>
        </w:rPr>
        <w:t xml:space="preserve">                            </w:t>
      </w:r>
      <w:r>
        <w:rPr>
          <w:rFonts w:hint="eastAsia"/>
        </w:rPr>
        <w:fldChar w:fldCharType="begin"/>
      </w:r>
      <w:r>
        <w:rPr>
          <w:rFonts w:hint="eastAsia"/>
        </w:rPr>
        <w:instrText xml:space="preserve"> PAGEREF _Toc152315057 \h </w:instrText>
      </w:r>
      <w:r>
        <w:rPr>
          <w:rFonts w:hint="eastAsia"/>
        </w:rPr>
        <w:fldChar w:fldCharType="separate"/>
      </w:r>
      <w:r>
        <w:rPr>
          <w:rFonts w:hint="eastAsia"/>
        </w:rPr>
        <w:t>10</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"_Toc152315058" </w:instrText>
      </w:r>
      <w:r>
        <w:rPr>
          <w:rFonts w:hint="eastAsia"/>
        </w:rPr>
        <w:fldChar w:fldCharType="separate"/>
      </w:r>
      <w:r>
        <w:rPr>
          <w:rStyle w:val="16"/>
          <w:rFonts w:hint="eastAsia" w:ascii="仿宋_GB2312" w:hAnsi="仿宋_GB2312" w:eastAsia="仿宋_GB2312" w:cs="仿宋_GB2312"/>
          <w:szCs w:val="32"/>
        </w:rPr>
        <w:t>（五）历史文化底蕴深厚</w:t>
      </w:r>
      <w:r>
        <w:rPr>
          <w:rFonts w:hint="eastAsia"/>
        </w:rPr>
        <w:tab/>
      </w:r>
      <w:r>
        <w:rPr>
          <w:rFonts w:hint="default"/>
          <w:lang w:val="en-US"/>
        </w:rPr>
        <w:t xml:space="preserve">                            </w:t>
      </w:r>
      <w:r>
        <w:rPr>
          <w:rFonts w:hint="eastAsia"/>
        </w:rPr>
        <w:fldChar w:fldCharType="begin"/>
      </w:r>
      <w:r>
        <w:rPr>
          <w:rFonts w:hint="eastAsia"/>
        </w:rPr>
        <w:instrText xml:space="preserve"> PAGEREF _Toc152315058 \h </w:instrText>
      </w:r>
      <w:r>
        <w:rPr>
          <w:rFonts w:hint="eastAsia"/>
        </w:rPr>
        <w:fldChar w:fldCharType="separate"/>
      </w:r>
      <w:r>
        <w:rPr>
          <w:rFonts w:hint="eastAsia"/>
        </w:rPr>
        <w:t>11</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"_Toc152315059" </w:instrText>
      </w:r>
      <w:r>
        <w:rPr>
          <w:rFonts w:hint="eastAsia"/>
        </w:rPr>
        <w:fldChar w:fldCharType="separate"/>
      </w:r>
      <w:r>
        <w:rPr>
          <w:rStyle w:val="16"/>
          <w:rFonts w:hint="eastAsia" w:ascii="仿宋_GB2312" w:hAnsi="仿宋_GB2312" w:eastAsia="仿宋_GB2312" w:cs="仿宋_GB2312"/>
          <w:szCs w:val="32"/>
        </w:rPr>
        <w:t>第二章形势与挑战</w:t>
      </w:r>
      <w:r>
        <w:rPr>
          <w:rFonts w:hint="eastAsia"/>
        </w:rPr>
        <w:tab/>
      </w:r>
      <w:r>
        <w:rPr>
          <w:rFonts w:hint="default"/>
          <w:lang w:val="en-US"/>
        </w:rPr>
        <w:t xml:space="preserve">                                 </w:t>
      </w:r>
      <w:r>
        <w:rPr>
          <w:rFonts w:hint="eastAsia"/>
        </w:rPr>
        <w:fldChar w:fldCharType="begin"/>
      </w:r>
      <w:r>
        <w:rPr>
          <w:rFonts w:hint="eastAsia"/>
        </w:rPr>
        <w:instrText xml:space="preserve"> PAGEREF _Toc152315059 \h </w:instrText>
      </w:r>
      <w:r>
        <w:rPr>
          <w:rFonts w:hint="eastAsia"/>
        </w:rPr>
        <w:fldChar w:fldCharType="separate"/>
      </w:r>
      <w:r>
        <w:rPr>
          <w:rFonts w:hint="eastAsia"/>
        </w:rPr>
        <w:t>12</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"_Toc152315060" </w:instrText>
      </w:r>
      <w:r>
        <w:rPr>
          <w:rFonts w:hint="eastAsia"/>
        </w:rPr>
        <w:fldChar w:fldCharType="separate"/>
      </w:r>
      <w:r>
        <w:rPr>
          <w:rStyle w:val="16"/>
          <w:rFonts w:hint="eastAsia" w:ascii="仿宋_GB2312" w:hAnsi="仿宋_GB2312" w:eastAsia="仿宋_GB2312" w:cs="仿宋_GB2312"/>
          <w:szCs w:val="32"/>
        </w:rPr>
        <w:t>（一）面临的机遇</w:t>
      </w:r>
      <w:r>
        <w:rPr>
          <w:rFonts w:hint="eastAsia"/>
        </w:rPr>
        <w:tab/>
      </w:r>
      <w:r>
        <w:rPr>
          <w:rFonts w:hint="default"/>
          <w:lang w:val="en-US"/>
        </w:rPr>
        <w:t xml:space="preserve">                                 </w:t>
      </w:r>
      <w:r>
        <w:rPr>
          <w:rFonts w:hint="eastAsia"/>
        </w:rPr>
        <w:fldChar w:fldCharType="begin"/>
      </w:r>
      <w:r>
        <w:rPr>
          <w:rFonts w:hint="eastAsia"/>
        </w:rPr>
        <w:instrText xml:space="preserve"> PAGEREF _Toc152315060 \h </w:instrText>
      </w:r>
      <w:r>
        <w:rPr>
          <w:rFonts w:hint="eastAsia"/>
        </w:rPr>
        <w:fldChar w:fldCharType="separate"/>
      </w:r>
      <w:r>
        <w:rPr>
          <w:rFonts w:hint="eastAsia"/>
        </w:rPr>
        <w:t>12</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"_Toc152315061" </w:instrText>
      </w:r>
      <w:r>
        <w:rPr>
          <w:rFonts w:hint="eastAsia"/>
        </w:rPr>
        <w:fldChar w:fldCharType="separate"/>
      </w:r>
      <w:r>
        <w:rPr>
          <w:rStyle w:val="16"/>
          <w:rFonts w:hint="eastAsia" w:ascii="仿宋_GB2312" w:hAnsi="仿宋_GB2312" w:eastAsia="仿宋_GB2312" w:cs="仿宋_GB2312"/>
          <w:szCs w:val="32"/>
        </w:rPr>
        <w:t>（二）面临的挑战</w:t>
      </w:r>
      <w:r>
        <w:rPr>
          <w:rFonts w:hint="eastAsia"/>
        </w:rPr>
        <w:tab/>
      </w:r>
      <w:r>
        <w:rPr>
          <w:rFonts w:hint="default"/>
          <w:lang w:val="en-US"/>
        </w:rPr>
        <w:t xml:space="preserve">                                 </w:t>
      </w:r>
      <w:r>
        <w:rPr>
          <w:rFonts w:hint="eastAsia"/>
        </w:rPr>
        <w:fldChar w:fldCharType="begin"/>
      </w:r>
      <w:r>
        <w:rPr>
          <w:rFonts w:hint="eastAsia"/>
        </w:rPr>
        <w:instrText xml:space="preserve"> PAGEREF _Toc152315061 \h </w:instrText>
      </w:r>
      <w:r>
        <w:rPr>
          <w:rFonts w:hint="eastAsia"/>
        </w:rPr>
        <w:fldChar w:fldCharType="separate"/>
      </w:r>
      <w:r>
        <w:rPr>
          <w:rFonts w:hint="eastAsia"/>
        </w:rPr>
        <w:t>14</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"_Toc152315062" </w:instrText>
      </w:r>
      <w:r>
        <w:rPr>
          <w:rFonts w:hint="eastAsia"/>
        </w:rPr>
        <w:fldChar w:fldCharType="separate"/>
      </w:r>
      <w:r>
        <w:rPr>
          <w:rStyle w:val="16"/>
          <w:rFonts w:hint="eastAsia" w:ascii="仿宋_GB2312" w:hAnsi="仿宋_GB2312" w:eastAsia="仿宋_GB2312" w:cs="仿宋_GB2312"/>
          <w:szCs w:val="32"/>
        </w:rPr>
        <w:t>（三）主要问题</w:t>
      </w:r>
      <w:r>
        <w:rPr>
          <w:rFonts w:hint="eastAsia"/>
        </w:rPr>
        <w:tab/>
      </w:r>
      <w:r>
        <w:rPr>
          <w:rFonts w:hint="default"/>
          <w:lang w:val="en-US"/>
        </w:rPr>
        <w:t xml:space="preserve">                                   </w:t>
      </w:r>
      <w:r>
        <w:rPr>
          <w:rFonts w:hint="eastAsia"/>
        </w:rPr>
        <w:fldChar w:fldCharType="begin"/>
      </w:r>
      <w:r>
        <w:rPr>
          <w:rFonts w:hint="eastAsia"/>
        </w:rPr>
        <w:instrText xml:space="preserve"> PAGEREF _Toc152315062 \h </w:instrText>
      </w:r>
      <w:r>
        <w:rPr>
          <w:rFonts w:hint="eastAsia"/>
        </w:rPr>
        <w:fldChar w:fldCharType="separate"/>
      </w:r>
      <w:r>
        <w:rPr>
          <w:rFonts w:hint="eastAsia"/>
        </w:rPr>
        <w:t>15</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"_Toc152315063" </w:instrText>
      </w:r>
      <w:r>
        <w:rPr>
          <w:rFonts w:hint="eastAsia"/>
        </w:rPr>
        <w:fldChar w:fldCharType="separate"/>
      </w:r>
      <w:r>
        <w:rPr>
          <w:rStyle w:val="16"/>
          <w:rFonts w:hint="eastAsia" w:ascii="仿宋_GB2312" w:hAnsi="仿宋_GB2312" w:eastAsia="仿宋_GB2312" w:cs="仿宋_GB2312"/>
          <w:szCs w:val="32"/>
        </w:rPr>
        <w:t>第三章规划总则</w:t>
      </w:r>
      <w:r>
        <w:rPr>
          <w:rFonts w:hint="eastAsia"/>
        </w:rPr>
        <w:tab/>
      </w:r>
      <w:r>
        <w:rPr>
          <w:rFonts w:hint="default"/>
          <w:lang w:val="en-US"/>
        </w:rPr>
        <w:t xml:space="preserve">                                   </w:t>
      </w:r>
      <w:r>
        <w:rPr>
          <w:rFonts w:hint="eastAsia"/>
        </w:rPr>
        <w:fldChar w:fldCharType="begin"/>
      </w:r>
      <w:r>
        <w:rPr>
          <w:rFonts w:hint="eastAsia"/>
        </w:rPr>
        <w:instrText xml:space="preserve"> PAGEREF _Toc152315063 \h </w:instrText>
      </w:r>
      <w:r>
        <w:rPr>
          <w:rFonts w:hint="eastAsia"/>
        </w:rPr>
        <w:fldChar w:fldCharType="separate"/>
      </w:r>
      <w:r>
        <w:rPr>
          <w:rFonts w:hint="eastAsia"/>
        </w:rPr>
        <w:t>16</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"_Toc152315064" </w:instrText>
      </w:r>
      <w:r>
        <w:rPr>
          <w:rFonts w:hint="eastAsia"/>
        </w:rPr>
        <w:fldChar w:fldCharType="separate"/>
      </w:r>
      <w:r>
        <w:rPr>
          <w:rStyle w:val="16"/>
          <w:rFonts w:hint="eastAsia" w:ascii="仿宋_GB2312" w:hAnsi="仿宋_GB2312" w:eastAsia="仿宋_GB2312" w:cs="仿宋_GB2312"/>
          <w:szCs w:val="32"/>
        </w:rPr>
        <w:t>（一）指导思想</w:t>
      </w:r>
      <w:r>
        <w:rPr>
          <w:rFonts w:hint="eastAsia"/>
        </w:rPr>
        <w:tab/>
      </w:r>
      <w:r>
        <w:rPr>
          <w:rFonts w:hint="default"/>
          <w:lang w:val="en-US"/>
        </w:rPr>
        <w:t xml:space="preserve">                                   </w:t>
      </w:r>
      <w:r>
        <w:rPr>
          <w:rFonts w:hint="eastAsia"/>
        </w:rPr>
        <w:fldChar w:fldCharType="begin"/>
      </w:r>
      <w:r>
        <w:rPr>
          <w:rFonts w:hint="eastAsia"/>
        </w:rPr>
        <w:instrText xml:space="preserve"> PAGEREF _Toc152315064 \h </w:instrText>
      </w:r>
      <w:r>
        <w:rPr>
          <w:rFonts w:hint="eastAsia"/>
        </w:rPr>
        <w:fldChar w:fldCharType="separate"/>
      </w:r>
      <w:r>
        <w:rPr>
          <w:rFonts w:hint="eastAsia"/>
        </w:rPr>
        <w:t>16</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"_Toc152315065" </w:instrText>
      </w:r>
      <w:r>
        <w:rPr>
          <w:rFonts w:hint="eastAsia"/>
        </w:rPr>
        <w:fldChar w:fldCharType="separate"/>
      </w:r>
      <w:r>
        <w:rPr>
          <w:rStyle w:val="16"/>
          <w:rFonts w:hint="eastAsia" w:ascii="仿宋_GB2312" w:hAnsi="仿宋_GB2312" w:eastAsia="仿宋_GB2312" w:cs="仿宋_GB2312"/>
          <w:szCs w:val="32"/>
        </w:rPr>
        <w:t>（二）基本原则</w:t>
      </w:r>
      <w:r>
        <w:rPr>
          <w:rFonts w:hint="eastAsia"/>
        </w:rPr>
        <w:tab/>
      </w:r>
      <w:r>
        <w:rPr>
          <w:rFonts w:hint="default"/>
          <w:lang w:val="en-US"/>
        </w:rPr>
        <w:t xml:space="preserve">                                   </w:t>
      </w:r>
      <w:r>
        <w:rPr>
          <w:rFonts w:hint="eastAsia"/>
        </w:rPr>
        <w:fldChar w:fldCharType="begin"/>
      </w:r>
      <w:r>
        <w:rPr>
          <w:rFonts w:hint="eastAsia"/>
        </w:rPr>
        <w:instrText xml:space="preserve"> PAGEREF _Toc152315065 \h </w:instrText>
      </w:r>
      <w:r>
        <w:rPr>
          <w:rFonts w:hint="eastAsia"/>
        </w:rPr>
        <w:fldChar w:fldCharType="separate"/>
      </w:r>
      <w:r>
        <w:rPr>
          <w:rFonts w:hint="eastAsia"/>
        </w:rPr>
        <w:t>16</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"_Toc152315066" </w:instrText>
      </w:r>
      <w:r>
        <w:rPr>
          <w:rFonts w:hint="eastAsia"/>
        </w:rPr>
        <w:fldChar w:fldCharType="separate"/>
      </w:r>
      <w:r>
        <w:rPr>
          <w:rStyle w:val="16"/>
          <w:rFonts w:hint="eastAsia" w:ascii="仿宋_GB2312" w:hAnsi="仿宋_GB2312" w:eastAsia="仿宋_GB2312" w:cs="仿宋_GB2312"/>
          <w:szCs w:val="32"/>
        </w:rPr>
        <w:t>（三）规划范围</w:t>
      </w:r>
      <w:r>
        <w:rPr>
          <w:rFonts w:hint="eastAsia"/>
        </w:rPr>
        <w:tab/>
      </w:r>
      <w:r>
        <w:rPr>
          <w:rFonts w:hint="default"/>
          <w:lang w:val="en-US"/>
        </w:rPr>
        <w:t xml:space="preserve">                                   </w:t>
      </w:r>
      <w:r>
        <w:rPr>
          <w:rFonts w:hint="eastAsia"/>
        </w:rPr>
        <w:fldChar w:fldCharType="begin"/>
      </w:r>
      <w:r>
        <w:rPr>
          <w:rFonts w:hint="eastAsia"/>
        </w:rPr>
        <w:instrText xml:space="preserve"> PAGEREF _Toc152315066 \h </w:instrText>
      </w:r>
      <w:r>
        <w:rPr>
          <w:rFonts w:hint="eastAsia"/>
        </w:rPr>
        <w:fldChar w:fldCharType="separate"/>
      </w:r>
      <w:r>
        <w:rPr>
          <w:rFonts w:hint="eastAsia"/>
        </w:rPr>
        <w:t>17</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"_Toc152315067" </w:instrText>
      </w:r>
      <w:r>
        <w:rPr>
          <w:rFonts w:hint="eastAsia"/>
        </w:rPr>
        <w:fldChar w:fldCharType="separate"/>
      </w:r>
      <w:r>
        <w:rPr>
          <w:rStyle w:val="16"/>
          <w:rFonts w:hint="eastAsia" w:ascii="仿宋_GB2312" w:hAnsi="仿宋_GB2312" w:eastAsia="仿宋_GB2312" w:cs="仿宋_GB2312"/>
          <w:szCs w:val="32"/>
        </w:rPr>
        <w:t>（四）规划期限</w:t>
      </w:r>
      <w:r>
        <w:rPr>
          <w:rFonts w:hint="eastAsia"/>
        </w:rPr>
        <w:tab/>
      </w:r>
      <w:r>
        <w:rPr>
          <w:rFonts w:hint="default"/>
          <w:lang w:val="en-US"/>
        </w:rPr>
        <w:t xml:space="preserve">                                   </w:t>
      </w:r>
      <w:r>
        <w:rPr>
          <w:rFonts w:hint="eastAsia"/>
        </w:rPr>
        <w:fldChar w:fldCharType="begin"/>
      </w:r>
      <w:r>
        <w:rPr>
          <w:rFonts w:hint="eastAsia"/>
        </w:rPr>
        <w:instrText xml:space="preserve"> PAGEREF _Toc152315067 \h </w:instrText>
      </w:r>
      <w:r>
        <w:rPr>
          <w:rFonts w:hint="eastAsia"/>
        </w:rPr>
        <w:fldChar w:fldCharType="separate"/>
      </w:r>
      <w:r>
        <w:rPr>
          <w:rFonts w:hint="eastAsia"/>
        </w:rPr>
        <w:t>17</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"_Toc152315068" </w:instrText>
      </w:r>
      <w:r>
        <w:rPr>
          <w:rFonts w:hint="eastAsia"/>
        </w:rPr>
        <w:fldChar w:fldCharType="separate"/>
      </w:r>
      <w:r>
        <w:rPr>
          <w:rStyle w:val="16"/>
          <w:rFonts w:hint="eastAsia" w:ascii="仿宋_GB2312" w:hAnsi="仿宋_GB2312" w:eastAsia="仿宋_GB2312" w:cs="仿宋_GB2312"/>
          <w:szCs w:val="32"/>
        </w:rPr>
        <w:t>（五）规划目标</w:t>
      </w:r>
      <w:r>
        <w:rPr>
          <w:rFonts w:hint="eastAsia"/>
        </w:rPr>
        <w:tab/>
      </w:r>
      <w:r>
        <w:rPr>
          <w:rFonts w:hint="default"/>
          <w:lang w:val="en-US"/>
        </w:rPr>
        <w:t xml:space="preserve">                                   </w:t>
      </w:r>
      <w:r>
        <w:rPr>
          <w:rFonts w:hint="eastAsia"/>
        </w:rPr>
        <w:fldChar w:fldCharType="begin"/>
      </w:r>
      <w:r>
        <w:rPr>
          <w:rFonts w:hint="eastAsia"/>
        </w:rPr>
        <w:instrText xml:space="preserve"> PAGEREF _Toc152315068 \h </w:instrText>
      </w:r>
      <w:r>
        <w:rPr>
          <w:rFonts w:hint="eastAsia"/>
        </w:rPr>
        <w:fldChar w:fldCharType="separate"/>
      </w:r>
      <w:r>
        <w:rPr>
          <w:rFonts w:hint="eastAsia"/>
        </w:rPr>
        <w:t>18</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"_Toc152315069" </w:instrText>
      </w:r>
      <w:r>
        <w:rPr>
          <w:rFonts w:hint="eastAsia"/>
        </w:rPr>
        <w:fldChar w:fldCharType="separate"/>
      </w:r>
      <w:r>
        <w:rPr>
          <w:rStyle w:val="16"/>
          <w:rFonts w:hint="eastAsia" w:ascii="仿宋_GB2312" w:hAnsi="仿宋_GB2312" w:eastAsia="仿宋_GB2312" w:cs="仿宋_GB2312"/>
          <w:szCs w:val="32"/>
        </w:rPr>
        <w:t>1、总体目标</w:t>
      </w:r>
      <w:r>
        <w:rPr>
          <w:rFonts w:hint="eastAsia"/>
        </w:rPr>
        <w:tab/>
      </w:r>
      <w:r>
        <w:rPr>
          <w:rFonts w:hint="default"/>
          <w:lang w:val="en-US"/>
        </w:rPr>
        <w:t xml:space="preserve">                                      </w:t>
      </w:r>
      <w:r>
        <w:rPr>
          <w:rFonts w:hint="eastAsia"/>
        </w:rPr>
        <w:fldChar w:fldCharType="begin"/>
      </w:r>
      <w:r>
        <w:rPr>
          <w:rFonts w:hint="eastAsia"/>
        </w:rPr>
        <w:instrText xml:space="preserve"> PAGEREF _Toc152315069 \h </w:instrText>
      </w:r>
      <w:r>
        <w:rPr>
          <w:rFonts w:hint="eastAsia"/>
        </w:rPr>
        <w:fldChar w:fldCharType="separate"/>
      </w:r>
      <w:r>
        <w:rPr>
          <w:rFonts w:hint="eastAsia"/>
        </w:rPr>
        <w:t>18</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"_Toc152315070" </w:instrText>
      </w:r>
      <w:r>
        <w:rPr>
          <w:rFonts w:hint="eastAsia"/>
        </w:rPr>
        <w:fldChar w:fldCharType="separate"/>
      </w:r>
      <w:r>
        <w:rPr>
          <w:rStyle w:val="16"/>
          <w:rFonts w:hint="eastAsia" w:ascii="仿宋_GB2312" w:hAnsi="仿宋_GB2312" w:eastAsia="仿宋_GB2312" w:cs="仿宋_GB2312"/>
          <w:szCs w:val="32"/>
        </w:rPr>
        <w:t>2、阶段目标</w:t>
      </w:r>
      <w:r>
        <w:rPr>
          <w:rFonts w:hint="eastAsia"/>
        </w:rPr>
        <w:tab/>
      </w:r>
      <w:r>
        <w:rPr>
          <w:rFonts w:hint="default"/>
          <w:lang w:val="en-US"/>
        </w:rPr>
        <w:t xml:space="preserve">                                      </w:t>
      </w:r>
      <w:r>
        <w:rPr>
          <w:rFonts w:hint="eastAsia"/>
        </w:rPr>
        <w:fldChar w:fldCharType="begin"/>
      </w:r>
      <w:r>
        <w:rPr>
          <w:rFonts w:hint="eastAsia"/>
        </w:rPr>
        <w:instrText xml:space="preserve"> PAGEREF _Toc152315070 \h </w:instrText>
      </w:r>
      <w:r>
        <w:rPr>
          <w:rFonts w:hint="eastAsia"/>
        </w:rPr>
        <w:fldChar w:fldCharType="separate"/>
      </w:r>
      <w:r>
        <w:rPr>
          <w:rFonts w:hint="eastAsia"/>
        </w:rPr>
        <w:t>18</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"_Toc152315071" </w:instrText>
      </w:r>
      <w:r>
        <w:rPr>
          <w:rFonts w:hint="eastAsia"/>
        </w:rPr>
        <w:fldChar w:fldCharType="separate"/>
      </w:r>
      <w:r>
        <w:rPr>
          <w:rStyle w:val="16"/>
          <w:rFonts w:hint="eastAsia" w:ascii="仿宋_GB2312" w:hAnsi="仿宋_GB2312" w:eastAsia="仿宋_GB2312" w:cs="仿宋_GB2312"/>
          <w:szCs w:val="32"/>
        </w:rPr>
        <w:t>（六）规划指标</w:t>
      </w:r>
      <w:r>
        <w:rPr>
          <w:rFonts w:hint="eastAsia"/>
        </w:rPr>
        <w:tab/>
      </w:r>
      <w:r>
        <w:rPr>
          <w:rFonts w:hint="default"/>
          <w:lang w:val="en-US"/>
        </w:rPr>
        <w:t xml:space="preserve">                                   </w:t>
      </w:r>
      <w:r>
        <w:rPr>
          <w:rFonts w:hint="eastAsia"/>
        </w:rPr>
        <w:fldChar w:fldCharType="begin"/>
      </w:r>
      <w:r>
        <w:rPr>
          <w:rFonts w:hint="eastAsia"/>
        </w:rPr>
        <w:instrText xml:space="preserve"> PAGEREF _Toc152315071 \h </w:instrText>
      </w:r>
      <w:r>
        <w:rPr>
          <w:rFonts w:hint="eastAsia"/>
        </w:rPr>
        <w:fldChar w:fldCharType="separate"/>
      </w:r>
      <w:r>
        <w:rPr>
          <w:rFonts w:hint="eastAsia"/>
        </w:rPr>
        <w:t>19</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"_Toc152315072" </w:instrText>
      </w:r>
      <w:r>
        <w:rPr>
          <w:rFonts w:hint="eastAsia"/>
        </w:rPr>
        <w:fldChar w:fldCharType="separate"/>
      </w:r>
      <w:r>
        <w:rPr>
          <w:rStyle w:val="16"/>
          <w:rFonts w:hint="eastAsia" w:ascii="仿宋_GB2312" w:hAnsi="仿宋_GB2312" w:eastAsia="仿宋_GB2312" w:cs="仿宋_GB2312"/>
          <w:szCs w:val="32"/>
        </w:rPr>
        <w:t>1、规划指标体系</w:t>
      </w:r>
      <w:r>
        <w:rPr>
          <w:rFonts w:hint="eastAsia"/>
        </w:rPr>
        <w:tab/>
      </w:r>
      <w:r>
        <w:rPr>
          <w:rFonts w:hint="default"/>
          <w:lang w:val="en-US"/>
        </w:rPr>
        <w:t xml:space="preserve">                                   </w:t>
      </w:r>
      <w:r>
        <w:rPr>
          <w:rFonts w:hint="eastAsia"/>
        </w:rPr>
        <w:fldChar w:fldCharType="begin"/>
      </w:r>
      <w:r>
        <w:rPr>
          <w:rFonts w:hint="eastAsia"/>
        </w:rPr>
        <w:instrText xml:space="preserve"> PAGEREF _Toc152315072 \h </w:instrText>
      </w:r>
      <w:r>
        <w:rPr>
          <w:rFonts w:hint="eastAsia"/>
        </w:rPr>
        <w:fldChar w:fldCharType="separate"/>
      </w:r>
      <w:r>
        <w:rPr>
          <w:rFonts w:hint="eastAsia"/>
        </w:rPr>
        <w:t>19</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"_Toc152315073" </w:instrText>
      </w:r>
      <w:r>
        <w:rPr>
          <w:rFonts w:hint="eastAsia"/>
        </w:rPr>
        <w:fldChar w:fldCharType="separate"/>
      </w:r>
      <w:r>
        <w:rPr>
          <w:rStyle w:val="16"/>
          <w:rFonts w:hint="eastAsia" w:ascii="仿宋_GB2312" w:hAnsi="仿宋_GB2312" w:eastAsia="仿宋_GB2312" w:cs="仿宋_GB2312"/>
          <w:szCs w:val="32"/>
        </w:rPr>
        <w:t>2、指标可达性分析</w:t>
      </w:r>
      <w:r>
        <w:rPr>
          <w:rFonts w:hint="eastAsia"/>
        </w:rPr>
        <w:tab/>
      </w:r>
      <w:r>
        <w:rPr>
          <w:rFonts w:hint="default"/>
          <w:lang w:val="en-US"/>
        </w:rPr>
        <w:t xml:space="preserve">                                </w:t>
      </w:r>
      <w:r>
        <w:rPr>
          <w:rFonts w:hint="eastAsia"/>
        </w:rPr>
        <w:fldChar w:fldCharType="begin"/>
      </w:r>
      <w:r>
        <w:rPr>
          <w:rFonts w:hint="eastAsia"/>
        </w:rPr>
        <w:instrText xml:space="preserve"> PAGEREF _Toc152315073 \h </w:instrText>
      </w:r>
      <w:r>
        <w:rPr>
          <w:rFonts w:hint="eastAsia"/>
        </w:rPr>
        <w:fldChar w:fldCharType="separate"/>
      </w:r>
      <w:r>
        <w:rPr>
          <w:rFonts w:hint="eastAsia"/>
        </w:rPr>
        <w:t>24</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"_Toc152315074" </w:instrText>
      </w:r>
      <w:r>
        <w:rPr>
          <w:rFonts w:hint="eastAsia"/>
        </w:rPr>
        <w:fldChar w:fldCharType="separate"/>
      </w:r>
      <w:r>
        <w:rPr>
          <w:rStyle w:val="16"/>
          <w:rFonts w:hint="eastAsia" w:ascii="仿宋_GB2312" w:hAnsi="仿宋_GB2312" w:eastAsia="仿宋_GB2312" w:cs="仿宋_GB2312"/>
          <w:szCs w:val="32"/>
        </w:rPr>
        <w:t>第四章主要任务</w:t>
      </w:r>
      <w:r>
        <w:rPr>
          <w:rFonts w:hint="eastAsia"/>
        </w:rPr>
        <w:tab/>
      </w:r>
      <w:r>
        <w:rPr>
          <w:rFonts w:hint="default"/>
          <w:lang w:val="en-US"/>
        </w:rPr>
        <w:t xml:space="preserve">                                   </w:t>
      </w:r>
      <w:r>
        <w:rPr>
          <w:rFonts w:hint="eastAsia"/>
        </w:rPr>
        <w:fldChar w:fldCharType="begin"/>
      </w:r>
      <w:r>
        <w:rPr>
          <w:rFonts w:hint="eastAsia"/>
        </w:rPr>
        <w:instrText xml:space="preserve"> PAGEREF _Toc152315074 \h </w:instrText>
      </w:r>
      <w:r>
        <w:rPr>
          <w:rFonts w:hint="eastAsia"/>
        </w:rPr>
        <w:fldChar w:fldCharType="separate"/>
      </w:r>
      <w:r>
        <w:rPr>
          <w:rFonts w:hint="eastAsia"/>
        </w:rPr>
        <w:t>25</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"_Toc152315075" </w:instrText>
      </w:r>
      <w:r>
        <w:rPr>
          <w:rFonts w:hint="eastAsia"/>
        </w:rPr>
        <w:fldChar w:fldCharType="separate"/>
      </w:r>
      <w:r>
        <w:rPr>
          <w:rStyle w:val="16"/>
          <w:rFonts w:hint="eastAsia" w:ascii="仿宋_GB2312" w:hAnsi="仿宋_GB2312" w:eastAsia="仿宋_GB2312" w:cs="仿宋_GB2312"/>
          <w:szCs w:val="32"/>
        </w:rPr>
        <w:t>（一）生态制度体系建设</w:t>
      </w:r>
      <w:r>
        <w:rPr>
          <w:rFonts w:hint="eastAsia"/>
        </w:rPr>
        <w:tab/>
      </w:r>
      <w:r>
        <w:rPr>
          <w:rFonts w:hint="default"/>
          <w:lang w:val="en-US"/>
        </w:rPr>
        <w:t xml:space="preserve">                           </w:t>
      </w:r>
      <w:r>
        <w:rPr>
          <w:rFonts w:hint="eastAsia"/>
        </w:rPr>
        <w:fldChar w:fldCharType="begin"/>
      </w:r>
      <w:r>
        <w:rPr>
          <w:rFonts w:hint="eastAsia"/>
        </w:rPr>
        <w:instrText xml:space="preserve"> PAGEREF _Toc152315075 \h </w:instrText>
      </w:r>
      <w:r>
        <w:rPr>
          <w:rFonts w:hint="eastAsia"/>
        </w:rPr>
        <w:fldChar w:fldCharType="separate"/>
      </w:r>
      <w:r>
        <w:rPr>
          <w:rFonts w:hint="eastAsia"/>
        </w:rPr>
        <w:t>25</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"_Toc152315076" </w:instrText>
      </w:r>
      <w:r>
        <w:rPr>
          <w:rFonts w:hint="eastAsia"/>
        </w:rPr>
        <w:fldChar w:fldCharType="separate"/>
      </w:r>
      <w:r>
        <w:rPr>
          <w:rStyle w:val="16"/>
          <w:rFonts w:hint="eastAsia" w:ascii="仿宋_GB2312" w:hAnsi="仿宋_GB2312" w:eastAsia="仿宋_GB2312" w:cs="仿宋_GB2312"/>
          <w:szCs w:val="32"/>
        </w:rPr>
        <w:t>1、实行源头严格管控机制</w:t>
      </w:r>
      <w:r>
        <w:rPr>
          <w:rFonts w:hint="eastAsia"/>
        </w:rPr>
        <w:tab/>
      </w:r>
      <w:r>
        <w:rPr>
          <w:rFonts w:hint="default"/>
          <w:lang w:val="en-US"/>
        </w:rPr>
        <w:t xml:space="preserve">                           </w:t>
      </w:r>
      <w:r>
        <w:rPr>
          <w:rFonts w:hint="eastAsia"/>
        </w:rPr>
        <w:fldChar w:fldCharType="begin"/>
      </w:r>
      <w:r>
        <w:rPr>
          <w:rFonts w:hint="eastAsia"/>
        </w:rPr>
        <w:instrText xml:space="preserve"> PAGEREF _Toc152315076 \h </w:instrText>
      </w:r>
      <w:r>
        <w:rPr>
          <w:rFonts w:hint="eastAsia"/>
        </w:rPr>
        <w:fldChar w:fldCharType="separate"/>
      </w:r>
      <w:r>
        <w:rPr>
          <w:rFonts w:hint="eastAsia"/>
        </w:rPr>
        <w:t>25</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"_Toc152315077" </w:instrText>
      </w:r>
      <w:r>
        <w:rPr>
          <w:rFonts w:hint="eastAsia"/>
        </w:rPr>
        <w:fldChar w:fldCharType="separate"/>
      </w:r>
      <w:r>
        <w:rPr>
          <w:rStyle w:val="16"/>
          <w:rFonts w:hint="eastAsia" w:ascii="仿宋_GB2312" w:hAnsi="仿宋_GB2312" w:eastAsia="仿宋_GB2312" w:cs="仿宋_GB2312"/>
          <w:szCs w:val="32"/>
        </w:rPr>
        <w:t>2、全面建立过程严管制度</w:t>
      </w:r>
      <w:r>
        <w:rPr>
          <w:rFonts w:hint="eastAsia"/>
        </w:rPr>
        <w:tab/>
      </w:r>
      <w:r>
        <w:rPr>
          <w:rFonts w:hint="default"/>
          <w:lang w:val="en-US"/>
        </w:rPr>
        <w:t xml:space="preserve">                           </w:t>
      </w:r>
      <w:r>
        <w:rPr>
          <w:rFonts w:hint="eastAsia"/>
        </w:rPr>
        <w:fldChar w:fldCharType="begin"/>
      </w:r>
      <w:r>
        <w:rPr>
          <w:rFonts w:hint="eastAsia"/>
        </w:rPr>
        <w:instrText xml:space="preserve"> PAGEREF _Toc152315077 \h </w:instrText>
      </w:r>
      <w:r>
        <w:rPr>
          <w:rFonts w:hint="eastAsia"/>
        </w:rPr>
        <w:fldChar w:fldCharType="separate"/>
      </w:r>
      <w:r>
        <w:rPr>
          <w:rFonts w:hint="eastAsia"/>
        </w:rPr>
        <w:t>26</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"_Toc152315078" </w:instrText>
      </w:r>
      <w:r>
        <w:rPr>
          <w:rFonts w:hint="eastAsia"/>
        </w:rPr>
        <w:fldChar w:fldCharType="separate"/>
      </w:r>
      <w:r>
        <w:rPr>
          <w:rStyle w:val="16"/>
          <w:rFonts w:hint="eastAsia" w:ascii="仿宋_GB2312" w:hAnsi="仿宋_GB2312" w:eastAsia="仿宋_GB2312" w:cs="仿宋_GB2312"/>
          <w:szCs w:val="32"/>
        </w:rPr>
        <w:t>3、建立完善后果严惩制度</w:t>
      </w:r>
      <w:r>
        <w:rPr>
          <w:rFonts w:hint="default"/>
          <w:lang w:val="en-US"/>
        </w:rPr>
        <w:t xml:space="preserve">                            </w:t>
      </w:r>
      <w:r>
        <w:rPr>
          <w:rFonts w:hint="eastAsia"/>
        </w:rPr>
        <w:fldChar w:fldCharType="begin"/>
      </w:r>
      <w:r>
        <w:rPr>
          <w:rFonts w:hint="eastAsia"/>
        </w:rPr>
        <w:instrText xml:space="preserve"> PAGEREF _Toc152315078 \h </w:instrText>
      </w:r>
      <w:r>
        <w:rPr>
          <w:rFonts w:hint="eastAsia"/>
        </w:rPr>
        <w:fldChar w:fldCharType="separate"/>
      </w:r>
      <w:r>
        <w:rPr>
          <w:rFonts w:hint="eastAsia"/>
        </w:rPr>
        <w:t>28</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"_Toc152315079" </w:instrText>
      </w:r>
      <w:r>
        <w:rPr>
          <w:rFonts w:hint="eastAsia"/>
        </w:rPr>
        <w:fldChar w:fldCharType="separate"/>
      </w:r>
      <w:r>
        <w:rPr>
          <w:rStyle w:val="16"/>
          <w:rFonts w:hint="eastAsia" w:ascii="仿宋_GB2312" w:hAnsi="仿宋_GB2312" w:eastAsia="仿宋_GB2312" w:cs="仿宋_GB2312"/>
          <w:szCs w:val="32"/>
        </w:rPr>
        <w:t>4、建立生态保护与修复机制</w:t>
      </w:r>
      <w:r>
        <w:rPr>
          <w:rFonts w:hint="eastAsia"/>
        </w:rPr>
        <w:tab/>
      </w:r>
      <w:r>
        <w:rPr>
          <w:rFonts w:hint="default"/>
          <w:lang w:val="en-US"/>
        </w:rPr>
        <w:t xml:space="preserve">                        </w:t>
      </w:r>
      <w:r>
        <w:rPr>
          <w:rFonts w:hint="eastAsia"/>
        </w:rPr>
        <w:fldChar w:fldCharType="begin"/>
      </w:r>
      <w:r>
        <w:rPr>
          <w:rFonts w:hint="eastAsia"/>
        </w:rPr>
        <w:instrText xml:space="preserve"> PAGEREF _Toc152315079 \h </w:instrText>
      </w:r>
      <w:r>
        <w:rPr>
          <w:rFonts w:hint="eastAsia"/>
        </w:rPr>
        <w:fldChar w:fldCharType="separate"/>
      </w:r>
      <w:r>
        <w:rPr>
          <w:rFonts w:hint="eastAsia"/>
        </w:rPr>
        <w:t>30</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"_Toc152315080" </w:instrText>
      </w:r>
      <w:r>
        <w:rPr>
          <w:rFonts w:hint="eastAsia"/>
        </w:rPr>
        <w:fldChar w:fldCharType="separate"/>
      </w:r>
      <w:r>
        <w:rPr>
          <w:rStyle w:val="16"/>
          <w:rFonts w:hint="eastAsia" w:ascii="仿宋_GB2312" w:hAnsi="仿宋_GB2312" w:eastAsia="仿宋_GB2312" w:cs="仿宋_GB2312"/>
          <w:szCs w:val="32"/>
        </w:rPr>
        <w:t>（二）生态安全体系建设</w:t>
      </w:r>
      <w:r>
        <w:rPr>
          <w:rFonts w:hint="eastAsia"/>
        </w:rPr>
        <w:tab/>
      </w:r>
      <w:r>
        <w:rPr>
          <w:rFonts w:hint="default"/>
          <w:lang w:val="en-US"/>
        </w:rPr>
        <w:t xml:space="preserve">                           </w:t>
      </w:r>
      <w:r>
        <w:rPr>
          <w:rFonts w:hint="eastAsia"/>
        </w:rPr>
        <w:fldChar w:fldCharType="begin"/>
      </w:r>
      <w:r>
        <w:rPr>
          <w:rFonts w:hint="eastAsia"/>
        </w:rPr>
        <w:instrText xml:space="preserve"> PAGEREF _Toc152315080 \h </w:instrText>
      </w:r>
      <w:r>
        <w:rPr>
          <w:rFonts w:hint="eastAsia"/>
        </w:rPr>
        <w:fldChar w:fldCharType="separate"/>
      </w:r>
      <w:r>
        <w:rPr>
          <w:rFonts w:hint="eastAsia"/>
        </w:rPr>
        <w:t>31</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"_Toc152315081" </w:instrText>
      </w:r>
      <w:r>
        <w:rPr>
          <w:rFonts w:hint="eastAsia"/>
        </w:rPr>
        <w:fldChar w:fldCharType="separate"/>
      </w:r>
      <w:r>
        <w:rPr>
          <w:rStyle w:val="16"/>
          <w:rFonts w:hint="eastAsia" w:ascii="仿宋_GB2312" w:hAnsi="仿宋_GB2312" w:eastAsia="仿宋_GB2312" w:cs="仿宋_GB2312"/>
          <w:szCs w:val="32"/>
        </w:rPr>
        <w:t>1、积极应对全球气候变化</w:t>
      </w:r>
      <w:r>
        <w:rPr>
          <w:rFonts w:hint="eastAsia"/>
        </w:rPr>
        <w:tab/>
      </w:r>
      <w:r>
        <w:rPr>
          <w:rFonts w:hint="default"/>
          <w:lang w:val="en-US"/>
        </w:rPr>
        <w:t xml:space="preserve">                           </w:t>
      </w:r>
      <w:r>
        <w:rPr>
          <w:rFonts w:hint="eastAsia"/>
        </w:rPr>
        <w:fldChar w:fldCharType="begin"/>
      </w:r>
      <w:r>
        <w:rPr>
          <w:rFonts w:hint="eastAsia"/>
        </w:rPr>
        <w:instrText xml:space="preserve"> PAGEREF _Toc152315081 \h </w:instrText>
      </w:r>
      <w:r>
        <w:rPr>
          <w:rFonts w:hint="eastAsia"/>
        </w:rPr>
        <w:fldChar w:fldCharType="separate"/>
      </w:r>
      <w:r>
        <w:rPr>
          <w:rFonts w:hint="eastAsia"/>
        </w:rPr>
        <w:t>31</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"_Toc152315082" </w:instrText>
      </w:r>
      <w:r>
        <w:rPr>
          <w:rFonts w:hint="eastAsia"/>
        </w:rPr>
        <w:fldChar w:fldCharType="separate"/>
      </w:r>
      <w:r>
        <w:rPr>
          <w:rStyle w:val="16"/>
          <w:rFonts w:hint="eastAsia" w:ascii="仿宋_GB2312" w:hAnsi="仿宋_GB2312" w:eastAsia="仿宋_GB2312" w:cs="仿宋_GB2312"/>
          <w:szCs w:val="32"/>
        </w:rPr>
        <w:t>2、巩固提升区域水环境质量</w:t>
      </w:r>
      <w:r>
        <w:rPr>
          <w:rFonts w:hint="eastAsia"/>
        </w:rPr>
        <w:tab/>
      </w:r>
      <w:r>
        <w:rPr>
          <w:rFonts w:hint="default"/>
          <w:lang w:val="en-US"/>
        </w:rPr>
        <w:t xml:space="preserve">                        </w:t>
      </w:r>
      <w:r>
        <w:rPr>
          <w:rFonts w:hint="eastAsia"/>
        </w:rPr>
        <w:fldChar w:fldCharType="begin"/>
      </w:r>
      <w:r>
        <w:rPr>
          <w:rFonts w:hint="eastAsia"/>
        </w:rPr>
        <w:instrText xml:space="preserve"> PAGEREF _Toc152315082 \h </w:instrText>
      </w:r>
      <w:r>
        <w:rPr>
          <w:rFonts w:hint="eastAsia"/>
        </w:rPr>
        <w:fldChar w:fldCharType="separate"/>
      </w:r>
      <w:r>
        <w:rPr>
          <w:rFonts w:hint="eastAsia"/>
        </w:rPr>
        <w:t>32</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"_Toc152315083" </w:instrText>
      </w:r>
      <w:r>
        <w:rPr>
          <w:rFonts w:hint="eastAsia"/>
        </w:rPr>
        <w:fldChar w:fldCharType="separate"/>
      </w:r>
      <w:r>
        <w:rPr>
          <w:rStyle w:val="16"/>
          <w:rFonts w:hint="eastAsia" w:ascii="仿宋_GB2312" w:hAnsi="仿宋_GB2312" w:eastAsia="仿宋_GB2312" w:cs="仿宋_GB2312"/>
          <w:szCs w:val="32"/>
        </w:rPr>
        <w:t>3、持续改善大气环境质量</w:t>
      </w:r>
      <w:r>
        <w:rPr>
          <w:rFonts w:hint="eastAsia"/>
        </w:rPr>
        <w:tab/>
      </w:r>
      <w:r>
        <w:rPr>
          <w:rFonts w:hint="default"/>
          <w:lang w:val="en-US"/>
        </w:rPr>
        <w:t xml:space="preserve">                           </w:t>
      </w:r>
      <w:r>
        <w:rPr>
          <w:rFonts w:hint="eastAsia"/>
        </w:rPr>
        <w:fldChar w:fldCharType="begin"/>
      </w:r>
      <w:r>
        <w:rPr>
          <w:rFonts w:hint="eastAsia"/>
        </w:rPr>
        <w:instrText xml:space="preserve"> PAGEREF _Toc152315083 \h </w:instrText>
      </w:r>
      <w:r>
        <w:rPr>
          <w:rFonts w:hint="eastAsia"/>
        </w:rPr>
        <w:fldChar w:fldCharType="separate"/>
      </w:r>
      <w:r>
        <w:rPr>
          <w:rFonts w:hint="eastAsia"/>
        </w:rPr>
        <w:t>34</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"_Toc152315084" </w:instrText>
      </w:r>
      <w:r>
        <w:rPr>
          <w:rFonts w:hint="eastAsia"/>
        </w:rPr>
        <w:fldChar w:fldCharType="separate"/>
      </w:r>
      <w:r>
        <w:rPr>
          <w:rStyle w:val="16"/>
          <w:rFonts w:hint="eastAsia" w:ascii="仿宋_GB2312" w:hAnsi="仿宋_GB2312" w:eastAsia="仿宋_GB2312" w:cs="仿宋_GB2312"/>
          <w:szCs w:val="32"/>
        </w:rPr>
        <w:t>4、深入推进土壤污染防治</w:t>
      </w:r>
      <w:r>
        <w:rPr>
          <w:rFonts w:hint="eastAsia"/>
        </w:rPr>
        <w:tab/>
      </w:r>
      <w:r>
        <w:rPr>
          <w:rFonts w:hint="default"/>
          <w:lang w:val="en-US"/>
        </w:rPr>
        <w:t xml:space="preserve">                           </w:t>
      </w:r>
      <w:r>
        <w:rPr>
          <w:rFonts w:hint="eastAsia"/>
        </w:rPr>
        <w:fldChar w:fldCharType="begin"/>
      </w:r>
      <w:r>
        <w:rPr>
          <w:rFonts w:hint="eastAsia"/>
        </w:rPr>
        <w:instrText xml:space="preserve"> PAGEREF _Toc152315084 \h </w:instrText>
      </w:r>
      <w:r>
        <w:rPr>
          <w:rFonts w:hint="eastAsia"/>
        </w:rPr>
        <w:fldChar w:fldCharType="separate"/>
      </w:r>
      <w:r>
        <w:rPr>
          <w:rFonts w:hint="eastAsia"/>
        </w:rPr>
        <w:t>36</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"_Toc152315085" </w:instrText>
      </w:r>
      <w:r>
        <w:rPr>
          <w:rFonts w:hint="eastAsia"/>
        </w:rPr>
        <w:fldChar w:fldCharType="separate"/>
      </w:r>
      <w:r>
        <w:rPr>
          <w:rStyle w:val="16"/>
          <w:rFonts w:hint="eastAsia" w:ascii="仿宋_GB2312" w:hAnsi="仿宋_GB2312" w:eastAsia="仿宋_GB2312" w:cs="仿宋_GB2312"/>
          <w:szCs w:val="32"/>
        </w:rPr>
        <w:t>5、加快探索无废城市建设</w:t>
      </w:r>
      <w:r>
        <w:rPr>
          <w:rFonts w:hint="eastAsia"/>
        </w:rPr>
        <w:tab/>
      </w:r>
      <w:r>
        <w:rPr>
          <w:rFonts w:hint="default"/>
          <w:lang w:val="en-US"/>
        </w:rPr>
        <w:t xml:space="preserve">                           </w:t>
      </w:r>
      <w:r>
        <w:rPr>
          <w:rFonts w:hint="eastAsia"/>
        </w:rPr>
        <w:fldChar w:fldCharType="begin"/>
      </w:r>
      <w:r>
        <w:rPr>
          <w:rFonts w:hint="eastAsia"/>
        </w:rPr>
        <w:instrText xml:space="preserve"> PAGEREF _Toc152315085 \h </w:instrText>
      </w:r>
      <w:r>
        <w:rPr>
          <w:rFonts w:hint="eastAsia"/>
        </w:rPr>
        <w:fldChar w:fldCharType="separate"/>
      </w:r>
      <w:r>
        <w:rPr>
          <w:rFonts w:hint="eastAsia"/>
        </w:rPr>
        <w:t>37</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"_Toc152315086" </w:instrText>
      </w:r>
      <w:r>
        <w:rPr>
          <w:rFonts w:hint="eastAsia"/>
        </w:rPr>
        <w:fldChar w:fldCharType="separate"/>
      </w:r>
      <w:r>
        <w:rPr>
          <w:rStyle w:val="16"/>
          <w:rFonts w:hint="eastAsia" w:ascii="仿宋_GB2312" w:hAnsi="仿宋_GB2312" w:eastAsia="仿宋_GB2312" w:cs="仿宋_GB2312"/>
          <w:szCs w:val="32"/>
        </w:rPr>
        <w:t>6、严防严控生态环境风险</w:t>
      </w:r>
      <w:r>
        <w:rPr>
          <w:rFonts w:hint="eastAsia"/>
        </w:rPr>
        <w:tab/>
      </w:r>
      <w:r>
        <w:rPr>
          <w:rFonts w:hint="default"/>
          <w:lang w:val="en-US"/>
        </w:rPr>
        <w:t xml:space="preserve">                           </w:t>
      </w:r>
      <w:r>
        <w:rPr>
          <w:rFonts w:hint="eastAsia"/>
        </w:rPr>
        <w:fldChar w:fldCharType="begin"/>
      </w:r>
      <w:r>
        <w:rPr>
          <w:rFonts w:hint="eastAsia"/>
        </w:rPr>
        <w:instrText xml:space="preserve"> PAGEREF _Toc152315086 \h </w:instrText>
      </w:r>
      <w:r>
        <w:rPr>
          <w:rFonts w:hint="eastAsia"/>
        </w:rPr>
        <w:fldChar w:fldCharType="separate"/>
      </w:r>
      <w:r>
        <w:rPr>
          <w:rFonts w:hint="eastAsia"/>
        </w:rPr>
        <w:t>39</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"_Toc152315087" </w:instrText>
      </w:r>
      <w:r>
        <w:rPr>
          <w:rFonts w:hint="eastAsia"/>
        </w:rPr>
        <w:fldChar w:fldCharType="separate"/>
      </w:r>
      <w:r>
        <w:rPr>
          <w:rStyle w:val="16"/>
          <w:rFonts w:hint="eastAsia" w:ascii="仿宋_GB2312" w:hAnsi="仿宋_GB2312" w:eastAsia="仿宋_GB2312" w:cs="仿宋_GB2312"/>
          <w:szCs w:val="32"/>
        </w:rPr>
        <w:t>（三）生态空间体系建设</w:t>
      </w:r>
      <w:r>
        <w:rPr>
          <w:rFonts w:hint="eastAsia"/>
        </w:rPr>
        <w:tab/>
      </w:r>
      <w:r>
        <w:rPr>
          <w:rFonts w:hint="default"/>
          <w:lang w:val="en-US"/>
        </w:rPr>
        <w:t xml:space="preserve">                           </w:t>
      </w:r>
      <w:r>
        <w:rPr>
          <w:rFonts w:hint="eastAsia"/>
        </w:rPr>
        <w:fldChar w:fldCharType="begin"/>
      </w:r>
      <w:r>
        <w:rPr>
          <w:rFonts w:hint="eastAsia"/>
        </w:rPr>
        <w:instrText xml:space="preserve"> PAGEREF _Toc152315087 \h </w:instrText>
      </w:r>
      <w:r>
        <w:rPr>
          <w:rFonts w:hint="eastAsia"/>
        </w:rPr>
        <w:fldChar w:fldCharType="separate"/>
      </w:r>
      <w:r>
        <w:rPr>
          <w:rFonts w:hint="eastAsia"/>
        </w:rPr>
        <w:t>42</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"_Toc152315088" </w:instrText>
      </w:r>
      <w:r>
        <w:rPr>
          <w:rFonts w:hint="eastAsia"/>
        </w:rPr>
        <w:fldChar w:fldCharType="separate"/>
      </w:r>
      <w:r>
        <w:rPr>
          <w:rStyle w:val="16"/>
          <w:rFonts w:hint="eastAsia" w:ascii="仿宋_GB2312" w:hAnsi="仿宋_GB2312" w:eastAsia="仿宋_GB2312" w:cs="仿宋_GB2312"/>
          <w:szCs w:val="32"/>
        </w:rPr>
        <w:t>1、强化国土空间规划</w:t>
      </w:r>
      <w:r>
        <w:rPr>
          <w:rFonts w:hint="eastAsia"/>
        </w:rPr>
        <w:tab/>
      </w:r>
      <w:r>
        <w:rPr>
          <w:rFonts w:hint="default"/>
          <w:lang w:val="en-US"/>
        </w:rPr>
        <w:t xml:space="preserve">                             </w:t>
      </w:r>
      <w:r>
        <w:rPr>
          <w:rFonts w:hint="eastAsia"/>
        </w:rPr>
        <w:fldChar w:fldCharType="begin"/>
      </w:r>
      <w:r>
        <w:rPr>
          <w:rFonts w:hint="eastAsia"/>
        </w:rPr>
        <w:instrText xml:space="preserve"> PAGEREF _Toc152315088 \h </w:instrText>
      </w:r>
      <w:r>
        <w:rPr>
          <w:rFonts w:hint="eastAsia"/>
        </w:rPr>
        <w:fldChar w:fldCharType="separate"/>
      </w:r>
      <w:r>
        <w:rPr>
          <w:rFonts w:hint="eastAsia"/>
        </w:rPr>
        <w:t>42</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"_Toc152315089" </w:instrText>
      </w:r>
      <w:r>
        <w:rPr>
          <w:rFonts w:hint="eastAsia"/>
        </w:rPr>
        <w:fldChar w:fldCharType="separate"/>
      </w:r>
      <w:r>
        <w:rPr>
          <w:rStyle w:val="16"/>
          <w:rFonts w:hint="eastAsia" w:ascii="仿宋_GB2312" w:hAnsi="仿宋_GB2312" w:eastAsia="仿宋_GB2312" w:cs="仿宋_GB2312"/>
          <w:szCs w:val="32"/>
        </w:rPr>
        <w:t>2、优化国土空间格局</w:t>
      </w:r>
      <w:r>
        <w:rPr>
          <w:rFonts w:hint="eastAsia"/>
        </w:rPr>
        <w:tab/>
      </w:r>
      <w:r>
        <w:rPr>
          <w:rFonts w:hint="default"/>
          <w:lang w:val="en-US"/>
        </w:rPr>
        <w:t xml:space="preserve">                             </w:t>
      </w:r>
      <w:r>
        <w:rPr>
          <w:rFonts w:hint="eastAsia"/>
        </w:rPr>
        <w:fldChar w:fldCharType="begin"/>
      </w:r>
      <w:r>
        <w:rPr>
          <w:rFonts w:hint="eastAsia"/>
        </w:rPr>
        <w:instrText xml:space="preserve"> PAGEREF _Toc152315089 \h </w:instrText>
      </w:r>
      <w:r>
        <w:rPr>
          <w:rFonts w:hint="eastAsia"/>
        </w:rPr>
        <w:fldChar w:fldCharType="separate"/>
      </w:r>
      <w:r>
        <w:rPr>
          <w:rFonts w:hint="eastAsia"/>
        </w:rPr>
        <w:t>42</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"_Toc152315090" </w:instrText>
      </w:r>
      <w:r>
        <w:rPr>
          <w:rFonts w:hint="eastAsia"/>
        </w:rPr>
        <w:fldChar w:fldCharType="separate"/>
      </w:r>
      <w:r>
        <w:rPr>
          <w:rStyle w:val="16"/>
          <w:rFonts w:hint="eastAsia" w:ascii="仿宋_GB2312" w:hAnsi="仿宋_GB2312" w:eastAsia="仿宋_GB2312" w:cs="仿宋_GB2312"/>
          <w:szCs w:val="32"/>
        </w:rPr>
        <w:t>3、加大生态系统保护</w:t>
      </w:r>
      <w:r>
        <w:rPr>
          <w:rFonts w:hint="eastAsia"/>
        </w:rPr>
        <w:tab/>
      </w:r>
      <w:r>
        <w:rPr>
          <w:rFonts w:hint="default"/>
          <w:lang w:val="en-US"/>
        </w:rPr>
        <w:t xml:space="preserve">                             </w:t>
      </w:r>
      <w:r>
        <w:rPr>
          <w:rFonts w:hint="eastAsia"/>
        </w:rPr>
        <w:fldChar w:fldCharType="begin"/>
      </w:r>
      <w:r>
        <w:rPr>
          <w:rFonts w:hint="eastAsia"/>
        </w:rPr>
        <w:instrText xml:space="preserve"> PAGEREF _Toc152315090 \h </w:instrText>
      </w:r>
      <w:r>
        <w:rPr>
          <w:rFonts w:hint="eastAsia"/>
        </w:rPr>
        <w:fldChar w:fldCharType="separate"/>
      </w:r>
      <w:r>
        <w:rPr>
          <w:rFonts w:hint="eastAsia"/>
        </w:rPr>
        <w:t>43</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"_Toc152315091" </w:instrText>
      </w:r>
      <w:r>
        <w:rPr>
          <w:rFonts w:hint="eastAsia"/>
        </w:rPr>
        <w:fldChar w:fldCharType="separate"/>
      </w:r>
      <w:r>
        <w:rPr>
          <w:rStyle w:val="16"/>
          <w:rFonts w:hint="eastAsia" w:ascii="仿宋_GB2312" w:hAnsi="仿宋_GB2312" w:eastAsia="仿宋_GB2312" w:cs="仿宋_GB2312"/>
          <w:szCs w:val="32"/>
        </w:rPr>
        <w:t>（四）生态经济体系建设</w:t>
      </w:r>
      <w:r>
        <w:rPr>
          <w:rFonts w:hint="eastAsia"/>
        </w:rPr>
        <w:tab/>
      </w:r>
      <w:r>
        <w:rPr>
          <w:rFonts w:hint="default"/>
          <w:lang w:val="en-US"/>
        </w:rPr>
        <w:t xml:space="preserve">                             </w:t>
      </w:r>
      <w:r>
        <w:rPr>
          <w:rFonts w:hint="eastAsia"/>
        </w:rPr>
        <w:fldChar w:fldCharType="begin"/>
      </w:r>
      <w:r>
        <w:rPr>
          <w:rFonts w:hint="eastAsia"/>
        </w:rPr>
        <w:instrText xml:space="preserve"> PAGEREF _Toc152315091 \h </w:instrText>
      </w:r>
      <w:r>
        <w:rPr>
          <w:rFonts w:hint="eastAsia"/>
        </w:rPr>
        <w:fldChar w:fldCharType="separate"/>
      </w:r>
      <w:r>
        <w:rPr>
          <w:rFonts w:hint="eastAsia"/>
        </w:rPr>
        <w:t>44</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"_Toc152315092" </w:instrText>
      </w:r>
      <w:r>
        <w:rPr>
          <w:rFonts w:hint="eastAsia"/>
        </w:rPr>
        <w:fldChar w:fldCharType="separate"/>
      </w:r>
      <w:r>
        <w:rPr>
          <w:rStyle w:val="16"/>
          <w:rFonts w:hint="eastAsia" w:ascii="仿宋_GB2312" w:hAnsi="仿宋_GB2312" w:eastAsia="仿宋_GB2312" w:cs="仿宋_GB2312"/>
          <w:szCs w:val="32"/>
        </w:rPr>
        <w:t>1、推动生态工业发展</w:t>
      </w:r>
      <w:r>
        <w:rPr>
          <w:rFonts w:hint="eastAsia"/>
        </w:rPr>
        <w:tab/>
      </w:r>
      <w:r>
        <w:rPr>
          <w:rFonts w:hint="default"/>
          <w:lang w:val="en-US"/>
        </w:rPr>
        <w:t xml:space="preserve">                                </w:t>
      </w:r>
      <w:r>
        <w:rPr>
          <w:rFonts w:hint="eastAsia"/>
        </w:rPr>
        <w:fldChar w:fldCharType="begin"/>
      </w:r>
      <w:r>
        <w:rPr>
          <w:rFonts w:hint="eastAsia"/>
        </w:rPr>
        <w:instrText xml:space="preserve"> PAGEREF _Toc152315092 \h </w:instrText>
      </w:r>
      <w:r>
        <w:rPr>
          <w:rFonts w:hint="eastAsia"/>
        </w:rPr>
        <w:fldChar w:fldCharType="separate"/>
      </w:r>
      <w:r>
        <w:rPr>
          <w:rFonts w:hint="eastAsia"/>
        </w:rPr>
        <w:t>44</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"_Toc152315093" </w:instrText>
      </w:r>
      <w:r>
        <w:rPr>
          <w:rFonts w:hint="eastAsia"/>
        </w:rPr>
        <w:fldChar w:fldCharType="separate"/>
      </w:r>
      <w:r>
        <w:rPr>
          <w:rStyle w:val="16"/>
          <w:rFonts w:hint="eastAsia" w:ascii="仿宋_GB2312" w:hAnsi="仿宋_GB2312" w:eastAsia="仿宋_GB2312" w:cs="仿宋_GB2312"/>
          <w:szCs w:val="32"/>
        </w:rPr>
        <w:t>2、提升现代服务业</w:t>
      </w:r>
      <w:r>
        <w:rPr>
          <w:rFonts w:hint="eastAsia"/>
        </w:rPr>
        <w:tab/>
      </w:r>
      <w:r>
        <w:rPr>
          <w:rFonts w:hint="default"/>
          <w:lang w:val="en-US"/>
        </w:rPr>
        <w:t xml:space="preserve">                                  </w:t>
      </w:r>
      <w:r>
        <w:rPr>
          <w:rFonts w:hint="eastAsia"/>
        </w:rPr>
        <w:fldChar w:fldCharType="begin"/>
      </w:r>
      <w:r>
        <w:rPr>
          <w:rFonts w:hint="eastAsia"/>
        </w:rPr>
        <w:instrText xml:space="preserve"> PAGEREF _Toc152315093 \h </w:instrText>
      </w:r>
      <w:r>
        <w:rPr>
          <w:rFonts w:hint="eastAsia"/>
        </w:rPr>
        <w:fldChar w:fldCharType="separate"/>
      </w:r>
      <w:r>
        <w:rPr>
          <w:rFonts w:hint="eastAsia"/>
        </w:rPr>
        <w:t>45</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"_Toc152315094" </w:instrText>
      </w:r>
      <w:r>
        <w:rPr>
          <w:rFonts w:hint="eastAsia"/>
        </w:rPr>
        <w:fldChar w:fldCharType="separate"/>
      </w:r>
      <w:r>
        <w:rPr>
          <w:rStyle w:val="16"/>
          <w:rFonts w:hint="eastAsia" w:ascii="仿宋_GB2312" w:hAnsi="仿宋_GB2312" w:eastAsia="仿宋_GB2312" w:cs="仿宋_GB2312"/>
          <w:szCs w:val="32"/>
        </w:rPr>
        <w:t>3、推进资源结构调整</w:t>
      </w:r>
      <w:r>
        <w:rPr>
          <w:rFonts w:hint="eastAsia"/>
        </w:rPr>
        <w:tab/>
      </w:r>
      <w:r>
        <w:rPr>
          <w:rFonts w:hint="default"/>
          <w:lang w:val="en-US"/>
        </w:rPr>
        <w:t xml:space="preserve">                                </w:t>
      </w:r>
      <w:r>
        <w:rPr>
          <w:rFonts w:hint="eastAsia"/>
        </w:rPr>
        <w:fldChar w:fldCharType="begin"/>
      </w:r>
      <w:r>
        <w:rPr>
          <w:rFonts w:hint="eastAsia"/>
        </w:rPr>
        <w:instrText xml:space="preserve"> PAGEREF _Toc152315094 \h </w:instrText>
      </w:r>
      <w:r>
        <w:rPr>
          <w:rFonts w:hint="eastAsia"/>
        </w:rPr>
        <w:fldChar w:fldCharType="separate"/>
      </w:r>
      <w:r>
        <w:rPr>
          <w:rFonts w:hint="eastAsia"/>
        </w:rPr>
        <w:t>46</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"_Toc152315095" </w:instrText>
      </w:r>
      <w:r>
        <w:rPr>
          <w:rFonts w:hint="eastAsia"/>
        </w:rPr>
        <w:fldChar w:fldCharType="separate"/>
      </w:r>
      <w:r>
        <w:rPr>
          <w:rStyle w:val="16"/>
          <w:rFonts w:hint="eastAsia" w:ascii="仿宋_GB2312" w:hAnsi="仿宋_GB2312" w:eastAsia="仿宋_GB2312" w:cs="仿宋_GB2312"/>
          <w:szCs w:val="32"/>
        </w:rPr>
        <w:t>（五）生态生活体系建设</w:t>
      </w:r>
      <w:r>
        <w:rPr>
          <w:rFonts w:hint="eastAsia"/>
        </w:rPr>
        <w:tab/>
      </w:r>
      <w:r>
        <w:rPr>
          <w:rFonts w:hint="default"/>
          <w:lang w:val="en-US"/>
        </w:rPr>
        <w:t xml:space="preserve">                             </w:t>
      </w:r>
      <w:r>
        <w:rPr>
          <w:rFonts w:hint="eastAsia"/>
        </w:rPr>
        <w:fldChar w:fldCharType="begin"/>
      </w:r>
      <w:r>
        <w:rPr>
          <w:rFonts w:hint="eastAsia"/>
        </w:rPr>
        <w:instrText xml:space="preserve"> PAGEREF _Toc152315095 \h </w:instrText>
      </w:r>
      <w:r>
        <w:rPr>
          <w:rFonts w:hint="eastAsia"/>
        </w:rPr>
        <w:fldChar w:fldCharType="separate"/>
      </w:r>
      <w:r>
        <w:rPr>
          <w:rFonts w:hint="eastAsia"/>
        </w:rPr>
        <w:t>49</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"_Toc152315096" </w:instrText>
      </w:r>
      <w:r>
        <w:rPr>
          <w:rFonts w:hint="eastAsia"/>
        </w:rPr>
        <w:fldChar w:fldCharType="separate"/>
      </w:r>
      <w:r>
        <w:rPr>
          <w:rStyle w:val="16"/>
          <w:rFonts w:hint="eastAsia" w:ascii="仿宋_GB2312" w:hAnsi="仿宋_GB2312" w:eastAsia="仿宋_GB2312" w:cs="仿宋_GB2312"/>
          <w:szCs w:val="32"/>
        </w:rPr>
        <w:t>1、提升城市功能和品质</w:t>
      </w:r>
      <w:r>
        <w:rPr>
          <w:rFonts w:hint="eastAsia"/>
        </w:rPr>
        <w:tab/>
      </w:r>
      <w:r>
        <w:rPr>
          <w:rFonts w:hint="default"/>
          <w:lang w:val="en-US"/>
        </w:rPr>
        <w:t xml:space="preserve">                             </w:t>
      </w:r>
      <w:r>
        <w:rPr>
          <w:rFonts w:hint="eastAsia"/>
        </w:rPr>
        <w:fldChar w:fldCharType="begin"/>
      </w:r>
      <w:r>
        <w:rPr>
          <w:rFonts w:hint="eastAsia"/>
        </w:rPr>
        <w:instrText xml:space="preserve"> PAGEREF _Toc152315096 \h </w:instrText>
      </w:r>
      <w:r>
        <w:rPr>
          <w:rFonts w:hint="eastAsia"/>
        </w:rPr>
        <w:fldChar w:fldCharType="separate"/>
      </w:r>
      <w:r>
        <w:rPr>
          <w:rFonts w:hint="eastAsia"/>
        </w:rPr>
        <w:t>49</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"_Toc152315097" </w:instrText>
      </w:r>
      <w:r>
        <w:rPr>
          <w:rFonts w:hint="eastAsia"/>
        </w:rPr>
        <w:fldChar w:fldCharType="separate"/>
      </w:r>
      <w:r>
        <w:rPr>
          <w:rStyle w:val="16"/>
          <w:rFonts w:hint="eastAsia" w:ascii="仿宋_GB2312" w:hAnsi="仿宋_GB2312" w:eastAsia="仿宋_GB2312" w:cs="仿宋_GB2312"/>
          <w:szCs w:val="32"/>
        </w:rPr>
        <w:t>2、建设资源节约型社会</w:t>
      </w:r>
      <w:r>
        <w:rPr>
          <w:rFonts w:hint="eastAsia"/>
        </w:rPr>
        <w:tab/>
      </w:r>
      <w:r>
        <w:rPr>
          <w:rFonts w:hint="default"/>
          <w:lang w:val="en-US"/>
        </w:rPr>
        <w:t xml:space="preserve">                             </w:t>
      </w:r>
      <w:r>
        <w:rPr>
          <w:rFonts w:hint="eastAsia"/>
        </w:rPr>
        <w:fldChar w:fldCharType="begin"/>
      </w:r>
      <w:r>
        <w:rPr>
          <w:rFonts w:hint="eastAsia"/>
        </w:rPr>
        <w:instrText xml:space="preserve"> PAGEREF _Toc152315097 \h </w:instrText>
      </w:r>
      <w:r>
        <w:rPr>
          <w:rFonts w:hint="eastAsia"/>
        </w:rPr>
        <w:fldChar w:fldCharType="separate"/>
      </w:r>
      <w:r>
        <w:rPr>
          <w:rFonts w:hint="eastAsia"/>
        </w:rPr>
        <w:t>50</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"_Toc152315098" </w:instrText>
      </w:r>
      <w:r>
        <w:rPr>
          <w:rFonts w:hint="eastAsia"/>
        </w:rPr>
        <w:fldChar w:fldCharType="separate"/>
      </w:r>
      <w:r>
        <w:rPr>
          <w:rStyle w:val="16"/>
          <w:rFonts w:hint="eastAsia" w:ascii="仿宋_GB2312" w:hAnsi="仿宋_GB2312" w:eastAsia="仿宋_GB2312" w:cs="仿宋_GB2312"/>
          <w:szCs w:val="32"/>
        </w:rPr>
        <w:t>3、倡导绿色生活方式</w:t>
      </w:r>
      <w:r>
        <w:rPr>
          <w:rFonts w:hint="eastAsia"/>
        </w:rPr>
        <w:tab/>
      </w:r>
      <w:r>
        <w:rPr>
          <w:rFonts w:hint="default"/>
          <w:lang w:val="en-US"/>
        </w:rPr>
        <w:t xml:space="preserve">                                </w:t>
      </w:r>
      <w:r>
        <w:rPr>
          <w:rFonts w:hint="eastAsia"/>
        </w:rPr>
        <w:fldChar w:fldCharType="begin"/>
      </w:r>
      <w:r>
        <w:rPr>
          <w:rFonts w:hint="eastAsia"/>
        </w:rPr>
        <w:instrText xml:space="preserve"> PAGEREF _Toc152315098 \h </w:instrText>
      </w:r>
      <w:r>
        <w:rPr>
          <w:rFonts w:hint="eastAsia"/>
        </w:rPr>
        <w:fldChar w:fldCharType="separate"/>
      </w:r>
      <w:r>
        <w:rPr>
          <w:rFonts w:hint="eastAsia"/>
        </w:rPr>
        <w:t>51</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"_Toc152315099" </w:instrText>
      </w:r>
      <w:r>
        <w:rPr>
          <w:rFonts w:hint="eastAsia"/>
        </w:rPr>
        <w:fldChar w:fldCharType="separate"/>
      </w:r>
      <w:r>
        <w:rPr>
          <w:rStyle w:val="16"/>
          <w:rFonts w:hint="eastAsia" w:ascii="仿宋_GB2312" w:hAnsi="仿宋_GB2312" w:eastAsia="仿宋_GB2312" w:cs="仿宋_GB2312"/>
          <w:szCs w:val="32"/>
        </w:rPr>
        <w:t>（六）生态文化体系建设</w:t>
      </w:r>
      <w:r>
        <w:rPr>
          <w:rFonts w:hint="eastAsia"/>
        </w:rPr>
        <w:tab/>
      </w:r>
      <w:r>
        <w:rPr>
          <w:rFonts w:hint="default"/>
          <w:lang w:val="en-US"/>
        </w:rPr>
        <w:t xml:space="preserve">                             </w:t>
      </w:r>
      <w:r>
        <w:rPr>
          <w:rFonts w:hint="eastAsia"/>
        </w:rPr>
        <w:fldChar w:fldCharType="begin"/>
      </w:r>
      <w:r>
        <w:rPr>
          <w:rFonts w:hint="eastAsia"/>
        </w:rPr>
        <w:instrText xml:space="preserve"> PAGEREF _Toc152315099 \h </w:instrText>
      </w:r>
      <w:r>
        <w:rPr>
          <w:rFonts w:hint="eastAsia"/>
        </w:rPr>
        <w:fldChar w:fldCharType="separate"/>
      </w:r>
      <w:r>
        <w:rPr>
          <w:rFonts w:hint="eastAsia"/>
        </w:rPr>
        <w:t>53</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"_Toc152315100" </w:instrText>
      </w:r>
      <w:r>
        <w:rPr>
          <w:rFonts w:hint="eastAsia"/>
        </w:rPr>
        <w:fldChar w:fldCharType="separate"/>
      </w:r>
      <w:r>
        <w:rPr>
          <w:rStyle w:val="16"/>
          <w:rFonts w:hint="eastAsia" w:ascii="仿宋_GB2312" w:hAnsi="仿宋_GB2312" w:eastAsia="仿宋_GB2312" w:cs="仿宋_GB2312"/>
          <w:szCs w:val="32"/>
        </w:rPr>
        <w:t>1、加强文化资源保护利用</w:t>
      </w:r>
      <w:r>
        <w:rPr>
          <w:rFonts w:hint="eastAsia"/>
        </w:rPr>
        <w:tab/>
      </w:r>
      <w:r>
        <w:rPr>
          <w:rFonts w:hint="default"/>
          <w:lang w:val="en-US"/>
        </w:rPr>
        <w:t xml:space="preserve">                             </w:t>
      </w:r>
      <w:r>
        <w:rPr>
          <w:rFonts w:hint="eastAsia"/>
        </w:rPr>
        <w:fldChar w:fldCharType="begin"/>
      </w:r>
      <w:r>
        <w:rPr>
          <w:rFonts w:hint="eastAsia"/>
        </w:rPr>
        <w:instrText xml:space="preserve"> PAGEREF _Toc152315100 \h </w:instrText>
      </w:r>
      <w:r>
        <w:rPr>
          <w:rFonts w:hint="eastAsia"/>
        </w:rPr>
        <w:fldChar w:fldCharType="separate"/>
      </w:r>
      <w:r>
        <w:rPr>
          <w:rFonts w:hint="eastAsia"/>
        </w:rPr>
        <w:t>53</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"_Toc152315101" </w:instrText>
      </w:r>
      <w:r>
        <w:rPr>
          <w:rFonts w:hint="eastAsia"/>
        </w:rPr>
        <w:fldChar w:fldCharType="separate"/>
      </w:r>
      <w:r>
        <w:rPr>
          <w:rStyle w:val="16"/>
          <w:rFonts w:hint="eastAsia" w:ascii="仿宋_GB2312" w:hAnsi="仿宋_GB2312" w:eastAsia="仿宋_GB2312" w:cs="仿宋_GB2312"/>
          <w:szCs w:val="32"/>
        </w:rPr>
        <w:t>2、加强生态文明宣传教育</w:t>
      </w:r>
      <w:r>
        <w:rPr>
          <w:rFonts w:hint="eastAsia"/>
        </w:rPr>
        <w:tab/>
      </w:r>
      <w:r>
        <w:rPr>
          <w:rFonts w:hint="default"/>
          <w:lang w:val="en-US"/>
        </w:rPr>
        <w:t xml:space="preserve">                             </w:t>
      </w:r>
      <w:r>
        <w:rPr>
          <w:rFonts w:hint="eastAsia"/>
        </w:rPr>
        <w:fldChar w:fldCharType="begin"/>
      </w:r>
      <w:r>
        <w:rPr>
          <w:rFonts w:hint="eastAsia"/>
        </w:rPr>
        <w:instrText xml:space="preserve"> PAGEREF _Toc152315101 \h </w:instrText>
      </w:r>
      <w:r>
        <w:rPr>
          <w:rFonts w:hint="eastAsia"/>
        </w:rPr>
        <w:fldChar w:fldCharType="separate"/>
      </w:r>
      <w:r>
        <w:rPr>
          <w:rFonts w:hint="eastAsia"/>
        </w:rPr>
        <w:t>53</w:t>
      </w:r>
      <w:r>
        <w:rPr>
          <w:rFonts w:hint="eastAsia"/>
        </w:rPr>
        <w:fldChar w:fldCharType="end"/>
      </w:r>
      <w:r>
        <w:rPr>
          <w:rFonts w:hint="eastAsia"/>
        </w:rPr>
        <w:fldChar w:fldCharType="end"/>
      </w:r>
    </w:p>
    <w:p>
      <w:pPr>
        <w:bidi w:val="0"/>
        <w:rPr>
          <w:rFonts w:hint="eastAsia"/>
          <w:lang w:val="en-US"/>
        </w:rPr>
      </w:pPr>
      <w:r>
        <w:rPr>
          <w:rFonts w:hint="eastAsia"/>
        </w:rPr>
        <w:fldChar w:fldCharType="begin"/>
      </w:r>
      <w:r>
        <w:rPr>
          <w:rFonts w:hint="eastAsia"/>
        </w:rPr>
        <w:instrText xml:space="preserve"> HYPERLINK \l "_Toc152315102" </w:instrText>
      </w:r>
      <w:r>
        <w:rPr>
          <w:rFonts w:hint="eastAsia"/>
        </w:rPr>
        <w:fldChar w:fldCharType="separate"/>
      </w:r>
      <w:r>
        <w:rPr>
          <w:rStyle w:val="16"/>
          <w:rFonts w:hint="eastAsia" w:ascii="仿宋_GB2312" w:hAnsi="仿宋_GB2312" w:eastAsia="仿宋_GB2312" w:cs="仿宋_GB2312"/>
          <w:szCs w:val="32"/>
        </w:rPr>
        <w:t>3、推动生态文明共建共享</w:t>
      </w:r>
      <w:r>
        <w:rPr>
          <w:rFonts w:hint="eastAsia"/>
        </w:rPr>
        <w:tab/>
      </w:r>
      <w:r>
        <w:rPr>
          <w:rFonts w:hint="default"/>
          <w:lang w:val="en-US"/>
        </w:rPr>
        <w:t xml:space="preserve">                             </w:t>
      </w:r>
      <w:r>
        <w:rPr>
          <w:rFonts w:hint="eastAsia"/>
        </w:rPr>
        <w:fldChar w:fldCharType="begin"/>
      </w:r>
      <w:r>
        <w:rPr>
          <w:rFonts w:hint="eastAsia"/>
        </w:rPr>
        <w:instrText xml:space="preserve"> PAGEREF _Toc152315102 \h </w:instrText>
      </w:r>
      <w:r>
        <w:rPr>
          <w:rFonts w:hint="eastAsia"/>
        </w:rPr>
        <w:fldChar w:fldCharType="separate"/>
      </w:r>
      <w:r>
        <w:rPr>
          <w:rFonts w:hint="eastAsia"/>
        </w:rPr>
        <w:t>54</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"_Toc152315103" </w:instrText>
      </w:r>
      <w:r>
        <w:rPr>
          <w:rFonts w:hint="eastAsia"/>
        </w:rPr>
        <w:fldChar w:fldCharType="separate"/>
      </w:r>
      <w:r>
        <w:rPr>
          <w:rStyle w:val="16"/>
          <w:rFonts w:hint="eastAsia" w:ascii="仿宋_GB2312" w:hAnsi="仿宋_GB2312" w:eastAsia="仿宋_GB2312" w:cs="仿宋_GB2312"/>
          <w:szCs w:val="32"/>
        </w:rPr>
        <w:t>第五章保障措施</w:t>
      </w:r>
      <w:r>
        <w:rPr>
          <w:rFonts w:hint="eastAsia"/>
        </w:rPr>
        <w:tab/>
      </w:r>
      <w:r>
        <w:rPr>
          <w:rFonts w:hint="default"/>
          <w:lang w:val="en-US"/>
        </w:rPr>
        <w:t xml:space="preserve">                                     </w:t>
      </w:r>
      <w:r>
        <w:rPr>
          <w:rFonts w:hint="eastAsia"/>
        </w:rPr>
        <w:fldChar w:fldCharType="begin"/>
      </w:r>
      <w:r>
        <w:rPr>
          <w:rFonts w:hint="eastAsia"/>
        </w:rPr>
        <w:instrText xml:space="preserve"> PAGEREF _Toc152315103 \h </w:instrText>
      </w:r>
      <w:r>
        <w:rPr>
          <w:rFonts w:hint="eastAsia"/>
        </w:rPr>
        <w:fldChar w:fldCharType="separate"/>
      </w:r>
      <w:r>
        <w:rPr>
          <w:rFonts w:hint="eastAsia"/>
        </w:rPr>
        <w:t>57</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"_Toc152315104" </w:instrText>
      </w:r>
      <w:r>
        <w:rPr>
          <w:rFonts w:hint="eastAsia"/>
        </w:rPr>
        <w:fldChar w:fldCharType="separate"/>
      </w:r>
      <w:r>
        <w:rPr>
          <w:rStyle w:val="16"/>
          <w:rFonts w:hint="eastAsia" w:ascii="仿宋_GB2312" w:hAnsi="仿宋_GB2312" w:eastAsia="仿宋_GB2312" w:cs="仿宋_GB2312"/>
          <w:szCs w:val="32"/>
        </w:rPr>
        <w:t>（一）组织保障</w:t>
      </w:r>
      <w:r>
        <w:rPr>
          <w:rFonts w:hint="eastAsia"/>
        </w:rPr>
        <w:tab/>
      </w:r>
      <w:r>
        <w:rPr>
          <w:rFonts w:hint="default"/>
          <w:lang w:val="en-US"/>
        </w:rPr>
        <w:t xml:space="preserve">                                     </w:t>
      </w:r>
      <w:r>
        <w:rPr>
          <w:rFonts w:hint="eastAsia"/>
        </w:rPr>
        <w:fldChar w:fldCharType="begin"/>
      </w:r>
      <w:r>
        <w:rPr>
          <w:rFonts w:hint="eastAsia"/>
        </w:rPr>
        <w:instrText xml:space="preserve"> PAGEREF _Toc152315104 \h </w:instrText>
      </w:r>
      <w:r>
        <w:rPr>
          <w:rFonts w:hint="eastAsia"/>
        </w:rPr>
        <w:fldChar w:fldCharType="separate"/>
      </w:r>
      <w:r>
        <w:rPr>
          <w:rFonts w:hint="eastAsia"/>
        </w:rPr>
        <w:t>57</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"_Toc152315105" </w:instrText>
      </w:r>
      <w:r>
        <w:rPr>
          <w:rFonts w:hint="eastAsia"/>
        </w:rPr>
        <w:fldChar w:fldCharType="separate"/>
      </w:r>
      <w:r>
        <w:rPr>
          <w:rStyle w:val="16"/>
          <w:rFonts w:hint="eastAsia" w:ascii="仿宋_GB2312" w:hAnsi="仿宋_GB2312" w:eastAsia="仿宋_GB2312" w:cs="仿宋_GB2312"/>
          <w:szCs w:val="32"/>
        </w:rPr>
        <w:t>（二）制度保障</w:t>
      </w:r>
      <w:r>
        <w:rPr>
          <w:rFonts w:hint="eastAsia"/>
        </w:rPr>
        <w:tab/>
      </w:r>
      <w:r>
        <w:rPr>
          <w:rFonts w:hint="default"/>
          <w:lang w:val="en-US"/>
        </w:rPr>
        <w:t xml:space="preserve">                                     </w:t>
      </w:r>
      <w:r>
        <w:rPr>
          <w:rFonts w:hint="eastAsia"/>
        </w:rPr>
        <w:fldChar w:fldCharType="begin"/>
      </w:r>
      <w:r>
        <w:rPr>
          <w:rFonts w:hint="eastAsia"/>
        </w:rPr>
        <w:instrText xml:space="preserve"> PAGEREF _Toc152315105 \h </w:instrText>
      </w:r>
      <w:r>
        <w:rPr>
          <w:rFonts w:hint="eastAsia"/>
        </w:rPr>
        <w:fldChar w:fldCharType="separate"/>
      </w:r>
      <w:r>
        <w:rPr>
          <w:rFonts w:hint="eastAsia"/>
        </w:rPr>
        <w:t>57</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"_Toc152315106" </w:instrText>
      </w:r>
      <w:r>
        <w:rPr>
          <w:rFonts w:hint="eastAsia"/>
        </w:rPr>
        <w:fldChar w:fldCharType="separate"/>
      </w:r>
      <w:r>
        <w:rPr>
          <w:rStyle w:val="16"/>
          <w:rFonts w:hint="eastAsia" w:ascii="仿宋_GB2312" w:hAnsi="仿宋_GB2312" w:eastAsia="仿宋_GB2312" w:cs="仿宋_GB2312"/>
          <w:szCs w:val="32"/>
        </w:rPr>
        <w:t>（三）资金保障</w:t>
      </w:r>
      <w:r>
        <w:rPr>
          <w:rFonts w:hint="eastAsia"/>
        </w:rPr>
        <w:tab/>
      </w:r>
      <w:r>
        <w:rPr>
          <w:rFonts w:hint="default"/>
          <w:lang w:val="en-US"/>
        </w:rPr>
        <w:t xml:space="preserve">                                     </w:t>
      </w:r>
      <w:r>
        <w:rPr>
          <w:rFonts w:hint="eastAsia"/>
        </w:rPr>
        <w:fldChar w:fldCharType="begin"/>
      </w:r>
      <w:r>
        <w:rPr>
          <w:rFonts w:hint="eastAsia"/>
        </w:rPr>
        <w:instrText xml:space="preserve"> PAGEREF _Toc152315106 \h </w:instrText>
      </w:r>
      <w:r>
        <w:rPr>
          <w:rFonts w:hint="eastAsia"/>
        </w:rPr>
        <w:fldChar w:fldCharType="separate"/>
      </w:r>
      <w:r>
        <w:rPr>
          <w:rFonts w:hint="eastAsia"/>
        </w:rPr>
        <w:t>58</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"_Toc152315107" </w:instrText>
      </w:r>
      <w:r>
        <w:rPr>
          <w:rFonts w:hint="eastAsia"/>
        </w:rPr>
        <w:fldChar w:fldCharType="separate"/>
      </w:r>
      <w:r>
        <w:rPr>
          <w:rStyle w:val="16"/>
          <w:rFonts w:hint="eastAsia" w:ascii="仿宋_GB2312" w:hAnsi="仿宋_GB2312" w:eastAsia="仿宋_GB2312" w:cs="仿宋_GB2312"/>
          <w:szCs w:val="32"/>
        </w:rPr>
        <w:t>（四）技术保障</w:t>
      </w:r>
      <w:r>
        <w:rPr>
          <w:rFonts w:hint="eastAsia"/>
        </w:rPr>
        <w:tab/>
      </w:r>
      <w:r>
        <w:rPr>
          <w:rFonts w:hint="default"/>
          <w:lang w:val="en-US"/>
        </w:rPr>
        <w:t xml:space="preserve">                                     </w:t>
      </w:r>
      <w:r>
        <w:rPr>
          <w:rFonts w:hint="eastAsia"/>
        </w:rPr>
        <w:fldChar w:fldCharType="begin"/>
      </w:r>
      <w:r>
        <w:rPr>
          <w:rFonts w:hint="eastAsia"/>
        </w:rPr>
        <w:instrText xml:space="preserve"> PAGEREF _Toc152315107 \h </w:instrText>
      </w:r>
      <w:r>
        <w:rPr>
          <w:rFonts w:hint="eastAsia"/>
        </w:rPr>
        <w:fldChar w:fldCharType="separate"/>
      </w:r>
      <w:r>
        <w:rPr>
          <w:rFonts w:hint="eastAsia"/>
        </w:rPr>
        <w:t>58</w:t>
      </w:r>
      <w:r>
        <w:rPr>
          <w:rFonts w:hint="eastAsia"/>
        </w:rPr>
        <w:fldChar w:fldCharType="end"/>
      </w:r>
      <w:r>
        <w:rPr>
          <w:rFonts w:hint="eastAsia"/>
        </w:rPr>
        <w:fldChar w:fldCharType="end"/>
      </w:r>
    </w:p>
    <w:p>
      <w:pPr>
        <w:bidi w:val="0"/>
        <w:rPr>
          <w:rFonts w:hint="eastAsia"/>
        </w:rPr>
      </w:pPr>
      <w:r>
        <w:rPr>
          <w:rFonts w:hint="eastAsia"/>
        </w:rPr>
        <w:fldChar w:fldCharType="begin"/>
      </w:r>
      <w:r>
        <w:rPr>
          <w:rFonts w:hint="eastAsia"/>
        </w:rPr>
        <w:instrText xml:space="preserve"> HYPERLINK \l "_Toc152315108" </w:instrText>
      </w:r>
      <w:r>
        <w:rPr>
          <w:rFonts w:hint="eastAsia"/>
        </w:rPr>
        <w:fldChar w:fldCharType="separate"/>
      </w:r>
      <w:r>
        <w:rPr>
          <w:rStyle w:val="16"/>
          <w:rFonts w:hint="eastAsia" w:ascii="仿宋_GB2312" w:hAnsi="仿宋_GB2312" w:eastAsia="仿宋_GB2312" w:cs="仿宋_GB2312"/>
          <w:szCs w:val="32"/>
        </w:rPr>
        <w:t>（五）社会保障</w:t>
      </w:r>
      <w:r>
        <w:rPr>
          <w:rFonts w:hint="eastAsia"/>
        </w:rPr>
        <w:tab/>
      </w:r>
      <w:r>
        <w:rPr>
          <w:rFonts w:hint="default"/>
          <w:lang w:val="en-US"/>
        </w:rPr>
        <w:t xml:space="preserve">                                     </w:t>
      </w:r>
      <w:r>
        <w:rPr>
          <w:rFonts w:hint="eastAsia"/>
        </w:rPr>
        <w:fldChar w:fldCharType="begin"/>
      </w:r>
      <w:r>
        <w:rPr>
          <w:rFonts w:hint="eastAsia"/>
        </w:rPr>
        <w:instrText xml:space="preserve"> PAGEREF _Toc152315108 \h </w:instrText>
      </w:r>
      <w:r>
        <w:rPr>
          <w:rFonts w:hint="eastAsia"/>
        </w:rPr>
        <w:fldChar w:fldCharType="separate"/>
      </w:r>
      <w:r>
        <w:rPr>
          <w:rFonts w:hint="eastAsia"/>
        </w:rPr>
        <w:t>58</w:t>
      </w:r>
      <w:r>
        <w:rPr>
          <w:rFonts w:hint="eastAsia"/>
        </w:rPr>
        <w:fldChar w:fldCharType="end"/>
      </w:r>
      <w:r>
        <w:rPr>
          <w:rFonts w:hint="eastAsia"/>
        </w:rPr>
        <w:fldChar w:fldCharType="end"/>
      </w:r>
    </w:p>
    <w:p>
      <w:pPr>
        <w:bidi w:val="0"/>
      </w:pPr>
      <w:r>
        <w:rPr>
          <w:rFonts w:hint="eastAsia"/>
        </w:rPr>
        <w:fldChar w:fldCharType="end"/>
      </w:r>
    </w:p>
    <w:p>
      <w:pPr>
        <w:bidi w:val="0"/>
        <w:sectPr>
          <w:pgSz w:w="11906" w:h="16838"/>
          <w:pgMar w:top="2098" w:right="1531" w:bottom="1984" w:left="1531" w:header="851" w:footer="992" w:gutter="0"/>
          <w:pgNumType w:fmt="numberInDash" w:chapStyle="1"/>
          <w:cols w:space="720" w:num="1"/>
          <w:docGrid w:type="lines" w:linePitch="312" w:charSpace="0"/>
        </w:sectPr>
      </w:pPr>
    </w:p>
    <w:p>
      <w:pPr>
        <w:pageBreakBefore w:val="0"/>
        <w:widowControl w:val="0"/>
        <w:kinsoku/>
        <w:wordWrap/>
        <w:overflowPunct/>
        <w:topLinePunct w:val="0"/>
        <w:autoSpaceDE/>
        <w:autoSpaceDN/>
        <w:bidi w:val="0"/>
        <w:adjustRightInd/>
        <w:snapToGrid/>
        <w:spacing w:line="560" w:lineRule="exact"/>
        <w:ind w:firstLine="480" w:firstLineChars="150"/>
        <w:textAlignment w:val="auto"/>
        <w:rPr>
          <w:rFonts w:hint="eastAsia" w:ascii="黑体" w:hAnsi="黑体" w:eastAsia="黑体" w:cs="黑体"/>
        </w:rPr>
      </w:pPr>
      <w:bookmarkStart w:id="0" w:name="_Toc151921820"/>
      <w:bookmarkStart w:id="1" w:name="_Toc152315053"/>
      <w:r>
        <w:rPr>
          <w:rFonts w:hint="eastAsia" w:ascii="黑体" w:hAnsi="黑体" w:eastAsia="黑体" w:cs="黑体"/>
        </w:rPr>
        <w:t>第一章</w:t>
      </w:r>
      <w:bookmarkEnd w:id="0"/>
      <w:r>
        <w:rPr>
          <w:rFonts w:hint="eastAsia" w:ascii="黑体" w:hAnsi="黑体" w:eastAsia="黑体" w:cs="黑体"/>
        </w:rPr>
        <w:t>创建基础</w:t>
      </w:r>
      <w:bookmarkEnd w:id="1"/>
    </w:p>
    <w:p>
      <w:pPr>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楷体_GB2312" w:hAnsi="楷体_GB2312" w:eastAsia="楷体_GB2312" w:cs="楷体_GB2312"/>
          <w:b/>
          <w:bCs/>
        </w:rPr>
      </w:pPr>
      <w:bookmarkStart w:id="2" w:name="_Toc152315054"/>
      <w:r>
        <w:rPr>
          <w:rFonts w:hint="eastAsia" w:ascii="楷体_GB2312" w:hAnsi="楷体_GB2312" w:eastAsia="楷体_GB2312" w:cs="楷体_GB2312"/>
          <w:b/>
          <w:bCs/>
        </w:rPr>
        <w:t>（一）地理区位优势显著</w:t>
      </w:r>
      <w:bookmarkEnd w:id="2"/>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青云谱区位于江西省省会——南昌市城区的南部，赣抚平原腹地，素有“英雄城南大门”之称，与南昌县、新建区、东湖区、西湖区、青山湖区接壤。辖5个街道（即三店、洪都、徐坊、京山、岱山街道）、1个镇（青云谱镇）、1个新经济产业集聚区和1个八大山人梅湖景区，共有73个社区居委会和12个村民居委会。京九铁路、浙赣铁路在此交汇，105、320国道纵贯全区，距昌北国际机场只有半小时的车程，通过南昌港，可以沿赣江往鄱阳湖入长江黄金水道。在区内任何一个位置可实现10分钟能上快速路，20分钟能上高速路，30分钟能出城，交通优势日益显现。</w:t>
      </w:r>
    </w:p>
    <w:p>
      <w:pPr>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楷体_GB2312" w:hAnsi="楷体_GB2312" w:eastAsia="楷体_GB2312" w:cs="楷体_GB2312"/>
          <w:b/>
          <w:bCs/>
        </w:rPr>
      </w:pPr>
      <w:bookmarkStart w:id="3" w:name="_Toc152315055"/>
      <w:bookmarkStart w:id="4" w:name="_Toc151921829"/>
      <w:r>
        <w:rPr>
          <w:rFonts w:hint="eastAsia" w:ascii="楷体_GB2312" w:hAnsi="楷体_GB2312" w:eastAsia="楷体_GB2312" w:cs="楷体_GB2312"/>
          <w:b/>
          <w:bCs/>
        </w:rPr>
        <w:t>（二）产业结构持续优化</w:t>
      </w:r>
      <w:bookmarkEnd w:id="3"/>
      <w:bookmarkEnd w:id="4"/>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近年来，全区综合实力迈上新台阶。2022年，地区生产总值443.37亿元，三次产业构成比重为0:66.5:33.5，经济增速市内排名第一。青云谱是江西工业的摇篮，是新中国第一架飞机、第一辆轮式拖拉机、第一辆摩托车和第一枚海防导弹的诞生地。近年来，青云谱区紧紧抓住全国城区老工业区搬迁改造首批试点这一国字号品牌的巨大机遇，产业结构不断升级，老工业转型升级取得显著性成果，2019年，老工业转型升级工作获得国务院通报表彰，是全省唯一获此殊荣的城区，并获省政府通报嘉奖。围绕现代物流、专业市场、数字经济、大健康等主导产业，加快补链、延链、强链，打造特色优势产业集群，释放发展新动能。大力推进数字经济“一号发展工程”，数字经济核心产业实现营业收入10.42亿元。不断加大科技投入，获评“国家知识产权强县工程试点县（区）”称号，获评省级创新型县（市、区）建设试点单位。</w:t>
      </w:r>
    </w:p>
    <w:p>
      <w:pPr>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楷体_GB2312" w:hAnsi="楷体_GB2312" w:eastAsia="楷体_GB2312" w:cs="楷体_GB2312"/>
          <w:b/>
          <w:bCs/>
        </w:rPr>
      </w:pPr>
      <w:bookmarkStart w:id="5" w:name="_Toc151921830"/>
      <w:bookmarkStart w:id="6" w:name="_Toc152315056"/>
      <w:r>
        <w:rPr>
          <w:rFonts w:hint="eastAsia" w:ascii="楷体_GB2312" w:hAnsi="楷体_GB2312" w:eastAsia="楷体_GB2312" w:cs="楷体_GB2312"/>
          <w:b/>
          <w:bCs/>
        </w:rPr>
        <w:t>（三）</w:t>
      </w:r>
      <w:bookmarkEnd w:id="5"/>
      <w:r>
        <w:rPr>
          <w:rFonts w:hint="eastAsia" w:ascii="楷体_GB2312" w:hAnsi="楷体_GB2312" w:eastAsia="楷体_GB2312" w:cs="楷体_GB2312"/>
          <w:b/>
          <w:bCs/>
        </w:rPr>
        <w:t>生态环境持续改善</w:t>
      </w:r>
      <w:bookmarkEnd w:id="6"/>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青云谱区是全省第一个获评“江西省生态县（区）”的城区。近年来，作为南昌市主城区的一部分，青云谱区深入打好污染防治攻坚战，生态环境质量持续改善。PM</w:t>
      </w:r>
      <w:r>
        <w:rPr>
          <w:rFonts w:hint="eastAsia" w:ascii="仿宋_GB2312" w:hAnsi="仿宋_GB2312" w:eastAsia="仿宋_GB2312" w:cs="仿宋_GB2312"/>
          <w:vertAlign w:val="subscript"/>
        </w:rPr>
        <w:t>2.5</w:t>
      </w:r>
      <w:r>
        <w:rPr>
          <w:rFonts w:hint="eastAsia" w:ascii="仿宋_GB2312" w:hAnsi="仿宋_GB2312" w:eastAsia="仿宋_GB2312" w:cs="仿宋_GB2312"/>
        </w:rPr>
        <w:t>年均浓度从2013年的73μg/m</w:t>
      </w:r>
      <w:r>
        <w:rPr>
          <w:rFonts w:hint="eastAsia" w:ascii="仿宋_GB2312" w:hAnsi="仿宋_GB2312" w:eastAsia="仿宋_GB2312" w:cs="仿宋_GB2312"/>
          <w:vertAlign w:val="superscript"/>
        </w:rPr>
        <w:t>3</w:t>
      </w:r>
      <w:r>
        <w:rPr>
          <w:rFonts w:hint="eastAsia" w:ascii="仿宋_GB2312" w:hAnsi="仿宋_GB2312" w:eastAsia="仿宋_GB2312" w:cs="仿宋_GB2312"/>
        </w:rPr>
        <w:t>下降至2022年的27μg/m</w:t>
      </w:r>
      <w:r>
        <w:rPr>
          <w:rFonts w:hint="eastAsia" w:ascii="仿宋_GB2312" w:hAnsi="仿宋_GB2312" w:eastAsia="仿宋_GB2312" w:cs="仿宋_GB2312"/>
          <w:vertAlign w:val="superscript"/>
        </w:rPr>
        <w:t>3</w:t>
      </w:r>
      <w:r>
        <w:rPr>
          <w:rFonts w:hint="eastAsia" w:ascii="仿宋_GB2312" w:hAnsi="仿宋_GB2312" w:eastAsia="仿宋_GB2312" w:cs="仿宋_GB2312"/>
        </w:rPr>
        <w:t>，空气优良天数比例达84.1%，空气质量在全省排名不断提升。境内地表水质断面保持Ⅲ类，区内无城市黑臭水体。梅湖、象湖水质随着截污工程逐渐完善，水质逐渐改善。生态质量指数（EQI）保持稳定。</w:t>
      </w:r>
    </w:p>
    <w:p>
      <w:pPr>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楷体_GB2312" w:hAnsi="楷体_GB2312" w:eastAsia="楷体_GB2312" w:cs="楷体_GB2312"/>
          <w:b/>
          <w:bCs/>
        </w:rPr>
      </w:pPr>
      <w:bookmarkStart w:id="7" w:name="_Toc151921831"/>
      <w:bookmarkStart w:id="8" w:name="_Toc152315057"/>
      <w:r>
        <w:rPr>
          <w:rFonts w:hint="eastAsia" w:ascii="楷体_GB2312" w:hAnsi="楷体_GB2312" w:eastAsia="楷体_GB2312" w:cs="楷体_GB2312"/>
          <w:b/>
          <w:bCs/>
        </w:rPr>
        <w:t>（四）</w:t>
      </w:r>
      <w:bookmarkEnd w:id="7"/>
      <w:r>
        <w:rPr>
          <w:rFonts w:hint="eastAsia" w:ascii="楷体_GB2312" w:hAnsi="楷体_GB2312" w:eastAsia="楷体_GB2312" w:cs="楷体_GB2312"/>
          <w:b/>
          <w:bCs/>
        </w:rPr>
        <w:t>城市品质不断提升</w:t>
      </w:r>
      <w:bookmarkEnd w:id="8"/>
    </w:p>
    <w:p>
      <w:pPr>
        <w:pStyle w:val="3"/>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青云谱区统筹推进“美丽南昌·幸福家园”环境综合整治和城市功能与品质提升行动，努力提升城市功能与品质。加大城建基础设施投入力度，投入资金20多亿元，实施一批市政道路工程建设和区级重点项目，累计实施“六改”项目125个。围绕全国文明城市创建标准，对全区卫生环境开展督查整治，辖区主干道实现环卫全机械化作业，居民区垃圾分类设施实现全覆盖。持续推进“厕所革命”，新建广州路智慧公厕，开创全省“厕所革命”先河。对城市实行精细建管，不断擦亮城市颜值。开展“三湖三河”（即象湖、梅湖、高潮湖，抚河、玉带河、护城河）综合治理，周边环境焕然一新。通过实施造林绿化“普绿行动”工程，全区绿化覆盖率达到34.51%。</w:t>
      </w:r>
    </w:p>
    <w:p>
      <w:pPr>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楷体_GB2312" w:hAnsi="楷体_GB2312" w:eastAsia="楷体_GB2312" w:cs="楷体_GB2312"/>
          <w:b/>
          <w:bCs/>
        </w:rPr>
      </w:pPr>
      <w:bookmarkStart w:id="9" w:name="_Toc151921832"/>
      <w:bookmarkStart w:id="10" w:name="_Toc152315058"/>
      <w:r>
        <w:rPr>
          <w:rFonts w:hint="eastAsia" w:ascii="楷体_GB2312" w:hAnsi="楷体_GB2312" w:eastAsia="楷体_GB2312" w:cs="楷体_GB2312"/>
          <w:b/>
          <w:bCs/>
        </w:rPr>
        <w:t>（五）</w:t>
      </w:r>
      <w:bookmarkEnd w:id="9"/>
      <w:r>
        <w:rPr>
          <w:rFonts w:hint="eastAsia" w:ascii="楷体_GB2312" w:hAnsi="楷体_GB2312" w:eastAsia="楷体_GB2312" w:cs="楷体_GB2312"/>
          <w:b/>
          <w:bCs/>
        </w:rPr>
        <w:t>历史文化底蕴深厚</w:t>
      </w:r>
      <w:bookmarkEnd w:id="10"/>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青云谱区历史悠久，宋朝学者乐史在其编著的《太平寰宇记》中早有"青云浦在（南昌）城南十五里"的记载。明末清初八大山人朱耷（画家）在此隐居。青云谱区自古就有“城南胜地、人世蓬岛”的美誉，拥有以陈云旧居和江联爱国主义教育基地为代表的“红色”文化、以象湖和梅湖为代表的“绿色”文化、以元代民间航海家汪大渊为代表的“蓝色”文化、以八大山人为代表的“墨色”文化、以徐孺子和梅福等历史人文为代表的“古色”文化，是一个底蕴深厚的文化城区。八大山人被联合国教科文组织评为“中国十大文化艺术名人”之一。城南灯彩、舨王庙龙舟赛被列入省级非物质文化遗产名录。</w:t>
      </w:r>
    </w:p>
    <w:p>
      <w:pPr>
        <w:pStyle w:val="3"/>
        <w:pageBreakBefore w:val="0"/>
        <w:widowControl w:val="0"/>
        <w:kinsoku/>
        <w:wordWrap/>
        <w:overflowPunct/>
        <w:topLinePunct w:val="0"/>
        <w:autoSpaceDE/>
        <w:autoSpaceDN/>
        <w:bidi w:val="0"/>
        <w:adjustRightInd/>
        <w:snapToGrid/>
        <w:spacing w:after="0" w:line="560" w:lineRule="exact"/>
        <w:textAlignment w:val="auto"/>
      </w:pPr>
    </w:p>
    <w:p>
      <w:pPr>
        <w:pStyle w:val="3"/>
        <w:pageBreakBefore w:val="0"/>
        <w:widowControl w:val="0"/>
        <w:kinsoku/>
        <w:wordWrap/>
        <w:overflowPunct/>
        <w:topLinePunct w:val="0"/>
        <w:autoSpaceDE/>
        <w:autoSpaceDN/>
        <w:bidi w:val="0"/>
        <w:adjustRightInd/>
        <w:snapToGrid/>
        <w:spacing w:after="0" w:line="560" w:lineRule="exact"/>
        <w:textAlignment w:val="auto"/>
        <w:sectPr>
          <w:footerReference r:id="rId6" w:type="default"/>
          <w:pgSz w:w="11906" w:h="16838"/>
          <w:pgMar w:top="1440" w:right="1800" w:bottom="1440" w:left="1800" w:header="851" w:footer="992" w:gutter="0"/>
          <w:pgNumType w:fmt="numberInDash" w:chapStyle="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150"/>
        <w:textAlignment w:val="auto"/>
        <w:rPr>
          <w:rFonts w:hint="eastAsia" w:ascii="黑体" w:hAnsi="黑体" w:eastAsia="黑体" w:cs="黑体"/>
        </w:rPr>
      </w:pPr>
      <w:bookmarkStart w:id="11" w:name="_Toc151921842"/>
      <w:bookmarkStart w:id="12" w:name="_Toc152315059"/>
      <w:r>
        <w:rPr>
          <w:rFonts w:hint="eastAsia" w:ascii="黑体" w:hAnsi="黑体" w:eastAsia="黑体" w:cs="黑体"/>
        </w:rPr>
        <w:t>第二章</w:t>
      </w:r>
      <w:bookmarkEnd w:id="11"/>
      <w:r>
        <w:rPr>
          <w:rFonts w:hint="eastAsia" w:ascii="黑体" w:hAnsi="黑体" w:eastAsia="黑体" w:cs="黑体"/>
        </w:rPr>
        <w:t>形势与挑战</w:t>
      </w:r>
      <w:bookmarkEnd w:id="12"/>
    </w:p>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楷体_GB2312" w:hAnsi="楷体_GB2312" w:eastAsia="楷体_GB2312" w:cs="楷体_GB2312"/>
          <w:b/>
          <w:bCs/>
        </w:rPr>
      </w:pPr>
      <w:bookmarkStart w:id="13" w:name="_Toc152315060"/>
      <w:r>
        <w:rPr>
          <w:rFonts w:hint="eastAsia" w:ascii="楷体_GB2312" w:hAnsi="楷体_GB2312" w:eastAsia="楷体_GB2312" w:cs="楷体_GB2312"/>
          <w:b/>
          <w:bCs/>
        </w:rPr>
        <w:t>（一）面临的机遇</w:t>
      </w:r>
      <w:bookmarkEnd w:id="13"/>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bCs/>
        </w:rPr>
        <w:t>生态文明建设的纵深推进。</w:t>
      </w:r>
      <w:r>
        <w:rPr>
          <w:rFonts w:hint="eastAsia"/>
        </w:rPr>
        <w:t>习近平生态文明思想在江西逐步落地生根、开花结果，习近平总书记在考察江西时明确提出，绿色生态是江西最大财富、最大优势、最大品牌，一定要保护好，做好治山理水、显山露水的文章，走出一条经济发展和生态文明水平提高相辅相成、相得益彰的路子，打造美丽中国“江西样板”。“在加快革命老区高质量发展上作示范、在推动中部地区崛起上勇争先”目标定位和“推进经济高质量发展、推进改革开放走深走实、推进社会治理创新、推进红色基因传承”重要要求也为新时代江西改革发展指明了前进方向、注入了强大动力。青云谱区处于“在彰显省会担当中挑重担、走前列”的产业转型期，后发优势明显。生态文明战略将引领青云谱区走上高质量绿色可持续发展道路。</w:t>
      </w:r>
    </w:p>
    <w:p>
      <w:pPr>
        <w:pageBreakBefore w:val="0"/>
        <w:widowControl w:val="0"/>
        <w:kinsoku/>
        <w:wordWrap/>
        <w:overflowPunct/>
        <w:topLinePunct w:val="0"/>
        <w:autoSpaceDE/>
        <w:autoSpaceDN/>
        <w:bidi w:val="0"/>
        <w:adjustRightInd/>
        <w:snapToGrid/>
        <w:spacing w:line="560" w:lineRule="exact"/>
        <w:ind w:firstLine="562"/>
        <w:textAlignment w:val="auto"/>
      </w:pPr>
      <w:r>
        <w:rPr>
          <w:rFonts w:hint="eastAsia"/>
          <w:b/>
          <w:bCs/>
        </w:rPr>
        <w:t>“腾笼换鸟”促产业转型。</w:t>
      </w:r>
      <w:r>
        <w:rPr>
          <w:rFonts w:hint="eastAsia"/>
        </w:rPr>
        <w:t>美丽中国“江西样板”品牌效应日益显现。江西生态文明建设取得长足进展，一系列生态文明试点制度日趋成熟，“绿水青山”转变成为“金山银山”的通道进一步畅通，产业生态化、生态产业化水平不断提升，特色优势更具竞争力。青云谱区处于产业转型期，后发优势明显。一是洪都老工业区搬迁改造国家试点及旧城改造获得国家、省级表彰，为复兴洪都新城，发挥后发优势提供了发展机遇。江铃搬迁后，为青云谱区发展提供了巨大发展空间。二是军民融合产业推进大有可为。中国技术交易所军民融合中心项目落地，军民融合展示、创新、孵化三大平台建设有力，为军民融合产业大发展打好了基础。三是现代医疗物流产业和新经济产业发展势头迅猛，有效助推新经济产业集聚区“两医一新”行动计划。四是八大山人城市人文旅游资源深度一体开发利用。这些条件为青云谱区新一轮产业“腾笼换鸟”“转型升级”奠定了良好基础。</w:t>
      </w:r>
    </w:p>
    <w:p>
      <w:pPr>
        <w:pageBreakBefore w:val="0"/>
        <w:widowControl w:val="0"/>
        <w:kinsoku/>
        <w:wordWrap/>
        <w:overflowPunct/>
        <w:topLinePunct w:val="0"/>
        <w:autoSpaceDE/>
        <w:autoSpaceDN/>
        <w:bidi w:val="0"/>
        <w:adjustRightInd/>
        <w:snapToGrid/>
        <w:spacing w:line="560" w:lineRule="exact"/>
        <w:ind w:firstLine="562"/>
        <w:textAlignment w:val="auto"/>
        <w:rPr>
          <w:color w:val="FF0000"/>
        </w:rPr>
      </w:pPr>
      <w:r>
        <w:rPr>
          <w:rFonts w:hint="eastAsia"/>
          <w:b/>
          <w:bCs/>
        </w:rPr>
        <w:t>科技革命和产业变革深入发展。</w:t>
      </w:r>
      <w:r>
        <w:rPr>
          <w:rFonts w:hint="eastAsia" w:ascii="仿宋_GB2312" w:hAnsi="仿宋_GB2312" w:eastAsia="仿宋_GB2312" w:cs="仿宋_GB2312"/>
        </w:rPr>
        <w:t>科技越来越大地改变各国的社会形态、生活形态、产业形态，科技越来越成为各国经济社会等各方面发展的驱动力。世界主要国家都将科技创新提升为国家发展战略，纷纷大幅增加研发投入，竞相争夺科技创新人才，抢占战略性高科技产业发展的先机和主动权。在不远的将来，许多科学技术都将实现重大飞跃，众多关键技术突破已达到临界点，人工智能、大数据、云计算、5G通讯等信息技术，新能源技术、新材料技术、生物技术、空间技术等有望在未来数年实现重大突破。科技创新作为经济腾飞的引擎已经成为全世界的共识。江西省在航空、虚拟现实、移动物联网、硅衬底半导体照明等领域已取得先发优势，为实现“变道超车”“换车超车”增添了新动能。青云谱区实施《青云谱区科技创新基础大提升三年行动实施方案（2021-2023年）》，紧盯“</w:t>
      </w:r>
      <w:r>
        <w:rPr>
          <w:rFonts w:hint="eastAsia" w:ascii="仿宋_GB2312" w:hAnsi="仿宋_GB2312" w:eastAsia="仿宋_GB2312" w:cs="仿宋_GB2312"/>
          <w:lang w:eastAsia="zh-CN"/>
        </w:rPr>
        <w:t>生态人文都市区</w:t>
      </w:r>
      <w:r>
        <w:rPr>
          <w:rFonts w:hint="eastAsia" w:ascii="仿宋_GB2312" w:hAnsi="仿宋_GB2312" w:eastAsia="仿宋_GB2312" w:cs="仿宋_GB2312"/>
        </w:rPr>
        <w:t>、</w:t>
      </w:r>
      <w:r>
        <w:rPr>
          <w:rFonts w:hint="eastAsia" w:ascii="仿宋_GB2312" w:hAnsi="仿宋_GB2312" w:eastAsia="仿宋_GB2312" w:cs="仿宋_GB2312"/>
          <w:lang w:eastAsia="zh-CN"/>
        </w:rPr>
        <w:t>产业创新未来城</w:t>
      </w:r>
      <w:r>
        <w:rPr>
          <w:rFonts w:hint="eastAsia" w:ascii="仿宋_GB2312" w:hAnsi="仿宋_GB2312" w:eastAsia="仿宋_GB2312" w:cs="仿宋_GB2312"/>
        </w:rPr>
        <w:t>”战略定位目标，紧扣青云谱区产业发展方向，着力培育创新主体,完善产学研合作机制,加快创新资源整合与优化,加大创新能力培育力度,推进制度、管理、文化创新，构筑和完善创新体系，为青云谱区生态文明建设赋予新动能。</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楷体_GB2312" w:hAnsi="楷体_GB2312" w:eastAsia="楷体_GB2312" w:cs="楷体_GB2312"/>
          <w:b/>
          <w:bCs/>
        </w:rPr>
      </w:pPr>
      <w:bookmarkStart w:id="14" w:name="_Toc152315061"/>
      <w:r>
        <w:rPr>
          <w:rFonts w:hint="eastAsia" w:ascii="楷体_GB2312" w:hAnsi="楷体_GB2312" w:eastAsia="楷体_GB2312" w:cs="楷体_GB2312"/>
          <w:b/>
          <w:bCs/>
        </w:rPr>
        <w:t>（二）面临的挑战</w:t>
      </w:r>
      <w:bookmarkEnd w:id="14"/>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pPr>
      <w:bookmarkStart w:id="15" w:name="_Toc151921839"/>
      <w:r>
        <w:rPr>
          <w:rFonts w:hint="eastAsia"/>
          <w:b/>
          <w:bCs/>
        </w:rPr>
        <w:t>区域压力加剧</w:t>
      </w:r>
      <w:bookmarkEnd w:id="15"/>
      <w:r>
        <w:rPr>
          <w:rFonts w:hint="eastAsia"/>
          <w:b/>
          <w:bCs/>
        </w:rPr>
        <w:t>。</w:t>
      </w:r>
      <w:r>
        <w:rPr>
          <w:rFonts w:hint="eastAsia"/>
        </w:rPr>
        <w:t>从区域竞争格局看，区域压力加剧。伴随近年来南昌市建设步伐的不断加快，市辖各县区发展均取得了可喜成绩。与其他县区相比，青云谱区地区生产总值、固定资产投资、财政总收入、社会消费品零售总额等指标在全市排名均靠后，推进发展进程中面临的人才和资金问题比较突出。产业的结构层次仍不高，服务业发展迅速但占比相对偏低，企业规模不大，产业整体效益不高，科技含量偏低，发展不足与发展不优问题依然存在。</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pPr>
      <w:bookmarkStart w:id="16" w:name="_Toc151921840"/>
      <w:r>
        <w:rPr>
          <w:rFonts w:hint="eastAsia"/>
          <w:b/>
          <w:bCs/>
        </w:rPr>
        <w:t>要素瓶颈制约明显</w:t>
      </w:r>
      <w:bookmarkEnd w:id="16"/>
      <w:r>
        <w:rPr>
          <w:rFonts w:hint="eastAsia"/>
          <w:b/>
          <w:bCs/>
        </w:rPr>
        <w:t>。</w:t>
      </w:r>
      <w:r>
        <w:rPr>
          <w:rFonts w:hint="eastAsia"/>
        </w:rPr>
        <w:t>从要素支撑看，要素瓶颈制约明显。投入基础设施建设、产业发展、科技创新等方面的资金要素不足，经济增长缺乏新的重大引擎；产业要素政策不够，“招大引优”难度增大。同时，生态文明建设与两型社会发展理念逐渐成为时代发展主题，面临资源环境约束加剧和生产要素成本上升双重压力，在优化产业结构、提升经济品质、转型创新发展任务艰巨。青云谱区主攻的现代服务业、智慧产业等新经济产业还未形成新的产业支撑。</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pPr>
      <w:bookmarkStart w:id="17" w:name="_Toc151921841"/>
      <w:r>
        <w:rPr>
          <w:rFonts w:hint="eastAsia"/>
          <w:b/>
          <w:bCs/>
        </w:rPr>
        <w:t>公共服务供给短板相对突出</w:t>
      </w:r>
      <w:bookmarkEnd w:id="17"/>
      <w:r>
        <w:rPr>
          <w:rFonts w:hint="eastAsia"/>
          <w:b/>
          <w:bCs/>
        </w:rPr>
        <w:t>。</w:t>
      </w:r>
      <w:r>
        <w:rPr>
          <w:rFonts w:hint="eastAsia"/>
        </w:rPr>
        <w:t>从城市发展容量看，公共服务供给短板相对突出。未来县域发展必将进入到一个品质竞争的新阶段。目前，青云谱区交通、信息、环卫等基础设施建设总体上仍有待进一步跟进，城乡品质亟待提升。公共服务供给相对不足，文化、教育、卫生、体育、养老等公共设施配套建设有待加快，城乡服务功能亟待完善。</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楷体_GB2312" w:hAnsi="楷体_GB2312" w:eastAsia="楷体_GB2312" w:cs="楷体_GB2312"/>
          <w:b/>
          <w:bCs/>
        </w:rPr>
      </w:pPr>
      <w:bookmarkStart w:id="18" w:name="_Toc152315062"/>
      <w:r>
        <w:rPr>
          <w:rFonts w:hint="eastAsia" w:ascii="楷体_GB2312" w:hAnsi="楷体_GB2312" w:eastAsia="楷体_GB2312" w:cs="楷体_GB2312"/>
          <w:b/>
          <w:bCs/>
        </w:rPr>
        <w:t>（三）主要问题</w:t>
      </w:r>
      <w:bookmarkEnd w:id="18"/>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r>
        <w:rPr>
          <w:rFonts w:hint="eastAsia" w:ascii="仿宋_GB2312" w:hAnsi="仿宋_GB2312" w:eastAsia="仿宋_GB2312" w:cs="仿宋_GB2312"/>
          <w:b/>
          <w:bCs/>
        </w:rPr>
        <w:t>国土空间开发格局仍需优化。</w:t>
      </w:r>
      <w:r>
        <w:rPr>
          <w:rFonts w:hint="eastAsia" w:ascii="仿宋_GB2312" w:hAnsi="仿宋_GB2312" w:eastAsia="仿宋_GB2312" w:cs="仿宋_GB2312"/>
        </w:rPr>
        <w:t>青云谱区资源环境约束不断加剧，国土开发质量有待提升。青云谱区面积43.2平方公里，人口约36万，可承载人口能力不足，建设用地、公园绿地等资源环境约束不断加剧，生态用地和建设用地矛盾突出，空间相互挤占，存在生境破碎化，土地利用模式待优化。</w:t>
      </w:r>
    </w:p>
    <w:p>
      <w:pPr>
        <w:pStyle w:val="3"/>
        <w:keepNext w:val="0"/>
        <w:keepLines w:val="0"/>
        <w:pageBreakBefore w:val="0"/>
        <w:widowControl w:val="0"/>
        <w:kinsoku/>
        <w:wordWrap/>
        <w:overflowPunct/>
        <w:topLinePunct w:val="0"/>
        <w:autoSpaceDE/>
        <w:autoSpaceDN/>
        <w:bidi w:val="0"/>
        <w:adjustRightInd/>
        <w:snapToGrid/>
        <w:spacing w:after="0" w:line="560" w:lineRule="exact"/>
        <w:ind w:firstLine="562"/>
        <w:textAlignment w:val="auto"/>
        <w:rPr>
          <w:rFonts w:hint="eastAsia" w:ascii="仿宋_GB2312" w:hAnsi="仿宋_GB2312" w:eastAsia="仿宋_GB2312" w:cs="仿宋_GB2312"/>
        </w:rPr>
      </w:pPr>
      <w:r>
        <w:rPr>
          <w:rFonts w:hint="eastAsia" w:ascii="仿宋_GB2312" w:hAnsi="仿宋_GB2312" w:eastAsia="仿宋_GB2312" w:cs="仿宋_GB2312"/>
          <w:b/>
          <w:bCs/>
        </w:rPr>
        <w:t>环境质量改善任务依然繁重。</w:t>
      </w:r>
      <w:r>
        <w:rPr>
          <w:rFonts w:hint="eastAsia" w:ascii="仿宋_GB2312" w:hAnsi="仿宋_GB2312" w:eastAsia="仿宋_GB2312" w:cs="仿宋_GB2312"/>
        </w:rPr>
        <w:t>青云谱区空气质量近三年改善幅度较大，但基数依然较大，刚触及江西省平均标准，空气质量改善空间依然较大。城市精细化管理水平有待提高。</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r>
        <w:rPr>
          <w:rFonts w:hint="eastAsia" w:ascii="仿宋_GB2312" w:hAnsi="仿宋_GB2312" w:eastAsia="仿宋_GB2312" w:cs="仿宋_GB2312"/>
          <w:b/>
          <w:bCs/>
        </w:rPr>
        <w:t>生态文化载体与宣传教育传播途径相对不足。</w:t>
      </w:r>
      <w:r>
        <w:rPr>
          <w:rFonts w:hint="eastAsia" w:ascii="仿宋_GB2312" w:hAnsi="仿宋_GB2312" w:eastAsia="仿宋_GB2312" w:cs="仿宋_GB2312"/>
        </w:rPr>
        <w:t>生态文化载体数量有限，生态文化的受众面相对狭窄，受众年龄结构脱离年轻化，公众监督与参与政府有关生态文明建设的机会和程度仍显不足。在宣传媒体利用方面，多采用报传统媒体，宣传方式固定但实效性不强，对新媒体的利用稍有不足。</w:t>
      </w:r>
    </w:p>
    <w:p>
      <w:pPr>
        <w:rPr>
          <w:rFonts w:hint="eastAsia" w:ascii="仿宋_GB2312" w:hAnsi="仿宋_GB2312" w:eastAsia="仿宋_GB2312" w:cs="仿宋_GB2312"/>
        </w:rPr>
        <w:sectPr>
          <w:pgSz w:w="11906" w:h="16838"/>
          <w:pgMar w:top="1440" w:right="1800" w:bottom="1440" w:left="1800" w:header="851" w:footer="992" w:gutter="0"/>
          <w:pgNumType w:fmt="numberInDash" w:chapStyle="1"/>
          <w:cols w:space="720" w:num="1"/>
          <w:docGrid w:type="lines" w:linePitch="312" w:charSpace="0"/>
        </w:sectPr>
      </w:pPr>
    </w:p>
    <w:p>
      <w:pPr>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rPr>
      </w:pPr>
      <w:bookmarkStart w:id="19" w:name="_Toc151921845"/>
      <w:bookmarkStart w:id="20" w:name="_Toc152315063"/>
      <w:r>
        <w:rPr>
          <w:rFonts w:hint="eastAsia" w:ascii="黑体" w:hAnsi="黑体" w:eastAsia="黑体" w:cs="黑体"/>
        </w:rPr>
        <w:t>第三章规划总则</w:t>
      </w:r>
      <w:bookmarkEnd w:id="19"/>
      <w:bookmarkEnd w:id="20"/>
    </w:p>
    <w:p>
      <w:pPr>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rPr>
      </w:pPr>
      <w:bookmarkStart w:id="21" w:name="_Toc151921846"/>
      <w:bookmarkStart w:id="22" w:name="_Toc152315064"/>
      <w:r>
        <w:rPr>
          <w:rFonts w:hint="eastAsia" w:ascii="楷体_GB2312" w:hAnsi="楷体_GB2312" w:eastAsia="楷体_GB2312" w:cs="楷体_GB2312"/>
          <w:b/>
          <w:bCs/>
        </w:rPr>
        <w:t>（一）指导思想</w:t>
      </w:r>
      <w:bookmarkEnd w:id="21"/>
      <w:bookmarkEnd w:id="22"/>
    </w:p>
    <w:p>
      <w:pPr>
        <w:pageBreakBefore w:val="0"/>
        <w:widowControl w:val="0"/>
        <w:kinsoku/>
        <w:wordWrap/>
        <w:overflowPunct/>
        <w:topLinePunct w:val="0"/>
        <w:autoSpaceDE/>
        <w:autoSpaceDN/>
        <w:bidi w:val="0"/>
        <w:adjustRightInd/>
        <w:snapToGrid/>
        <w:spacing w:line="560" w:lineRule="exact"/>
        <w:ind w:firstLine="640" w:firstLineChars="200"/>
        <w:textAlignment w:val="auto"/>
      </w:pPr>
      <w:r>
        <w:rPr>
          <w:rFonts w:hint="eastAsia"/>
        </w:rPr>
        <w:t>以习近平新时代中国特色社会主义思想为指导，全面贯彻落实党的二十大精神，深入贯彻习近平生态文明思想和习近平总书记考察江西重要讲话精神，深化落实实全国生态环境保护大会和全省生态环境保护大会精神，牢固树立和践行“绿水青山就是金山银山”理念，立足新发展阶段，完整、准确、全面贯彻新发展理念，构建新发展格局，以生态文明建设示范区创建为抓手，统筹产业结构调整、污染治理、生态保护、应对气候变化，协同推进降碳、减污、扩绿、增长，持续巩固提升生态环境质量，坚持生态优先、绿色发展，加快推进老工业区转型升级，加快推进环境治理体系治理能力现代化，加快促进经济社会发展全面绿色转型，以更高标准打造美丽江西“青云谱样板”。</w:t>
      </w:r>
    </w:p>
    <w:p>
      <w:pPr>
        <w:bidi w:val="0"/>
        <w:ind w:firstLine="643" w:firstLineChars="200"/>
        <w:rPr>
          <w:rFonts w:hint="eastAsia" w:ascii="楷体_GB2312" w:hAnsi="楷体_GB2312" w:eastAsia="楷体_GB2312" w:cs="楷体_GB2312"/>
          <w:b/>
          <w:bCs/>
        </w:rPr>
      </w:pPr>
      <w:bookmarkStart w:id="23" w:name="_Toc151921847"/>
      <w:bookmarkStart w:id="24" w:name="_Toc152315065"/>
      <w:r>
        <w:rPr>
          <w:rFonts w:hint="eastAsia" w:ascii="楷体_GB2312" w:hAnsi="楷体_GB2312" w:eastAsia="楷体_GB2312" w:cs="楷体_GB2312"/>
          <w:b/>
          <w:bCs/>
        </w:rPr>
        <w:t>（二）基本原则</w:t>
      </w:r>
      <w:bookmarkEnd w:id="23"/>
      <w:bookmarkEnd w:id="24"/>
    </w:p>
    <w:p>
      <w:pPr>
        <w:pageBreakBefore w:val="0"/>
        <w:widowControl w:val="0"/>
        <w:kinsoku/>
        <w:wordWrap/>
        <w:overflowPunct/>
        <w:topLinePunct w:val="0"/>
        <w:autoSpaceDE/>
        <w:autoSpaceDN/>
        <w:bidi w:val="0"/>
        <w:adjustRightInd/>
        <w:snapToGrid/>
        <w:spacing w:line="560" w:lineRule="exact"/>
        <w:ind w:firstLine="562"/>
        <w:textAlignment w:val="auto"/>
      </w:pPr>
      <w:bookmarkStart w:id="25" w:name="_Toc151921848"/>
      <w:r>
        <w:rPr>
          <w:rFonts w:hint="eastAsia"/>
          <w:b/>
          <w:bCs/>
        </w:rPr>
        <w:t>人民至上、生态惠民。</w:t>
      </w:r>
      <w:r>
        <w:rPr>
          <w:rFonts w:hint="eastAsia"/>
        </w:rPr>
        <w:t>坚持以人民为中心，聚焦生态惠民、生态利民、生态为民，切实解决损害群众健康的突出环境问题，努力提供更多优质生态产品，打造美丽、宜居、幸福家园，最大限度地满足人民群众对良好生态环境的热切期盼，让人民群众共享生态文明建设成果。</w:t>
      </w:r>
    </w:p>
    <w:p>
      <w:pPr>
        <w:pageBreakBefore w:val="0"/>
        <w:widowControl w:val="0"/>
        <w:kinsoku/>
        <w:wordWrap/>
        <w:overflowPunct/>
        <w:topLinePunct w:val="0"/>
        <w:autoSpaceDE/>
        <w:autoSpaceDN/>
        <w:bidi w:val="0"/>
        <w:adjustRightInd/>
        <w:snapToGrid/>
        <w:spacing w:line="560" w:lineRule="exact"/>
        <w:ind w:firstLine="562"/>
        <w:textAlignment w:val="auto"/>
      </w:pPr>
      <w:r>
        <w:rPr>
          <w:rFonts w:hint="eastAsia"/>
          <w:b/>
          <w:bCs/>
        </w:rPr>
        <w:t>生态优先、绿色发展。</w:t>
      </w:r>
      <w:r>
        <w:rPr>
          <w:rFonts w:hint="eastAsia"/>
        </w:rPr>
        <w:t>正确处理生态环境保护与经济发展、社会进步的关系，毫不动摇地坚持生态优先的基本方针，坚定不移地把生态文明建设放在更加突出的战略位置，将生态文明建设全面贯穿和深刻融入到经济、政治、文化和社会建设各方面和全过程，加快发展方式绿色低碳转型，探索出能充分发挥青云谱本地自然生态优势的发展模式。</w:t>
      </w:r>
    </w:p>
    <w:p>
      <w:pPr>
        <w:pageBreakBefore w:val="0"/>
        <w:widowControl w:val="0"/>
        <w:kinsoku/>
        <w:wordWrap/>
        <w:overflowPunct/>
        <w:topLinePunct w:val="0"/>
        <w:autoSpaceDE/>
        <w:autoSpaceDN/>
        <w:bidi w:val="0"/>
        <w:adjustRightInd/>
        <w:snapToGrid/>
        <w:spacing w:line="560" w:lineRule="exact"/>
        <w:ind w:firstLine="562"/>
        <w:textAlignment w:val="auto"/>
      </w:pPr>
      <w:r>
        <w:rPr>
          <w:rFonts w:hint="eastAsia"/>
          <w:b/>
          <w:bCs/>
        </w:rPr>
        <w:t>统筹兼顾，重点突破。</w:t>
      </w:r>
      <w:r>
        <w:rPr>
          <w:rFonts w:hint="eastAsia"/>
        </w:rPr>
        <w:t>正确处理保护与发展、远期与近期、整体与局部、城镇与乡村等关系，聚焦生态制度、生态安全、生态空间、生态经济、生态生活、生态文化，扎实推进生态文明建设和生态环境保护，突出重点、示范引领、稳步推进，推动生态文明建设协调发展和整体提升。</w:t>
      </w:r>
    </w:p>
    <w:p>
      <w:pPr>
        <w:pageBreakBefore w:val="0"/>
        <w:widowControl w:val="0"/>
        <w:kinsoku/>
        <w:wordWrap/>
        <w:overflowPunct/>
        <w:topLinePunct w:val="0"/>
        <w:autoSpaceDE/>
        <w:autoSpaceDN/>
        <w:bidi w:val="0"/>
        <w:adjustRightInd/>
        <w:snapToGrid/>
        <w:spacing w:line="560" w:lineRule="exact"/>
        <w:ind w:firstLine="562"/>
        <w:textAlignment w:val="auto"/>
      </w:pPr>
      <w:r>
        <w:rPr>
          <w:rFonts w:hint="eastAsia"/>
          <w:b/>
          <w:bCs/>
        </w:rPr>
        <w:t>党政主导、社会参与。</w:t>
      </w:r>
      <w:r>
        <w:rPr>
          <w:rFonts w:hint="eastAsia"/>
        </w:rPr>
        <w:t>切实发挥组织领导、规划引领、资金引导的作用，建立健全党委领导、政府主导、企业主体、社会组织和公众共同参与的现代环境治理体系。着力强化企业生态意识和社会责任意识，加强环境保护。倡导公众积极参与，引导全民共建共享，形成生态文明建设的强大合力。</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楷体_GB2312" w:hAnsi="楷体_GB2312" w:eastAsia="楷体_GB2312" w:cs="楷体_GB2312"/>
          <w:b/>
          <w:bCs/>
        </w:rPr>
      </w:pPr>
      <w:bookmarkStart w:id="26" w:name="_Toc152315066"/>
      <w:r>
        <w:rPr>
          <w:rFonts w:hint="eastAsia" w:ascii="楷体_GB2312" w:hAnsi="楷体_GB2312" w:eastAsia="楷体_GB2312" w:cs="楷体_GB2312"/>
          <w:b/>
          <w:bCs/>
        </w:rPr>
        <w:t>（三）规划范围</w:t>
      </w:r>
      <w:bookmarkEnd w:id="25"/>
      <w:bookmarkEnd w:id="26"/>
    </w:p>
    <w:p>
      <w:pPr>
        <w:keepNext w:val="0"/>
        <w:keepLines w:val="0"/>
        <w:pageBreakBefore w:val="0"/>
        <w:widowControl w:val="0"/>
        <w:kinsoku/>
        <w:wordWrap/>
        <w:overflowPunct/>
        <w:topLinePunct w:val="0"/>
        <w:autoSpaceDE/>
        <w:autoSpaceDN/>
        <w:bidi w:val="0"/>
        <w:adjustRightInd/>
        <w:snapToGrid/>
        <w:spacing w:line="560" w:lineRule="exact"/>
        <w:ind w:firstLine="480" w:firstLineChars="150"/>
        <w:textAlignment w:val="auto"/>
        <w:rPr>
          <w:rFonts w:hint="eastAsia" w:ascii="仿宋_GB2312" w:hAnsi="仿宋_GB2312" w:eastAsia="仿宋_GB2312" w:cs="仿宋_GB2312"/>
        </w:rPr>
      </w:pPr>
      <w:r>
        <w:rPr>
          <w:rFonts w:hint="eastAsia" w:ascii="仿宋_GB2312" w:hAnsi="仿宋_GB2312" w:eastAsia="仿宋_GB2312" w:cs="仿宋_GB2312"/>
        </w:rPr>
        <w:t>编制范围为青云谱区全部行政管辖的区域，5个街道、1个镇，73个社区居委会和12个村民居委会，规划总面积43.2平方公里。</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楷体_GB2312" w:hAnsi="楷体_GB2312" w:eastAsia="楷体_GB2312" w:cs="楷体_GB2312"/>
          <w:b/>
          <w:bCs/>
        </w:rPr>
      </w:pPr>
      <w:bookmarkStart w:id="27" w:name="_Toc151921849"/>
      <w:bookmarkStart w:id="28" w:name="_Toc152315067"/>
      <w:r>
        <w:rPr>
          <w:rFonts w:hint="eastAsia" w:ascii="楷体_GB2312" w:hAnsi="楷体_GB2312" w:eastAsia="楷体_GB2312" w:cs="楷体_GB2312"/>
          <w:b/>
          <w:bCs/>
        </w:rPr>
        <w:t>（四）规划期限</w:t>
      </w:r>
      <w:bookmarkEnd w:id="27"/>
      <w:bookmarkEnd w:id="28"/>
    </w:p>
    <w:p>
      <w:pPr>
        <w:keepNext w:val="0"/>
        <w:keepLines w:val="0"/>
        <w:pageBreakBefore w:val="0"/>
        <w:widowControl w:val="0"/>
        <w:kinsoku/>
        <w:wordWrap/>
        <w:overflowPunct/>
        <w:topLinePunct w:val="0"/>
        <w:autoSpaceDE/>
        <w:autoSpaceDN/>
        <w:bidi w:val="0"/>
        <w:adjustRightInd/>
        <w:snapToGrid/>
        <w:spacing w:line="560" w:lineRule="exact"/>
        <w:ind w:firstLine="480" w:firstLineChars="150"/>
        <w:textAlignment w:val="auto"/>
        <w:rPr>
          <w:rFonts w:hint="eastAsia" w:ascii="仿宋_GB2312" w:hAnsi="仿宋_GB2312" w:eastAsia="仿宋_GB2312" w:cs="仿宋_GB2312"/>
        </w:rPr>
      </w:pPr>
      <w:r>
        <w:rPr>
          <w:rFonts w:hint="eastAsia" w:ascii="仿宋_GB2312" w:hAnsi="仿宋_GB2312" w:eastAsia="仿宋_GB2312" w:cs="仿宋_GB2312"/>
        </w:rPr>
        <w:t>规划基准年为2022年，规划期限为2023~2030年，规划分近期、远期两个规划时段：</w:t>
      </w:r>
    </w:p>
    <w:p>
      <w:pPr>
        <w:pageBreakBefore w:val="0"/>
        <w:widowControl w:val="0"/>
        <w:kinsoku/>
        <w:wordWrap/>
        <w:overflowPunct/>
        <w:topLinePunct w:val="0"/>
        <w:autoSpaceDE/>
        <w:autoSpaceDN/>
        <w:bidi w:val="0"/>
        <w:adjustRightInd/>
        <w:snapToGrid/>
        <w:spacing w:line="560" w:lineRule="exact"/>
        <w:ind w:firstLine="562"/>
        <w:textAlignment w:val="auto"/>
      </w:pPr>
      <w:r>
        <w:rPr>
          <w:rFonts w:hint="eastAsia" w:ascii="仿宋_GB2312" w:hAnsi="仿宋_GB2312" w:eastAsia="仿宋_GB2312" w:cs="仿宋_GB2312"/>
          <w:b/>
          <w:bCs/>
        </w:rPr>
        <w:t>近期：（2023-2025年）：</w:t>
      </w:r>
      <w:r>
        <w:rPr>
          <w:rFonts w:hint="eastAsia"/>
        </w:rPr>
        <w:t>江西省生态文明建设示范区各县指标稳定达标，生态都市区初步建立；</w:t>
      </w:r>
    </w:p>
    <w:p>
      <w:pPr>
        <w:pageBreakBefore w:val="0"/>
        <w:widowControl w:val="0"/>
        <w:kinsoku/>
        <w:wordWrap/>
        <w:overflowPunct/>
        <w:topLinePunct w:val="0"/>
        <w:autoSpaceDE/>
        <w:autoSpaceDN/>
        <w:bidi w:val="0"/>
        <w:adjustRightInd/>
        <w:snapToGrid/>
        <w:spacing w:line="560" w:lineRule="exact"/>
        <w:ind w:firstLine="562"/>
        <w:textAlignment w:val="auto"/>
      </w:pPr>
      <w:r>
        <w:rPr>
          <w:rFonts w:hint="eastAsia" w:ascii="仿宋_GB2312" w:hAnsi="仿宋_GB2312" w:eastAsia="仿宋_GB2312" w:cs="仿宋_GB2312"/>
          <w:b/>
          <w:bCs/>
        </w:rPr>
        <w:t>远期：（2026-2030年）：</w:t>
      </w:r>
      <w:r>
        <w:rPr>
          <w:rFonts w:hint="eastAsia"/>
        </w:rPr>
        <w:t>生态都市区提升发展阶段。</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楷体_GB2312" w:hAnsi="楷体_GB2312" w:eastAsia="楷体_GB2312" w:cs="楷体_GB2312"/>
          <w:b/>
          <w:bCs/>
        </w:rPr>
      </w:pPr>
      <w:bookmarkStart w:id="29" w:name="_Toc151921850"/>
      <w:bookmarkStart w:id="30" w:name="_Toc152315068"/>
      <w:r>
        <w:rPr>
          <w:rFonts w:hint="eastAsia" w:ascii="楷体_GB2312" w:hAnsi="楷体_GB2312" w:eastAsia="楷体_GB2312" w:cs="楷体_GB2312"/>
          <w:b/>
          <w:bCs/>
        </w:rPr>
        <w:t>（五）规划目标</w:t>
      </w:r>
      <w:bookmarkEnd w:id="29"/>
      <w:bookmarkEnd w:id="30"/>
    </w:p>
    <w:p>
      <w:pPr>
        <w:keepNext w:val="0"/>
        <w:keepLines w:val="0"/>
        <w:pageBreakBefore w:val="0"/>
        <w:widowControl w:val="0"/>
        <w:kinsoku/>
        <w:wordWrap/>
        <w:overflowPunct/>
        <w:topLinePunct w:val="0"/>
        <w:autoSpaceDE/>
        <w:autoSpaceDN/>
        <w:bidi w:val="0"/>
        <w:adjustRightInd/>
        <w:snapToGrid/>
        <w:spacing w:line="560" w:lineRule="exact"/>
        <w:ind w:firstLine="803" w:firstLineChars="250"/>
        <w:textAlignment w:val="auto"/>
        <w:rPr>
          <w:rFonts w:hint="eastAsia" w:ascii="仿宋_GB2312" w:hAnsi="仿宋_GB2312" w:eastAsia="仿宋_GB2312" w:cs="仿宋_GB2312"/>
          <w:b/>
          <w:bCs/>
        </w:rPr>
      </w:pPr>
      <w:bookmarkStart w:id="31" w:name="_Toc152315069"/>
      <w:bookmarkStart w:id="32" w:name="_Toc151921851"/>
      <w:r>
        <w:rPr>
          <w:rFonts w:hint="eastAsia" w:ascii="仿宋_GB2312" w:hAnsi="仿宋_GB2312" w:eastAsia="仿宋_GB2312" w:cs="仿宋_GB2312"/>
          <w:b/>
          <w:bCs/>
        </w:rPr>
        <w:t>1</w:t>
      </w:r>
      <w:r>
        <w:rPr>
          <w:rFonts w:hint="eastAsia" w:ascii="仿宋_GB2312" w:hAnsi="仿宋_GB2312" w:eastAsia="仿宋_GB2312" w:cs="仿宋_GB2312"/>
          <w:b/>
          <w:bCs/>
          <w:lang w:val="en-US"/>
        </w:rPr>
        <w:t>.</w:t>
      </w:r>
      <w:r>
        <w:rPr>
          <w:rFonts w:hint="eastAsia" w:ascii="仿宋_GB2312" w:hAnsi="仿宋_GB2312" w:eastAsia="仿宋_GB2312" w:cs="仿宋_GB2312"/>
          <w:b/>
          <w:bCs/>
        </w:rPr>
        <w:t>总体目标</w:t>
      </w:r>
      <w:bookmarkEnd w:id="31"/>
      <w:bookmarkEnd w:id="3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pPr>
      <w:r>
        <w:rPr>
          <w:rFonts w:hint="eastAsia"/>
        </w:rPr>
        <w:t>基于江西省第一个生态城区固有基础，以生态环境质量为核心，以城市功能与品质提升为抓手，以现代服务业发展为助力，以深厚底蕴文化为内涵，耦合老工业区转型升级成效，从城区视角探索实现“腾笼换鸟”型生态文明示范建设，实现青云谱“生态人文都市区、产业创新未来城”，为江西省各工业型城区生态文明建设提供新路径、新思考。</w:t>
      </w:r>
    </w:p>
    <w:p>
      <w:pPr>
        <w:keepNext w:val="0"/>
        <w:keepLines w:val="0"/>
        <w:pageBreakBefore w:val="0"/>
        <w:widowControl w:val="0"/>
        <w:kinsoku/>
        <w:wordWrap/>
        <w:overflowPunct/>
        <w:topLinePunct w:val="0"/>
        <w:autoSpaceDE/>
        <w:autoSpaceDN/>
        <w:bidi w:val="0"/>
        <w:adjustRightInd/>
        <w:snapToGrid/>
        <w:spacing w:line="560" w:lineRule="exact"/>
        <w:ind w:firstLine="803" w:firstLineChars="250"/>
        <w:textAlignment w:val="auto"/>
        <w:rPr>
          <w:rFonts w:hint="eastAsia" w:ascii="仿宋_GB2312" w:hAnsi="仿宋_GB2312" w:eastAsia="仿宋_GB2312" w:cs="仿宋_GB2312"/>
          <w:b/>
          <w:bCs/>
        </w:rPr>
      </w:pPr>
      <w:bookmarkStart w:id="33" w:name="_Toc152315070"/>
      <w:bookmarkStart w:id="34" w:name="_Toc151921852"/>
      <w:r>
        <w:rPr>
          <w:rFonts w:hint="eastAsia" w:ascii="仿宋_GB2312" w:hAnsi="仿宋_GB2312" w:eastAsia="仿宋_GB2312" w:cs="仿宋_GB2312"/>
          <w:b/>
          <w:bCs/>
        </w:rPr>
        <w:t>2</w:t>
      </w:r>
      <w:r>
        <w:rPr>
          <w:rFonts w:hint="default" w:ascii="仿宋_GB2312" w:hAnsi="仿宋_GB2312" w:cs="仿宋_GB2312"/>
          <w:b/>
          <w:bCs/>
          <w:lang w:val="en-US"/>
        </w:rPr>
        <w:t>.</w:t>
      </w:r>
      <w:r>
        <w:rPr>
          <w:rFonts w:hint="eastAsia" w:ascii="仿宋_GB2312" w:hAnsi="仿宋_GB2312" w:eastAsia="仿宋_GB2312" w:cs="仿宋_GB2312"/>
          <w:b/>
          <w:bCs/>
        </w:rPr>
        <w:t>阶段目标</w:t>
      </w:r>
      <w:bookmarkEnd w:id="33"/>
      <w:bookmarkEnd w:id="34"/>
    </w:p>
    <w:p>
      <w:pPr>
        <w:keepNext w:val="0"/>
        <w:keepLines w:val="0"/>
        <w:pageBreakBefore w:val="0"/>
        <w:widowControl w:val="0"/>
        <w:kinsoku/>
        <w:wordWrap/>
        <w:overflowPunct/>
        <w:topLinePunct w:val="0"/>
        <w:autoSpaceDE/>
        <w:autoSpaceDN/>
        <w:bidi w:val="0"/>
        <w:adjustRightInd/>
        <w:snapToGrid/>
        <w:spacing w:line="560" w:lineRule="exact"/>
        <w:ind w:firstLine="561"/>
        <w:textAlignment w:val="auto"/>
        <w:rPr>
          <w:rFonts w:hint="eastAsia" w:ascii="仿宋_GB2312" w:hAnsi="仿宋_GB2312" w:eastAsia="仿宋_GB2312" w:cs="仿宋_GB2312"/>
          <w:b/>
          <w:bCs/>
        </w:rPr>
      </w:pPr>
      <w:r>
        <w:rPr>
          <w:rFonts w:hint="eastAsia" w:ascii="仿宋_GB2312" w:hAnsi="仿宋_GB2312" w:eastAsia="仿宋_GB2312" w:cs="仿宋_GB2312"/>
          <w:b/>
          <w:bCs/>
        </w:rPr>
        <w:t>近期目标（2023-2025年）：</w:t>
      </w:r>
      <w:r>
        <w:rPr>
          <w:rFonts w:hint="eastAsia" w:ascii="仿宋_GB2312" w:hAnsi="仿宋_GB2312" w:eastAsia="仿宋_GB2312" w:cs="仿宋_GB2312"/>
        </w:rPr>
        <w:t>生态文明建设取得阶段性成效，基本形成绿色、低碳的生产、生活方式，单位生产总值综合能耗提前达到省、市降幅标准，主要污染物排放总量进一步减少。全区绿化水平明显提升，生态空间得到有效保护，区内水环境和空气质量得到明显改善。城市功能日益健全，生态文明理念深入人心，区域协调发展不断增强，可持续发展能力大幅提升，基本建成宜居、绿色、韧性、智慧、人文的生态都市区。</w:t>
      </w:r>
    </w:p>
    <w:p>
      <w:pPr>
        <w:pStyle w:val="3"/>
        <w:keepNext w:val="0"/>
        <w:keepLines w:val="0"/>
        <w:pageBreakBefore w:val="0"/>
        <w:widowControl w:val="0"/>
        <w:kinsoku/>
        <w:wordWrap/>
        <w:overflowPunct/>
        <w:topLinePunct w:val="0"/>
        <w:autoSpaceDE/>
        <w:autoSpaceDN/>
        <w:bidi w:val="0"/>
        <w:adjustRightInd/>
        <w:snapToGrid/>
        <w:spacing w:after="0" w:line="560" w:lineRule="exact"/>
        <w:ind w:firstLine="561"/>
        <w:textAlignment w:val="auto"/>
        <w:rPr>
          <w:rFonts w:hint="eastAsia" w:ascii="仿宋_GB2312" w:hAnsi="仿宋_GB2312" w:eastAsia="仿宋_GB2312" w:cs="仿宋_GB2312"/>
          <w:b/>
          <w:bCs/>
        </w:rPr>
      </w:pPr>
      <w:r>
        <w:rPr>
          <w:rFonts w:hint="eastAsia" w:ascii="仿宋_GB2312" w:hAnsi="仿宋_GB2312" w:eastAsia="仿宋_GB2312" w:cs="仿宋_GB2312"/>
          <w:b/>
          <w:bCs/>
        </w:rPr>
        <w:t>远期目标（2026-2030年）：</w:t>
      </w:r>
      <w:r>
        <w:rPr>
          <w:rFonts w:hint="eastAsia" w:ascii="仿宋_GB2312" w:hAnsi="仿宋_GB2312" w:eastAsia="仿宋_GB2312" w:cs="仿宋_GB2312"/>
        </w:rPr>
        <w:t>生态文明建设成果不断巩固提升，综合实力大幅提升，广泛形成绿色生产生活方式，人与自然和谐共生，全面建成绿色循环低碳城市，市域治理现代化基本实现，基本建成富强民主文明和谐美丽现代化新青云谱。</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rPr>
      </w:pPr>
      <w:bookmarkStart w:id="35" w:name="_Toc152315071"/>
      <w:bookmarkStart w:id="36" w:name="_Toc151921853"/>
      <w:r>
        <w:rPr>
          <w:rFonts w:hint="eastAsia" w:ascii="楷体_GB2312" w:hAnsi="楷体_GB2312" w:eastAsia="楷体_GB2312" w:cs="楷体_GB2312"/>
          <w:b/>
          <w:bCs/>
        </w:rPr>
        <w:t>（六）规划指标</w:t>
      </w:r>
      <w:bookmarkEnd w:id="35"/>
      <w:bookmarkEnd w:id="36"/>
    </w:p>
    <w:p>
      <w:pPr>
        <w:keepNext w:val="0"/>
        <w:keepLines w:val="0"/>
        <w:pageBreakBefore w:val="0"/>
        <w:widowControl w:val="0"/>
        <w:kinsoku/>
        <w:wordWrap/>
        <w:overflowPunct/>
        <w:topLinePunct w:val="0"/>
        <w:autoSpaceDE/>
        <w:autoSpaceDN/>
        <w:bidi w:val="0"/>
        <w:adjustRightInd/>
        <w:snapToGrid/>
        <w:spacing w:line="560" w:lineRule="exact"/>
        <w:ind w:firstLine="803" w:firstLineChars="250"/>
        <w:textAlignment w:val="auto"/>
        <w:rPr>
          <w:rFonts w:hint="eastAsia" w:ascii="仿宋_GB2312" w:hAnsi="仿宋_GB2312" w:eastAsia="仿宋_GB2312" w:cs="仿宋_GB2312"/>
          <w:b/>
          <w:bCs/>
        </w:rPr>
      </w:pPr>
      <w:bookmarkStart w:id="37" w:name="_Toc152315072"/>
      <w:bookmarkStart w:id="38" w:name="_Toc151921854"/>
      <w:r>
        <w:rPr>
          <w:rFonts w:hint="eastAsia" w:ascii="仿宋_GB2312" w:hAnsi="仿宋_GB2312" w:eastAsia="仿宋_GB2312" w:cs="仿宋_GB2312"/>
          <w:b/>
          <w:bCs/>
        </w:rPr>
        <w:t>1</w:t>
      </w:r>
      <w:r>
        <w:rPr>
          <w:rFonts w:hint="default" w:ascii="仿宋_GB2312" w:hAnsi="仿宋_GB2312" w:cs="仿宋_GB2312"/>
          <w:b/>
          <w:bCs/>
          <w:lang w:val="en-US"/>
        </w:rPr>
        <w:t>.</w:t>
      </w:r>
      <w:r>
        <w:rPr>
          <w:rFonts w:hint="eastAsia" w:ascii="仿宋_GB2312" w:hAnsi="仿宋_GB2312" w:eastAsia="仿宋_GB2312" w:cs="仿宋_GB2312"/>
          <w:b/>
          <w:bCs/>
        </w:rPr>
        <w:t>规划指标体系</w:t>
      </w:r>
      <w:bookmarkEnd w:id="37"/>
      <w:bookmarkEnd w:id="38"/>
    </w:p>
    <w:p>
      <w:pPr>
        <w:pStyle w:val="3"/>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依据《江西省省级生态市县建设指标》，结合青云谱区自然、社会、经济实际情况，构建规划指标体系，包括生态制度、生态安全、生态空间、生态经济、生态生活、生态文化等六个方面，共设定规划指标29项，详见表3.1。</w:t>
      </w:r>
    </w:p>
    <w:p>
      <w:pPr>
        <w:pStyle w:val="4"/>
        <w:rPr>
          <w:rFonts w:hint="eastAsia" w:ascii="仿宋_GB2312" w:hAnsi="仿宋_GB2312" w:eastAsia="仿宋_GB2312" w:cs="仿宋_GB2312"/>
        </w:rPr>
      </w:pPr>
    </w:p>
    <w:p>
      <w:pPr>
        <w:rPr>
          <w:rFonts w:hint="eastAsia" w:ascii="仿宋_GB2312" w:hAnsi="仿宋_GB2312" w:eastAsia="仿宋_GB2312" w:cs="仿宋_GB2312"/>
        </w:rPr>
      </w:pPr>
    </w:p>
    <w:p>
      <w:pPr>
        <w:pStyle w:val="2"/>
        <w:rPr>
          <w:rFonts w:hint="eastAsia" w:ascii="仿宋_GB2312" w:hAnsi="仿宋_GB2312" w:eastAsia="仿宋_GB2312" w:cs="仿宋_GB2312"/>
        </w:rPr>
      </w:pPr>
    </w:p>
    <w:p>
      <w:pPr>
        <w:pStyle w:val="3"/>
        <w:rPr>
          <w:rFonts w:hint="eastAsia" w:ascii="仿宋_GB2312" w:hAnsi="仿宋_GB2312" w:eastAsia="仿宋_GB2312" w:cs="仿宋_GB2312"/>
        </w:rPr>
      </w:pPr>
    </w:p>
    <w:p>
      <w:pPr>
        <w:pStyle w:val="4"/>
        <w:rPr>
          <w:rFonts w:hint="eastAsia" w:ascii="仿宋_GB2312" w:hAnsi="仿宋_GB2312" w:eastAsia="仿宋_GB2312" w:cs="仿宋_GB2312"/>
        </w:rPr>
      </w:pPr>
    </w:p>
    <w:p>
      <w:pPr>
        <w:rPr>
          <w:rFonts w:hint="eastAsia" w:ascii="仿宋_GB2312" w:hAnsi="仿宋_GB2312" w:eastAsia="仿宋_GB2312" w:cs="仿宋_GB2312"/>
        </w:rPr>
      </w:pPr>
    </w:p>
    <w:p>
      <w:pPr>
        <w:pStyle w:val="2"/>
        <w:rPr>
          <w:rFonts w:hint="eastAsia" w:ascii="仿宋_GB2312" w:hAnsi="仿宋_GB2312" w:eastAsia="仿宋_GB2312" w:cs="仿宋_GB2312"/>
        </w:rPr>
      </w:pPr>
    </w:p>
    <w:p>
      <w:pPr>
        <w:pStyle w:val="3"/>
        <w:rPr>
          <w:rFonts w:hint="eastAsia" w:ascii="仿宋_GB2312" w:hAnsi="仿宋_GB2312" w:eastAsia="仿宋_GB2312" w:cs="仿宋_GB2312"/>
        </w:rPr>
      </w:pPr>
    </w:p>
    <w:p>
      <w:pPr>
        <w:pStyle w:val="4"/>
        <w:rPr>
          <w:rFonts w:hint="eastAsia" w:ascii="仿宋_GB2312" w:hAnsi="仿宋_GB2312" w:eastAsia="仿宋_GB2312" w:cs="仿宋_GB2312"/>
        </w:rPr>
      </w:pPr>
    </w:p>
    <w:p>
      <w:pPr>
        <w:rPr>
          <w:rFonts w:hint="eastAsia" w:ascii="仿宋_GB2312" w:hAnsi="仿宋_GB2312" w:eastAsia="仿宋_GB2312" w:cs="仿宋_GB2312"/>
        </w:rPr>
      </w:pPr>
    </w:p>
    <w:p>
      <w:pPr>
        <w:pStyle w:val="2"/>
        <w:rPr>
          <w:rFonts w:hint="eastAsia" w:ascii="仿宋_GB2312" w:hAnsi="仿宋_GB2312" w:eastAsia="仿宋_GB2312" w:cs="仿宋_GB2312"/>
        </w:rPr>
        <w:sectPr>
          <w:pgSz w:w="11906" w:h="16838"/>
          <w:pgMar w:top="1440" w:right="1800" w:bottom="1440" w:left="1800" w:header="851" w:footer="992" w:gutter="0"/>
          <w:pgNumType w:fmt="numberInDash" w:chapStyle="1"/>
          <w:cols w:space="720" w:num="1"/>
          <w:docGrid w:type="lines" w:linePitch="312" w:charSpace="0"/>
        </w:sectPr>
      </w:pPr>
    </w:p>
    <w:p>
      <w:pPr>
        <w:ind w:firstLine="482"/>
        <w:jc w:val="center"/>
        <w:rPr>
          <w:b/>
          <w:bCs/>
          <w:sz w:val="24"/>
          <w:szCs w:val="24"/>
        </w:rPr>
      </w:pPr>
      <w:r>
        <w:rPr>
          <w:b/>
          <w:bCs/>
          <w:sz w:val="24"/>
          <w:szCs w:val="24"/>
        </w:rPr>
        <w:t>表3.1青云谱区生态文明建设示范</w:t>
      </w:r>
      <w:r>
        <w:rPr>
          <w:rFonts w:hint="eastAsia"/>
          <w:b/>
          <w:bCs/>
          <w:sz w:val="24"/>
          <w:szCs w:val="24"/>
        </w:rPr>
        <w:t>区</w:t>
      </w:r>
      <w:r>
        <w:rPr>
          <w:b/>
          <w:bCs/>
          <w:sz w:val="24"/>
          <w:szCs w:val="24"/>
        </w:rPr>
        <w:t>规划指标体系</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543"/>
        <w:gridCol w:w="2808"/>
        <w:gridCol w:w="752"/>
        <w:gridCol w:w="2023"/>
        <w:gridCol w:w="2009"/>
        <w:gridCol w:w="1136"/>
        <w:gridCol w:w="1549"/>
        <w:gridCol w:w="1690"/>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0" w:type="auto"/>
            <w:noWrap w:val="0"/>
            <w:vAlign w:val="center"/>
          </w:tcPr>
          <w:p>
            <w:pPr>
              <w:widowControl/>
              <w:jc w:val="center"/>
              <w:rPr>
                <w:b/>
                <w:bCs/>
                <w:kern w:val="0"/>
                <w:sz w:val="22"/>
                <w:szCs w:val="22"/>
              </w:rPr>
            </w:pPr>
            <w:bookmarkStart w:id="39" w:name="_Hlk151797181"/>
            <w:r>
              <w:rPr>
                <w:b/>
                <w:bCs/>
                <w:kern w:val="0"/>
                <w:sz w:val="22"/>
                <w:szCs w:val="22"/>
              </w:rPr>
              <w:t>领域</w:t>
            </w:r>
          </w:p>
        </w:tc>
        <w:tc>
          <w:tcPr>
            <w:tcW w:w="0" w:type="auto"/>
            <w:noWrap w:val="0"/>
            <w:vAlign w:val="center"/>
          </w:tcPr>
          <w:p>
            <w:pPr>
              <w:widowControl/>
              <w:jc w:val="center"/>
              <w:rPr>
                <w:b/>
                <w:bCs/>
                <w:kern w:val="0"/>
                <w:sz w:val="22"/>
                <w:szCs w:val="22"/>
              </w:rPr>
            </w:pPr>
            <w:r>
              <w:rPr>
                <w:b/>
                <w:bCs/>
                <w:kern w:val="0"/>
                <w:sz w:val="22"/>
                <w:szCs w:val="22"/>
              </w:rPr>
              <w:t>序号</w:t>
            </w:r>
          </w:p>
        </w:tc>
        <w:tc>
          <w:tcPr>
            <w:tcW w:w="0" w:type="auto"/>
            <w:noWrap w:val="0"/>
            <w:vAlign w:val="center"/>
          </w:tcPr>
          <w:p>
            <w:pPr>
              <w:widowControl/>
              <w:jc w:val="center"/>
              <w:rPr>
                <w:b/>
                <w:bCs/>
                <w:kern w:val="0"/>
                <w:sz w:val="22"/>
                <w:szCs w:val="22"/>
              </w:rPr>
            </w:pPr>
            <w:r>
              <w:rPr>
                <w:b/>
                <w:bCs/>
                <w:kern w:val="0"/>
                <w:sz w:val="22"/>
                <w:szCs w:val="22"/>
              </w:rPr>
              <w:t>指标名称</w:t>
            </w:r>
          </w:p>
        </w:tc>
        <w:tc>
          <w:tcPr>
            <w:tcW w:w="0" w:type="auto"/>
            <w:noWrap w:val="0"/>
            <w:vAlign w:val="center"/>
          </w:tcPr>
          <w:p>
            <w:pPr>
              <w:widowControl/>
              <w:jc w:val="center"/>
              <w:rPr>
                <w:b/>
                <w:bCs/>
                <w:kern w:val="0"/>
                <w:sz w:val="22"/>
                <w:szCs w:val="22"/>
              </w:rPr>
            </w:pPr>
            <w:r>
              <w:rPr>
                <w:b/>
                <w:bCs/>
                <w:kern w:val="0"/>
                <w:sz w:val="22"/>
                <w:szCs w:val="22"/>
              </w:rPr>
              <w:t>单位</w:t>
            </w:r>
          </w:p>
        </w:tc>
        <w:tc>
          <w:tcPr>
            <w:tcW w:w="0" w:type="auto"/>
            <w:noWrap w:val="0"/>
            <w:vAlign w:val="center"/>
          </w:tcPr>
          <w:p>
            <w:pPr>
              <w:widowControl/>
              <w:jc w:val="center"/>
              <w:rPr>
                <w:b/>
                <w:bCs/>
                <w:kern w:val="0"/>
                <w:sz w:val="22"/>
                <w:szCs w:val="22"/>
              </w:rPr>
            </w:pPr>
            <w:r>
              <w:rPr>
                <w:b/>
                <w:bCs/>
                <w:kern w:val="0"/>
                <w:sz w:val="22"/>
                <w:szCs w:val="22"/>
              </w:rPr>
              <w:t>指标值</w:t>
            </w:r>
          </w:p>
        </w:tc>
        <w:tc>
          <w:tcPr>
            <w:tcW w:w="2009" w:type="dxa"/>
            <w:noWrap w:val="0"/>
            <w:vAlign w:val="top"/>
          </w:tcPr>
          <w:p>
            <w:pPr>
              <w:widowControl/>
              <w:jc w:val="center"/>
              <w:rPr>
                <w:b/>
                <w:bCs/>
                <w:kern w:val="0"/>
                <w:sz w:val="22"/>
                <w:szCs w:val="22"/>
              </w:rPr>
            </w:pPr>
            <w:r>
              <w:rPr>
                <w:b/>
                <w:bCs/>
                <w:kern w:val="0"/>
                <w:sz w:val="22"/>
                <w:szCs w:val="22"/>
              </w:rPr>
              <w:t>2022年</w:t>
            </w:r>
          </w:p>
          <w:p>
            <w:pPr>
              <w:widowControl/>
              <w:jc w:val="center"/>
              <w:rPr>
                <w:b/>
                <w:bCs/>
                <w:kern w:val="0"/>
                <w:sz w:val="22"/>
                <w:szCs w:val="22"/>
              </w:rPr>
            </w:pPr>
            <w:r>
              <w:rPr>
                <w:b/>
                <w:bCs/>
                <w:kern w:val="0"/>
                <w:sz w:val="22"/>
                <w:szCs w:val="22"/>
              </w:rPr>
              <w:t>现状值</w:t>
            </w:r>
          </w:p>
        </w:tc>
        <w:tc>
          <w:tcPr>
            <w:tcW w:w="1136" w:type="dxa"/>
            <w:noWrap w:val="0"/>
            <w:vAlign w:val="top"/>
          </w:tcPr>
          <w:p>
            <w:pPr>
              <w:widowControl/>
              <w:jc w:val="center"/>
              <w:rPr>
                <w:b/>
                <w:bCs/>
                <w:kern w:val="0"/>
                <w:sz w:val="22"/>
                <w:szCs w:val="22"/>
              </w:rPr>
            </w:pPr>
            <w:r>
              <w:rPr>
                <w:b/>
                <w:bCs/>
                <w:kern w:val="0"/>
                <w:sz w:val="22"/>
                <w:szCs w:val="22"/>
              </w:rPr>
              <w:t>达标</w:t>
            </w:r>
          </w:p>
          <w:p>
            <w:pPr>
              <w:widowControl/>
              <w:jc w:val="center"/>
              <w:rPr>
                <w:b/>
                <w:bCs/>
                <w:kern w:val="0"/>
                <w:sz w:val="22"/>
                <w:szCs w:val="22"/>
              </w:rPr>
            </w:pPr>
            <w:r>
              <w:rPr>
                <w:b/>
                <w:bCs/>
                <w:kern w:val="0"/>
                <w:sz w:val="22"/>
                <w:szCs w:val="22"/>
              </w:rPr>
              <w:t>情况</w:t>
            </w:r>
          </w:p>
        </w:tc>
        <w:tc>
          <w:tcPr>
            <w:tcW w:w="1549" w:type="dxa"/>
            <w:noWrap w:val="0"/>
            <w:vAlign w:val="top"/>
          </w:tcPr>
          <w:p>
            <w:pPr>
              <w:widowControl/>
              <w:jc w:val="center"/>
              <w:rPr>
                <w:b/>
                <w:bCs/>
                <w:kern w:val="0"/>
                <w:sz w:val="22"/>
                <w:szCs w:val="22"/>
              </w:rPr>
            </w:pPr>
            <w:r>
              <w:rPr>
                <w:b/>
                <w:bCs/>
                <w:kern w:val="0"/>
                <w:sz w:val="22"/>
                <w:szCs w:val="22"/>
              </w:rPr>
              <w:t>2025年</w:t>
            </w:r>
          </w:p>
          <w:p>
            <w:pPr>
              <w:widowControl/>
              <w:jc w:val="center"/>
              <w:rPr>
                <w:b/>
                <w:bCs/>
                <w:kern w:val="0"/>
                <w:sz w:val="22"/>
                <w:szCs w:val="22"/>
              </w:rPr>
            </w:pPr>
            <w:r>
              <w:rPr>
                <w:b/>
                <w:bCs/>
                <w:kern w:val="0"/>
                <w:sz w:val="22"/>
                <w:szCs w:val="22"/>
              </w:rPr>
              <w:t>目标值</w:t>
            </w:r>
          </w:p>
        </w:tc>
        <w:tc>
          <w:tcPr>
            <w:tcW w:w="1690" w:type="dxa"/>
            <w:noWrap w:val="0"/>
            <w:vAlign w:val="top"/>
          </w:tcPr>
          <w:p>
            <w:pPr>
              <w:widowControl/>
              <w:jc w:val="center"/>
              <w:rPr>
                <w:b/>
                <w:bCs/>
                <w:kern w:val="0"/>
                <w:sz w:val="22"/>
                <w:szCs w:val="22"/>
              </w:rPr>
            </w:pPr>
            <w:r>
              <w:rPr>
                <w:b/>
                <w:bCs/>
                <w:kern w:val="0"/>
                <w:sz w:val="22"/>
                <w:szCs w:val="22"/>
              </w:rPr>
              <w:t>2030年</w:t>
            </w:r>
          </w:p>
          <w:p>
            <w:pPr>
              <w:widowControl/>
              <w:jc w:val="center"/>
              <w:rPr>
                <w:b/>
                <w:bCs/>
                <w:kern w:val="0"/>
                <w:sz w:val="22"/>
                <w:szCs w:val="22"/>
              </w:rPr>
            </w:pPr>
            <w:r>
              <w:rPr>
                <w:b/>
                <w:bCs/>
                <w:kern w:val="0"/>
                <w:sz w:val="22"/>
                <w:szCs w:val="22"/>
              </w:rPr>
              <w:t>目标值</w:t>
            </w:r>
          </w:p>
        </w:tc>
        <w:tc>
          <w:tcPr>
            <w:tcW w:w="912" w:type="dxa"/>
            <w:tcBorders>
              <w:bottom w:val="single" w:color="auto" w:sz="4" w:space="0"/>
            </w:tcBorders>
            <w:noWrap w:val="0"/>
            <w:vAlign w:val="center"/>
          </w:tcPr>
          <w:p>
            <w:pPr>
              <w:widowControl/>
              <w:jc w:val="center"/>
              <w:rPr>
                <w:b/>
                <w:bCs/>
                <w:kern w:val="0"/>
                <w:sz w:val="22"/>
                <w:szCs w:val="22"/>
              </w:rPr>
            </w:pPr>
            <w:r>
              <w:rPr>
                <w:b/>
                <w:bCs/>
                <w:kern w:val="0"/>
                <w:sz w:val="22"/>
                <w:szCs w:val="22"/>
              </w:rPr>
              <w:t>指标</w:t>
            </w:r>
          </w:p>
          <w:p>
            <w:pPr>
              <w:widowControl/>
              <w:jc w:val="center"/>
              <w:rPr>
                <w:b/>
                <w:bCs/>
                <w:kern w:val="0"/>
                <w:sz w:val="22"/>
                <w:szCs w:val="22"/>
              </w:rPr>
            </w:pPr>
            <w:r>
              <w:rPr>
                <w:b/>
                <w:bCs/>
                <w:kern w:val="0"/>
                <w:sz w:val="22"/>
                <w:szCs w:val="22"/>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0" w:type="auto"/>
            <w:vMerge w:val="restart"/>
            <w:noWrap w:val="0"/>
            <w:vAlign w:val="center"/>
          </w:tcPr>
          <w:p>
            <w:pPr>
              <w:widowControl/>
              <w:jc w:val="center"/>
              <w:rPr>
                <w:kern w:val="0"/>
                <w:sz w:val="22"/>
                <w:szCs w:val="22"/>
              </w:rPr>
            </w:pPr>
            <w:r>
              <w:rPr>
                <w:kern w:val="0"/>
                <w:sz w:val="22"/>
                <w:szCs w:val="22"/>
              </w:rPr>
              <w:t>生态</w:t>
            </w:r>
          </w:p>
          <w:p>
            <w:pPr>
              <w:widowControl/>
              <w:jc w:val="center"/>
              <w:rPr>
                <w:kern w:val="0"/>
                <w:sz w:val="22"/>
                <w:szCs w:val="22"/>
              </w:rPr>
            </w:pPr>
            <w:r>
              <w:rPr>
                <w:kern w:val="0"/>
                <w:sz w:val="22"/>
                <w:szCs w:val="22"/>
              </w:rPr>
              <w:t>制度</w:t>
            </w:r>
          </w:p>
        </w:tc>
        <w:tc>
          <w:tcPr>
            <w:tcW w:w="0" w:type="auto"/>
            <w:noWrap w:val="0"/>
            <w:vAlign w:val="center"/>
          </w:tcPr>
          <w:p>
            <w:pPr>
              <w:widowControl/>
              <w:jc w:val="center"/>
              <w:rPr>
                <w:kern w:val="0"/>
                <w:sz w:val="22"/>
                <w:szCs w:val="22"/>
              </w:rPr>
            </w:pPr>
            <w:r>
              <w:rPr>
                <w:kern w:val="0"/>
                <w:sz w:val="22"/>
                <w:szCs w:val="22"/>
              </w:rPr>
              <w:t>1</w:t>
            </w:r>
          </w:p>
        </w:tc>
        <w:tc>
          <w:tcPr>
            <w:tcW w:w="0" w:type="auto"/>
            <w:noWrap w:val="0"/>
            <w:vAlign w:val="center"/>
          </w:tcPr>
          <w:p>
            <w:pPr>
              <w:widowControl/>
              <w:rPr>
                <w:kern w:val="0"/>
                <w:sz w:val="22"/>
                <w:szCs w:val="22"/>
              </w:rPr>
            </w:pPr>
            <w:r>
              <w:rPr>
                <w:kern w:val="0"/>
                <w:sz w:val="22"/>
                <w:szCs w:val="22"/>
              </w:rPr>
              <w:t>生态文明建设规划及重大目标任务部署情况</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widowControl/>
              <w:jc w:val="center"/>
              <w:rPr>
                <w:kern w:val="0"/>
                <w:sz w:val="22"/>
                <w:szCs w:val="22"/>
              </w:rPr>
            </w:pPr>
            <w:r>
              <w:rPr>
                <w:kern w:val="0"/>
                <w:sz w:val="22"/>
                <w:szCs w:val="22"/>
              </w:rPr>
              <w:t>制定实施</w:t>
            </w:r>
          </w:p>
          <w:p>
            <w:pPr>
              <w:widowControl/>
              <w:jc w:val="center"/>
              <w:rPr>
                <w:kern w:val="0"/>
                <w:sz w:val="22"/>
                <w:szCs w:val="22"/>
              </w:rPr>
            </w:pPr>
            <w:r>
              <w:rPr>
                <w:kern w:val="0"/>
                <w:sz w:val="22"/>
                <w:szCs w:val="22"/>
              </w:rPr>
              <w:t>有效开展</w:t>
            </w:r>
          </w:p>
        </w:tc>
        <w:tc>
          <w:tcPr>
            <w:tcW w:w="2009" w:type="dxa"/>
            <w:noWrap w:val="0"/>
            <w:vAlign w:val="center"/>
          </w:tcPr>
          <w:p>
            <w:pPr>
              <w:widowControl/>
              <w:jc w:val="center"/>
              <w:rPr>
                <w:kern w:val="0"/>
                <w:sz w:val="22"/>
                <w:szCs w:val="22"/>
              </w:rPr>
            </w:pPr>
            <w:r>
              <w:rPr>
                <w:rFonts w:hint="eastAsia"/>
                <w:kern w:val="0"/>
                <w:sz w:val="22"/>
                <w:szCs w:val="22"/>
              </w:rPr>
              <w:t>编制中</w:t>
            </w:r>
          </w:p>
        </w:tc>
        <w:tc>
          <w:tcPr>
            <w:tcW w:w="1136" w:type="dxa"/>
            <w:noWrap w:val="0"/>
            <w:vAlign w:val="center"/>
          </w:tcPr>
          <w:p>
            <w:pPr>
              <w:widowControl/>
              <w:jc w:val="center"/>
              <w:rPr>
                <w:kern w:val="0"/>
                <w:sz w:val="22"/>
                <w:szCs w:val="22"/>
              </w:rPr>
            </w:pPr>
            <w:r>
              <w:rPr>
                <w:rFonts w:hint="eastAsia"/>
                <w:kern w:val="0"/>
                <w:sz w:val="22"/>
                <w:szCs w:val="22"/>
              </w:rPr>
              <w:t>未达标</w:t>
            </w:r>
          </w:p>
        </w:tc>
        <w:tc>
          <w:tcPr>
            <w:tcW w:w="1549" w:type="dxa"/>
            <w:noWrap w:val="0"/>
            <w:vAlign w:val="center"/>
          </w:tcPr>
          <w:p>
            <w:pPr>
              <w:widowControl/>
              <w:jc w:val="center"/>
              <w:rPr>
                <w:kern w:val="0"/>
                <w:sz w:val="22"/>
                <w:szCs w:val="22"/>
              </w:rPr>
            </w:pPr>
            <w:r>
              <w:rPr>
                <w:rFonts w:hint="eastAsia"/>
                <w:kern w:val="0"/>
                <w:sz w:val="22"/>
                <w:szCs w:val="22"/>
              </w:rPr>
              <w:t>制定实施</w:t>
            </w:r>
          </w:p>
          <w:p>
            <w:pPr>
              <w:widowControl/>
              <w:jc w:val="center"/>
              <w:rPr>
                <w:kern w:val="0"/>
                <w:sz w:val="22"/>
                <w:szCs w:val="22"/>
              </w:rPr>
            </w:pPr>
            <w:r>
              <w:rPr>
                <w:rFonts w:hint="eastAsia"/>
                <w:kern w:val="0"/>
                <w:sz w:val="22"/>
                <w:szCs w:val="22"/>
              </w:rPr>
              <w:t>有效开展</w:t>
            </w:r>
          </w:p>
        </w:tc>
        <w:tc>
          <w:tcPr>
            <w:tcW w:w="1690" w:type="dxa"/>
            <w:noWrap w:val="0"/>
            <w:vAlign w:val="center"/>
          </w:tcPr>
          <w:p>
            <w:pPr>
              <w:widowControl/>
              <w:jc w:val="center"/>
              <w:rPr>
                <w:kern w:val="0"/>
                <w:sz w:val="22"/>
                <w:szCs w:val="22"/>
              </w:rPr>
            </w:pPr>
            <w:r>
              <w:rPr>
                <w:rFonts w:hint="eastAsia"/>
                <w:kern w:val="0"/>
                <w:sz w:val="22"/>
                <w:szCs w:val="22"/>
              </w:rPr>
              <w:t>全面开展</w:t>
            </w:r>
          </w:p>
        </w:tc>
        <w:tc>
          <w:tcPr>
            <w:tcW w:w="912" w:type="dxa"/>
            <w:tcBorders>
              <w:bottom w:val="single" w:color="auto" w:sz="4" w:space="0"/>
            </w:tcBorders>
            <w:noWrap w:val="0"/>
            <w:vAlign w:val="center"/>
          </w:tcPr>
          <w:p>
            <w:pPr>
              <w:widowControl/>
              <w:jc w:val="center"/>
              <w:rPr>
                <w:kern w:val="0"/>
                <w:sz w:val="22"/>
                <w:szCs w:val="22"/>
              </w:rPr>
            </w:pPr>
            <w:r>
              <w:rPr>
                <w:kern w:val="0"/>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jc w:val="center"/>
              <w:rPr>
                <w:kern w:val="0"/>
                <w:sz w:val="22"/>
                <w:szCs w:val="22"/>
              </w:rPr>
            </w:pPr>
            <w:r>
              <w:rPr>
                <w:kern w:val="0"/>
                <w:sz w:val="22"/>
                <w:szCs w:val="22"/>
              </w:rPr>
              <w:t>2</w:t>
            </w:r>
          </w:p>
        </w:tc>
        <w:tc>
          <w:tcPr>
            <w:tcW w:w="0" w:type="auto"/>
            <w:noWrap w:val="0"/>
            <w:vAlign w:val="center"/>
          </w:tcPr>
          <w:p>
            <w:pPr>
              <w:rPr>
                <w:kern w:val="0"/>
                <w:sz w:val="22"/>
                <w:szCs w:val="22"/>
              </w:rPr>
            </w:pPr>
            <w:r>
              <w:rPr>
                <w:kern w:val="0"/>
                <w:sz w:val="22"/>
                <w:szCs w:val="22"/>
              </w:rPr>
              <w:t>生态文明建设工作占党政实绩考核的比例</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jc w:val="center"/>
              <w:rPr>
                <w:kern w:val="0"/>
                <w:sz w:val="22"/>
                <w:szCs w:val="22"/>
              </w:rPr>
            </w:pPr>
            <w:r>
              <w:rPr>
                <w:kern w:val="0"/>
                <w:sz w:val="22"/>
                <w:szCs w:val="22"/>
              </w:rPr>
              <w:t>≥20</w:t>
            </w:r>
          </w:p>
        </w:tc>
        <w:tc>
          <w:tcPr>
            <w:tcW w:w="2009" w:type="dxa"/>
            <w:noWrap w:val="0"/>
            <w:vAlign w:val="center"/>
          </w:tcPr>
          <w:p>
            <w:pPr>
              <w:jc w:val="center"/>
              <w:rPr>
                <w:kern w:val="0"/>
                <w:sz w:val="22"/>
                <w:szCs w:val="22"/>
              </w:rPr>
            </w:pPr>
            <w:r>
              <w:rPr>
                <w:kern w:val="0"/>
                <w:sz w:val="22"/>
                <w:szCs w:val="22"/>
              </w:rPr>
              <w:t>24.5</w:t>
            </w:r>
          </w:p>
        </w:tc>
        <w:tc>
          <w:tcPr>
            <w:tcW w:w="1136" w:type="dxa"/>
            <w:noWrap w:val="0"/>
            <w:vAlign w:val="center"/>
          </w:tcPr>
          <w:p>
            <w:pPr>
              <w:jc w:val="center"/>
              <w:rPr>
                <w:kern w:val="0"/>
                <w:sz w:val="22"/>
                <w:szCs w:val="22"/>
              </w:rPr>
            </w:pPr>
            <w:r>
              <w:rPr>
                <w:rFonts w:hint="eastAsia"/>
                <w:kern w:val="0"/>
                <w:sz w:val="22"/>
                <w:szCs w:val="22"/>
              </w:rPr>
              <w:t>达标</w:t>
            </w:r>
          </w:p>
        </w:tc>
        <w:tc>
          <w:tcPr>
            <w:tcW w:w="1549" w:type="dxa"/>
            <w:noWrap w:val="0"/>
            <w:vAlign w:val="center"/>
          </w:tcPr>
          <w:p>
            <w:pPr>
              <w:jc w:val="center"/>
              <w:rPr>
                <w:kern w:val="0"/>
                <w:sz w:val="22"/>
                <w:szCs w:val="22"/>
              </w:rPr>
            </w:pPr>
            <w:r>
              <w:rPr>
                <w:kern w:val="0"/>
                <w:sz w:val="22"/>
                <w:szCs w:val="22"/>
              </w:rPr>
              <w:t>≥20</w:t>
            </w:r>
          </w:p>
        </w:tc>
        <w:tc>
          <w:tcPr>
            <w:tcW w:w="1690" w:type="dxa"/>
            <w:noWrap w:val="0"/>
            <w:vAlign w:val="center"/>
          </w:tcPr>
          <w:p>
            <w:pPr>
              <w:jc w:val="center"/>
              <w:rPr>
                <w:kern w:val="0"/>
                <w:sz w:val="22"/>
                <w:szCs w:val="22"/>
              </w:rPr>
            </w:pPr>
            <w:r>
              <w:rPr>
                <w:kern w:val="0"/>
                <w:sz w:val="22"/>
                <w:szCs w:val="22"/>
              </w:rPr>
              <w:t>≥20</w:t>
            </w:r>
          </w:p>
        </w:tc>
        <w:tc>
          <w:tcPr>
            <w:tcW w:w="912" w:type="dxa"/>
            <w:noWrap w:val="0"/>
            <w:vAlign w:val="center"/>
          </w:tcPr>
          <w:p>
            <w:pPr>
              <w:jc w:val="center"/>
              <w:rPr>
                <w:kern w:val="0"/>
                <w:sz w:val="22"/>
                <w:szCs w:val="22"/>
              </w:rPr>
            </w:pPr>
            <w:r>
              <w:rPr>
                <w:kern w:val="0"/>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jc w:val="center"/>
              <w:rPr>
                <w:kern w:val="0"/>
                <w:sz w:val="22"/>
                <w:szCs w:val="22"/>
              </w:rPr>
            </w:pPr>
            <w:r>
              <w:rPr>
                <w:kern w:val="0"/>
                <w:sz w:val="22"/>
                <w:szCs w:val="22"/>
              </w:rPr>
              <w:t>3</w:t>
            </w:r>
          </w:p>
        </w:tc>
        <w:tc>
          <w:tcPr>
            <w:tcW w:w="0" w:type="auto"/>
            <w:noWrap w:val="0"/>
            <w:vAlign w:val="center"/>
          </w:tcPr>
          <w:p>
            <w:pPr>
              <w:rPr>
                <w:kern w:val="0"/>
                <w:sz w:val="22"/>
                <w:szCs w:val="22"/>
              </w:rPr>
            </w:pPr>
            <w:r>
              <w:rPr>
                <w:kern w:val="0"/>
                <w:sz w:val="22"/>
                <w:szCs w:val="22"/>
              </w:rPr>
              <w:t>河（湖）长制、林长制</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jc w:val="center"/>
              <w:rPr>
                <w:kern w:val="0"/>
                <w:sz w:val="22"/>
                <w:szCs w:val="22"/>
              </w:rPr>
            </w:pPr>
            <w:r>
              <w:rPr>
                <w:kern w:val="0"/>
                <w:sz w:val="22"/>
                <w:szCs w:val="22"/>
              </w:rPr>
              <w:t>建立实施</w:t>
            </w:r>
          </w:p>
          <w:p>
            <w:pPr>
              <w:jc w:val="center"/>
              <w:rPr>
                <w:kern w:val="0"/>
                <w:sz w:val="22"/>
                <w:szCs w:val="22"/>
              </w:rPr>
            </w:pPr>
            <w:r>
              <w:rPr>
                <w:kern w:val="0"/>
                <w:sz w:val="22"/>
                <w:szCs w:val="22"/>
              </w:rPr>
              <w:t>落实到位</w:t>
            </w:r>
          </w:p>
        </w:tc>
        <w:tc>
          <w:tcPr>
            <w:tcW w:w="2009" w:type="dxa"/>
            <w:noWrap w:val="0"/>
            <w:vAlign w:val="center"/>
          </w:tcPr>
          <w:p>
            <w:pPr>
              <w:jc w:val="center"/>
              <w:rPr>
                <w:kern w:val="0"/>
                <w:sz w:val="22"/>
                <w:szCs w:val="22"/>
              </w:rPr>
            </w:pPr>
            <w:r>
              <w:rPr>
                <w:kern w:val="0"/>
                <w:sz w:val="22"/>
                <w:szCs w:val="22"/>
              </w:rPr>
              <w:t>建立实施</w:t>
            </w:r>
          </w:p>
          <w:p>
            <w:pPr>
              <w:jc w:val="center"/>
              <w:rPr>
                <w:kern w:val="0"/>
                <w:sz w:val="22"/>
                <w:szCs w:val="22"/>
              </w:rPr>
            </w:pPr>
            <w:r>
              <w:rPr>
                <w:kern w:val="0"/>
                <w:sz w:val="22"/>
                <w:szCs w:val="22"/>
              </w:rPr>
              <w:t>落实到位</w:t>
            </w:r>
          </w:p>
        </w:tc>
        <w:tc>
          <w:tcPr>
            <w:tcW w:w="1136" w:type="dxa"/>
            <w:noWrap w:val="0"/>
            <w:vAlign w:val="center"/>
          </w:tcPr>
          <w:p>
            <w:pPr>
              <w:jc w:val="center"/>
              <w:rPr>
                <w:kern w:val="0"/>
                <w:sz w:val="22"/>
                <w:szCs w:val="22"/>
              </w:rPr>
            </w:pPr>
            <w:r>
              <w:rPr>
                <w:rFonts w:hint="eastAsia"/>
                <w:kern w:val="0"/>
                <w:sz w:val="22"/>
                <w:szCs w:val="22"/>
              </w:rPr>
              <w:t>达标</w:t>
            </w:r>
          </w:p>
        </w:tc>
        <w:tc>
          <w:tcPr>
            <w:tcW w:w="1549" w:type="dxa"/>
            <w:noWrap w:val="0"/>
            <w:vAlign w:val="center"/>
          </w:tcPr>
          <w:p>
            <w:pPr>
              <w:jc w:val="center"/>
              <w:rPr>
                <w:kern w:val="0"/>
                <w:sz w:val="22"/>
                <w:szCs w:val="22"/>
              </w:rPr>
            </w:pPr>
            <w:r>
              <w:rPr>
                <w:rFonts w:hint="eastAsia"/>
                <w:kern w:val="0"/>
                <w:sz w:val="22"/>
                <w:szCs w:val="22"/>
              </w:rPr>
              <w:t>全面实施</w:t>
            </w:r>
          </w:p>
        </w:tc>
        <w:tc>
          <w:tcPr>
            <w:tcW w:w="1690" w:type="dxa"/>
            <w:noWrap w:val="0"/>
            <w:vAlign w:val="center"/>
          </w:tcPr>
          <w:p>
            <w:pPr>
              <w:jc w:val="center"/>
              <w:rPr>
                <w:kern w:val="0"/>
                <w:sz w:val="22"/>
                <w:szCs w:val="22"/>
              </w:rPr>
            </w:pPr>
            <w:r>
              <w:rPr>
                <w:rFonts w:hint="eastAsia"/>
                <w:kern w:val="0"/>
                <w:sz w:val="22"/>
                <w:szCs w:val="22"/>
              </w:rPr>
              <w:t>全面实施</w:t>
            </w:r>
          </w:p>
        </w:tc>
        <w:tc>
          <w:tcPr>
            <w:tcW w:w="912" w:type="dxa"/>
            <w:noWrap w:val="0"/>
            <w:vAlign w:val="center"/>
          </w:tcPr>
          <w:p>
            <w:pPr>
              <w:jc w:val="center"/>
              <w:rPr>
                <w:kern w:val="0"/>
                <w:sz w:val="22"/>
                <w:szCs w:val="22"/>
              </w:rPr>
            </w:pPr>
            <w:r>
              <w:rPr>
                <w:kern w:val="0"/>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jc w:val="center"/>
              <w:rPr>
                <w:kern w:val="0"/>
                <w:sz w:val="22"/>
                <w:szCs w:val="22"/>
              </w:rPr>
            </w:pPr>
            <w:r>
              <w:rPr>
                <w:kern w:val="0"/>
                <w:sz w:val="22"/>
                <w:szCs w:val="22"/>
              </w:rPr>
              <w:t>4</w:t>
            </w:r>
          </w:p>
        </w:tc>
        <w:tc>
          <w:tcPr>
            <w:tcW w:w="0" w:type="auto"/>
            <w:noWrap w:val="0"/>
            <w:vAlign w:val="center"/>
          </w:tcPr>
          <w:p>
            <w:pPr>
              <w:rPr>
                <w:kern w:val="0"/>
                <w:sz w:val="22"/>
                <w:szCs w:val="22"/>
              </w:rPr>
            </w:pPr>
            <w:r>
              <w:rPr>
                <w:kern w:val="0"/>
                <w:sz w:val="22"/>
                <w:szCs w:val="22"/>
              </w:rPr>
              <w:t>省级及以上生态乡镇比例</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jc w:val="center"/>
              <w:rPr>
                <w:kern w:val="0"/>
                <w:sz w:val="22"/>
                <w:szCs w:val="22"/>
              </w:rPr>
            </w:pPr>
            <w:r>
              <w:rPr>
                <w:kern w:val="0"/>
                <w:sz w:val="22"/>
                <w:szCs w:val="22"/>
              </w:rPr>
              <w:t>≥60</w:t>
            </w:r>
          </w:p>
        </w:tc>
        <w:tc>
          <w:tcPr>
            <w:tcW w:w="2009" w:type="dxa"/>
            <w:noWrap w:val="0"/>
            <w:vAlign w:val="center"/>
          </w:tcPr>
          <w:p>
            <w:pPr>
              <w:jc w:val="center"/>
              <w:rPr>
                <w:kern w:val="0"/>
                <w:sz w:val="22"/>
                <w:szCs w:val="22"/>
              </w:rPr>
            </w:pPr>
            <w:r>
              <w:rPr>
                <w:kern w:val="0"/>
                <w:sz w:val="22"/>
                <w:szCs w:val="22"/>
              </w:rPr>
              <w:t>100</w:t>
            </w:r>
          </w:p>
        </w:tc>
        <w:tc>
          <w:tcPr>
            <w:tcW w:w="1136" w:type="dxa"/>
            <w:noWrap w:val="0"/>
            <w:vAlign w:val="center"/>
          </w:tcPr>
          <w:p>
            <w:pPr>
              <w:jc w:val="center"/>
              <w:rPr>
                <w:kern w:val="0"/>
                <w:sz w:val="22"/>
                <w:szCs w:val="22"/>
              </w:rPr>
            </w:pPr>
            <w:r>
              <w:rPr>
                <w:rFonts w:hint="eastAsia"/>
                <w:kern w:val="0"/>
                <w:sz w:val="22"/>
                <w:szCs w:val="22"/>
              </w:rPr>
              <w:t>达标</w:t>
            </w:r>
          </w:p>
        </w:tc>
        <w:tc>
          <w:tcPr>
            <w:tcW w:w="1549" w:type="dxa"/>
            <w:noWrap w:val="0"/>
            <w:vAlign w:val="center"/>
          </w:tcPr>
          <w:p>
            <w:pPr>
              <w:jc w:val="center"/>
              <w:rPr>
                <w:kern w:val="0"/>
                <w:sz w:val="22"/>
                <w:szCs w:val="22"/>
              </w:rPr>
            </w:pPr>
            <w:r>
              <w:rPr>
                <w:rFonts w:hint="eastAsia"/>
                <w:kern w:val="0"/>
                <w:sz w:val="22"/>
                <w:szCs w:val="22"/>
              </w:rPr>
              <w:t>1</w:t>
            </w:r>
            <w:r>
              <w:rPr>
                <w:kern w:val="0"/>
                <w:sz w:val="22"/>
                <w:szCs w:val="22"/>
              </w:rPr>
              <w:t>00</w:t>
            </w:r>
          </w:p>
        </w:tc>
        <w:tc>
          <w:tcPr>
            <w:tcW w:w="1690" w:type="dxa"/>
            <w:noWrap w:val="0"/>
            <w:vAlign w:val="center"/>
          </w:tcPr>
          <w:p>
            <w:pPr>
              <w:jc w:val="center"/>
              <w:rPr>
                <w:kern w:val="0"/>
                <w:sz w:val="22"/>
                <w:szCs w:val="22"/>
              </w:rPr>
            </w:pPr>
            <w:r>
              <w:rPr>
                <w:rFonts w:hint="eastAsia"/>
                <w:kern w:val="0"/>
                <w:sz w:val="22"/>
                <w:szCs w:val="22"/>
              </w:rPr>
              <w:t>1</w:t>
            </w:r>
            <w:r>
              <w:rPr>
                <w:kern w:val="0"/>
                <w:sz w:val="22"/>
                <w:szCs w:val="22"/>
              </w:rPr>
              <w:t>00</w:t>
            </w:r>
          </w:p>
        </w:tc>
        <w:tc>
          <w:tcPr>
            <w:tcW w:w="912" w:type="dxa"/>
            <w:tcBorders>
              <w:bottom w:val="single" w:color="auto" w:sz="4" w:space="0"/>
            </w:tcBorders>
            <w:noWrap w:val="0"/>
            <w:vAlign w:val="center"/>
          </w:tcPr>
          <w:p>
            <w:pPr>
              <w:jc w:val="center"/>
              <w:rPr>
                <w:kern w:val="0"/>
                <w:sz w:val="22"/>
                <w:szCs w:val="22"/>
              </w:rPr>
            </w:pPr>
            <w:r>
              <w:rPr>
                <w:kern w:val="0"/>
                <w:sz w:val="22"/>
                <w:szCs w:val="22"/>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2"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jc w:val="center"/>
              <w:rPr>
                <w:kern w:val="0"/>
                <w:sz w:val="22"/>
                <w:szCs w:val="22"/>
              </w:rPr>
            </w:pPr>
            <w:r>
              <w:rPr>
                <w:kern w:val="0"/>
                <w:sz w:val="22"/>
                <w:szCs w:val="22"/>
              </w:rPr>
              <w:t>5</w:t>
            </w:r>
          </w:p>
        </w:tc>
        <w:tc>
          <w:tcPr>
            <w:tcW w:w="0" w:type="auto"/>
            <w:noWrap w:val="0"/>
            <w:vAlign w:val="center"/>
          </w:tcPr>
          <w:p>
            <w:pPr>
              <w:rPr>
                <w:kern w:val="0"/>
                <w:sz w:val="22"/>
                <w:szCs w:val="22"/>
              </w:rPr>
            </w:pPr>
            <w:r>
              <w:rPr>
                <w:kern w:val="0"/>
                <w:sz w:val="22"/>
                <w:szCs w:val="22"/>
              </w:rPr>
              <w:t>生态环境信息公开率</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jc w:val="center"/>
              <w:rPr>
                <w:kern w:val="0"/>
                <w:sz w:val="22"/>
                <w:szCs w:val="22"/>
              </w:rPr>
            </w:pPr>
            <w:r>
              <w:rPr>
                <w:kern w:val="0"/>
                <w:sz w:val="22"/>
                <w:szCs w:val="22"/>
              </w:rPr>
              <w:t>100</w:t>
            </w:r>
          </w:p>
        </w:tc>
        <w:tc>
          <w:tcPr>
            <w:tcW w:w="2009" w:type="dxa"/>
            <w:noWrap w:val="0"/>
            <w:vAlign w:val="center"/>
          </w:tcPr>
          <w:p>
            <w:pPr>
              <w:jc w:val="center"/>
              <w:rPr>
                <w:kern w:val="0"/>
                <w:sz w:val="22"/>
                <w:szCs w:val="22"/>
              </w:rPr>
            </w:pPr>
            <w:r>
              <w:rPr>
                <w:rFonts w:hint="eastAsia"/>
                <w:kern w:val="0"/>
                <w:sz w:val="22"/>
                <w:szCs w:val="22"/>
              </w:rPr>
              <w:t>1</w:t>
            </w:r>
            <w:r>
              <w:rPr>
                <w:kern w:val="0"/>
                <w:sz w:val="22"/>
                <w:szCs w:val="22"/>
              </w:rPr>
              <w:t>00</w:t>
            </w:r>
          </w:p>
        </w:tc>
        <w:tc>
          <w:tcPr>
            <w:tcW w:w="1136" w:type="dxa"/>
            <w:noWrap w:val="0"/>
            <w:vAlign w:val="center"/>
          </w:tcPr>
          <w:p>
            <w:pPr>
              <w:jc w:val="center"/>
              <w:rPr>
                <w:kern w:val="0"/>
                <w:sz w:val="22"/>
                <w:szCs w:val="22"/>
              </w:rPr>
            </w:pPr>
            <w:r>
              <w:rPr>
                <w:rFonts w:hint="eastAsia"/>
                <w:kern w:val="0"/>
                <w:sz w:val="22"/>
                <w:szCs w:val="22"/>
              </w:rPr>
              <w:t>达标</w:t>
            </w:r>
          </w:p>
        </w:tc>
        <w:tc>
          <w:tcPr>
            <w:tcW w:w="1549" w:type="dxa"/>
            <w:noWrap w:val="0"/>
            <w:vAlign w:val="center"/>
          </w:tcPr>
          <w:p>
            <w:pPr>
              <w:jc w:val="center"/>
              <w:rPr>
                <w:kern w:val="0"/>
                <w:sz w:val="22"/>
                <w:szCs w:val="22"/>
              </w:rPr>
            </w:pPr>
            <w:r>
              <w:rPr>
                <w:rFonts w:hint="eastAsia"/>
                <w:kern w:val="0"/>
                <w:sz w:val="22"/>
                <w:szCs w:val="22"/>
              </w:rPr>
              <w:t>1</w:t>
            </w:r>
            <w:r>
              <w:rPr>
                <w:kern w:val="0"/>
                <w:sz w:val="22"/>
                <w:szCs w:val="22"/>
              </w:rPr>
              <w:t>00</w:t>
            </w:r>
          </w:p>
        </w:tc>
        <w:tc>
          <w:tcPr>
            <w:tcW w:w="1690" w:type="dxa"/>
            <w:noWrap w:val="0"/>
            <w:vAlign w:val="center"/>
          </w:tcPr>
          <w:p>
            <w:pPr>
              <w:jc w:val="center"/>
              <w:rPr>
                <w:kern w:val="0"/>
                <w:sz w:val="22"/>
                <w:szCs w:val="22"/>
              </w:rPr>
            </w:pPr>
            <w:r>
              <w:rPr>
                <w:rFonts w:hint="eastAsia"/>
                <w:kern w:val="0"/>
                <w:sz w:val="22"/>
                <w:szCs w:val="22"/>
              </w:rPr>
              <w:t>1</w:t>
            </w:r>
            <w:r>
              <w:rPr>
                <w:kern w:val="0"/>
                <w:sz w:val="22"/>
                <w:szCs w:val="22"/>
              </w:rPr>
              <w:t>00</w:t>
            </w:r>
          </w:p>
        </w:tc>
        <w:tc>
          <w:tcPr>
            <w:tcW w:w="912" w:type="dxa"/>
            <w:tcBorders>
              <w:bottom w:val="single" w:color="auto" w:sz="4" w:space="0"/>
            </w:tcBorders>
            <w:noWrap w:val="0"/>
            <w:vAlign w:val="center"/>
          </w:tcPr>
          <w:p>
            <w:pPr>
              <w:jc w:val="center"/>
              <w:rPr>
                <w:kern w:val="0"/>
                <w:sz w:val="22"/>
                <w:szCs w:val="22"/>
              </w:rPr>
            </w:pPr>
            <w:r>
              <w:rPr>
                <w:kern w:val="0"/>
                <w:sz w:val="22"/>
                <w:szCs w:val="22"/>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restart"/>
            <w:noWrap w:val="0"/>
            <w:vAlign w:val="center"/>
          </w:tcPr>
          <w:p>
            <w:pPr>
              <w:widowControl/>
              <w:jc w:val="center"/>
              <w:rPr>
                <w:kern w:val="0"/>
                <w:sz w:val="22"/>
                <w:szCs w:val="22"/>
              </w:rPr>
            </w:pPr>
            <w:r>
              <w:rPr>
                <w:kern w:val="0"/>
                <w:sz w:val="22"/>
                <w:szCs w:val="22"/>
              </w:rPr>
              <w:t>生态</w:t>
            </w:r>
          </w:p>
          <w:p>
            <w:pPr>
              <w:widowControl/>
              <w:jc w:val="center"/>
              <w:rPr>
                <w:kern w:val="0"/>
                <w:sz w:val="22"/>
                <w:szCs w:val="22"/>
              </w:rPr>
            </w:pPr>
            <w:r>
              <w:rPr>
                <w:kern w:val="0"/>
                <w:sz w:val="22"/>
                <w:szCs w:val="22"/>
              </w:rPr>
              <w:t>环境</w:t>
            </w:r>
          </w:p>
        </w:tc>
        <w:tc>
          <w:tcPr>
            <w:tcW w:w="0" w:type="auto"/>
            <w:noWrap w:val="0"/>
            <w:vAlign w:val="center"/>
          </w:tcPr>
          <w:p>
            <w:pPr>
              <w:widowControl/>
              <w:jc w:val="center"/>
              <w:rPr>
                <w:kern w:val="0"/>
                <w:sz w:val="22"/>
                <w:szCs w:val="22"/>
              </w:rPr>
            </w:pPr>
            <w:r>
              <w:rPr>
                <w:kern w:val="0"/>
                <w:sz w:val="22"/>
                <w:szCs w:val="22"/>
              </w:rPr>
              <w:t>6</w:t>
            </w:r>
          </w:p>
        </w:tc>
        <w:tc>
          <w:tcPr>
            <w:tcW w:w="0" w:type="auto"/>
            <w:noWrap w:val="0"/>
            <w:vAlign w:val="center"/>
          </w:tcPr>
          <w:p>
            <w:pPr>
              <w:widowControl/>
              <w:rPr>
                <w:kern w:val="0"/>
                <w:sz w:val="22"/>
                <w:szCs w:val="22"/>
              </w:rPr>
            </w:pPr>
            <w:r>
              <w:rPr>
                <w:kern w:val="0"/>
                <w:sz w:val="22"/>
                <w:szCs w:val="22"/>
              </w:rPr>
              <w:t>环境空气质量</w:t>
            </w:r>
          </w:p>
          <w:p>
            <w:pPr>
              <w:widowControl/>
              <w:ind w:firstLine="440"/>
              <w:rPr>
                <w:kern w:val="0"/>
                <w:sz w:val="22"/>
                <w:szCs w:val="22"/>
              </w:rPr>
            </w:pPr>
            <w:r>
              <w:rPr>
                <w:kern w:val="0"/>
                <w:sz w:val="22"/>
                <w:szCs w:val="22"/>
              </w:rPr>
              <w:t>PM</w:t>
            </w:r>
            <w:r>
              <w:rPr>
                <w:kern w:val="0"/>
                <w:sz w:val="22"/>
                <w:szCs w:val="22"/>
                <w:vertAlign w:val="subscript"/>
              </w:rPr>
              <w:t>2.5</w:t>
            </w:r>
            <w:r>
              <w:rPr>
                <w:kern w:val="0"/>
                <w:sz w:val="22"/>
                <w:szCs w:val="22"/>
              </w:rPr>
              <w:t>浓度下降幅度</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widowControl/>
              <w:jc w:val="center"/>
              <w:rPr>
                <w:kern w:val="0"/>
                <w:sz w:val="22"/>
                <w:szCs w:val="22"/>
              </w:rPr>
            </w:pPr>
            <w:r>
              <w:rPr>
                <w:kern w:val="0"/>
                <w:sz w:val="22"/>
                <w:szCs w:val="22"/>
              </w:rPr>
              <w:t>完成上级规定的考核任务</w:t>
            </w:r>
          </w:p>
        </w:tc>
        <w:tc>
          <w:tcPr>
            <w:tcW w:w="2009" w:type="dxa"/>
            <w:noWrap w:val="0"/>
            <w:vAlign w:val="center"/>
          </w:tcPr>
          <w:p>
            <w:pPr>
              <w:widowControl/>
              <w:jc w:val="center"/>
              <w:rPr>
                <w:kern w:val="0"/>
                <w:sz w:val="22"/>
                <w:szCs w:val="22"/>
              </w:rPr>
            </w:pPr>
            <w:r>
              <w:rPr>
                <w:kern w:val="0"/>
                <w:sz w:val="22"/>
                <w:szCs w:val="22"/>
              </w:rPr>
              <w:t>27µ</w:t>
            </w:r>
            <w:r>
              <w:rPr>
                <w:rFonts w:hint="eastAsia"/>
                <w:kern w:val="0"/>
                <w:sz w:val="22"/>
                <w:szCs w:val="22"/>
              </w:rPr>
              <w:t>g</w:t>
            </w:r>
            <w:r>
              <w:rPr>
                <w:kern w:val="0"/>
                <w:sz w:val="22"/>
                <w:szCs w:val="22"/>
              </w:rPr>
              <w:t>/m</w:t>
            </w:r>
            <w:r>
              <w:rPr>
                <w:kern w:val="0"/>
                <w:sz w:val="22"/>
                <w:szCs w:val="22"/>
                <w:vertAlign w:val="superscript"/>
              </w:rPr>
              <w:t>3</w:t>
            </w:r>
            <w:r>
              <w:rPr>
                <w:rFonts w:hint="eastAsia"/>
                <w:kern w:val="0"/>
                <w:sz w:val="22"/>
                <w:szCs w:val="22"/>
              </w:rPr>
              <w:t>，</w:t>
            </w:r>
            <w:r>
              <w:rPr>
                <w:kern w:val="0"/>
                <w:sz w:val="22"/>
                <w:szCs w:val="22"/>
              </w:rPr>
              <w:t>完成上级规定的考核任务</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kern w:val="0"/>
                <w:sz w:val="22"/>
                <w:szCs w:val="22"/>
              </w:rPr>
              <w:t>完成上级规定的考核任务</w:t>
            </w:r>
          </w:p>
        </w:tc>
        <w:tc>
          <w:tcPr>
            <w:tcW w:w="1690" w:type="dxa"/>
            <w:noWrap w:val="0"/>
            <w:vAlign w:val="center"/>
          </w:tcPr>
          <w:p>
            <w:pPr>
              <w:widowControl/>
              <w:jc w:val="center"/>
              <w:rPr>
                <w:kern w:val="0"/>
                <w:sz w:val="22"/>
                <w:szCs w:val="22"/>
              </w:rPr>
            </w:pPr>
            <w:r>
              <w:rPr>
                <w:kern w:val="0"/>
                <w:sz w:val="22"/>
                <w:szCs w:val="22"/>
              </w:rPr>
              <w:t>完成上级规定的考核任务</w:t>
            </w:r>
          </w:p>
        </w:tc>
        <w:tc>
          <w:tcPr>
            <w:tcW w:w="912" w:type="dxa"/>
            <w:noWrap w:val="0"/>
            <w:vAlign w:val="center"/>
          </w:tcPr>
          <w:p>
            <w:pPr>
              <w:widowControl/>
              <w:jc w:val="center"/>
              <w:rPr>
                <w:kern w:val="0"/>
                <w:sz w:val="22"/>
                <w:szCs w:val="22"/>
              </w:rPr>
            </w:pPr>
            <w:r>
              <w:rPr>
                <w:kern w:val="0"/>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kern w:val="0"/>
                <w:sz w:val="22"/>
                <w:szCs w:val="22"/>
              </w:rPr>
              <w:t>7</w:t>
            </w: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260" w:lineRule="exact"/>
              <w:jc w:val="left"/>
              <w:textAlignment w:val="auto"/>
              <w:rPr>
                <w:kern w:val="0"/>
                <w:sz w:val="22"/>
                <w:szCs w:val="22"/>
              </w:rPr>
            </w:pPr>
            <w:r>
              <w:rPr>
                <w:kern w:val="0"/>
                <w:sz w:val="22"/>
                <w:szCs w:val="22"/>
              </w:rPr>
              <w:t>地表水环境质量</w:t>
            </w:r>
          </w:p>
          <w:p>
            <w:pPr>
              <w:keepNext w:val="0"/>
              <w:keepLines w:val="0"/>
              <w:pageBreakBefore w:val="0"/>
              <w:widowControl/>
              <w:numPr>
                <w:ilvl w:val="0"/>
                <w:numId w:val="1"/>
              </w:numPr>
              <w:kinsoku/>
              <w:wordWrap/>
              <w:overflowPunct/>
              <w:topLinePunct w:val="0"/>
              <w:autoSpaceDE/>
              <w:autoSpaceDN/>
              <w:bidi w:val="0"/>
              <w:adjustRightInd/>
              <w:snapToGrid/>
              <w:spacing w:line="260" w:lineRule="exact"/>
              <w:jc w:val="left"/>
              <w:textAlignment w:val="auto"/>
              <w:rPr>
                <w:kern w:val="0"/>
                <w:sz w:val="22"/>
                <w:szCs w:val="22"/>
              </w:rPr>
            </w:pPr>
            <w:r>
              <w:rPr>
                <w:kern w:val="0"/>
                <w:sz w:val="22"/>
                <w:szCs w:val="22"/>
              </w:rPr>
              <w:t>水质达到或优于Ⅲ类比例提高幅度</w:t>
            </w:r>
          </w:p>
          <w:p>
            <w:pPr>
              <w:keepNext w:val="0"/>
              <w:keepLines w:val="0"/>
              <w:pageBreakBefore w:val="0"/>
              <w:widowControl/>
              <w:numPr>
                <w:ilvl w:val="0"/>
                <w:numId w:val="0"/>
              </w:numPr>
              <w:kinsoku/>
              <w:wordWrap/>
              <w:overflowPunct/>
              <w:topLinePunct w:val="0"/>
              <w:autoSpaceDE/>
              <w:autoSpaceDN/>
              <w:bidi w:val="0"/>
              <w:adjustRightInd/>
              <w:snapToGrid/>
              <w:spacing w:line="260" w:lineRule="exact"/>
              <w:jc w:val="left"/>
              <w:textAlignment w:val="auto"/>
              <w:rPr>
                <w:kern w:val="0"/>
                <w:sz w:val="22"/>
                <w:szCs w:val="22"/>
              </w:rPr>
            </w:pPr>
            <w:r>
              <w:rPr>
                <w:kern w:val="0"/>
                <w:sz w:val="22"/>
                <w:szCs w:val="22"/>
              </w:rPr>
              <w:t>（2）V类及劣V类水体</w:t>
            </w: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260" w:lineRule="exact"/>
              <w:jc w:val="left"/>
              <w:textAlignment w:val="auto"/>
              <w:rPr>
                <w:kern w:val="0"/>
                <w:sz w:val="22"/>
                <w:szCs w:val="22"/>
              </w:rPr>
            </w:pPr>
            <w:r>
              <w:rPr>
                <w:kern w:val="0"/>
                <w:sz w:val="22"/>
                <w:szCs w:val="22"/>
              </w:rPr>
              <w:t>-</w:t>
            </w: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260" w:lineRule="exact"/>
              <w:jc w:val="left"/>
              <w:textAlignment w:val="auto"/>
              <w:rPr>
                <w:kern w:val="0"/>
                <w:sz w:val="22"/>
                <w:szCs w:val="22"/>
              </w:rPr>
            </w:pPr>
            <w:r>
              <w:rPr>
                <w:kern w:val="0"/>
                <w:sz w:val="22"/>
                <w:szCs w:val="22"/>
              </w:rPr>
              <w:t>完成上级规定的考核任务；</w:t>
            </w:r>
          </w:p>
          <w:p>
            <w:pPr>
              <w:keepNext w:val="0"/>
              <w:keepLines w:val="0"/>
              <w:pageBreakBefore w:val="0"/>
              <w:widowControl/>
              <w:kinsoku/>
              <w:wordWrap/>
              <w:overflowPunct/>
              <w:topLinePunct w:val="0"/>
              <w:autoSpaceDE/>
              <w:autoSpaceDN/>
              <w:bidi w:val="0"/>
              <w:adjustRightInd/>
              <w:snapToGrid/>
              <w:spacing w:line="260" w:lineRule="exact"/>
              <w:jc w:val="left"/>
              <w:textAlignment w:val="auto"/>
              <w:rPr>
                <w:kern w:val="0"/>
                <w:sz w:val="22"/>
                <w:szCs w:val="22"/>
              </w:rPr>
            </w:pPr>
            <w:r>
              <w:rPr>
                <w:kern w:val="0"/>
                <w:sz w:val="22"/>
                <w:szCs w:val="22"/>
              </w:rPr>
              <w:t>无</w:t>
            </w:r>
          </w:p>
        </w:tc>
        <w:tc>
          <w:tcPr>
            <w:tcW w:w="2009"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left"/>
              <w:textAlignment w:val="auto"/>
              <w:rPr>
                <w:kern w:val="0"/>
                <w:sz w:val="22"/>
                <w:szCs w:val="22"/>
              </w:rPr>
            </w:pPr>
            <w:r>
              <w:rPr>
                <w:kern w:val="0"/>
                <w:sz w:val="22"/>
                <w:szCs w:val="22"/>
              </w:rPr>
              <w:t>完成上级规定的考核任务；</w:t>
            </w:r>
          </w:p>
          <w:p>
            <w:pPr>
              <w:keepNext w:val="0"/>
              <w:keepLines w:val="0"/>
              <w:pageBreakBefore w:val="0"/>
              <w:widowControl/>
              <w:kinsoku/>
              <w:wordWrap/>
              <w:overflowPunct/>
              <w:topLinePunct w:val="0"/>
              <w:autoSpaceDE/>
              <w:autoSpaceDN/>
              <w:bidi w:val="0"/>
              <w:adjustRightInd/>
              <w:snapToGrid/>
              <w:spacing w:line="260" w:lineRule="exact"/>
              <w:jc w:val="left"/>
              <w:textAlignment w:val="auto"/>
              <w:rPr>
                <w:kern w:val="0"/>
                <w:sz w:val="22"/>
                <w:szCs w:val="22"/>
              </w:rPr>
            </w:pPr>
            <w:r>
              <w:rPr>
                <w:kern w:val="0"/>
                <w:sz w:val="22"/>
                <w:szCs w:val="22"/>
              </w:rPr>
              <w:t>无</w:t>
            </w:r>
          </w:p>
        </w:tc>
        <w:tc>
          <w:tcPr>
            <w:tcW w:w="1136"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left"/>
              <w:textAlignment w:val="auto"/>
              <w:rPr>
                <w:kern w:val="0"/>
                <w:sz w:val="22"/>
                <w:szCs w:val="22"/>
              </w:rPr>
            </w:pPr>
            <w:r>
              <w:rPr>
                <w:rFonts w:hint="eastAsia"/>
                <w:kern w:val="0"/>
                <w:sz w:val="22"/>
                <w:szCs w:val="22"/>
              </w:rPr>
              <w:t>达标</w:t>
            </w:r>
          </w:p>
        </w:tc>
        <w:tc>
          <w:tcPr>
            <w:tcW w:w="1549"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left"/>
              <w:textAlignment w:val="auto"/>
              <w:rPr>
                <w:kern w:val="0"/>
                <w:sz w:val="22"/>
                <w:szCs w:val="22"/>
              </w:rPr>
            </w:pPr>
            <w:r>
              <w:rPr>
                <w:kern w:val="0"/>
                <w:sz w:val="22"/>
                <w:szCs w:val="22"/>
              </w:rPr>
              <w:t>完成上级规定的考核任务；</w:t>
            </w:r>
          </w:p>
          <w:p>
            <w:pPr>
              <w:keepNext w:val="0"/>
              <w:keepLines w:val="0"/>
              <w:pageBreakBefore w:val="0"/>
              <w:widowControl/>
              <w:kinsoku/>
              <w:wordWrap/>
              <w:overflowPunct/>
              <w:topLinePunct w:val="0"/>
              <w:autoSpaceDE/>
              <w:autoSpaceDN/>
              <w:bidi w:val="0"/>
              <w:adjustRightInd/>
              <w:snapToGrid/>
              <w:spacing w:line="260" w:lineRule="exact"/>
              <w:jc w:val="left"/>
              <w:textAlignment w:val="auto"/>
              <w:rPr>
                <w:kern w:val="0"/>
                <w:sz w:val="22"/>
                <w:szCs w:val="22"/>
              </w:rPr>
            </w:pPr>
            <w:r>
              <w:rPr>
                <w:kern w:val="0"/>
                <w:sz w:val="22"/>
                <w:szCs w:val="22"/>
              </w:rPr>
              <w:t>无</w:t>
            </w:r>
          </w:p>
        </w:tc>
        <w:tc>
          <w:tcPr>
            <w:tcW w:w="169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left"/>
              <w:textAlignment w:val="auto"/>
              <w:rPr>
                <w:kern w:val="0"/>
                <w:sz w:val="22"/>
                <w:szCs w:val="22"/>
              </w:rPr>
            </w:pPr>
            <w:r>
              <w:rPr>
                <w:kern w:val="0"/>
                <w:sz w:val="22"/>
                <w:szCs w:val="22"/>
              </w:rPr>
              <w:t>完成上级规定的考核任务；</w:t>
            </w:r>
          </w:p>
          <w:p>
            <w:pPr>
              <w:keepNext w:val="0"/>
              <w:keepLines w:val="0"/>
              <w:pageBreakBefore w:val="0"/>
              <w:widowControl/>
              <w:kinsoku/>
              <w:wordWrap/>
              <w:overflowPunct/>
              <w:topLinePunct w:val="0"/>
              <w:autoSpaceDE/>
              <w:autoSpaceDN/>
              <w:bidi w:val="0"/>
              <w:adjustRightInd/>
              <w:snapToGrid/>
              <w:spacing w:line="260" w:lineRule="exact"/>
              <w:jc w:val="left"/>
              <w:textAlignment w:val="auto"/>
              <w:rPr>
                <w:kern w:val="0"/>
                <w:sz w:val="22"/>
                <w:szCs w:val="22"/>
              </w:rPr>
            </w:pPr>
            <w:r>
              <w:rPr>
                <w:kern w:val="0"/>
                <w:sz w:val="22"/>
                <w:szCs w:val="22"/>
              </w:rPr>
              <w:t>无</w:t>
            </w:r>
          </w:p>
        </w:tc>
        <w:tc>
          <w:tcPr>
            <w:tcW w:w="912"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left"/>
              <w:textAlignment w:val="auto"/>
              <w:rPr>
                <w:kern w:val="0"/>
                <w:sz w:val="22"/>
                <w:szCs w:val="22"/>
              </w:rPr>
            </w:pPr>
            <w:r>
              <w:rPr>
                <w:kern w:val="0"/>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kern w:val="0"/>
                <w:sz w:val="22"/>
                <w:szCs w:val="22"/>
              </w:rPr>
              <w:t>8</w:t>
            </w:r>
          </w:p>
        </w:tc>
        <w:tc>
          <w:tcPr>
            <w:tcW w:w="0" w:type="auto"/>
            <w:noWrap w:val="0"/>
            <w:vAlign w:val="center"/>
          </w:tcPr>
          <w:p>
            <w:pPr>
              <w:widowControl/>
              <w:rPr>
                <w:kern w:val="0"/>
                <w:sz w:val="22"/>
                <w:szCs w:val="22"/>
              </w:rPr>
            </w:pPr>
            <w:r>
              <w:rPr>
                <w:kern w:val="0"/>
                <w:sz w:val="22"/>
                <w:szCs w:val="22"/>
              </w:rPr>
              <w:t>土壤环境质量</w:t>
            </w:r>
          </w:p>
          <w:p>
            <w:pPr>
              <w:widowControl/>
              <w:rPr>
                <w:kern w:val="0"/>
                <w:sz w:val="22"/>
                <w:szCs w:val="22"/>
              </w:rPr>
            </w:pPr>
            <w:r>
              <w:rPr>
                <w:kern w:val="0"/>
                <w:sz w:val="22"/>
                <w:szCs w:val="22"/>
              </w:rPr>
              <w:t>建立疑似污染地块名单</w:t>
            </w:r>
          </w:p>
        </w:tc>
        <w:tc>
          <w:tcPr>
            <w:tcW w:w="0" w:type="auto"/>
            <w:noWrap w:val="0"/>
            <w:vAlign w:val="center"/>
          </w:tcPr>
          <w:p>
            <w:pPr>
              <w:widowControl/>
              <w:jc w:val="center"/>
              <w:rPr>
                <w:kern w:val="0"/>
                <w:sz w:val="22"/>
                <w:szCs w:val="22"/>
              </w:rPr>
            </w:pPr>
            <w:bookmarkStart w:id="40" w:name="_Toc109502396"/>
            <w:r>
              <w:rPr>
                <w:kern w:val="0"/>
                <w:sz w:val="22"/>
                <w:szCs w:val="22"/>
              </w:rPr>
              <w:t>-</w:t>
            </w:r>
            <w:bookmarkEnd w:id="40"/>
          </w:p>
        </w:tc>
        <w:tc>
          <w:tcPr>
            <w:tcW w:w="0" w:type="auto"/>
            <w:noWrap w:val="0"/>
            <w:vAlign w:val="center"/>
          </w:tcPr>
          <w:p>
            <w:pPr>
              <w:widowControl/>
              <w:jc w:val="center"/>
              <w:rPr>
                <w:kern w:val="0"/>
                <w:sz w:val="22"/>
                <w:szCs w:val="22"/>
              </w:rPr>
            </w:pPr>
            <w:r>
              <w:rPr>
                <w:kern w:val="0"/>
                <w:sz w:val="22"/>
                <w:szCs w:val="22"/>
              </w:rPr>
              <w:t>建立</w:t>
            </w:r>
          </w:p>
        </w:tc>
        <w:tc>
          <w:tcPr>
            <w:tcW w:w="2009" w:type="dxa"/>
            <w:noWrap w:val="0"/>
            <w:vAlign w:val="center"/>
          </w:tcPr>
          <w:p>
            <w:pPr>
              <w:widowControl/>
              <w:jc w:val="center"/>
              <w:rPr>
                <w:kern w:val="0"/>
                <w:sz w:val="22"/>
                <w:szCs w:val="22"/>
              </w:rPr>
            </w:pPr>
            <w:r>
              <w:rPr>
                <w:kern w:val="0"/>
                <w:sz w:val="22"/>
                <w:szCs w:val="22"/>
              </w:rPr>
              <w:t>建立</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kern w:val="0"/>
                <w:sz w:val="22"/>
                <w:szCs w:val="22"/>
              </w:rPr>
              <w:t>建立</w:t>
            </w:r>
          </w:p>
        </w:tc>
        <w:tc>
          <w:tcPr>
            <w:tcW w:w="1690" w:type="dxa"/>
            <w:noWrap w:val="0"/>
            <w:vAlign w:val="center"/>
          </w:tcPr>
          <w:p>
            <w:pPr>
              <w:widowControl/>
              <w:jc w:val="center"/>
              <w:rPr>
                <w:kern w:val="0"/>
                <w:sz w:val="22"/>
                <w:szCs w:val="22"/>
              </w:rPr>
            </w:pPr>
            <w:r>
              <w:rPr>
                <w:kern w:val="0"/>
                <w:sz w:val="22"/>
                <w:szCs w:val="22"/>
              </w:rPr>
              <w:t>建立</w:t>
            </w:r>
          </w:p>
        </w:tc>
        <w:tc>
          <w:tcPr>
            <w:tcW w:w="912" w:type="dxa"/>
            <w:noWrap w:val="0"/>
            <w:vAlign w:val="center"/>
          </w:tcPr>
          <w:p>
            <w:pPr>
              <w:widowControl/>
              <w:jc w:val="center"/>
              <w:rPr>
                <w:kern w:val="0"/>
                <w:sz w:val="22"/>
                <w:szCs w:val="22"/>
              </w:rPr>
            </w:pPr>
            <w:r>
              <w:rPr>
                <w:kern w:val="0"/>
                <w:sz w:val="22"/>
                <w:szCs w:val="22"/>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00"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kern w:val="0"/>
                <w:sz w:val="22"/>
                <w:szCs w:val="22"/>
              </w:rPr>
              <w:t>9</w:t>
            </w:r>
          </w:p>
        </w:tc>
        <w:tc>
          <w:tcPr>
            <w:tcW w:w="0" w:type="auto"/>
            <w:noWrap w:val="0"/>
            <w:vAlign w:val="center"/>
          </w:tcPr>
          <w:p>
            <w:pPr>
              <w:widowControl/>
              <w:rPr>
                <w:kern w:val="0"/>
                <w:sz w:val="22"/>
                <w:szCs w:val="22"/>
              </w:rPr>
            </w:pPr>
            <w:r>
              <w:rPr>
                <w:rFonts w:hint="eastAsia"/>
                <w:kern w:val="0"/>
                <w:sz w:val="22"/>
                <w:szCs w:val="22"/>
              </w:rPr>
              <w:t>生态质量指数（E</w:t>
            </w:r>
            <w:r>
              <w:rPr>
                <w:kern w:val="0"/>
                <w:sz w:val="22"/>
                <w:szCs w:val="22"/>
              </w:rPr>
              <w:t>QI</w:t>
            </w:r>
            <w:r>
              <w:rPr>
                <w:rFonts w:hint="eastAsia"/>
                <w:kern w:val="0"/>
                <w:sz w:val="22"/>
                <w:szCs w:val="22"/>
              </w:rPr>
              <w:t>）</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widowControl/>
              <w:jc w:val="center"/>
              <w:rPr>
                <w:kern w:val="0"/>
                <w:sz w:val="22"/>
                <w:szCs w:val="22"/>
              </w:rPr>
            </w:pPr>
            <w:r>
              <w:rPr>
                <w:rFonts w:hint="eastAsia"/>
                <w:kern w:val="0"/>
                <w:sz w:val="22"/>
                <w:szCs w:val="22"/>
              </w:rPr>
              <w:t>Δ</w:t>
            </w:r>
            <w:r>
              <w:rPr>
                <w:kern w:val="0"/>
                <w:sz w:val="22"/>
                <w:szCs w:val="22"/>
              </w:rPr>
              <w:t>EQI</w:t>
            </w:r>
            <w:r>
              <w:rPr>
                <w:rFonts w:hint="eastAsia"/>
                <w:kern w:val="0"/>
                <w:sz w:val="22"/>
                <w:szCs w:val="22"/>
              </w:rPr>
              <w:t>≥</w:t>
            </w:r>
            <w:r>
              <w:rPr>
                <w:kern w:val="0"/>
                <w:sz w:val="22"/>
                <w:szCs w:val="22"/>
              </w:rPr>
              <w:t>-1</w:t>
            </w:r>
          </w:p>
        </w:tc>
        <w:tc>
          <w:tcPr>
            <w:tcW w:w="2009" w:type="dxa"/>
            <w:noWrap w:val="0"/>
            <w:vAlign w:val="center"/>
          </w:tcPr>
          <w:p>
            <w:pPr>
              <w:widowControl/>
              <w:jc w:val="center"/>
              <w:rPr>
                <w:kern w:val="0"/>
                <w:sz w:val="22"/>
                <w:szCs w:val="22"/>
              </w:rPr>
            </w:pPr>
            <w:r>
              <w:rPr>
                <w:kern w:val="0"/>
                <w:sz w:val="22"/>
                <w:szCs w:val="22"/>
              </w:rPr>
              <w:t>0.03</w:t>
            </w:r>
            <w:r>
              <w:rPr>
                <w:rFonts w:hint="eastAsia"/>
                <w:kern w:val="0"/>
                <w:sz w:val="22"/>
                <w:szCs w:val="22"/>
              </w:rPr>
              <w:t>（2</w:t>
            </w:r>
            <w:r>
              <w:rPr>
                <w:kern w:val="0"/>
                <w:sz w:val="22"/>
                <w:szCs w:val="22"/>
              </w:rPr>
              <w:t>021</w:t>
            </w:r>
            <w:r>
              <w:rPr>
                <w:rFonts w:hint="eastAsia"/>
                <w:kern w:val="0"/>
                <w:sz w:val="22"/>
                <w:szCs w:val="22"/>
              </w:rPr>
              <w:t>年）</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rFonts w:hint="eastAsia"/>
                <w:kern w:val="0"/>
                <w:sz w:val="22"/>
                <w:szCs w:val="22"/>
              </w:rPr>
              <w:t>Δ</w:t>
            </w:r>
            <w:r>
              <w:rPr>
                <w:kern w:val="0"/>
                <w:sz w:val="22"/>
                <w:szCs w:val="22"/>
              </w:rPr>
              <w:t>EQI</w:t>
            </w:r>
            <w:r>
              <w:rPr>
                <w:rFonts w:hint="eastAsia"/>
                <w:kern w:val="0"/>
                <w:sz w:val="22"/>
                <w:szCs w:val="22"/>
              </w:rPr>
              <w:t>≥</w:t>
            </w:r>
            <w:r>
              <w:rPr>
                <w:kern w:val="0"/>
                <w:sz w:val="22"/>
                <w:szCs w:val="22"/>
              </w:rPr>
              <w:t>-1</w:t>
            </w:r>
          </w:p>
        </w:tc>
        <w:tc>
          <w:tcPr>
            <w:tcW w:w="1690" w:type="dxa"/>
            <w:noWrap w:val="0"/>
            <w:vAlign w:val="center"/>
          </w:tcPr>
          <w:p>
            <w:pPr>
              <w:widowControl/>
              <w:jc w:val="center"/>
              <w:rPr>
                <w:kern w:val="0"/>
                <w:sz w:val="22"/>
                <w:szCs w:val="22"/>
              </w:rPr>
            </w:pPr>
            <w:r>
              <w:rPr>
                <w:rFonts w:hint="eastAsia"/>
                <w:kern w:val="0"/>
                <w:sz w:val="22"/>
                <w:szCs w:val="22"/>
              </w:rPr>
              <w:t>Δ</w:t>
            </w:r>
            <w:r>
              <w:rPr>
                <w:kern w:val="0"/>
                <w:sz w:val="22"/>
                <w:szCs w:val="22"/>
              </w:rPr>
              <w:t>EQI</w:t>
            </w:r>
            <w:r>
              <w:rPr>
                <w:rFonts w:hint="eastAsia"/>
                <w:kern w:val="0"/>
                <w:sz w:val="22"/>
                <w:szCs w:val="22"/>
              </w:rPr>
              <w:t>≥</w:t>
            </w:r>
            <w:r>
              <w:rPr>
                <w:kern w:val="0"/>
                <w:sz w:val="22"/>
                <w:szCs w:val="22"/>
              </w:rPr>
              <w:t>-1</w:t>
            </w:r>
          </w:p>
        </w:tc>
        <w:tc>
          <w:tcPr>
            <w:tcW w:w="912" w:type="dxa"/>
            <w:noWrap w:val="0"/>
            <w:vAlign w:val="center"/>
          </w:tcPr>
          <w:p>
            <w:pPr>
              <w:widowControl/>
              <w:jc w:val="center"/>
              <w:rPr>
                <w:kern w:val="0"/>
                <w:sz w:val="22"/>
                <w:szCs w:val="22"/>
              </w:rPr>
            </w:pPr>
            <w:r>
              <w:rPr>
                <w:kern w:val="0"/>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rFonts w:hint="eastAsia"/>
                <w:kern w:val="0"/>
                <w:sz w:val="22"/>
                <w:szCs w:val="22"/>
              </w:rPr>
              <w:t>1</w:t>
            </w:r>
            <w:r>
              <w:rPr>
                <w:kern w:val="0"/>
                <w:sz w:val="22"/>
                <w:szCs w:val="22"/>
              </w:rPr>
              <w:t>0</w:t>
            </w:r>
          </w:p>
        </w:tc>
        <w:tc>
          <w:tcPr>
            <w:tcW w:w="0" w:type="auto"/>
            <w:noWrap w:val="0"/>
            <w:vAlign w:val="center"/>
          </w:tcPr>
          <w:p>
            <w:pPr>
              <w:widowControl/>
              <w:rPr>
                <w:kern w:val="0"/>
                <w:sz w:val="22"/>
                <w:szCs w:val="22"/>
              </w:rPr>
            </w:pPr>
            <w:r>
              <w:rPr>
                <w:kern w:val="0"/>
                <w:sz w:val="22"/>
                <w:szCs w:val="22"/>
              </w:rPr>
              <w:t>森林覆盖率</w:t>
            </w:r>
          </w:p>
          <w:p>
            <w:pPr>
              <w:widowControl/>
              <w:rPr>
                <w:kern w:val="0"/>
                <w:sz w:val="22"/>
                <w:szCs w:val="22"/>
              </w:rPr>
            </w:pPr>
            <w:r>
              <w:rPr>
                <w:kern w:val="0"/>
                <w:sz w:val="22"/>
                <w:szCs w:val="22"/>
              </w:rPr>
              <w:t>山区</w:t>
            </w:r>
          </w:p>
          <w:p>
            <w:pPr>
              <w:widowControl/>
              <w:rPr>
                <w:kern w:val="0"/>
                <w:sz w:val="22"/>
                <w:szCs w:val="22"/>
              </w:rPr>
            </w:pPr>
            <w:r>
              <w:rPr>
                <w:kern w:val="0"/>
                <w:sz w:val="22"/>
                <w:szCs w:val="22"/>
              </w:rPr>
              <w:t>丘陵区</w:t>
            </w:r>
          </w:p>
          <w:p>
            <w:pPr>
              <w:widowControl/>
              <w:rPr>
                <w:kern w:val="0"/>
                <w:sz w:val="22"/>
                <w:szCs w:val="22"/>
              </w:rPr>
            </w:pPr>
            <w:r>
              <w:rPr>
                <w:kern w:val="0"/>
                <w:sz w:val="22"/>
                <w:szCs w:val="22"/>
              </w:rPr>
              <w:t>平原地区</w:t>
            </w:r>
          </w:p>
        </w:tc>
        <w:tc>
          <w:tcPr>
            <w:tcW w:w="0" w:type="auto"/>
            <w:noWrap w:val="0"/>
            <w:vAlign w:val="center"/>
          </w:tcPr>
          <w:p>
            <w:pPr>
              <w:widowControl/>
              <w:jc w:val="center"/>
              <w:rPr>
                <w:kern w:val="0"/>
                <w:sz w:val="22"/>
                <w:szCs w:val="22"/>
              </w:rPr>
            </w:pPr>
            <w:r>
              <w:rPr>
                <w:rFonts w:hint="eastAsia"/>
                <w:kern w:val="0"/>
                <w:sz w:val="22"/>
                <w:szCs w:val="22"/>
              </w:rPr>
              <w:t>%</w:t>
            </w:r>
          </w:p>
        </w:tc>
        <w:tc>
          <w:tcPr>
            <w:tcW w:w="0" w:type="auto"/>
            <w:noWrap w:val="0"/>
            <w:vAlign w:val="center"/>
          </w:tcPr>
          <w:p>
            <w:pPr>
              <w:widowControl/>
              <w:jc w:val="center"/>
              <w:rPr>
                <w:kern w:val="0"/>
                <w:sz w:val="22"/>
                <w:szCs w:val="22"/>
              </w:rPr>
            </w:pPr>
            <w:r>
              <w:rPr>
                <w:kern w:val="0"/>
                <w:sz w:val="22"/>
                <w:szCs w:val="22"/>
              </w:rPr>
              <w:t>&gt;60</w:t>
            </w:r>
          </w:p>
          <w:p>
            <w:pPr>
              <w:widowControl/>
              <w:jc w:val="center"/>
              <w:rPr>
                <w:kern w:val="0"/>
                <w:sz w:val="22"/>
                <w:szCs w:val="22"/>
              </w:rPr>
            </w:pPr>
            <w:r>
              <w:rPr>
                <w:kern w:val="0"/>
                <w:sz w:val="22"/>
                <w:szCs w:val="22"/>
              </w:rPr>
              <w:t>&gt;40</w:t>
            </w:r>
          </w:p>
          <w:p>
            <w:pPr>
              <w:widowControl/>
              <w:jc w:val="center"/>
              <w:rPr>
                <w:kern w:val="0"/>
                <w:sz w:val="22"/>
                <w:szCs w:val="22"/>
              </w:rPr>
            </w:pPr>
            <w:r>
              <w:rPr>
                <w:kern w:val="0"/>
                <w:sz w:val="22"/>
                <w:szCs w:val="22"/>
              </w:rPr>
              <w:t>&gt;18</w:t>
            </w:r>
          </w:p>
        </w:tc>
        <w:tc>
          <w:tcPr>
            <w:tcW w:w="2009" w:type="dxa"/>
            <w:noWrap w:val="0"/>
            <w:vAlign w:val="center"/>
          </w:tcPr>
          <w:p>
            <w:pPr>
              <w:widowControl/>
              <w:jc w:val="center"/>
              <w:rPr>
                <w:kern w:val="0"/>
                <w:sz w:val="22"/>
                <w:szCs w:val="22"/>
              </w:rPr>
            </w:pPr>
            <w:r>
              <w:rPr>
                <w:rFonts w:hint="eastAsia"/>
                <w:kern w:val="0"/>
                <w:sz w:val="22"/>
                <w:szCs w:val="22"/>
              </w:rPr>
              <w:t>—</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rFonts w:hint="eastAsia"/>
                <w:kern w:val="0"/>
                <w:sz w:val="22"/>
                <w:szCs w:val="22"/>
              </w:rPr>
              <w:t>—</w:t>
            </w:r>
          </w:p>
        </w:tc>
        <w:tc>
          <w:tcPr>
            <w:tcW w:w="1690" w:type="dxa"/>
            <w:noWrap w:val="0"/>
            <w:vAlign w:val="center"/>
          </w:tcPr>
          <w:p>
            <w:pPr>
              <w:widowControl/>
              <w:jc w:val="center"/>
              <w:rPr>
                <w:kern w:val="0"/>
                <w:sz w:val="22"/>
                <w:szCs w:val="22"/>
              </w:rPr>
            </w:pPr>
            <w:r>
              <w:rPr>
                <w:rFonts w:hint="eastAsia"/>
                <w:kern w:val="0"/>
                <w:sz w:val="22"/>
                <w:szCs w:val="22"/>
              </w:rPr>
              <w:t>—</w:t>
            </w:r>
          </w:p>
        </w:tc>
        <w:tc>
          <w:tcPr>
            <w:tcW w:w="912" w:type="dxa"/>
            <w:noWrap w:val="0"/>
            <w:vAlign w:val="center"/>
          </w:tcPr>
          <w:p>
            <w:pPr>
              <w:widowControl/>
              <w:jc w:val="center"/>
              <w:rPr>
                <w:kern w:val="0"/>
                <w:sz w:val="22"/>
                <w:szCs w:val="22"/>
              </w:rPr>
            </w:pPr>
            <w:r>
              <w:rPr>
                <w:kern w:val="0"/>
                <w:sz w:val="22"/>
                <w:szCs w:val="22"/>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rFonts w:hint="eastAsia"/>
                <w:kern w:val="0"/>
                <w:sz w:val="22"/>
                <w:szCs w:val="22"/>
              </w:rPr>
              <w:t>1</w:t>
            </w:r>
            <w:r>
              <w:rPr>
                <w:kern w:val="0"/>
                <w:sz w:val="22"/>
                <w:szCs w:val="22"/>
              </w:rPr>
              <w:t>1</w:t>
            </w:r>
          </w:p>
        </w:tc>
        <w:tc>
          <w:tcPr>
            <w:tcW w:w="0" w:type="auto"/>
            <w:noWrap w:val="0"/>
            <w:vAlign w:val="center"/>
          </w:tcPr>
          <w:p>
            <w:pPr>
              <w:widowControl/>
              <w:rPr>
                <w:kern w:val="0"/>
                <w:sz w:val="22"/>
                <w:szCs w:val="22"/>
              </w:rPr>
            </w:pPr>
            <w:r>
              <w:rPr>
                <w:kern w:val="0"/>
                <w:sz w:val="22"/>
                <w:szCs w:val="22"/>
              </w:rPr>
              <w:t>生物多样性保护</w:t>
            </w:r>
          </w:p>
          <w:p>
            <w:pPr>
              <w:widowControl/>
              <w:rPr>
                <w:kern w:val="0"/>
                <w:sz w:val="22"/>
                <w:szCs w:val="22"/>
              </w:rPr>
            </w:pPr>
            <w:r>
              <w:rPr>
                <w:kern w:val="0"/>
                <w:sz w:val="22"/>
                <w:szCs w:val="22"/>
              </w:rPr>
              <w:t>（1）国家、省级重点保护野生动植物保护率</w:t>
            </w:r>
          </w:p>
          <w:p>
            <w:pPr>
              <w:widowControl/>
              <w:rPr>
                <w:kern w:val="0"/>
                <w:sz w:val="22"/>
                <w:szCs w:val="22"/>
              </w:rPr>
            </w:pPr>
            <w:r>
              <w:rPr>
                <w:kern w:val="0"/>
                <w:sz w:val="22"/>
                <w:szCs w:val="22"/>
              </w:rPr>
              <w:t>（2）外来物种入侵</w:t>
            </w:r>
          </w:p>
        </w:tc>
        <w:tc>
          <w:tcPr>
            <w:tcW w:w="0" w:type="auto"/>
            <w:noWrap w:val="0"/>
            <w:vAlign w:val="center"/>
          </w:tcPr>
          <w:p>
            <w:pPr>
              <w:widowControl/>
              <w:jc w:val="center"/>
              <w:rPr>
                <w:kern w:val="0"/>
                <w:sz w:val="22"/>
                <w:szCs w:val="22"/>
              </w:rPr>
            </w:pPr>
            <w:r>
              <w:rPr>
                <w:kern w:val="0"/>
                <w:sz w:val="22"/>
                <w:szCs w:val="22"/>
              </w:rPr>
              <w:t>%</w:t>
            </w:r>
          </w:p>
          <w:p>
            <w:pPr>
              <w:widowControl/>
              <w:jc w:val="center"/>
              <w:rPr>
                <w:kern w:val="0"/>
                <w:sz w:val="22"/>
                <w:szCs w:val="22"/>
              </w:rPr>
            </w:pPr>
            <w:r>
              <w:rPr>
                <w:kern w:val="0"/>
                <w:sz w:val="22"/>
                <w:szCs w:val="22"/>
              </w:rPr>
              <w:t>-</w:t>
            </w:r>
          </w:p>
        </w:tc>
        <w:tc>
          <w:tcPr>
            <w:tcW w:w="0" w:type="auto"/>
            <w:noWrap w:val="0"/>
            <w:vAlign w:val="center"/>
          </w:tcPr>
          <w:p>
            <w:pPr>
              <w:widowControl/>
              <w:jc w:val="center"/>
              <w:rPr>
                <w:kern w:val="0"/>
                <w:sz w:val="22"/>
                <w:szCs w:val="22"/>
              </w:rPr>
            </w:pPr>
            <w:r>
              <w:rPr>
                <w:kern w:val="0"/>
                <w:sz w:val="22"/>
                <w:szCs w:val="22"/>
              </w:rPr>
              <w:t>≥95</w:t>
            </w:r>
          </w:p>
          <w:p>
            <w:pPr>
              <w:widowControl/>
              <w:jc w:val="center"/>
              <w:rPr>
                <w:kern w:val="0"/>
                <w:sz w:val="22"/>
                <w:szCs w:val="22"/>
              </w:rPr>
            </w:pPr>
            <w:r>
              <w:rPr>
                <w:kern w:val="0"/>
                <w:sz w:val="22"/>
                <w:szCs w:val="22"/>
              </w:rPr>
              <w:t>不明显</w:t>
            </w:r>
          </w:p>
        </w:tc>
        <w:tc>
          <w:tcPr>
            <w:tcW w:w="2009" w:type="dxa"/>
            <w:noWrap w:val="0"/>
            <w:vAlign w:val="center"/>
          </w:tcPr>
          <w:p>
            <w:pPr>
              <w:widowControl/>
              <w:jc w:val="center"/>
              <w:rPr>
                <w:kern w:val="0"/>
                <w:sz w:val="22"/>
                <w:szCs w:val="22"/>
              </w:rPr>
            </w:pPr>
            <w:r>
              <w:rPr>
                <w:rFonts w:hint="eastAsia"/>
                <w:kern w:val="0"/>
                <w:sz w:val="22"/>
                <w:szCs w:val="22"/>
              </w:rPr>
              <w:t>—</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pPr>
            <w:r>
              <w:rPr>
                <w:rFonts w:hint="eastAsia"/>
                <w:kern w:val="0"/>
                <w:sz w:val="22"/>
                <w:szCs w:val="22"/>
              </w:rPr>
              <w:t>—</w:t>
            </w:r>
          </w:p>
        </w:tc>
        <w:tc>
          <w:tcPr>
            <w:tcW w:w="1690" w:type="dxa"/>
            <w:noWrap w:val="0"/>
            <w:vAlign w:val="center"/>
          </w:tcPr>
          <w:p>
            <w:pPr>
              <w:widowControl/>
              <w:jc w:val="center"/>
              <w:rPr>
                <w:kern w:val="0"/>
                <w:sz w:val="22"/>
                <w:szCs w:val="22"/>
              </w:rPr>
            </w:pPr>
            <w:r>
              <w:rPr>
                <w:rFonts w:hint="eastAsia"/>
                <w:kern w:val="0"/>
                <w:sz w:val="22"/>
                <w:szCs w:val="22"/>
              </w:rPr>
              <w:t>—</w:t>
            </w:r>
          </w:p>
        </w:tc>
        <w:tc>
          <w:tcPr>
            <w:tcW w:w="912" w:type="dxa"/>
            <w:noWrap w:val="0"/>
            <w:vAlign w:val="center"/>
          </w:tcPr>
          <w:p>
            <w:pPr>
              <w:widowControl/>
              <w:jc w:val="center"/>
              <w:rPr>
                <w:kern w:val="0"/>
                <w:sz w:val="22"/>
                <w:szCs w:val="22"/>
              </w:rPr>
            </w:pPr>
            <w:r>
              <w:rPr>
                <w:kern w:val="0"/>
                <w:sz w:val="22"/>
                <w:szCs w:val="22"/>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rFonts w:hint="eastAsia"/>
                <w:kern w:val="0"/>
                <w:sz w:val="22"/>
                <w:szCs w:val="22"/>
              </w:rPr>
              <w:t>1</w:t>
            </w:r>
            <w:r>
              <w:rPr>
                <w:kern w:val="0"/>
                <w:sz w:val="22"/>
                <w:szCs w:val="22"/>
              </w:rPr>
              <w:t>2</w:t>
            </w:r>
          </w:p>
        </w:tc>
        <w:tc>
          <w:tcPr>
            <w:tcW w:w="0" w:type="auto"/>
            <w:noWrap w:val="0"/>
            <w:vAlign w:val="center"/>
          </w:tcPr>
          <w:p>
            <w:pPr>
              <w:widowControl/>
              <w:rPr>
                <w:kern w:val="0"/>
                <w:sz w:val="22"/>
                <w:szCs w:val="22"/>
              </w:rPr>
            </w:pPr>
            <w:r>
              <w:rPr>
                <w:rFonts w:hint="eastAsia"/>
                <w:kern w:val="0"/>
                <w:sz w:val="22"/>
                <w:szCs w:val="22"/>
              </w:rPr>
              <w:t>湿地保护率</w:t>
            </w:r>
          </w:p>
        </w:tc>
        <w:tc>
          <w:tcPr>
            <w:tcW w:w="0" w:type="auto"/>
            <w:noWrap w:val="0"/>
            <w:vAlign w:val="center"/>
          </w:tcPr>
          <w:p>
            <w:pPr>
              <w:widowControl/>
              <w:jc w:val="center"/>
              <w:rPr>
                <w:kern w:val="0"/>
                <w:sz w:val="22"/>
                <w:szCs w:val="22"/>
              </w:rPr>
            </w:pPr>
            <w:r>
              <w:rPr>
                <w:rFonts w:hint="eastAsia"/>
                <w:kern w:val="0"/>
                <w:sz w:val="22"/>
                <w:szCs w:val="22"/>
              </w:rPr>
              <w:t>%</w:t>
            </w:r>
          </w:p>
        </w:tc>
        <w:tc>
          <w:tcPr>
            <w:tcW w:w="0" w:type="auto"/>
            <w:noWrap w:val="0"/>
            <w:vAlign w:val="center"/>
          </w:tcPr>
          <w:p>
            <w:pPr>
              <w:widowControl/>
              <w:jc w:val="center"/>
              <w:rPr>
                <w:kern w:val="0"/>
                <w:sz w:val="22"/>
                <w:szCs w:val="22"/>
              </w:rPr>
            </w:pPr>
            <w:r>
              <w:rPr>
                <w:kern w:val="0"/>
                <w:sz w:val="22"/>
                <w:szCs w:val="22"/>
              </w:rPr>
              <w:t>≥52</w:t>
            </w:r>
          </w:p>
        </w:tc>
        <w:tc>
          <w:tcPr>
            <w:tcW w:w="2009" w:type="dxa"/>
            <w:noWrap w:val="0"/>
            <w:vAlign w:val="center"/>
          </w:tcPr>
          <w:p>
            <w:pPr>
              <w:widowControl/>
              <w:jc w:val="center"/>
              <w:rPr>
                <w:kern w:val="0"/>
                <w:sz w:val="22"/>
                <w:szCs w:val="22"/>
              </w:rPr>
            </w:pPr>
            <w:r>
              <w:rPr>
                <w:rFonts w:hint="eastAsia"/>
                <w:kern w:val="0"/>
                <w:sz w:val="22"/>
                <w:szCs w:val="22"/>
              </w:rPr>
              <w:t>—</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rFonts w:hint="eastAsia"/>
                <w:kern w:val="0"/>
                <w:sz w:val="22"/>
                <w:szCs w:val="22"/>
              </w:rPr>
              <w:t>—</w:t>
            </w:r>
          </w:p>
        </w:tc>
        <w:tc>
          <w:tcPr>
            <w:tcW w:w="1690" w:type="dxa"/>
            <w:noWrap w:val="0"/>
            <w:vAlign w:val="center"/>
          </w:tcPr>
          <w:p>
            <w:pPr>
              <w:widowControl/>
              <w:jc w:val="center"/>
              <w:rPr>
                <w:kern w:val="0"/>
                <w:sz w:val="22"/>
                <w:szCs w:val="22"/>
              </w:rPr>
            </w:pPr>
            <w:r>
              <w:rPr>
                <w:rFonts w:hint="eastAsia"/>
                <w:kern w:val="0"/>
                <w:sz w:val="22"/>
                <w:szCs w:val="22"/>
              </w:rPr>
              <w:t>—</w:t>
            </w:r>
          </w:p>
        </w:tc>
        <w:tc>
          <w:tcPr>
            <w:tcW w:w="912" w:type="dxa"/>
            <w:noWrap w:val="0"/>
            <w:vAlign w:val="center"/>
          </w:tcPr>
          <w:p>
            <w:pPr>
              <w:widowControl/>
              <w:jc w:val="center"/>
              <w:rPr>
                <w:kern w:val="0"/>
                <w:sz w:val="22"/>
                <w:szCs w:val="22"/>
              </w:rPr>
            </w:pPr>
            <w:r>
              <w:rPr>
                <w:kern w:val="0"/>
                <w:sz w:val="22"/>
                <w:szCs w:val="22"/>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rFonts w:hint="eastAsia"/>
                <w:kern w:val="0"/>
                <w:sz w:val="22"/>
                <w:szCs w:val="22"/>
              </w:rPr>
              <w:t>1</w:t>
            </w:r>
            <w:r>
              <w:rPr>
                <w:kern w:val="0"/>
                <w:sz w:val="22"/>
                <w:szCs w:val="22"/>
              </w:rPr>
              <w:t>3</w:t>
            </w:r>
          </w:p>
        </w:tc>
        <w:tc>
          <w:tcPr>
            <w:tcW w:w="0" w:type="auto"/>
            <w:noWrap w:val="0"/>
            <w:vAlign w:val="center"/>
          </w:tcPr>
          <w:p>
            <w:pPr>
              <w:widowControl/>
              <w:rPr>
                <w:kern w:val="0"/>
                <w:sz w:val="22"/>
                <w:szCs w:val="22"/>
              </w:rPr>
            </w:pPr>
            <w:r>
              <w:rPr>
                <w:kern w:val="0"/>
                <w:sz w:val="22"/>
                <w:szCs w:val="22"/>
              </w:rPr>
              <w:t>生态恢复治理</w:t>
            </w:r>
          </w:p>
          <w:p>
            <w:pPr>
              <w:widowControl/>
              <w:rPr>
                <w:kern w:val="0"/>
                <w:sz w:val="22"/>
                <w:szCs w:val="22"/>
              </w:rPr>
            </w:pPr>
            <w:r>
              <w:rPr>
                <w:kern w:val="0"/>
                <w:sz w:val="22"/>
                <w:szCs w:val="22"/>
              </w:rPr>
              <w:t>矿山生态修复净增治理面积</w:t>
            </w:r>
          </w:p>
        </w:tc>
        <w:tc>
          <w:tcPr>
            <w:tcW w:w="0" w:type="auto"/>
            <w:noWrap w:val="0"/>
            <w:vAlign w:val="center"/>
          </w:tcPr>
          <w:p>
            <w:pPr>
              <w:widowControl/>
              <w:jc w:val="center"/>
              <w:rPr>
                <w:kern w:val="0"/>
                <w:sz w:val="22"/>
                <w:szCs w:val="22"/>
              </w:rPr>
            </w:pPr>
            <w:r>
              <w:rPr>
                <w:kern w:val="0"/>
                <w:sz w:val="22"/>
                <w:szCs w:val="22"/>
              </w:rPr>
              <w:t>公顷</w:t>
            </w:r>
          </w:p>
        </w:tc>
        <w:tc>
          <w:tcPr>
            <w:tcW w:w="0" w:type="auto"/>
            <w:noWrap w:val="0"/>
            <w:vAlign w:val="center"/>
          </w:tcPr>
          <w:p>
            <w:pPr>
              <w:widowControl/>
              <w:jc w:val="center"/>
              <w:rPr>
                <w:kern w:val="0"/>
                <w:sz w:val="22"/>
                <w:szCs w:val="22"/>
              </w:rPr>
            </w:pPr>
            <w:r>
              <w:rPr>
                <w:kern w:val="0"/>
                <w:sz w:val="22"/>
                <w:szCs w:val="22"/>
              </w:rPr>
              <w:t>≥0</w:t>
            </w:r>
          </w:p>
        </w:tc>
        <w:tc>
          <w:tcPr>
            <w:tcW w:w="2009" w:type="dxa"/>
            <w:noWrap w:val="0"/>
            <w:vAlign w:val="center"/>
          </w:tcPr>
          <w:p>
            <w:pPr>
              <w:widowControl/>
              <w:jc w:val="center"/>
              <w:rPr>
                <w:kern w:val="0"/>
                <w:sz w:val="22"/>
                <w:szCs w:val="22"/>
              </w:rPr>
            </w:pPr>
            <w:r>
              <w:rPr>
                <w:rFonts w:hint="eastAsia"/>
                <w:kern w:val="0"/>
                <w:sz w:val="22"/>
                <w:szCs w:val="22"/>
              </w:rPr>
              <w:t>—</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rFonts w:hint="eastAsia"/>
                <w:kern w:val="0"/>
                <w:sz w:val="22"/>
                <w:szCs w:val="22"/>
              </w:rPr>
              <w:t>—</w:t>
            </w:r>
          </w:p>
        </w:tc>
        <w:tc>
          <w:tcPr>
            <w:tcW w:w="1690" w:type="dxa"/>
            <w:noWrap w:val="0"/>
            <w:vAlign w:val="center"/>
          </w:tcPr>
          <w:p>
            <w:pPr>
              <w:widowControl/>
              <w:jc w:val="center"/>
              <w:rPr>
                <w:kern w:val="0"/>
                <w:sz w:val="22"/>
                <w:szCs w:val="22"/>
              </w:rPr>
            </w:pPr>
            <w:r>
              <w:rPr>
                <w:rFonts w:hint="eastAsia"/>
                <w:kern w:val="0"/>
                <w:sz w:val="22"/>
                <w:szCs w:val="22"/>
              </w:rPr>
              <w:t>—</w:t>
            </w:r>
          </w:p>
        </w:tc>
        <w:tc>
          <w:tcPr>
            <w:tcW w:w="912" w:type="dxa"/>
            <w:noWrap w:val="0"/>
            <w:vAlign w:val="center"/>
          </w:tcPr>
          <w:p>
            <w:pPr>
              <w:widowControl/>
              <w:jc w:val="center"/>
              <w:rPr>
                <w:kern w:val="0"/>
                <w:sz w:val="22"/>
                <w:szCs w:val="22"/>
              </w:rPr>
            </w:pPr>
            <w:r>
              <w:rPr>
                <w:kern w:val="0"/>
                <w:sz w:val="22"/>
                <w:szCs w:val="22"/>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kern w:val="0"/>
                <w:sz w:val="22"/>
                <w:szCs w:val="22"/>
              </w:rPr>
              <w:t>14</w:t>
            </w:r>
          </w:p>
        </w:tc>
        <w:tc>
          <w:tcPr>
            <w:tcW w:w="0" w:type="auto"/>
            <w:noWrap w:val="0"/>
            <w:vAlign w:val="center"/>
          </w:tcPr>
          <w:p>
            <w:pPr>
              <w:widowControl/>
              <w:rPr>
                <w:kern w:val="0"/>
                <w:sz w:val="22"/>
                <w:szCs w:val="22"/>
              </w:rPr>
            </w:pPr>
            <w:r>
              <w:rPr>
                <w:kern w:val="0"/>
                <w:sz w:val="22"/>
                <w:szCs w:val="22"/>
              </w:rPr>
              <w:t>危险废物利用处置率</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widowControl/>
              <w:jc w:val="center"/>
              <w:rPr>
                <w:kern w:val="0"/>
                <w:sz w:val="22"/>
                <w:szCs w:val="22"/>
              </w:rPr>
            </w:pPr>
            <w:r>
              <w:rPr>
                <w:kern w:val="0"/>
                <w:sz w:val="22"/>
                <w:szCs w:val="22"/>
              </w:rPr>
              <w:t>100</w:t>
            </w:r>
          </w:p>
        </w:tc>
        <w:tc>
          <w:tcPr>
            <w:tcW w:w="2009" w:type="dxa"/>
            <w:noWrap w:val="0"/>
            <w:vAlign w:val="center"/>
          </w:tcPr>
          <w:p>
            <w:pPr>
              <w:widowControl/>
              <w:jc w:val="center"/>
              <w:rPr>
                <w:kern w:val="0"/>
                <w:sz w:val="22"/>
                <w:szCs w:val="22"/>
              </w:rPr>
            </w:pPr>
            <w:r>
              <w:rPr>
                <w:kern w:val="0"/>
                <w:sz w:val="22"/>
                <w:szCs w:val="22"/>
              </w:rPr>
              <w:t>100</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kern w:val="0"/>
                <w:sz w:val="22"/>
                <w:szCs w:val="22"/>
              </w:rPr>
              <w:t>100</w:t>
            </w:r>
          </w:p>
        </w:tc>
        <w:tc>
          <w:tcPr>
            <w:tcW w:w="1690" w:type="dxa"/>
            <w:noWrap w:val="0"/>
            <w:vAlign w:val="center"/>
          </w:tcPr>
          <w:p>
            <w:pPr>
              <w:widowControl/>
              <w:jc w:val="center"/>
              <w:rPr>
                <w:kern w:val="0"/>
                <w:sz w:val="22"/>
                <w:szCs w:val="22"/>
              </w:rPr>
            </w:pPr>
            <w:r>
              <w:rPr>
                <w:kern w:val="0"/>
                <w:sz w:val="22"/>
                <w:szCs w:val="22"/>
              </w:rPr>
              <w:t>100</w:t>
            </w:r>
          </w:p>
        </w:tc>
        <w:tc>
          <w:tcPr>
            <w:tcW w:w="912" w:type="dxa"/>
            <w:noWrap w:val="0"/>
            <w:vAlign w:val="center"/>
          </w:tcPr>
          <w:p>
            <w:pPr>
              <w:widowControl/>
              <w:jc w:val="center"/>
              <w:rPr>
                <w:kern w:val="0"/>
                <w:sz w:val="22"/>
                <w:szCs w:val="22"/>
              </w:rPr>
            </w:pPr>
            <w:r>
              <w:rPr>
                <w:kern w:val="0"/>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kern w:val="0"/>
                <w:sz w:val="22"/>
                <w:szCs w:val="22"/>
              </w:rPr>
              <w:t>15</w:t>
            </w:r>
          </w:p>
        </w:tc>
        <w:tc>
          <w:tcPr>
            <w:tcW w:w="0" w:type="auto"/>
            <w:noWrap w:val="0"/>
            <w:vAlign w:val="center"/>
          </w:tcPr>
          <w:p>
            <w:pPr>
              <w:widowControl/>
              <w:rPr>
                <w:kern w:val="0"/>
                <w:sz w:val="22"/>
                <w:szCs w:val="22"/>
              </w:rPr>
            </w:pPr>
            <w:r>
              <w:rPr>
                <w:kern w:val="0"/>
                <w:sz w:val="22"/>
                <w:szCs w:val="22"/>
              </w:rPr>
              <w:t>突发生态环境事件应急管理机制</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widowControl/>
              <w:jc w:val="center"/>
              <w:rPr>
                <w:kern w:val="0"/>
                <w:sz w:val="22"/>
                <w:szCs w:val="22"/>
              </w:rPr>
            </w:pPr>
            <w:r>
              <w:rPr>
                <w:kern w:val="0"/>
                <w:sz w:val="22"/>
                <w:szCs w:val="22"/>
              </w:rPr>
              <w:t>建立</w:t>
            </w:r>
          </w:p>
        </w:tc>
        <w:tc>
          <w:tcPr>
            <w:tcW w:w="2009" w:type="dxa"/>
            <w:noWrap w:val="0"/>
            <w:vAlign w:val="center"/>
          </w:tcPr>
          <w:p>
            <w:pPr>
              <w:widowControl/>
              <w:jc w:val="center"/>
              <w:rPr>
                <w:kern w:val="0"/>
                <w:sz w:val="22"/>
                <w:szCs w:val="22"/>
              </w:rPr>
            </w:pPr>
            <w:r>
              <w:rPr>
                <w:kern w:val="0"/>
                <w:sz w:val="22"/>
                <w:szCs w:val="22"/>
              </w:rPr>
              <w:t>建立</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kern w:val="0"/>
                <w:sz w:val="22"/>
                <w:szCs w:val="22"/>
              </w:rPr>
              <w:t>建立</w:t>
            </w:r>
          </w:p>
        </w:tc>
        <w:tc>
          <w:tcPr>
            <w:tcW w:w="1690" w:type="dxa"/>
            <w:noWrap w:val="0"/>
            <w:vAlign w:val="center"/>
          </w:tcPr>
          <w:p>
            <w:pPr>
              <w:widowControl/>
              <w:jc w:val="center"/>
              <w:rPr>
                <w:kern w:val="0"/>
                <w:sz w:val="22"/>
                <w:szCs w:val="22"/>
              </w:rPr>
            </w:pPr>
            <w:r>
              <w:rPr>
                <w:kern w:val="0"/>
                <w:sz w:val="22"/>
                <w:szCs w:val="22"/>
              </w:rPr>
              <w:t>建立</w:t>
            </w:r>
          </w:p>
        </w:tc>
        <w:tc>
          <w:tcPr>
            <w:tcW w:w="912" w:type="dxa"/>
            <w:noWrap w:val="0"/>
            <w:vAlign w:val="center"/>
          </w:tcPr>
          <w:p>
            <w:pPr>
              <w:widowControl/>
              <w:jc w:val="center"/>
              <w:rPr>
                <w:kern w:val="0"/>
                <w:sz w:val="22"/>
                <w:szCs w:val="22"/>
              </w:rPr>
            </w:pPr>
            <w:r>
              <w:rPr>
                <w:kern w:val="0"/>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0" w:type="auto"/>
            <w:vMerge w:val="restart"/>
            <w:noWrap w:val="0"/>
            <w:vAlign w:val="center"/>
          </w:tcPr>
          <w:p>
            <w:pPr>
              <w:widowControl/>
              <w:jc w:val="center"/>
              <w:rPr>
                <w:kern w:val="0"/>
                <w:sz w:val="22"/>
                <w:szCs w:val="22"/>
              </w:rPr>
            </w:pPr>
            <w:r>
              <w:rPr>
                <w:rFonts w:hint="eastAsia"/>
                <w:kern w:val="0"/>
                <w:sz w:val="22"/>
                <w:szCs w:val="22"/>
              </w:rPr>
              <w:t>生态空间</w:t>
            </w:r>
          </w:p>
        </w:tc>
        <w:tc>
          <w:tcPr>
            <w:tcW w:w="0" w:type="auto"/>
            <w:noWrap w:val="0"/>
            <w:vAlign w:val="center"/>
          </w:tcPr>
          <w:p>
            <w:pPr>
              <w:widowControl/>
              <w:jc w:val="center"/>
              <w:rPr>
                <w:kern w:val="0"/>
                <w:sz w:val="22"/>
                <w:szCs w:val="22"/>
              </w:rPr>
            </w:pPr>
            <w:r>
              <w:rPr>
                <w:rFonts w:hint="eastAsia"/>
                <w:kern w:val="0"/>
                <w:sz w:val="22"/>
                <w:szCs w:val="22"/>
              </w:rPr>
              <w:t>1</w:t>
            </w:r>
            <w:r>
              <w:rPr>
                <w:kern w:val="0"/>
                <w:sz w:val="22"/>
                <w:szCs w:val="22"/>
              </w:rPr>
              <w:t>6</w:t>
            </w:r>
          </w:p>
        </w:tc>
        <w:tc>
          <w:tcPr>
            <w:tcW w:w="0" w:type="auto"/>
            <w:noWrap w:val="0"/>
            <w:vAlign w:val="center"/>
          </w:tcPr>
          <w:p>
            <w:pPr>
              <w:widowControl/>
              <w:rPr>
                <w:kern w:val="0"/>
                <w:sz w:val="22"/>
                <w:szCs w:val="22"/>
              </w:rPr>
            </w:pPr>
            <w:r>
              <w:rPr>
                <w:rFonts w:hint="eastAsia"/>
                <w:kern w:val="0"/>
                <w:sz w:val="22"/>
                <w:szCs w:val="22"/>
              </w:rPr>
              <w:t>生态保护红线</w:t>
            </w:r>
          </w:p>
        </w:tc>
        <w:tc>
          <w:tcPr>
            <w:tcW w:w="0" w:type="auto"/>
            <w:noWrap w:val="0"/>
            <w:vAlign w:val="center"/>
          </w:tcPr>
          <w:p>
            <w:pPr>
              <w:widowControl/>
              <w:jc w:val="center"/>
              <w:rPr>
                <w:kern w:val="0"/>
                <w:sz w:val="22"/>
                <w:szCs w:val="22"/>
              </w:rPr>
            </w:pPr>
            <w:r>
              <w:rPr>
                <w:rFonts w:hint="eastAsia"/>
                <w:kern w:val="0"/>
                <w:sz w:val="22"/>
                <w:szCs w:val="22"/>
              </w:rPr>
              <w:t>-</w:t>
            </w:r>
          </w:p>
        </w:tc>
        <w:tc>
          <w:tcPr>
            <w:tcW w:w="0" w:type="auto"/>
            <w:noWrap w:val="0"/>
            <w:vAlign w:val="center"/>
          </w:tcPr>
          <w:p>
            <w:pPr>
              <w:widowControl/>
              <w:jc w:val="center"/>
              <w:rPr>
                <w:kern w:val="0"/>
                <w:sz w:val="22"/>
                <w:szCs w:val="22"/>
              </w:rPr>
            </w:pPr>
            <w:r>
              <w:rPr>
                <w:rFonts w:hint="eastAsia"/>
                <w:kern w:val="0"/>
                <w:sz w:val="22"/>
                <w:szCs w:val="22"/>
              </w:rPr>
              <w:t>性质不改变功能不降低</w:t>
            </w:r>
          </w:p>
        </w:tc>
        <w:tc>
          <w:tcPr>
            <w:tcW w:w="2009" w:type="dxa"/>
            <w:noWrap w:val="0"/>
            <w:vAlign w:val="center"/>
          </w:tcPr>
          <w:p>
            <w:pPr>
              <w:widowControl/>
              <w:jc w:val="center"/>
              <w:rPr>
                <w:kern w:val="0"/>
                <w:sz w:val="22"/>
                <w:szCs w:val="22"/>
              </w:rPr>
            </w:pPr>
            <w:r>
              <w:rPr>
                <w:rFonts w:hint="eastAsia"/>
                <w:kern w:val="0"/>
                <w:sz w:val="22"/>
                <w:szCs w:val="22"/>
              </w:rPr>
              <w:t>—</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rFonts w:hint="eastAsia"/>
                <w:kern w:val="0"/>
                <w:sz w:val="22"/>
                <w:szCs w:val="22"/>
              </w:rPr>
              <w:t>—</w:t>
            </w:r>
          </w:p>
        </w:tc>
        <w:tc>
          <w:tcPr>
            <w:tcW w:w="1690" w:type="dxa"/>
            <w:noWrap w:val="0"/>
            <w:vAlign w:val="center"/>
          </w:tcPr>
          <w:p>
            <w:pPr>
              <w:widowControl/>
              <w:jc w:val="center"/>
              <w:rPr>
                <w:kern w:val="0"/>
                <w:sz w:val="22"/>
                <w:szCs w:val="22"/>
              </w:rPr>
            </w:pPr>
            <w:r>
              <w:rPr>
                <w:rFonts w:hint="eastAsia"/>
                <w:kern w:val="0"/>
                <w:sz w:val="22"/>
                <w:szCs w:val="22"/>
              </w:rPr>
              <w:t>—</w:t>
            </w:r>
          </w:p>
        </w:tc>
        <w:tc>
          <w:tcPr>
            <w:tcW w:w="912" w:type="dxa"/>
            <w:noWrap w:val="0"/>
            <w:vAlign w:val="center"/>
          </w:tcPr>
          <w:p>
            <w:pPr>
              <w:widowControl/>
              <w:jc w:val="center"/>
              <w:rPr>
                <w:kern w:val="0"/>
                <w:sz w:val="22"/>
                <w:szCs w:val="22"/>
              </w:rPr>
            </w:pPr>
            <w:r>
              <w:rPr>
                <w:kern w:val="0"/>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rFonts w:hint="eastAsia"/>
                <w:kern w:val="0"/>
                <w:sz w:val="22"/>
                <w:szCs w:val="22"/>
              </w:rPr>
              <w:t>1</w:t>
            </w:r>
            <w:r>
              <w:rPr>
                <w:kern w:val="0"/>
                <w:sz w:val="22"/>
                <w:szCs w:val="22"/>
              </w:rPr>
              <w:t>7</w:t>
            </w:r>
          </w:p>
        </w:tc>
        <w:tc>
          <w:tcPr>
            <w:tcW w:w="0" w:type="auto"/>
            <w:noWrap w:val="0"/>
            <w:vAlign w:val="center"/>
          </w:tcPr>
          <w:p>
            <w:pPr>
              <w:widowControl/>
              <w:rPr>
                <w:kern w:val="0"/>
                <w:sz w:val="22"/>
                <w:szCs w:val="22"/>
              </w:rPr>
            </w:pPr>
            <w:r>
              <w:rPr>
                <w:rFonts w:hint="eastAsia"/>
                <w:kern w:val="0"/>
                <w:sz w:val="22"/>
                <w:szCs w:val="22"/>
              </w:rPr>
              <w:t>自然保护地</w:t>
            </w:r>
          </w:p>
        </w:tc>
        <w:tc>
          <w:tcPr>
            <w:tcW w:w="0" w:type="auto"/>
            <w:noWrap w:val="0"/>
            <w:vAlign w:val="center"/>
          </w:tcPr>
          <w:p>
            <w:pPr>
              <w:widowControl/>
              <w:jc w:val="center"/>
              <w:rPr>
                <w:kern w:val="0"/>
                <w:sz w:val="22"/>
                <w:szCs w:val="22"/>
              </w:rPr>
            </w:pPr>
            <w:r>
              <w:rPr>
                <w:rFonts w:hint="eastAsia"/>
                <w:kern w:val="0"/>
                <w:sz w:val="22"/>
                <w:szCs w:val="22"/>
              </w:rPr>
              <w:t>%</w:t>
            </w:r>
          </w:p>
        </w:tc>
        <w:tc>
          <w:tcPr>
            <w:tcW w:w="0" w:type="auto"/>
            <w:noWrap w:val="0"/>
            <w:vAlign w:val="center"/>
          </w:tcPr>
          <w:p>
            <w:pPr>
              <w:widowControl/>
            </w:pPr>
            <w:r>
              <w:rPr>
                <w:rFonts w:hint="eastAsia"/>
                <w:kern w:val="0"/>
                <w:sz w:val="22"/>
                <w:szCs w:val="22"/>
              </w:rPr>
              <w:t>面积不减少性质不改变功能不降低</w:t>
            </w:r>
          </w:p>
        </w:tc>
        <w:tc>
          <w:tcPr>
            <w:tcW w:w="2009" w:type="dxa"/>
            <w:noWrap w:val="0"/>
            <w:vAlign w:val="center"/>
          </w:tcPr>
          <w:p>
            <w:pPr>
              <w:widowControl/>
              <w:jc w:val="center"/>
              <w:rPr>
                <w:kern w:val="0"/>
                <w:sz w:val="22"/>
                <w:szCs w:val="22"/>
              </w:rPr>
            </w:pPr>
            <w:r>
              <w:rPr>
                <w:rFonts w:hint="eastAsia"/>
                <w:kern w:val="0"/>
                <w:sz w:val="22"/>
                <w:szCs w:val="22"/>
              </w:rPr>
              <w:t>—</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rFonts w:hint="eastAsia"/>
                <w:kern w:val="0"/>
                <w:sz w:val="22"/>
                <w:szCs w:val="22"/>
              </w:rPr>
              <w:t>—</w:t>
            </w:r>
          </w:p>
        </w:tc>
        <w:tc>
          <w:tcPr>
            <w:tcW w:w="1690" w:type="dxa"/>
            <w:noWrap w:val="0"/>
            <w:vAlign w:val="center"/>
          </w:tcPr>
          <w:p>
            <w:pPr>
              <w:widowControl/>
              <w:jc w:val="center"/>
              <w:rPr>
                <w:kern w:val="0"/>
                <w:sz w:val="22"/>
                <w:szCs w:val="22"/>
              </w:rPr>
            </w:pPr>
            <w:r>
              <w:rPr>
                <w:rFonts w:hint="eastAsia"/>
                <w:kern w:val="0"/>
                <w:sz w:val="22"/>
                <w:szCs w:val="22"/>
              </w:rPr>
              <w:t>—</w:t>
            </w:r>
          </w:p>
        </w:tc>
        <w:tc>
          <w:tcPr>
            <w:tcW w:w="912" w:type="dxa"/>
            <w:noWrap w:val="0"/>
            <w:vAlign w:val="center"/>
          </w:tcPr>
          <w:p>
            <w:pPr>
              <w:widowControl/>
              <w:jc w:val="center"/>
              <w:rPr>
                <w:kern w:val="0"/>
                <w:sz w:val="22"/>
                <w:szCs w:val="22"/>
              </w:rPr>
            </w:pPr>
            <w:r>
              <w:rPr>
                <w:kern w:val="0"/>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restart"/>
            <w:noWrap w:val="0"/>
            <w:vAlign w:val="center"/>
          </w:tcPr>
          <w:p>
            <w:pPr>
              <w:widowControl/>
              <w:jc w:val="center"/>
              <w:rPr>
                <w:kern w:val="0"/>
                <w:sz w:val="22"/>
                <w:szCs w:val="22"/>
              </w:rPr>
            </w:pPr>
            <w:r>
              <w:rPr>
                <w:kern w:val="0"/>
                <w:sz w:val="22"/>
                <w:szCs w:val="22"/>
              </w:rPr>
              <w:t>生态</w:t>
            </w:r>
          </w:p>
          <w:p>
            <w:pPr>
              <w:widowControl/>
              <w:jc w:val="center"/>
              <w:rPr>
                <w:kern w:val="0"/>
                <w:sz w:val="22"/>
                <w:szCs w:val="22"/>
              </w:rPr>
            </w:pPr>
            <w:r>
              <w:rPr>
                <w:kern w:val="0"/>
                <w:sz w:val="22"/>
                <w:szCs w:val="22"/>
              </w:rPr>
              <w:t>经济</w:t>
            </w:r>
          </w:p>
          <w:p>
            <w:pPr>
              <w:pStyle w:val="3"/>
            </w:pPr>
          </w:p>
          <w:p>
            <w:pPr>
              <w:pStyle w:val="3"/>
            </w:pPr>
          </w:p>
          <w:p>
            <w:pPr>
              <w:pStyle w:val="3"/>
            </w:pPr>
          </w:p>
        </w:tc>
        <w:tc>
          <w:tcPr>
            <w:tcW w:w="0" w:type="auto"/>
            <w:noWrap w:val="0"/>
            <w:vAlign w:val="center"/>
          </w:tcPr>
          <w:p>
            <w:pPr>
              <w:widowControl/>
              <w:jc w:val="center"/>
              <w:rPr>
                <w:kern w:val="0"/>
                <w:sz w:val="22"/>
                <w:szCs w:val="22"/>
              </w:rPr>
            </w:pPr>
            <w:r>
              <w:rPr>
                <w:kern w:val="0"/>
                <w:sz w:val="22"/>
                <w:szCs w:val="22"/>
              </w:rPr>
              <w:t>16</w:t>
            </w:r>
          </w:p>
        </w:tc>
        <w:tc>
          <w:tcPr>
            <w:tcW w:w="0" w:type="auto"/>
            <w:noWrap w:val="0"/>
            <w:vAlign w:val="center"/>
          </w:tcPr>
          <w:p>
            <w:pPr>
              <w:widowControl/>
              <w:rPr>
                <w:kern w:val="0"/>
                <w:sz w:val="22"/>
                <w:szCs w:val="22"/>
              </w:rPr>
            </w:pPr>
            <w:r>
              <w:rPr>
                <w:kern w:val="0"/>
                <w:sz w:val="22"/>
                <w:szCs w:val="22"/>
              </w:rPr>
              <w:t>单位地区生产总值能耗</w:t>
            </w:r>
          </w:p>
        </w:tc>
        <w:tc>
          <w:tcPr>
            <w:tcW w:w="0" w:type="auto"/>
            <w:noWrap w:val="0"/>
            <w:vAlign w:val="center"/>
          </w:tcPr>
          <w:p>
            <w:pPr>
              <w:widowControl/>
              <w:jc w:val="center"/>
              <w:rPr>
                <w:kern w:val="0"/>
                <w:sz w:val="22"/>
                <w:szCs w:val="22"/>
              </w:rPr>
            </w:pPr>
            <w:r>
              <w:rPr>
                <w:kern w:val="0"/>
                <w:sz w:val="22"/>
                <w:szCs w:val="22"/>
              </w:rPr>
              <w:t>吨标准煤</w:t>
            </w:r>
          </w:p>
          <w:p>
            <w:pPr>
              <w:widowControl/>
              <w:jc w:val="center"/>
              <w:rPr>
                <w:kern w:val="0"/>
                <w:sz w:val="22"/>
                <w:szCs w:val="22"/>
              </w:rPr>
            </w:pPr>
            <w:r>
              <w:rPr>
                <w:kern w:val="0"/>
                <w:sz w:val="22"/>
                <w:szCs w:val="22"/>
              </w:rPr>
              <w:t>/万元</w:t>
            </w:r>
          </w:p>
        </w:tc>
        <w:tc>
          <w:tcPr>
            <w:tcW w:w="0" w:type="auto"/>
            <w:noWrap w:val="0"/>
            <w:vAlign w:val="center"/>
          </w:tcPr>
          <w:p>
            <w:pPr>
              <w:widowControl/>
              <w:jc w:val="center"/>
              <w:rPr>
                <w:kern w:val="0"/>
                <w:sz w:val="22"/>
                <w:szCs w:val="22"/>
              </w:rPr>
            </w:pPr>
            <w:r>
              <w:rPr>
                <w:kern w:val="0"/>
                <w:sz w:val="22"/>
                <w:szCs w:val="22"/>
              </w:rPr>
              <w:t>完成上级规定的目标任务；</w:t>
            </w:r>
          </w:p>
        </w:tc>
        <w:tc>
          <w:tcPr>
            <w:tcW w:w="2009" w:type="dxa"/>
            <w:noWrap w:val="0"/>
            <w:vAlign w:val="center"/>
          </w:tcPr>
          <w:p>
            <w:pPr>
              <w:widowControl/>
              <w:jc w:val="center"/>
              <w:rPr>
                <w:kern w:val="0"/>
                <w:sz w:val="22"/>
                <w:szCs w:val="22"/>
              </w:rPr>
            </w:pPr>
            <w:r>
              <w:rPr>
                <w:kern w:val="0"/>
                <w:sz w:val="22"/>
                <w:szCs w:val="22"/>
              </w:rPr>
              <w:t>0.14</w:t>
            </w:r>
            <w:r>
              <w:rPr>
                <w:rFonts w:hint="eastAsia"/>
                <w:kern w:val="0"/>
                <w:sz w:val="22"/>
                <w:szCs w:val="22"/>
              </w:rPr>
              <w:t>（2</w:t>
            </w:r>
            <w:r>
              <w:rPr>
                <w:kern w:val="0"/>
                <w:sz w:val="22"/>
                <w:szCs w:val="22"/>
              </w:rPr>
              <w:t>021</w:t>
            </w:r>
            <w:r>
              <w:rPr>
                <w:rFonts w:hint="eastAsia"/>
                <w:kern w:val="0"/>
                <w:sz w:val="22"/>
                <w:szCs w:val="22"/>
              </w:rPr>
              <w:t>年）</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kern w:val="0"/>
                <w:sz w:val="22"/>
                <w:szCs w:val="22"/>
              </w:rPr>
              <w:t>完成上级规定的目标任务</w:t>
            </w:r>
          </w:p>
        </w:tc>
        <w:tc>
          <w:tcPr>
            <w:tcW w:w="1690" w:type="dxa"/>
            <w:noWrap w:val="0"/>
            <w:vAlign w:val="center"/>
          </w:tcPr>
          <w:p>
            <w:pPr>
              <w:widowControl/>
              <w:jc w:val="center"/>
              <w:rPr>
                <w:kern w:val="0"/>
                <w:sz w:val="22"/>
                <w:szCs w:val="22"/>
              </w:rPr>
            </w:pPr>
            <w:r>
              <w:rPr>
                <w:kern w:val="0"/>
                <w:sz w:val="22"/>
                <w:szCs w:val="22"/>
              </w:rPr>
              <w:t>完成上级规定的目标任务</w:t>
            </w:r>
          </w:p>
        </w:tc>
        <w:tc>
          <w:tcPr>
            <w:tcW w:w="912" w:type="dxa"/>
            <w:noWrap w:val="0"/>
            <w:vAlign w:val="center"/>
          </w:tcPr>
          <w:p>
            <w:pPr>
              <w:widowControl/>
              <w:jc w:val="center"/>
              <w:rPr>
                <w:kern w:val="0"/>
                <w:sz w:val="22"/>
                <w:szCs w:val="22"/>
              </w:rPr>
            </w:pPr>
            <w:r>
              <w:rPr>
                <w:kern w:val="0"/>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kern w:val="0"/>
                <w:sz w:val="22"/>
                <w:szCs w:val="22"/>
              </w:rPr>
              <w:t>17</w:t>
            </w:r>
          </w:p>
        </w:tc>
        <w:tc>
          <w:tcPr>
            <w:tcW w:w="0" w:type="auto"/>
            <w:noWrap w:val="0"/>
            <w:vAlign w:val="center"/>
          </w:tcPr>
          <w:p>
            <w:pPr>
              <w:widowControl/>
              <w:rPr>
                <w:kern w:val="0"/>
                <w:sz w:val="22"/>
                <w:szCs w:val="22"/>
              </w:rPr>
            </w:pPr>
            <w:r>
              <w:rPr>
                <w:kern w:val="0"/>
                <w:sz w:val="22"/>
                <w:szCs w:val="22"/>
              </w:rPr>
              <w:t>单位地区生产总值用水量</w:t>
            </w:r>
          </w:p>
        </w:tc>
        <w:tc>
          <w:tcPr>
            <w:tcW w:w="0" w:type="auto"/>
            <w:noWrap w:val="0"/>
            <w:vAlign w:val="center"/>
          </w:tcPr>
          <w:p>
            <w:pPr>
              <w:widowControl/>
              <w:jc w:val="center"/>
              <w:rPr>
                <w:kern w:val="0"/>
                <w:sz w:val="22"/>
                <w:szCs w:val="22"/>
              </w:rPr>
            </w:pPr>
            <w:r>
              <w:rPr>
                <w:kern w:val="0"/>
                <w:sz w:val="22"/>
                <w:szCs w:val="22"/>
              </w:rPr>
              <w:t>立方米</w:t>
            </w:r>
          </w:p>
          <w:p>
            <w:pPr>
              <w:widowControl/>
              <w:jc w:val="center"/>
              <w:rPr>
                <w:kern w:val="0"/>
                <w:sz w:val="22"/>
                <w:szCs w:val="22"/>
              </w:rPr>
            </w:pPr>
            <w:r>
              <w:rPr>
                <w:kern w:val="0"/>
                <w:sz w:val="22"/>
                <w:szCs w:val="22"/>
              </w:rPr>
              <w:t>/万元</w:t>
            </w:r>
          </w:p>
        </w:tc>
        <w:tc>
          <w:tcPr>
            <w:tcW w:w="0" w:type="auto"/>
            <w:noWrap w:val="0"/>
            <w:vAlign w:val="center"/>
          </w:tcPr>
          <w:p>
            <w:pPr>
              <w:widowControl/>
              <w:jc w:val="center"/>
              <w:rPr>
                <w:kern w:val="0"/>
                <w:sz w:val="22"/>
                <w:szCs w:val="22"/>
              </w:rPr>
            </w:pPr>
            <w:r>
              <w:rPr>
                <w:kern w:val="0"/>
                <w:sz w:val="22"/>
                <w:szCs w:val="22"/>
              </w:rPr>
              <w:t>完成上级规定的目标任务；</w:t>
            </w:r>
          </w:p>
        </w:tc>
        <w:tc>
          <w:tcPr>
            <w:tcW w:w="2009" w:type="dxa"/>
            <w:noWrap w:val="0"/>
            <w:vAlign w:val="center"/>
          </w:tcPr>
          <w:p>
            <w:pPr>
              <w:widowControl/>
              <w:jc w:val="center"/>
              <w:rPr>
                <w:kern w:val="0"/>
                <w:sz w:val="22"/>
                <w:szCs w:val="22"/>
              </w:rPr>
            </w:pPr>
            <w:r>
              <w:rPr>
                <w:kern w:val="0"/>
                <w:sz w:val="22"/>
                <w:szCs w:val="22"/>
              </w:rPr>
              <w:t>43.7</w:t>
            </w:r>
            <w:r>
              <w:rPr>
                <w:rFonts w:hint="eastAsia"/>
                <w:kern w:val="0"/>
                <w:sz w:val="22"/>
                <w:szCs w:val="22"/>
              </w:rPr>
              <w:t>（南昌市数据）</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kern w:val="0"/>
                <w:sz w:val="22"/>
                <w:szCs w:val="22"/>
              </w:rPr>
              <w:t>完成上级规定的目标任务</w:t>
            </w:r>
          </w:p>
        </w:tc>
        <w:tc>
          <w:tcPr>
            <w:tcW w:w="1690" w:type="dxa"/>
            <w:noWrap w:val="0"/>
            <w:vAlign w:val="center"/>
          </w:tcPr>
          <w:p>
            <w:pPr>
              <w:widowControl/>
              <w:jc w:val="center"/>
              <w:rPr>
                <w:kern w:val="0"/>
                <w:sz w:val="22"/>
                <w:szCs w:val="22"/>
              </w:rPr>
            </w:pPr>
            <w:r>
              <w:rPr>
                <w:kern w:val="0"/>
                <w:sz w:val="22"/>
                <w:szCs w:val="22"/>
              </w:rPr>
              <w:t>完成上级规定的目标任务</w:t>
            </w:r>
          </w:p>
        </w:tc>
        <w:tc>
          <w:tcPr>
            <w:tcW w:w="912" w:type="dxa"/>
            <w:noWrap w:val="0"/>
            <w:vAlign w:val="center"/>
          </w:tcPr>
          <w:p>
            <w:pPr>
              <w:widowControl/>
              <w:jc w:val="center"/>
              <w:rPr>
                <w:kern w:val="0"/>
                <w:sz w:val="22"/>
                <w:szCs w:val="22"/>
              </w:rPr>
            </w:pPr>
            <w:r>
              <w:rPr>
                <w:kern w:val="0"/>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8"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kern w:val="0"/>
                <w:sz w:val="22"/>
                <w:szCs w:val="22"/>
              </w:rPr>
              <w:t>18</w:t>
            </w: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kern w:val="0"/>
                <w:sz w:val="22"/>
                <w:szCs w:val="22"/>
              </w:rPr>
            </w:pPr>
            <w:r>
              <w:rPr>
                <w:kern w:val="0"/>
                <w:sz w:val="22"/>
                <w:szCs w:val="22"/>
              </w:rPr>
              <w:t>农业废弃物综合利用率</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kern w:val="0"/>
                <w:sz w:val="22"/>
                <w:szCs w:val="22"/>
              </w:rPr>
            </w:pPr>
            <w:r>
              <w:rPr>
                <w:kern w:val="0"/>
                <w:sz w:val="22"/>
                <w:szCs w:val="22"/>
              </w:rPr>
              <w:t>（1）秸秆综合利用率</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kern w:val="0"/>
                <w:sz w:val="22"/>
                <w:szCs w:val="22"/>
              </w:rPr>
            </w:pPr>
            <w:r>
              <w:rPr>
                <w:kern w:val="0"/>
                <w:sz w:val="22"/>
                <w:szCs w:val="22"/>
              </w:rPr>
              <w:t>（2）畜禽粪污综合利用率</w:t>
            </w: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textAlignment w:val="auto"/>
              <w:rPr>
                <w:kern w:val="0"/>
                <w:sz w:val="22"/>
                <w:szCs w:val="22"/>
              </w:rPr>
            </w:pPr>
            <w:r>
              <w:rPr>
                <w:kern w:val="0"/>
                <w:sz w:val="22"/>
                <w:szCs w:val="22"/>
              </w:rPr>
              <w:t>%</w:t>
            </w:r>
          </w:p>
        </w:tc>
        <w:tc>
          <w:tcPr>
            <w:tcW w:w="0" w:type="auto"/>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kern w:val="0"/>
                <w:sz w:val="22"/>
                <w:szCs w:val="22"/>
              </w:rPr>
            </w:pPr>
            <w:r>
              <w:rPr>
                <w:kern w:val="0"/>
                <w:sz w:val="22"/>
                <w:szCs w:val="22"/>
              </w:rPr>
              <w:t>≥90</w:t>
            </w:r>
          </w:p>
          <w:p>
            <w:pPr>
              <w:keepNext w:val="0"/>
              <w:keepLines w:val="0"/>
              <w:pageBreakBefore w:val="0"/>
              <w:widowControl/>
              <w:kinsoku/>
              <w:wordWrap/>
              <w:overflowPunct/>
              <w:topLinePunct w:val="0"/>
              <w:autoSpaceDE/>
              <w:autoSpaceDN/>
              <w:bidi w:val="0"/>
              <w:adjustRightInd/>
              <w:snapToGrid/>
              <w:spacing w:line="360" w:lineRule="exact"/>
              <w:jc w:val="left"/>
              <w:textAlignment w:val="auto"/>
              <w:rPr>
                <w:kern w:val="0"/>
                <w:sz w:val="22"/>
                <w:szCs w:val="22"/>
              </w:rPr>
            </w:pPr>
            <w:r>
              <w:rPr>
                <w:kern w:val="0"/>
                <w:sz w:val="22"/>
                <w:szCs w:val="22"/>
              </w:rPr>
              <w:t>≥85</w:t>
            </w:r>
          </w:p>
        </w:tc>
        <w:tc>
          <w:tcPr>
            <w:tcW w:w="2009"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kern w:val="0"/>
                <w:sz w:val="22"/>
                <w:szCs w:val="22"/>
              </w:rPr>
            </w:pPr>
            <w:r>
              <w:rPr>
                <w:rFonts w:hint="eastAsia"/>
                <w:kern w:val="0"/>
                <w:sz w:val="22"/>
                <w:szCs w:val="22"/>
              </w:rPr>
              <w:t>—</w:t>
            </w:r>
          </w:p>
        </w:tc>
        <w:tc>
          <w:tcPr>
            <w:tcW w:w="1136"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kern w:val="0"/>
                <w:sz w:val="22"/>
                <w:szCs w:val="22"/>
              </w:rPr>
            </w:pPr>
            <w:r>
              <w:rPr>
                <w:rFonts w:hint="eastAsia"/>
                <w:kern w:val="0"/>
                <w:sz w:val="22"/>
                <w:szCs w:val="22"/>
              </w:rPr>
              <w:t>达标</w:t>
            </w:r>
          </w:p>
        </w:tc>
        <w:tc>
          <w:tcPr>
            <w:tcW w:w="1549"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kern w:val="0"/>
                <w:sz w:val="22"/>
                <w:szCs w:val="22"/>
              </w:rPr>
            </w:pPr>
            <w:r>
              <w:rPr>
                <w:rFonts w:hint="eastAsia"/>
                <w:kern w:val="0"/>
                <w:sz w:val="22"/>
                <w:szCs w:val="22"/>
              </w:rPr>
              <w:t>—</w:t>
            </w:r>
          </w:p>
        </w:tc>
        <w:tc>
          <w:tcPr>
            <w:tcW w:w="1690"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kern w:val="0"/>
                <w:sz w:val="22"/>
                <w:szCs w:val="22"/>
              </w:rPr>
            </w:pPr>
            <w:r>
              <w:rPr>
                <w:rFonts w:hint="eastAsia"/>
                <w:kern w:val="0"/>
                <w:sz w:val="22"/>
                <w:szCs w:val="22"/>
              </w:rPr>
              <w:t>—</w:t>
            </w:r>
          </w:p>
        </w:tc>
        <w:tc>
          <w:tcPr>
            <w:tcW w:w="912" w:type="dxa"/>
            <w:tcBorders>
              <w:bottom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360" w:lineRule="exact"/>
              <w:jc w:val="left"/>
              <w:textAlignment w:val="auto"/>
              <w:rPr>
                <w:kern w:val="0"/>
                <w:sz w:val="22"/>
                <w:szCs w:val="22"/>
              </w:rPr>
            </w:pPr>
            <w:r>
              <w:rPr>
                <w:kern w:val="0"/>
                <w:sz w:val="22"/>
                <w:szCs w:val="22"/>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kern w:val="0"/>
                <w:sz w:val="22"/>
                <w:szCs w:val="22"/>
              </w:rPr>
              <w:t>19</w:t>
            </w:r>
          </w:p>
        </w:tc>
        <w:tc>
          <w:tcPr>
            <w:tcW w:w="0" w:type="auto"/>
            <w:noWrap w:val="0"/>
            <w:vAlign w:val="center"/>
          </w:tcPr>
          <w:p>
            <w:pPr>
              <w:widowControl/>
              <w:rPr>
                <w:kern w:val="0"/>
                <w:sz w:val="22"/>
                <w:szCs w:val="22"/>
              </w:rPr>
            </w:pPr>
            <w:r>
              <w:rPr>
                <w:kern w:val="0"/>
                <w:sz w:val="22"/>
                <w:szCs w:val="22"/>
              </w:rPr>
              <w:t>绿色有机农产品基地面积比例</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widowControl/>
              <w:jc w:val="center"/>
              <w:rPr>
                <w:kern w:val="0"/>
                <w:sz w:val="22"/>
                <w:szCs w:val="22"/>
              </w:rPr>
            </w:pPr>
            <w:r>
              <w:rPr>
                <w:kern w:val="0"/>
                <w:sz w:val="22"/>
                <w:szCs w:val="22"/>
              </w:rPr>
              <w:t>&gt;25</w:t>
            </w:r>
          </w:p>
        </w:tc>
        <w:tc>
          <w:tcPr>
            <w:tcW w:w="2009" w:type="dxa"/>
            <w:noWrap w:val="0"/>
            <w:vAlign w:val="center"/>
          </w:tcPr>
          <w:p>
            <w:pPr>
              <w:widowControl/>
              <w:jc w:val="center"/>
              <w:rPr>
                <w:kern w:val="0"/>
                <w:sz w:val="22"/>
                <w:szCs w:val="22"/>
              </w:rPr>
            </w:pPr>
            <w:r>
              <w:rPr>
                <w:rFonts w:hint="eastAsia"/>
                <w:kern w:val="0"/>
                <w:sz w:val="22"/>
                <w:szCs w:val="22"/>
              </w:rPr>
              <w:t>—</w:t>
            </w:r>
          </w:p>
        </w:tc>
        <w:tc>
          <w:tcPr>
            <w:tcW w:w="1136" w:type="dxa"/>
            <w:noWrap w:val="0"/>
            <w:vAlign w:val="center"/>
          </w:tcPr>
          <w:p>
            <w:pPr>
              <w:widowControl/>
              <w:jc w:val="center"/>
              <w:rPr>
                <w:kern w:val="0"/>
                <w:sz w:val="22"/>
                <w:szCs w:val="22"/>
              </w:rPr>
            </w:pPr>
            <w:r>
              <w:rPr>
                <w:rFonts w:hint="eastAsia"/>
                <w:kern w:val="0"/>
                <w:sz w:val="22"/>
                <w:szCs w:val="22"/>
              </w:rPr>
              <w:t>未达标</w:t>
            </w:r>
          </w:p>
        </w:tc>
        <w:tc>
          <w:tcPr>
            <w:tcW w:w="1549" w:type="dxa"/>
            <w:noWrap w:val="0"/>
            <w:vAlign w:val="center"/>
          </w:tcPr>
          <w:p>
            <w:pPr>
              <w:widowControl/>
              <w:jc w:val="center"/>
              <w:rPr>
                <w:kern w:val="0"/>
                <w:sz w:val="22"/>
                <w:szCs w:val="22"/>
              </w:rPr>
            </w:pPr>
            <w:r>
              <w:rPr>
                <w:rFonts w:hint="eastAsia"/>
                <w:kern w:val="0"/>
                <w:sz w:val="22"/>
                <w:szCs w:val="22"/>
              </w:rPr>
              <w:t>—</w:t>
            </w:r>
          </w:p>
        </w:tc>
        <w:tc>
          <w:tcPr>
            <w:tcW w:w="1690" w:type="dxa"/>
            <w:noWrap w:val="0"/>
            <w:vAlign w:val="center"/>
          </w:tcPr>
          <w:p>
            <w:pPr>
              <w:widowControl/>
              <w:jc w:val="center"/>
              <w:rPr>
                <w:kern w:val="0"/>
                <w:sz w:val="22"/>
                <w:szCs w:val="22"/>
              </w:rPr>
            </w:pPr>
            <w:r>
              <w:rPr>
                <w:rFonts w:hint="eastAsia"/>
                <w:kern w:val="0"/>
                <w:sz w:val="22"/>
                <w:szCs w:val="22"/>
              </w:rPr>
              <w:t>—</w:t>
            </w:r>
          </w:p>
        </w:tc>
        <w:tc>
          <w:tcPr>
            <w:tcW w:w="912" w:type="dxa"/>
            <w:noWrap w:val="0"/>
            <w:vAlign w:val="center"/>
          </w:tcPr>
          <w:p>
            <w:pPr>
              <w:widowControl/>
              <w:jc w:val="center"/>
              <w:rPr>
                <w:kern w:val="0"/>
                <w:sz w:val="22"/>
                <w:szCs w:val="22"/>
              </w:rPr>
            </w:pPr>
            <w:r>
              <w:rPr>
                <w:kern w:val="0"/>
                <w:sz w:val="22"/>
                <w:szCs w:val="22"/>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3" w:hRule="atLeast"/>
          <w:jc w:val="center"/>
        </w:trPr>
        <w:tc>
          <w:tcPr>
            <w:tcW w:w="0" w:type="auto"/>
            <w:vMerge w:val="restart"/>
            <w:noWrap w:val="0"/>
            <w:vAlign w:val="center"/>
          </w:tcPr>
          <w:p>
            <w:pPr>
              <w:widowControl/>
              <w:jc w:val="center"/>
              <w:rPr>
                <w:kern w:val="0"/>
                <w:sz w:val="22"/>
                <w:szCs w:val="22"/>
              </w:rPr>
            </w:pPr>
            <w:r>
              <w:rPr>
                <w:kern w:val="0"/>
                <w:sz w:val="22"/>
                <w:szCs w:val="22"/>
              </w:rPr>
              <w:t>生态</w:t>
            </w:r>
          </w:p>
          <w:p>
            <w:pPr>
              <w:widowControl/>
              <w:jc w:val="center"/>
              <w:rPr>
                <w:kern w:val="0"/>
                <w:sz w:val="22"/>
                <w:szCs w:val="22"/>
              </w:rPr>
            </w:pPr>
            <w:r>
              <w:rPr>
                <w:kern w:val="0"/>
                <w:sz w:val="22"/>
                <w:szCs w:val="22"/>
              </w:rPr>
              <w:t>生活</w:t>
            </w:r>
          </w:p>
        </w:tc>
        <w:tc>
          <w:tcPr>
            <w:tcW w:w="0" w:type="auto"/>
            <w:noWrap w:val="0"/>
            <w:vAlign w:val="center"/>
          </w:tcPr>
          <w:p>
            <w:pPr>
              <w:widowControl/>
              <w:jc w:val="center"/>
              <w:rPr>
                <w:kern w:val="0"/>
                <w:sz w:val="22"/>
                <w:szCs w:val="22"/>
              </w:rPr>
            </w:pPr>
            <w:r>
              <w:rPr>
                <w:kern w:val="0"/>
                <w:sz w:val="22"/>
                <w:szCs w:val="22"/>
              </w:rPr>
              <w:t>20</w:t>
            </w:r>
          </w:p>
        </w:tc>
        <w:tc>
          <w:tcPr>
            <w:tcW w:w="0" w:type="auto"/>
            <w:noWrap w:val="0"/>
            <w:vAlign w:val="center"/>
          </w:tcPr>
          <w:p>
            <w:pPr>
              <w:widowControl/>
              <w:rPr>
                <w:kern w:val="0"/>
                <w:sz w:val="22"/>
                <w:szCs w:val="22"/>
              </w:rPr>
            </w:pPr>
            <w:r>
              <w:rPr>
                <w:kern w:val="0"/>
                <w:sz w:val="22"/>
                <w:szCs w:val="22"/>
              </w:rPr>
              <w:t>县级及以上集中式饮用水水源地水质优良比例</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widowControl/>
              <w:jc w:val="center"/>
              <w:rPr>
                <w:kern w:val="0"/>
                <w:sz w:val="22"/>
                <w:szCs w:val="22"/>
              </w:rPr>
            </w:pPr>
            <w:r>
              <w:rPr>
                <w:kern w:val="0"/>
                <w:sz w:val="22"/>
                <w:szCs w:val="22"/>
              </w:rPr>
              <w:t>100</w:t>
            </w:r>
          </w:p>
        </w:tc>
        <w:tc>
          <w:tcPr>
            <w:tcW w:w="2009" w:type="dxa"/>
            <w:noWrap w:val="0"/>
            <w:vAlign w:val="center"/>
          </w:tcPr>
          <w:p>
            <w:pPr>
              <w:widowControl/>
              <w:jc w:val="center"/>
              <w:rPr>
                <w:kern w:val="0"/>
                <w:sz w:val="22"/>
                <w:szCs w:val="22"/>
              </w:rPr>
            </w:pPr>
            <w:r>
              <w:rPr>
                <w:rFonts w:hint="eastAsia"/>
                <w:kern w:val="0"/>
                <w:sz w:val="22"/>
                <w:szCs w:val="22"/>
              </w:rPr>
              <w:t>1</w:t>
            </w:r>
            <w:r>
              <w:rPr>
                <w:kern w:val="0"/>
                <w:sz w:val="22"/>
                <w:szCs w:val="22"/>
              </w:rPr>
              <w:t>00</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rFonts w:hint="eastAsia"/>
                <w:kern w:val="0"/>
                <w:sz w:val="22"/>
                <w:szCs w:val="22"/>
              </w:rPr>
              <w:t>1</w:t>
            </w:r>
            <w:r>
              <w:rPr>
                <w:kern w:val="0"/>
                <w:sz w:val="22"/>
                <w:szCs w:val="22"/>
              </w:rPr>
              <w:t>00</w:t>
            </w:r>
          </w:p>
        </w:tc>
        <w:tc>
          <w:tcPr>
            <w:tcW w:w="1690" w:type="dxa"/>
            <w:noWrap w:val="0"/>
            <w:vAlign w:val="center"/>
          </w:tcPr>
          <w:p>
            <w:pPr>
              <w:widowControl/>
              <w:jc w:val="center"/>
              <w:rPr>
                <w:kern w:val="0"/>
                <w:sz w:val="22"/>
                <w:szCs w:val="22"/>
              </w:rPr>
            </w:pPr>
            <w:r>
              <w:rPr>
                <w:rFonts w:hint="eastAsia"/>
                <w:kern w:val="0"/>
                <w:sz w:val="22"/>
                <w:szCs w:val="22"/>
              </w:rPr>
              <w:t>1</w:t>
            </w:r>
            <w:r>
              <w:rPr>
                <w:kern w:val="0"/>
                <w:sz w:val="22"/>
                <w:szCs w:val="22"/>
              </w:rPr>
              <w:t>00</w:t>
            </w:r>
          </w:p>
        </w:tc>
        <w:tc>
          <w:tcPr>
            <w:tcW w:w="912" w:type="dxa"/>
            <w:noWrap w:val="0"/>
            <w:vAlign w:val="center"/>
          </w:tcPr>
          <w:p>
            <w:pPr>
              <w:widowControl/>
              <w:jc w:val="center"/>
              <w:rPr>
                <w:kern w:val="0"/>
                <w:sz w:val="22"/>
                <w:szCs w:val="22"/>
              </w:rPr>
            </w:pPr>
            <w:r>
              <w:rPr>
                <w:kern w:val="0"/>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rFonts w:hint="eastAsia"/>
                <w:kern w:val="0"/>
                <w:sz w:val="22"/>
                <w:szCs w:val="22"/>
              </w:rPr>
              <w:t>2</w:t>
            </w:r>
            <w:r>
              <w:rPr>
                <w:kern w:val="0"/>
                <w:sz w:val="22"/>
                <w:szCs w:val="22"/>
              </w:rPr>
              <w:t>1</w:t>
            </w:r>
          </w:p>
        </w:tc>
        <w:tc>
          <w:tcPr>
            <w:tcW w:w="0" w:type="auto"/>
            <w:noWrap w:val="0"/>
            <w:vAlign w:val="center"/>
          </w:tcPr>
          <w:p>
            <w:pPr>
              <w:widowControl/>
              <w:rPr>
                <w:kern w:val="0"/>
                <w:sz w:val="22"/>
                <w:szCs w:val="22"/>
              </w:rPr>
            </w:pPr>
            <w:r>
              <w:rPr>
                <w:kern w:val="0"/>
                <w:sz w:val="22"/>
                <w:szCs w:val="22"/>
              </w:rPr>
              <w:t>城镇污水处理率</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widowControl/>
              <w:jc w:val="center"/>
              <w:rPr>
                <w:kern w:val="0"/>
                <w:sz w:val="22"/>
                <w:szCs w:val="22"/>
              </w:rPr>
            </w:pPr>
            <w:r>
              <w:rPr>
                <w:kern w:val="0"/>
                <w:sz w:val="22"/>
                <w:szCs w:val="22"/>
              </w:rPr>
              <w:t>≥85</w:t>
            </w:r>
          </w:p>
        </w:tc>
        <w:tc>
          <w:tcPr>
            <w:tcW w:w="2009" w:type="dxa"/>
            <w:noWrap w:val="0"/>
            <w:vAlign w:val="center"/>
          </w:tcPr>
          <w:p>
            <w:pPr>
              <w:widowControl/>
              <w:jc w:val="center"/>
              <w:rPr>
                <w:kern w:val="0"/>
                <w:sz w:val="22"/>
                <w:szCs w:val="22"/>
              </w:rPr>
            </w:pPr>
            <w:r>
              <w:rPr>
                <w:kern w:val="0"/>
                <w:sz w:val="22"/>
                <w:szCs w:val="22"/>
              </w:rPr>
              <w:t>96.3</w:t>
            </w:r>
            <w:r>
              <w:rPr>
                <w:rFonts w:hint="eastAsia"/>
                <w:kern w:val="0"/>
                <w:sz w:val="22"/>
                <w:szCs w:val="22"/>
              </w:rPr>
              <w:t>（南昌市）</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kern w:val="0"/>
                <w:sz w:val="22"/>
                <w:szCs w:val="22"/>
              </w:rPr>
              <w:t>≥95</w:t>
            </w:r>
          </w:p>
        </w:tc>
        <w:tc>
          <w:tcPr>
            <w:tcW w:w="1690" w:type="dxa"/>
            <w:noWrap w:val="0"/>
            <w:vAlign w:val="center"/>
          </w:tcPr>
          <w:p>
            <w:pPr>
              <w:widowControl/>
              <w:jc w:val="center"/>
              <w:rPr>
                <w:kern w:val="0"/>
                <w:sz w:val="22"/>
                <w:szCs w:val="22"/>
              </w:rPr>
            </w:pPr>
            <w:r>
              <w:rPr>
                <w:kern w:val="0"/>
                <w:sz w:val="22"/>
                <w:szCs w:val="22"/>
              </w:rPr>
              <w:t>≥98</w:t>
            </w:r>
          </w:p>
        </w:tc>
        <w:tc>
          <w:tcPr>
            <w:tcW w:w="912" w:type="dxa"/>
            <w:noWrap w:val="0"/>
            <w:vAlign w:val="center"/>
          </w:tcPr>
          <w:p>
            <w:pPr>
              <w:widowControl/>
              <w:jc w:val="center"/>
              <w:rPr>
                <w:kern w:val="0"/>
                <w:sz w:val="22"/>
                <w:szCs w:val="22"/>
              </w:rPr>
            </w:pPr>
            <w:r>
              <w:rPr>
                <w:kern w:val="0"/>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kern w:val="0"/>
                <w:sz w:val="22"/>
                <w:szCs w:val="22"/>
              </w:rPr>
              <w:t>22</w:t>
            </w:r>
          </w:p>
        </w:tc>
        <w:tc>
          <w:tcPr>
            <w:tcW w:w="0" w:type="auto"/>
            <w:noWrap w:val="0"/>
            <w:vAlign w:val="center"/>
          </w:tcPr>
          <w:p>
            <w:pPr>
              <w:widowControl/>
              <w:rPr>
                <w:kern w:val="0"/>
                <w:sz w:val="22"/>
                <w:szCs w:val="22"/>
              </w:rPr>
            </w:pPr>
            <w:r>
              <w:rPr>
                <w:kern w:val="0"/>
                <w:sz w:val="22"/>
                <w:szCs w:val="22"/>
              </w:rPr>
              <w:t>城镇生活垃圾无害化处理率</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widowControl/>
              <w:jc w:val="center"/>
              <w:rPr>
                <w:kern w:val="0"/>
                <w:sz w:val="22"/>
                <w:szCs w:val="22"/>
              </w:rPr>
            </w:pPr>
            <w:r>
              <w:rPr>
                <w:kern w:val="0"/>
                <w:sz w:val="22"/>
                <w:szCs w:val="22"/>
              </w:rPr>
              <w:t>≥80</w:t>
            </w:r>
          </w:p>
        </w:tc>
        <w:tc>
          <w:tcPr>
            <w:tcW w:w="2009" w:type="dxa"/>
            <w:noWrap w:val="0"/>
            <w:vAlign w:val="center"/>
          </w:tcPr>
          <w:p>
            <w:pPr>
              <w:widowControl/>
              <w:jc w:val="center"/>
              <w:rPr>
                <w:kern w:val="0"/>
                <w:sz w:val="22"/>
                <w:szCs w:val="22"/>
              </w:rPr>
            </w:pPr>
            <w:r>
              <w:rPr>
                <w:rFonts w:hint="eastAsia"/>
                <w:kern w:val="0"/>
                <w:sz w:val="22"/>
                <w:szCs w:val="22"/>
              </w:rPr>
              <w:t>1</w:t>
            </w:r>
            <w:r>
              <w:rPr>
                <w:kern w:val="0"/>
                <w:sz w:val="22"/>
                <w:szCs w:val="22"/>
              </w:rPr>
              <w:t>00</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rFonts w:hint="eastAsia"/>
                <w:kern w:val="0"/>
                <w:sz w:val="22"/>
                <w:szCs w:val="22"/>
              </w:rPr>
              <w:t>1</w:t>
            </w:r>
            <w:r>
              <w:rPr>
                <w:kern w:val="0"/>
                <w:sz w:val="22"/>
                <w:szCs w:val="22"/>
              </w:rPr>
              <w:t>00</w:t>
            </w:r>
          </w:p>
        </w:tc>
        <w:tc>
          <w:tcPr>
            <w:tcW w:w="1690" w:type="dxa"/>
            <w:noWrap w:val="0"/>
            <w:vAlign w:val="center"/>
          </w:tcPr>
          <w:p>
            <w:pPr>
              <w:widowControl/>
              <w:jc w:val="center"/>
              <w:rPr>
                <w:kern w:val="0"/>
                <w:sz w:val="22"/>
                <w:szCs w:val="22"/>
              </w:rPr>
            </w:pPr>
            <w:r>
              <w:rPr>
                <w:rFonts w:hint="eastAsia"/>
                <w:kern w:val="0"/>
                <w:sz w:val="22"/>
                <w:szCs w:val="22"/>
              </w:rPr>
              <w:t>1</w:t>
            </w:r>
            <w:r>
              <w:rPr>
                <w:kern w:val="0"/>
                <w:sz w:val="22"/>
                <w:szCs w:val="22"/>
              </w:rPr>
              <w:t>00</w:t>
            </w:r>
          </w:p>
        </w:tc>
        <w:tc>
          <w:tcPr>
            <w:tcW w:w="912" w:type="dxa"/>
            <w:tcBorders>
              <w:bottom w:val="single" w:color="auto" w:sz="4" w:space="0"/>
            </w:tcBorders>
            <w:noWrap w:val="0"/>
            <w:vAlign w:val="center"/>
          </w:tcPr>
          <w:p>
            <w:pPr>
              <w:widowControl/>
              <w:jc w:val="center"/>
              <w:rPr>
                <w:kern w:val="0"/>
                <w:sz w:val="22"/>
                <w:szCs w:val="22"/>
              </w:rPr>
            </w:pPr>
            <w:r>
              <w:rPr>
                <w:kern w:val="0"/>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kern w:val="0"/>
                <w:sz w:val="22"/>
                <w:szCs w:val="22"/>
              </w:rPr>
              <w:t>23</w:t>
            </w:r>
          </w:p>
        </w:tc>
        <w:tc>
          <w:tcPr>
            <w:tcW w:w="0" w:type="auto"/>
            <w:noWrap w:val="0"/>
            <w:vAlign w:val="center"/>
          </w:tcPr>
          <w:p>
            <w:pPr>
              <w:widowControl/>
              <w:rPr>
                <w:kern w:val="0"/>
                <w:sz w:val="22"/>
                <w:szCs w:val="22"/>
              </w:rPr>
            </w:pPr>
            <w:r>
              <w:rPr>
                <w:kern w:val="0"/>
                <w:sz w:val="22"/>
                <w:szCs w:val="22"/>
              </w:rPr>
              <w:t>农村无害化卫生厕所普及率</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widowControl/>
              <w:jc w:val="center"/>
              <w:rPr>
                <w:kern w:val="0"/>
                <w:sz w:val="22"/>
                <w:szCs w:val="22"/>
              </w:rPr>
            </w:pPr>
            <w:r>
              <w:rPr>
                <w:kern w:val="0"/>
                <w:sz w:val="22"/>
                <w:szCs w:val="22"/>
              </w:rPr>
              <w:t>≥90</w:t>
            </w:r>
          </w:p>
        </w:tc>
        <w:tc>
          <w:tcPr>
            <w:tcW w:w="2009" w:type="dxa"/>
            <w:noWrap w:val="0"/>
            <w:vAlign w:val="center"/>
          </w:tcPr>
          <w:p>
            <w:pPr>
              <w:widowControl/>
              <w:jc w:val="center"/>
              <w:rPr>
                <w:kern w:val="0"/>
                <w:sz w:val="22"/>
                <w:szCs w:val="22"/>
              </w:rPr>
            </w:pPr>
            <w:r>
              <w:rPr>
                <w:rFonts w:hint="eastAsia"/>
                <w:kern w:val="0"/>
                <w:sz w:val="22"/>
                <w:szCs w:val="22"/>
              </w:rPr>
              <w:t>—</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rFonts w:hint="eastAsia"/>
                <w:kern w:val="0"/>
                <w:sz w:val="22"/>
                <w:szCs w:val="22"/>
              </w:rPr>
              <w:t>—</w:t>
            </w:r>
          </w:p>
        </w:tc>
        <w:tc>
          <w:tcPr>
            <w:tcW w:w="1690" w:type="dxa"/>
            <w:noWrap w:val="0"/>
            <w:vAlign w:val="center"/>
          </w:tcPr>
          <w:p>
            <w:pPr>
              <w:widowControl/>
              <w:jc w:val="center"/>
              <w:rPr>
                <w:kern w:val="0"/>
                <w:sz w:val="22"/>
                <w:szCs w:val="22"/>
              </w:rPr>
            </w:pPr>
            <w:r>
              <w:rPr>
                <w:rFonts w:hint="eastAsia"/>
                <w:kern w:val="0"/>
                <w:sz w:val="22"/>
                <w:szCs w:val="22"/>
              </w:rPr>
              <w:t>—</w:t>
            </w:r>
          </w:p>
        </w:tc>
        <w:tc>
          <w:tcPr>
            <w:tcW w:w="912" w:type="dxa"/>
            <w:tcBorders>
              <w:bottom w:val="single" w:color="auto" w:sz="4" w:space="0"/>
            </w:tcBorders>
            <w:noWrap w:val="0"/>
            <w:vAlign w:val="center"/>
          </w:tcPr>
          <w:p>
            <w:pPr>
              <w:widowControl/>
              <w:jc w:val="center"/>
              <w:rPr>
                <w:kern w:val="0"/>
                <w:sz w:val="22"/>
                <w:szCs w:val="22"/>
              </w:rPr>
            </w:pPr>
            <w:r>
              <w:rPr>
                <w:kern w:val="0"/>
                <w:sz w:val="22"/>
                <w:szCs w:val="22"/>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kern w:val="0"/>
                <w:sz w:val="22"/>
                <w:szCs w:val="22"/>
              </w:rPr>
              <w:t>24</w:t>
            </w:r>
          </w:p>
        </w:tc>
        <w:tc>
          <w:tcPr>
            <w:tcW w:w="0" w:type="auto"/>
            <w:noWrap w:val="0"/>
            <w:vAlign w:val="center"/>
          </w:tcPr>
          <w:p>
            <w:pPr>
              <w:widowControl/>
              <w:rPr>
                <w:kern w:val="0"/>
                <w:sz w:val="22"/>
                <w:szCs w:val="22"/>
              </w:rPr>
            </w:pPr>
            <w:r>
              <w:rPr>
                <w:kern w:val="0"/>
                <w:sz w:val="22"/>
                <w:szCs w:val="22"/>
              </w:rPr>
              <w:t>中央和地方生态环保资金绩效目标完成情况</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widowControl/>
              <w:jc w:val="center"/>
              <w:rPr>
                <w:kern w:val="0"/>
                <w:sz w:val="22"/>
                <w:szCs w:val="22"/>
              </w:rPr>
            </w:pPr>
            <w:r>
              <w:rPr>
                <w:kern w:val="0"/>
                <w:sz w:val="22"/>
                <w:szCs w:val="22"/>
              </w:rPr>
              <w:t>完成</w:t>
            </w:r>
          </w:p>
        </w:tc>
        <w:tc>
          <w:tcPr>
            <w:tcW w:w="2009" w:type="dxa"/>
            <w:noWrap w:val="0"/>
            <w:vAlign w:val="center"/>
          </w:tcPr>
          <w:p>
            <w:pPr>
              <w:widowControl/>
              <w:jc w:val="center"/>
              <w:rPr>
                <w:kern w:val="0"/>
                <w:sz w:val="22"/>
                <w:szCs w:val="22"/>
              </w:rPr>
            </w:pPr>
            <w:r>
              <w:rPr>
                <w:kern w:val="0"/>
                <w:sz w:val="22"/>
                <w:szCs w:val="22"/>
              </w:rPr>
              <w:t>完成</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kern w:val="0"/>
                <w:sz w:val="22"/>
                <w:szCs w:val="22"/>
              </w:rPr>
              <w:t>完成</w:t>
            </w:r>
          </w:p>
        </w:tc>
        <w:tc>
          <w:tcPr>
            <w:tcW w:w="1690" w:type="dxa"/>
            <w:noWrap w:val="0"/>
            <w:vAlign w:val="center"/>
          </w:tcPr>
          <w:p>
            <w:pPr>
              <w:widowControl/>
              <w:jc w:val="center"/>
              <w:rPr>
                <w:kern w:val="0"/>
                <w:sz w:val="22"/>
                <w:szCs w:val="22"/>
              </w:rPr>
            </w:pPr>
            <w:r>
              <w:rPr>
                <w:kern w:val="0"/>
                <w:sz w:val="22"/>
                <w:szCs w:val="22"/>
              </w:rPr>
              <w:t>完成</w:t>
            </w:r>
          </w:p>
        </w:tc>
        <w:tc>
          <w:tcPr>
            <w:tcW w:w="912" w:type="dxa"/>
            <w:tcBorders>
              <w:bottom w:val="single" w:color="auto" w:sz="4" w:space="0"/>
            </w:tcBorders>
            <w:noWrap w:val="0"/>
            <w:vAlign w:val="center"/>
          </w:tcPr>
          <w:p>
            <w:pPr>
              <w:widowControl/>
              <w:jc w:val="center"/>
              <w:rPr>
                <w:kern w:val="0"/>
                <w:sz w:val="22"/>
                <w:szCs w:val="22"/>
              </w:rPr>
            </w:pPr>
            <w:r>
              <w:rPr>
                <w:kern w:val="0"/>
                <w:sz w:val="22"/>
                <w:szCs w:val="22"/>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4" w:hRule="atLeast"/>
          <w:jc w:val="center"/>
        </w:trPr>
        <w:tc>
          <w:tcPr>
            <w:tcW w:w="0" w:type="auto"/>
            <w:vMerge w:val="restart"/>
            <w:noWrap w:val="0"/>
            <w:vAlign w:val="center"/>
          </w:tcPr>
          <w:p>
            <w:pPr>
              <w:widowControl/>
              <w:jc w:val="center"/>
              <w:rPr>
                <w:kern w:val="0"/>
                <w:sz w:val="22"/>
                <w:szCs w:val="22"/>
              </w:rPr>
            </w:pPr>
            <w:r>
              <w:rPr>
                <w:kern w:val="0"/>
                <w:sz w:val="22"/>
                <w:szCs w:val="22"/>
              </w:rPr>
              <w:t>生态</w:t>
            </w:r>
          </w:p>
          <w:p>
            <w:pPr>
              <w:widowControl/>
              <w:jc w:val="center"/>
              <w:rPr>
                <w:kern w:val="0"/>
                <w:sz w:val="22"/>
                <w:szCs w:val="22"/>
              </w:rPr>
            </w:pPr>
            <w:r>
              <w:rPr>
                <w:kern w:val="0"/>
                <w:sz w:val="22"/>
                <w:szCs w:val="22"/>
              </w:rPr>
              <w:t>文化</w:t>
            </w:r>
          </w:p>
        </w:tc>
        <w:tc>
          <w:tcPr>
            <w:tcW w:w="0" w:type="auto"/>
            <w:noWrap w:val="0"/>
            <w:vAlign w:val="center"/>
          </w:tcPr>
          <w:p>
            <w:pPr>
              <w:widowControl/>
              <w:jc w:val="center"/>
              <w:rPr>
                <w:kern w:val="0"/>
                <w:sz w:val="22"/>
                <w:szCs w:val="22"/>
              </w:rPr>
            </w:pPr>
            <w:r>
              <w:rPr>
                <w:kern w:val="0"/>
                <w:sz w:val="22"/>
                <w:szCs w:val="22"/>
              </w:rPr>
              <w:t>25</w:t>
            </w:r>
          </w:p>
        </w:tc>
        <w:tc>
          <w:tcPr>
            <w:tcW w:w="0" w:type="auto"/>
            <w:noWrap w:val="0"/>
            <w:vAlign w:val="center"/>
          </w:tcPr>
          <w:p>
            <w:pPr>
              <w:widowControl/>
              <w:rPr>
                <w:kern w:val="0"/>
                <w:sz w:val="22"/>
                <w:szCs w:val="22"/>
              </w:rPr>
            </w:pPr>
            <w:r>
              <w:rPr>
                <w:kern w:val="0"/>
                <w:sz w:val="22"/>
                <w:szCs w:val="22"/>
              </w:rPr>
              <w:t>城镇人均公园绿地面积</w:t>
            </w:r>
          </w:p>
        </w:tc>
        <w:tc>
          <w:tcPr>
            <w:tcW w:w="0" w:type="auto"/>
            <w:noWrap w:val="0"/>
            <w:vAlign w:val="center"/>
          </w:tcPr>
          <w:p>
            <w:pPr>
              <w:widowControl/>
              <w:jc w:val="center"/>
              <w:rPr>
                <w:kern w:val="0"/>
                <w:sz w:val="22"/>
                <w:szCs w:val="22"/>
              </w:rPr>
            </w:pPr>
            <w:r>
              <w:rPr>
                <w:kern w:val="0"/>
                <w:sz w:val="22"/>
                <w:szCs w:val="22"/>
              </w:rPr>
              <w:t>平方米</w:t>
            </w:r>
          </w:p>
          <w:p>
            <w:pPr>
              <w:widowControl/>
              <w:jc w:val="center"/>
              <w:rPr>
                <w:kern w:val="0"/>
                <w:sz w:val="22"/>
                <w:szCs w:val="22"/>
              </w:rPr>
            </w:pPr>
            <w:r>
              <w:rPr>
                <w:kern w:val="0"/>
                <w:sz w:val="22"/>
                <w:szCs w:val="22"/>
              </w:rPr>
              <w:t>/人</w:t>
            </w:r>
          </w:p>
        </w:tc>
        <w:tc>
          <w:tcPr>
            <w:tcW w:w="0" w:type="auto"/>
            <w:noWrap w:val="0"/>
            <w:vAlign w:val="center"/>
          </w:tcPr>
          <w:p>
            <w:pPr>
              <w:widowControl/>
              <w:jc w:val="center"/>
              <w:rPr>
                <w:kern w:val="0"/>
                <w:sz w:val="22"/>
                <w:szCs w:val="22"/>
              </w:rPr>
            </w:pPr>
            <w:r>
              <w:rPr>
                <w:kern w:val="0"/>
                <w:sz w:val="22"/>
                <w:szCs w:val="22"/>
              </w:rPr>
              <w:t>≥12</w:t>
            </w:r>
          </w:p>
        </w:tc>
        <w:tc>
          <w:tcPr>
            <w:tcW w:w="2009" w:type="dxa"/>
            <w:noWrap w:val="0"/>
            <w:vAlign w:val="center"/>
          </w:tcPr>
          <w:p>
            <w:pPr>
              <w:widowControl/>
              <w:jc w:val="center"/>
              <w:rPr>
                <w:kern w:val="0"/>
                <w:sz w:val="22"/>
                <w:szCs w:val="22"/>
              </w:rPr>
            </w:pPr>
            <w:r>
              <w:rPr>
                <w:kern w:val="0"/>
                <w:sz w:val="22"/>
                <w:szCs w:val="22"/>
              </w:rPr>
              <w:t>9.68</w:t>
            </w:r>
          </w:p>
        </w:tc>
        <w:tc>
          <w:tcPr>
            <w:tcW w:w="1136" w:type="dxa"/>
            <w:noWrap w:val="0"/>
            <w:vAlign w:val="center"/>
          </w:tcPr>
          <w:p>
            <w:pPr>
              <w:widowControl/>
              <w:jc w:val="center"/>
              <w:rPr>
                <w:kern w:val="0"/>
                <w:sz w:val="22"/>
                <w:szCs w:val="22"/>
              </w:rPr>
            </w:pPr>
            <w:r>
              <w:rPr>
                <w:rFonts w:hint="eastAsia"/>
                <w:kern w:val="0"/>
                <w:sz w:val="22"/>
                <w:szCs w:val="22"/>
              </w:rPr>
              <w:t>未达标</w:t>
            </w:r>
          </w:p>
        </w:tc>
        <w:tc>
          <w:tcPr>
            <w:tcW w:w="1549" w:type="dxa"/>
            <w:noWrap w:val="0"/>
            <w:vAlign w:val="center"/>
          </w:tcPr>
          <w:p>
            <w:pPr>
              <w:widowControl/>
              <w:jc w:val="center"/>
              <w:rPr>
                <w:kern w:val="0"/>
                <w:sz w:val="22"/>
                <w:szCs w:val="22"/>
              </w:rPr>
            </w:pPr>
            <w:r>
              <w:rPr>
                <w:kern w:val="0"/>
                <w:sz w:val="22"/>
                <w:szCs w:val="22"/>
              </w:rPr>
              <w:t>≥12</w:t>
            </w:r>
          </w:p>
        </w:tc>
        <w:tc>
          <w:tcPr>
            <w:tcW w:w="1690" w:type="dxa"/>
            <w:noWrap w:val="0"/>
            <w:vAlign w:val="center"/>
          </w:tcPr>
          <w:p>
            <w:pPr>
              <w:widowControl/>
              <w:jc w:val="center"/>
              <w:rPr>
                <w:kern w:val="0"/>
                <w:sz w:val="22"/>
                <w:szCs w:val="22"/>
              </w:rPr>
            </w:pPr>
            <w:r>
              <w:rPr>
                <w:kern w:val="0"/>
                <w:sz w:val="22"/>
                <w:szCs w:val="22"/>
              </w:rPr>
              <w:t>≥12</w:t>
            </w:r>
          </w:p>
        </w:tc>
        <w:tc>
          <w:tcPr>
            <w:tcW w:w="912" w:type="dxa"/>
            <w:tcBorders>
              <w:bottom w:val="single" w:color="auto" w:sz="4" w:space="0"/>
            </w:tcBorders>
            <w:noWrap w:val="0"/>
            <w:vAlign w:val="center"/>
          </w:tcPr>
          <w:p>
            <w:pPr>
              <w:widowControl/>
              <w:jc w:val="center"/>
              <w:rPr>
                <w:kern w:val="0"/>
                <w:sz w:val="22"/>
                <w:szCs w:val="22"/>
              </w:rPr>
            </w:pPr>
            <w:r>
              <w:rPr>
                <w:kern w:val="0"/>
                <w:sz w:val="22"/>
                <w:szCs w:val="22"/>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widowControl/>
              <w:jc w:val="center"/>
              <w:rPr>
                <w:kern w:val="0"/>
                <w:sz w:val="22"/>
                <w:szCs w:val="22"/>
              </w:rPr>
            </w:pPr>
            <w:r>
              <w:rPr>
                <w:kern w:val="0"/>
                <w:sz w:val="22"/>
                <w:szCs w:val="22"/>
              </w:rPr>
              <w:t>26</w:t>
            </w:r>
          </w:p>
        </w:tc>
        <w:tc>
          <w:tcPr>
            <w:tcW w:w="0" w:type="auto"/>
            <w:noWrap w:val="0"/>
            <w:vAlign w:val="center"/>
          </w:tcPr>
          <w:p>
            <w:pPr>
              <w:widowControl/>
              <w:rPr>
                <w:kern w:val="0"/>
                <w:sz w:val="22"/>
                <w:szCs w:val="22"/>
              </w:rPr>
            </w:pPr>
            <w:r>
              <w:rPr>
                <w:kern w:val="0"/>
                <w:sz w:val="22"/>
                <w:szCs w:val="22"/>
              </w:rPr>
              <w:t>政府绿色采购比例</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widowControl/>
              <w:jc w:val="center"/>
              <w:rPr>
                <w:kern w:val="0"/>
                <w:sz w:val="22"/>
                <w:szCs w:val="22"/>
              </w:rPr>
            </w:pPr>
            <w:r>
              <w:rPr>
                <w:kern w:val="0"/>
                <w:sz w:val="22"/>
                <w:szCs w:val="22"/>
              </w:rPr>
              <w:t>≥80</w:t>
            </w:r>
          </w:p>
        </w:tc>
        <w:tc>
          <w:tcPr>
            <w:tcW w:w="2009" w:type="dxa"/>
            <w:noWrap w:val="0"/>
            <w:vAlign w:val="center"/>
          </w:tcPr>
          <w:p>
            <w:pPr>
              <w:widowControl/>
              <w:jc w:val="center"/>
              <w:rPr>
                <w:kern w:val="0"/>
                <w:sz w:val="22"/>
                <w:szCs w:val="22"/>
              </w:rPr>
            </w:pPr>
            <w:r>
              <w:rPr>
                <w:kern w:val="0"/>
                <w:sz w:val="22"/>
                <w:szCs w:val="22"/>
              </w:rPr>
              <w:t>99.98</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kern w:val="0"/>
                <w:sz w:val="22"/>
                <w:szCs w:val="22"/>
              </w:rPr>
              <w:t>≥99</w:t>
            </w:r>
          </w:p>
        </w:tc>
        <w:tc>
          <w:tcPr>
            <w:tcW w:w="1690" w:type="dxa"/>
            <w:noWrap w:val="0"/>
            <w:vAlign w:val="center"/>
          </w:tcPr>
          <w:p>
            <w:pPr>
              <w:widowControl/>
              <w:jc w:val="center"/>
              <w:rPr>
                <w:kern w:val="0"/>
                <w:sz w:val="22"/>
                <w:szCs w:val="22"/>
              </w:rPr>
            </w:pPr>
            <w:r>
              <w:rPr>
                <w:rFonts w:hint="eastAsia"/>
                <w:kern w:val="0"/>
                <w:sz w:val="22"/>
                <w:szCs w:val="22"/>
              </w:rPr>
              <w:t>1</w:t>
            </w:r>
            <w:r>
              <w:rPr>
                <w:kern w:val="0"/>
                <w:sz w:val="22"/>
                <w:szCs w:val="22"/>
              </w:rPr>
              <w:t>00</w:t>
            </w:r>
          </w:p>
        </w:tc>
        <w:tc>
          <w:tcPr>
            <w:tcW w:w="912" w:type="dxa"/>
            <w:tcBorders>
              <w:bottom w:val="single" w:color="auto" w:sz="4" w:space="0"/>
            </w:tcBorders>
            <w:noWrap w:val="0"/>
            <w:vAlign w:val="center"/>
          </w:tcPr>
          <w:p>
            <w:pPr>
              <w:widowControl/>
              <w:jc w:val="center"/>
              <w:rPr>
                <w:kern w:val="0"/>
                <w:sz w:val="22"/>
                <w:szCs w:val="22"/>
              </w:rPr>
            </w:pPr>
            <w:r>
              <w:rPr>
                <w:kern w:val="0"/>
                <w:sz w:val="22"/>
                <w:szCs w:val="22"/>
              </w:rPr>
              <w:t>参考性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noWrap w:val="0"/>
            <w:vAlign w:val="center"/>
          </w:tcPr>
          <w:p>
            <w:pPr>
              <w:widowControl/>
              <w:jc w:val="center"/>
              <w:rPr>
                <w:kern w:val="0"/>
                <w:sz w:val="22"/>
                <w:szCs w:val="22"/>
              </w:rPr>
            </w:pPr>
          </w:p>
        </w:tc>
        <w:tc>
          <w:tcPr>
            <w:tcW w:w="0" w:type="auto"/>
            <w:noWrap w:val="0"/>
            <w:vAlign w:val="center"/>
          </w:tcPr>
          <w:p>
            <w:pPr>
              <w:jc w:val="center"/>
              <w:rPr>
                <w:kern w:val="0"/>
                <w:sz w:val="22"/>
                <w:szCs w:val="22"/>
              </w:rPr>
            </w:pPr>
            <w:r>
              <w:rPr>
                <w:kern w:val="0"/>
                <w:sz w:val="22"/>
                <w:szCs w:val="22"/>
              </w:rPr>
              <w:t>27</w:t>
            </w:r>
          </w:p>
        </w:tc>
        <w:tc>
          <w:tcPr>
            <w:tcW w:w="0" w:type="auto"/>
            <w:noWrap w:val="0"/>
            <w:vAlign w:val="center"/>
          </w:tcPr>
          <w:p>
            <w:pPr>
              <w:rPr>
                <w:kern w:val="0"/>
                <w:sz w:val="22"/>
                <w:szCs w:val="22"/>
              </w:rPr>
            </w:pPr>
            <w:r>
              <w:rPr>
                <w:kern w:val="0"/>
                <w:sz w:val="22"/>
                <w:szCs w:val="22"/>
              </w:rPr>
              <w:t>公众对生态文明建设的参与度和满意度</w:t>
            </w:r>
          </w:p>
        </w:tc>
        <w:tc>
          <w:tcPr>
            <w:tcW w:w="0" w:type="auto"/>
            <w:noWrap w:val="0"/>
            <w:vAlign w:val="center"/>
          </w:tcPr>
          <w:p>
            <w:pPr>
              <w:widowControl/>
              <w:jc w:val="center"/>
              <w:rPr>
                <w:kern w:val="0"/>
                <w:sz w:val="22"/>
                <w:szCs w:val="22"/>
              </w:rPr>
            </w:pPr>
            <w:r>
              <w:rPr>
                <w:kern w:val="0"/>
                <w:sz w:val="22"/>
                <w:szCs w:val="22"/>
              </w:rPr>
              <w:t>%</w:t>
            </w:r>
          </w:p>
        </w:tc>
        <w:tc>
          <w:tcPr>
            <w:tcW w:w="0" w:type="auto"/>
            <w:noWrap w:val="0"/>
            <w:vAlign w:val="center"/>
          </w:tcPr>
          <w:p>
            <w:pPr>
              <w:widowControl/>
              <w:jc w:val="center"/>
              <w:rPr>
                <w:kern w:val="0"/>
                <w:sz w:val="22"/>
                <w:szCs w:val="22"/>
              </w:rPr>
            </w:pPr>
            <w:r>
              <w:rPr>
                <w:kern w:val="0"/>
                <w:sz w:val="22"/>
                <w:szCs w:val="22"/>
              </w:rPr>
              <w:t>≥80</w:t>
            </w:r>
          </w:p>
        </w:tc>
        <w:tc>
          <w:tcPr>
            <w:tcW w:w="2009" w:type="dxa"/>
            <w:noWrap w:val="0"/>
            <w:vAlign w:val="center"/>
          </w:tcPr>
          <w:p>
            <w:pPr>
              <w:widowControl/>
              <w:jc w:val="center"/>
              <w:rPr>
                <w:kern w:val="0"/>
                <w:sz w:val="22"/>
                <w:szCs w:val="22"/>
              </w:rPr>
            </w:pPr>
            <w:r>
              <w:rPr>
                <w:kern w:val="0"/>
                <w:sz w:val="22"/>
                <w:szCs w:val="22"/>
              </w:rPr>
              <w:t>100</w:t>
            </w:r>
            <w:r>
              <w:rPr>
                <w:rFonts w:hint="eastAsia"/>
                <w:kern w:val="0"/>
                <w:sz w:val="22"/>
                <w:szCs w:val="22"/>
              </w:rPr>
              <w:t>、</w:t>
            </w:r>
            <w:r>
              <w:rPr>
                <w:kern w:val="0"/>
                <w:sz w:val="22"/>
                <w:szCs w:val="22"/>
              </w:rPr>
              <w:t>91.25</w:t>
            </w:r>
          </w:p>
        </w:tc>
        <w:tc>
          <w:tcPr>
            <w:tcW w:w="1136" w:type="dxa"/>
            <w:noWrap w:val="0"/>
            <w:vAlign w:val="center"/>
          </w:tcPr>
          <w:p>
            <w:pPr>
              <w:widowControl/>
              <w:jc w:val="center"/>
              <w:rPr>
                <w:kern w:val="0"/>
                <w:sz w:val="22"/>
                <w:szCs w:val="22"/>
              </w:rPr>
            </w:pPr>
            <w:r>
              <w:rPr>
                <w:rFonts w:hint="eastAsia"/>
                <w:kern w:val="0"/>
                <w:sz w:val="22"/>
                <w:szCs w:val="22"/>
              </w:rPr>
              <w:t>达标</w:t>
            </w:r>
          </w:p>
        </w:tc>
        <w:tc>
          <w:tcPr>
            <w:tcW w:w="1549" w:type="dxa"/>
            <w:noWrap w:val="0"/>
            <w:vAlign w:val="center"/>
          </w:tcPr>
          <w:p>
            <w:pPr>
              <w:widowControl/>
              <w:jc w:val="center"/>
              <w:rPr>
                <w:kern w:val="0"/>
                <w:sz w:val="22"/>
                <w:szCs w:val="22"/>
              </w:rPr>
            </w:pPr>
            <w:r>
              <w:rPr>
                <w:kern w:val="0"/>
                <w:sz w:val="22"/>
                <w:szCs w:val="22"/>
              </w:rPr>
              <w:t>≥90</w:t>
            </w:r>
          </w:p>
        </w:tc>
        <w:tc>
          <w:tcPr>
            <w:tcW w:w="1690" w:type="dxa"/>
            <w:noWrap w:val="0"/>
            <w:vAlign w:val="center"/>
          </w:tcPr>
          <w:p>
            <w:pPr>
              <w:widowControl/>
              <w:jc w:val="center"/>
              <w:rPr>
                <w:kern w:val="0"/>
                <w:sz w:val="22"/>
                <w:szCs w:val="22"/>
              </w:rPr>
            </w:pPr>
            <w:r>
              <w:rPr>
                <w:kern w:val="0"/>
                <w:sz w:val="22"/>
                <w:szCs w:val="22"/>
              </w:rPr>
              <w:t>≥95</w:t>
            </w:r>
          </w:p>
        </w:tc>
        <w:tc>
          <w:tcPr>
            <w:tcW w:w="912" w:type="dxa"/>
            <w:noWrap w:val="0"/>
            <w:vAlign w:val="center"/>
          </w:tcPr>
          <w:p>
            <w:pPr>
              <w:jc w:val="center"/>
              <w:rPr>
                <w:kern w:val="0"/>
                <w:sz w:val="22"/>
                <w:szCs w:val="22"/>
              </w:rPr>
            </w:pPr>
            <w:r>
              <w:rPr>
                <w:kern w:val="0"/>
                <w:sz w:val="22"/>
                <w:szCs w:val="22"/>
              </w:rPr>
              <w:t>参考性</w:t>
            </w:r>
          </w:p>
        </w:tc>
      </w:tr>
      <w:bookmarkEnd w:id="39"/>
    </w:tbl>
    <w:p>
      <w:pPr>
        <w:pStyle w:val="3"/>
        <w:rPr>
          <w:rFonts w:hint="eastAsia"/>
        </w:rPr>
        <w:sectPr>
          <w:pgSz w:w="16838" w:h="11906" w:orient="landscape"/>
          <w:pgMar w:top="1800" w:right="1440" w:bottom="1800" w:left="1440" w:header="851" w:footer="992" w:gutter="0"/>
          <w:pgNumType w:fmt="numberInDash" w:chapStyle="1"/>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rPr>
      </w:pPr>
      <w:bookmarkStart w:id="41" w:name="_Toc152315073"/>
      <w:bookmarkStart w:id="42" w:name="_Toc151921855"/>
      <w:r>
        <w:rPr>
          <w:rFonts w:hint="eastAsia" w:ascii="仿宋_GB2312" w:hAnsi="仿宋_GB2312" w:eastAsia="仿宋_GB2312" w:cs="仿宋_GB2312"/>
          <w:b/>
          <w:bCs/>
        </w:rPr>
        <w:t>2</w:t>
      </w:r>
      <w:r>
        <w:rPr>
          <w:rFonts w:hint="eastAsia" w:ascii="仿宋_GB2312" w:hAnsi="仿宋_GB2312" w:eastAsia="仿宋_GB2312" w:cs="仿宋_GB2312"/>
          <w:b/>
          <w:bCs/>
          <w:lang w:val="en-US"/>
        </w:rPr>
        <w:t>.</w:t>
      </w:r>
      <w:r>
        <w:rPr>
          <w:rFonts w:hint="eastAsia" w:ascii="仿宋_GB2312" w:hAnsi="仿宋_GB2312" w:eastAsia="仿宋_GB2312" w:cs="仿宋_GB2312"/>
          <w:b/>
          <w:bCs/>
        </w:rPr>
        <w:t>指标可达性分析</w:t>
      </w:r>
      <w:bookmarkEnd w:id="41"/>
      <w:bookmarkEnd w:id="4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照《江西省生态文明建设示范县建设指标（修订版）》，目前青云谱区尚有3项指标未达到江西省生态文明建设示范区建设标准。现结合青云谱区经济社会发展的阶段性特征综合分析，对未达标指标规划目标实现加以可达性分析。</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生态文明建设规划：</w:t>
      </w:r>
      <w:r>
        <w:rPr>
          <w:rFonts w:hint="eastAsia" w:ascii="仿宋_GB2312" w:hAnsi="仿宋_GB2312" w:eastAsia="仿宋_GB2312" w:cs="仿宋_GB2312"/>
          <w:sz w:val="32"/>
          <w:szCs w:val="32"/>
        </w:rPr>
        <w:t>现已完成生态文明建设示范区规划，待专家评审通过后印发实施，尽早达到考核要求；</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城镇人均公园绿地面积：</w:t>
      </w:r>
      <w:bookmarkStart w:id="43" w:name="_Hlk152318586"/>
      <w:r>
        <w:rPr>
          <w:rFonts w:hint="eastAsia" w:ascii="仿宋_GB2312" w:hAnsi="仿宋_GB2312" w:eastAsia="仿宋_GB2312" w:cs="仿宋_GB2312"/>
          <w:sz w:val="32"/>
          <w:szCs w:val="32"/>
        </w:rPr>
        <w:t>囿于人口多且生态用地竞争激烈，城镇人均公园绿地面积稳定在9平方米/人左右，应科学推进城市园林绿化建设。完善城市绿地系统，合理布局绿化用地。推进城市生态修复，结合城市更新，推进留白增绿、拆违建绿、见缝插绿，加强立体绿化，做到应绿尽绿。建设分布均衡的公园体系。争取2030年城镇人均公园绿地面积达到12平方米/人的目标要求</w:t>
      </w:r>
      <w:bookmarkEnd w:id="43"/>
      <w:r>
        <w:rPr>
          <w:rFonts w:hint="eastAsia" w:ascii="仿宋_GB2312" w:hAnsi="仿宋_GB2312" w:eastAsia="仿宋_GB2312" w:cs="仿宋_GB2312"/>
          <w:sz w:val="32"/>
          <w:szCs w:val="32"/>
        </w:rPr>
        <w:t>。</w:t>
      </w:r>
    </w:p>
    <w:p>
      <w:pPr>
        <w:bidi w:val="0"/>
        <w:rPr>
          <w:rFonts w:hint="eastAsia"/>
        </w:rPr>
      </w:pPr>
      <w:bookmarkStart w:id="44" w:name="_Toc151921856"/>
      <w:bookmarkStart w:id="45" w:name="_Toc152315074"/>
    </w:p>
    <w:p>
      <w:pPr>
        <w:bidi w:val="0"/>
        <w:rPr>
          <w:rFonts w:hint="eastAsia"/>
        </w:rPr>
      </w:pPr>
    </w:p>
    <w:p>
      <w:pPr>
        <w:bidi w:val="0"/>
        <w:rPr>
          <w:rFonts w:hint="eastAsia"/>
        </w:rPr>
      </w:pPr>
    </w:p>
    <w:p>
      <w:pPr>
        <w:bidi w:val="0"/>
        <w:rPr>
          <w:rFonts w:hint="eastAsia"/>
        </w:rPr>
      </w:pPr>
    </w:p>
    <w:p>
      <w:pPr>
        <w:bidi w:val="0"/>
        <w:rPr>
          <w:rFonts w:hint="eastAsia"/>
        </w:rPr>
      </w:pPr>
    </w:p>
    <w:p>
      <w:pPr>
        <w:pStyle w:val="2"/>
        <w:rPr>
          <w:rFonts w:hint="eastAsia"/>
        </w:rPr>
      </w:pPr>
    </w:p>
    <w:p>
      <w:pPr>
        <w:pStyle w:val="3"/>
        <w:rPr>
          <w:rFonts w:hint="eastAsia"/>
        </w:rPr>
      </w:pPr>
    </w:p>
    <w:p>
      <w:pPr>
        <w:pStyle w:val="4"/>
        <w:rPr>
          <w:rFonts w:hint="eastAsia"/>
        </w:rPr>
      </w:pPr>
    </w:p>
    <w:p>
      <w:pPr>
        <w:rPr>
          <w:rFonts w:hint="eastAsia"/>
        </w:rPr>
      </w:pPr>
    </w:p>
    <w:p>
      <w:pPr>
        <w:pStyle w:val="2"/>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keepNext w:val="0"/>
        <w:keepLines w:val="0"/>
        <w:pageBreakBefore w:val="0"/>
        <w:widowControl w:val="0"/>
        <w:kinsoku/>
        <w:wordWrap/>
        <w:overflowPunct/>
        <w:topLinePunct w:val="0"/>
        <w:autoSpaceDE/>
        <w:autoSpaceDN/>
        <w:bidi w:val="0"/>
        <w:adjustRightInd/>
        <w:snapToGrid/>
        <w:spacing w:line="560" w:lineRule="exact"/>
        <w:ind w:firstLine="480" w:firstLineChars="150"/>
        <w:textAlignment w:val="auto"/>
        <w:rPr>
          <w:rFonts w:hint="eastAsia" w:ascii="黑体" w:hAnsi="黑体" w:eastAsia="黑体" w:cs="黑体"/>
        </w:rPr>
      </w:pPr>
      <w:r>
        <w:rPr>
          <w:rFonts w:hint="eastAsia" w:ascii="黑体" w:hAnsi="黑体" w:eastAsia="黑体" w:cs="黑体"/>
        </w:rPr>
        <w:t>第四章</w:t>
      </w:r>
      <w:bookmarkEnd w:id="44"/>
      <w:r>
        <w:rPr>
          <w:rFonts w:hint="eastAsia" w:ascii="黑体" w:hAnsi="黑体" w:eastAsia="黑体" w:cs="黑体"/>
        </w:rPr>
        <w:t>主要任务</w:t>
      </w:r>
      <w:bookmarkEnd w:id="45"/>
    </w:p>
    <w:p>
      <w:pPr>
        <w:keepNext w:val="0"/>
        <w:keepLines w:val="0"/>
        <w:pageBreakBefore w:val="0"/>
        <w:widowControl w:val="0"/>
        <w:kinsoku/>
        <w:wordWrap/>
        <w:overflowPunct/>
        <w:topLinePunct w:val="0"/>
        <w:autoSpaceDE/>
        <w:autoSpaceDN/>
        <w:bidi w:val="0"/>
        <w:adjustRightInd/>
        <w:snapToGrid/>
        <w:spacing w:line="560" w:lineRule="exact"/>
        <w:ind w:firstLine="321" w:firstLineChars="100"/>
        <w:textAlignment w:val="auto"/>
        <w:rPr>
          <w:rFonts w:hint="eastAsia" w:ascii="楷体_GB2312" w:hAnsi="楷体_GB2312" w:eastAsia="楷体_GB2312" w:cs="楷体_GB2312"/>
          <w:b/>
          <w:bCs/>
        </w:rPr>
      </w:pPr>
      <w:bookmarkStart w:id="46" w:name="_Toc152315075"/>
      <w:bookmarkStart w:id="47" w:name="_Toc151921857"/>
      <w:r>
        <w:rPr>
          <w:rFonts w:hint="eastAsia" w:ascii="楷体_GB2312" w:hAnsi="楷体_GB2312" w:eastAsia="楷体_GB2312" w:cs="楷体_GB2312"/>
          <w:b/>
          <w:bCs/>
        </w:rPr>
        <w:t>（一）生态制度体系建设</w:t>
      </w:r>
      <w:bookmarkEnd w:id="46"/>
    </w:p>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仿宋_GB2312" w:hAnsi="仿宋_GB2312" w:eastAsia="仿宋_GB2312" w:cs="仿宋_GB2312"/>
          <w:b/>
          <w:bCs/>
        </w:rPr>
      </w:pPr>
      <w:bookmarkStart w:id="48" w:name="_Toc152315076"/>
      <w:r>
        <w:rPr>
          <w:rFonts w:hint="eastAsia" w:ascii="仿宋_GB2312" w:hAnsi="仿宋_GB2312" w:eastAsia="仿宋_GB2312" w:cs="仿宋_GB2312"/>
          <w:b/>
          <w:bCs/>
        </w:rPr>
        <w:t>1</w:t>
      </w:r>
      <w:r>
        <w:rPr>
          <w:rFonts w:hint="default" w:ascii="仿宋_GB2312" w:hAnsi="仿宋_GB2312" w:cs="仿宋_GB2312"/>
          <w:b/>
          <w:bCs/>
          <w:lang w:val="en-US"/>
        </w:rPr>
        <w:t>.</w:t>
      </w:r>
      <w:r>
        <w:rPr>
          <w:rFonts w:hint="eastAsia" w:ascii="仿宋_GB2312" w:hAnsi="仿宋_GB2312" w:eastAsia="仿宋_GB2312" w:cs="仿宋_GB2312"/>
          <w:b/>
          <w:bCs/>
        </w:rPr>
        <w:t>实行源头严格管控机制</w:t>
      </w:r>
      <w:bookmarkEnd w:id="48"/>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bookmarkStart w:id="49" w:name="_Toc152001343"/>
      <w:r>
        <w:rPr>
          <w:rFonts w:hint="eastAsia"/>
          <w:b/>
        </w:rPr>
        <w:t>强化环境保护党政主体责任</w:t>
      </w:r>
      <w:bookmarkEnd w:id="49"/>
      <w:r>
        <w:rPr>
          <w:rFonts w:hint="eastAsia"/>
          <w:b/>
        </w:rPr>
        <w:t>。</w:t>
      </w:r>
      <w:r>
        <w:rPr>
          <w:rFonts w:hint="eastAsia"/>
        </w:rPr>
        <w:t>坚持“党政同责”和“一岗双责”原则，深入贯彻落实党政主体责任，完善环委会运行机制，健全考核、调度、督查、会商、约谈等长效管理制度，促进环保网格化监管不断向基层延伸，建立健全各职能部门联合执法、联合办案等机制，巩固“党委领导、政府负责、人大政协监督、部门齐抓共管、全社会共同参与”的环保工作大格局。</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建立“三线一单”分区管控制度。</w:t>
      </w:r>
      <w:r>
        <w:rPr>
          <w:rFonts w:hint="eastAsia"/>
        </w:rPr>
        <w:t>据环境容量逐步提高产业准入环境标准，严格控制物耗能耗高的项目准入，加强新建产业项目的源头准入管理，严格建设项目环评审批。强化“三线一单”源头预防引领作用，推动“三线一单”与发展规划、国土空间规划以及城镇开发边界等协调衔接，将其作为青云谱区生态环境准入和区域环境管理的重要依据。完善“三线一单”分级实施机制，分级落实“三线一单”管控措施，优化青云谱区行业布局、规模和结构，指导项目环境准入。</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bookmarkStart w:id="50" w:name="_Toc38524877"/>
      <w:bookmarkStart w:id="51" w:name="_Toc75374616"/>
      <w:r>
        <w:rPr>
          <w:rFonts w:hint="eastAsia" w:ascii="仿宋_GB2312" w:hAnsi="仿宋_GB2312" w:eastAsia="仿宋_GB2312" w:cs="仿宋_GB2312"/>
          <w:b/>
        </w:rPr>
        <w:t>健全自然资源资产产权制度。</w:t>
      </w:r>
      <w:r>
        <w:rPr>
          <w:rFonts w:hint="eastAsia" w:ascii="仿宋_GB2312" w:hAnsi="仿宋_GB2312" w:eastAsia="仿宋_GB2312" w:cs="仿宋_GB2312"/>
        </w:rPr>
        <w:t>根据《南昌市自然资源统一确权登记工作方案》要求，加快建立和实施自然资源统一确权登记制度。按照国家统一标准，建立自然资源确权登记数据库，摸清区域内水资源、土地资源等主要自然资源资产“家底”，对辖区内的河流、湖泊、荒地、滩涂等自然生态空间进行统一确权登记，明确自然资源资产所有者、监管者及其相应责任，形成权责明确、监管有效的自然资源资产产权制度，进一步推进自然资源统一确权登记法治化、规范化、标准化、信息化。</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r>
        <w:rPr>
          <w:rFonts w:hint="eastAsia" w:ascii="仿宋_GB2312" w:hAnsi="仿宋_GB2312" w:eastAsia="仿宋_GB2312" w:cs="仿宋_GB2312"/>
          <w:b/>
        </w:rPr>
        <w:t>建立健全资源有偿使用制度。</w:t>
      </w:r>
      <w:r>
        <w:rPr>
          <w:rFonts w:hint="eastAsia" w:ascii="仿宋_GB2312" w:hAnsi="仿宋_GB2312" w:eastAsia="仿宋_GB2312" w:cs="仿宋_GB2312"/>
        </w:rPr>
        <w:t>根据国务院《关于全民所有自然资源资产有偿使用制度改革的指导意见》以及江西省《关于印发江西省全民所有自然资源资产有偿使用制度改革试点方案的通知》要求，针对土地、水等国有自然资源不同特点和情况，深入推进各类全民所有自然资源有偿使用制度。完善水资源有偿使用制度，健全水资源费差别化征收标准和管理制度，严格水资源费征收管理，确保应收尽收。建立有偿使用信息公开和服务制度，确保国家所有者权益得到充分有效维护。</w:t>
      </w:r>
    </w:p>
    <w:bookmarkEnd w:id="50"/>
    <w:bookmarkEnd w:id="51"/>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r>
        <w:rPr>
          <w:rFonts w:hint="eastAsia" w:ascii="仿宋_GB2312" w:hAnsi="仿宋_GB2312" w:eastAsia="仿宋_GB2312" w:cs="仿宋_GB2312"/>
          <w:b/>
        </w:rPr>
        <w:t>严格落实排污许可证管理制度。</w:t>
      </w:r>
      <w:r>
        <w:rPr>
          <w:rFonts w:hint="eastAsia" w:ascii="仿宋_GB2312" w:hAnsi="仿宋_GB2312" w:eastAsia="仿宋_GB2312" w:cs="仿宋_GB2312"/>
        </w:rPr>
        <w:t>全面实施以排污许可制为核心的固定污染源监管制度，巩固固定污染源排污许可全覆盖成效。进一步规范排污许可行为，加强排污许可证管理，严格落实排污许可证发放配套管理规定，重点做好排污许可与环境标准、总量控制、环境监测、环评审批等制度的对接，进一步推动事前审批和事中事后监管的有机衔接，最终形成以排污许可证为核心的污染源监管体系。</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rPr>
      </w:pPr>
      <w:bookmarkStart w:id="52" w:name="_Toc152315077"/>
      <w:r>
        <w:rPr>
          <w:rFonts w:hint="eastAsia" w:ascii="仿宋_GB2312" w:hAnsi="仿宋_GB2312" w:eastAsia="仿宋_GB2312" w:cs="仿宋_GB2312"/>
          <w:b/>
          <w:bCs/>
        </w:rPr>
        <w:t>2</w:t>
      </w:r>
      <w:r>
        <w:rPr>
          <w:rFonts w:hint="default" w:ascii="仿宋_GB2312" w:hAnsi="仿宋_GB2312" w:cs="仿宋_GB2312"/>
          <w:b/>
          <w:bCs/>
          <w:lang w:val="en-US"/>
        </w:rPr>
        <w:t>.</w:t>
      </w:r>
      <w:r>
        <w:rPr>
          <w:rFonts w:hint="eastAsia" w:ascii="仿宋_GB2312" w:hAnsi="仿宋_GB2312" w:eastAsia="仿宋_GB2312" w:cs="仿宋_GB2312"/>
          <w:b/>
          <w:bCs/>
        </w:rPr>
        <w:t>全面建立过程严管制度</w:t>
      </w:r>
      <w:bookmarkEnd w:id="52"/>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健全环境治理监管体系。</w:t>
      </w:r>
      <w:r>
        <w:rPr>
          <w:rFonts w:hint="eastAsia" w:ascii="仿宋_GB2312" w:hAnsi="仿宋_GB2312" w:eastAsia="仿宋_GB2312" w:cs="仿宋_GB2312"/>
        </w:rPr>
        <w:t>整合分散的生态环境保护职责，统一行使生态和城乡各类污染排放监管与行政执法职责，全力配合构建省级新型环境监察体系，建立健全生态环境保护管理体制。加强青云谱区大气污染热点网格智能监管，建设32套高密度微型空气站，建立大气污染热点网格系统。以“智慧环保”建设为核心，推进环境监测监控、移动执法、污染物综合管理、危废智能监管、环境应急、环保信息发布等信息化应用建设，建立一套覆盖全面、技术先进的环保大数据平台，形成数据获取、传输、处理、分析、决策、服务一体化的工作机制，提升环保信息化、智能化、科学化水平。</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b/>
        </w:rPr>
        <w:t>建立健全联防联控机制</w:t>
      </w:r>
      <w:r>
        <w:rPr>
          <w:rFonts w:hint="eastAsia"/>
          <w:b/>
        </w:rPr>
        <w:t>。</w:t>
      </w:r>
      <w:r>
        <w:t>建立健全大气、水、土壤等污染防治部门联动、定期会商、信息共享等机制。完善与周边县区生态环境治理协同机制，建立联</w:t>
      </w:r>
      <w:r>
        <w:rPr>
          <w:rFonts w:hint="eastAsia"/>
        </w:rPr>
        <w:t>席</w:t>
      </w:r>
      <w:r>
        <w:t>会议、区域信息共享、跨区域联防联动、公益诉讼协助、环境修复协作等工作机制，打破行政区域限制，建立统一的生态环境保护预警规范与实施细则，完善生态环境执法联动机制，形成污染防治攻坚合力，促进区域环境质量进一步提高。</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b/>
        </w:rPr>
        <w:t>完善环境信息公开制度</w:t>
      </w:r>
      <w:r>
        <w:rPr>
          <w:rFonts w:hint="eastAsia"/>
          <w:b/>
        </w:rPr>
        <w:t>。</w:t>
      </w:r>
      <w:r>
        <w:rPr>
          <w:rFonts w:hint="eastAsia" w:ascii="仿宋_GB2312" w:hAnsi="仿宋_GB2312" w:eastAsia="仿宋_GB2312" w:cs="仿宋_GB2312"/>
        </w:rPr>
        <w:t>完善政府部门资源环境信息公开制度。强化行政权力网上公开透明运行机制，确保资源环境相关项目审批过程公开透明，健全面向企业和公众的信息服务及咨询投诉的受理和反馈机制，打造服务型政府。加强政府门户网站中的生态文明相关专题栏目建设，利用大数据技术整合各类环境信息资源，升级改造青云谱区环境信息中心平台。督促排污企业公开环境治理信息，排污企业通过企业网站等途径依法公开主要污染物名称、排放方式、执行标准以及污染防治设施建设和运行情况。扩大环境信息公开范围，加强涉及民生且社会关注度高的大气、饮用水、地表水、土壤等环境质量监测、建设项目环评审批、企业污染物排放等信息的公开，保障公众的环境知情权，环境信息公开率保持100%。</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rPr>
      </w:pPr>
      <w:bookmarkStart w:id="53" w:name="_Toc152315078"/>
      <w:r>
        <w:rPr>
          <w:rFonts w:hint="eastAsia" w:ascii="仿宋_GB2312" w:hAnsi="仿宋_GB2312" w:eastAsia="仿宋_GB2312" w:cs="仿宋_GB2312"/>
          <w:b/>
          <w:bCs/>
        </w:rPr>
        <w:t>3</w:t>
      </w:r>
      <w:r>
        <w:rPr>
          <w:rFonts w:hint="default" w:ascii="仿宋_GB2312" w:hAnsi="仿宋_GB2312" w:cs="仿宋_GB2312"/>
          <w:b/>
          <w:bCs/>
          <w:lang w:val="en-US"/>
        </w:rPr>
        <w:t>.</w:t>
      </w:r>
      <w:r>
        <w:rPr>
          <w:rFonts w:hint="eastAsia" w:ascii="仿宋_GB2312" w:hAnsi="仿宋_GB2312" w:eastAsia="仿宋_GB2312" w:cs="仿宋_GB2312"/>
          <w:b/>
          <w:bCs/>
        </w:rPr>
        <w:t>建立完善后果严惩制度</w:t>
      </w:r>
      <w:bookmarkEnd w:id="53"/>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ascii="仿宋_GB2312" w:hAnsi="仿宋_GB2312" w:eastAsia="仿宋_GB2312" w:cs="仿宋_GB2312"/>
          <w:b/>
        </w:rPr>
        <w:t>优化生态文明目标考核评价。</w:t>
      </w:r>
      <w:r>
        <w:rPr>
          <w:rFonts w:hint="eastAsia" w:ascii="仿宋_GB2312" w:hAnsi="仿宋_GB2312" w:eastAsia="仿宋_GB2312" w:cs="仿宋_GB2312"/>
        </w:rPr>
        <w:t>完善生态文明建设目标考核评价办法和考核组织机制，将资源利用、环境治理、环境质量、生态保护、增长质量、绿色生活、公众满意程度等绿色发展指标纳入党政实绩考核范畴，重点考核各级领导干部贯彻落实上级政府加快经济发展方式转变、推进生态文明建设的相关决策部署以及资源环境保护等方面的情况，增加生态文明建设考核权重，确保生态文明建设工作占党政实绩考核比例稳定保持在20%以上。突出生态文明建设目标完成情况和人民群众满意度考核，实行差别化分类评价考核，将考核结果作为各级领导班子和领导干部奖惩和选拔任用的重要依据，形成生态优先、绿色发展的政绩导向。</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bookmarkStart w:id="54" w:name="_Toc152001344"/>
      <w:r>
        <w:rPr>
          <w:rFonts w:hint="eastAsia"/>
          <w:b/>
        </w:rPr>
        <w:t>推行自然资源资产离任审计制度</w:t>
      </w:r>
      <w:bookmarkEnd w:id="54"/>
      <w:r>
        <w:rPr>
          <w:rFonts w:hint="eastAsia"/>
          <w:b/>
        </w:rPr>
        <w:t>。</w:t>
      </w:r>
      <w:r>
        <w:rPr>
          <w:rFonts w:hint="eastAsia"/>
        </w:rPr>
        <w:t>全面推进领导干部自然资源资产离任审计，促进领导干部守法、守纪、守规、尽责，切实履行自然资源资产管理和生态环境保护责任，促进自然资源资产节约集约利用和生态环境安全。围绕加快生态文明建设的重大决策部署，进一步探索和总结审计方式和领导干部责任界定方式，强化领导干部任职期间履行自然资源资产管理和生态环境保护责任。完善自然资源资产负债表的编制，以自然资源资产负债表为基础，形成青云谱区自然资源资产离任审计制度实施细则，将领导干部的任期工作成效与自然资源资产保护状况直接挂钩，并将审计结果作为领导干部提拔任用的重要依据。</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bookmarkStart w:id="55" w:name="_Toc152001345"/>
      <w:r>
        <w:rPr>
          <w:rFonts w:hint="eastAsia"/>
          <w:b/>
        </w:rPr>
        <w:t>建立生态环境损害责任追究制度</w:t>
      </w:r>
      <w:bookmarkEnd w:id="55"/>
      <w:r>
        <w:rPr>
          <w:rFonts w:hint="eastAsia"/>
          <w:b/>
        </w:rPr>
        <w:t>。</w:t>
      </w:r>
      <w:r>
        <w:t>强化生态环境损害赔偿和责任追究，构建责任明确、途径畅通、技术规范、保障有力、赔偿到位、修复有效的生态环境损害赔偿制度。</w:t>
      </w:r>
      <w:r>
        <w:rPr>
          <w:rFonts w:hint="eastAsia"/>
        </w:rPr>
        <w:t>根据《江西省党政领导干部生态环境损害责任追究实施细则（试行）》和有关党内法规和国家法律法规，建立由生态环境和资源保护监管职责的工作部门、纪检监察机关、组织人事部门及司法机关组成的生态环境损害责任追究沟通协作制度，建立生态环境损害分级制度，确定各类生态环境损害的分级调查权限，实现精准追责，将党政领导干部生态环境损害责任追究的结果运用于干部管理监督体系，并作为领导干部考核、任免、奖惩的重要依据。</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强化企业责任机制。</w:t>
      </w:r>
      <w:r>
        <w:rPr>
          <w:rFonts w:hint="eastAsia"/>
        </w:rPr>
        <w:t>加强企业环境治理责任制度建设，督促企业严格执行法律法规，接受社会监督，重点排污企业要安装使用监测设备并确保正常运行，坚决杜绝治理效果和监测数据造假。排污企业应主动承担污染防治主体责任，积极践行绿色生产方式，加大治污减排力度，切实提高治污水平，坚决做到达标排放。完善生产者责任延伸，加大清洁生产推行力度，依法依规淘汰落后生产工艺技术，减少源头水污染物排放。设立企业开放日，向社会公开环境治理信息，加强对重点企业的监管，确保重点排污企业安装使用监测设备并正常运行。</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rPr>
      </w:pPr>
      <w:bookmarkStart w:id="56" w:name="_Toc152315079"/>
      <w:r>
        <w:rPr>
          <w:rFonts w:hint="eastAsia" w:ascii="仿宋_GB2312" w:hAnsi="仿宋_GB2312" w:eastAsia="仿宋_GB2312" w:cs="仿宋_GB2312"/>
          <w:b/>
          <w:bCs/>
        </w:rPr>
        <w:t>4</w:t>
      </w:r>
      <w:r>
        <w:rPr>
          <w:rFonts w:hint="default" w:ascii="仿宋_GB2312" w:hAnsi="仿宋_GB2312" w:cs="仿宋_GB2312"/>
          <w:b/>
          <w:bCs/>
          <w:lang w:val="en-US"/>
        </w:rPr>
        <w:t>.</w:t>
      </w:r>
      <w:r>
        <w:rPr>
          <w:rFonts w:hint="eastAsia" w:ascii="仿宋_GB2312" w:hAnsi="仿宋_GB2312" w:eastAsia="仿宋_GB2312" w:cs="仿宋_GB2312"/>
          <w:b/>
          <w:bCs/>
        </w:rPr>
        <w:t>建立生态保护与修复机制</w:t>
      </w:r>
      <w:bookmarkEnd w:id="56"/>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bookmarkStart w:id="57" w:name="_Toc152001358"/>
      <w:r>
        <w:rPr>
          <w:rFonts w:hint="eastAsia" w:ascii="仿宋_GB2312" w:hAnsi="仿宋_GB2312" w:eastAsia="仿宋_GB2312" w:cs="仿宋_GB2312"/>
          <w:b/>
        </w:rPr>
        <w:t>加强生态保护与修复</w:t>
      </w:r>
      <w:bookmarkEnd w:id="57"/>
      <w:r>
        <w:rPr>
          <w:rFonts w:hint="eastAsia" w:ascii="仿宋_GB2312" w:hAnsi="仿宋_GB2312" w:eastAsia="仿宋_GB2312" w:cs="仿宋_GB2312"/>
          <w:b/>
        </w:rPr>
        <w:t>。</w:t>
      </w:r>
      <w:bookmarkStart w:id="58" w:name="_Toc67413814"/>
      <w:bookmarkStart w:id="59" w:name="_Toc69915162"/>
      <w:bookmarkStart w:id="60" w:name="_Toc75374625"/>
      <w:r>
        <w:rPr>
          <w:rFonts w:hint="eastAsia" w:ascii="仿宋_GB2312" w:hAnsi="仿宋_GB2312" w:eastAsia="仿宋_GB2312" w:cs="仿宋_GB2312"/>
        </w:rPr>
        <w:t>打造湖长制升级版，推动法治化、标准化建设。加强全流程、全环节、全链条溯源打击，斩断非法捕捞等黑色产业链利益链，加大非法电捕鱼行为的打击力度。切实强化湿地资源用途管制，着力强化城区湿地的占用管理,坚决落实湿地总量管控要求。坚持山水林田湖草生命共同体和流域系统综合治理的理念和思路，继续推进流域生态综合治理。巩固流域已有生态综合治理成果，进一步提升流域生态综合治理水平，着力改善河湖生态环境，促进河湖生态系统健康。</w:t>
      </w:r>
    </w:p>
    <w:bookmarkEnd w:id="58"/>
    <w:bookmarkEnd w:id="59"/>
    <w:bookmarkEnd w:id="60"/>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bookmarkStart w:id="61" w:name="_Toc152001359"/>
      <w:r>
        <w:rPr>
          <w:rFonts w:hint="eastAsia"/>
          <w:b/>
        </w:rPr>
        <w:t>健全生态保护补偿机制</w:t>
      </w:r>
      <w:bookmarkEnd w:id="61"/>
      <w:r>
        <w:rPr>
          <w:rFonts w:hint="eastAsia"/>
          <w:b/>
        </w:rPr>
        <w:t>。</w:t>
      </w:r>
      <w:r>
        <w:rPr>
          <w:rFonts w:hint="eastAsia"/>
        </w:rPr>
        <w:t>建立环境修复与开发建设占补平衡机制，创新生态修复机制。建立政府主导、企业和社会参与、市场化运作、可持续的生态保护补偿机制，激发全社会参与生态保护的积极性。</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探索生态产品市场化新路径。</w:t>
      </w:r>
      <w:r>
        <w:rPr>
          <w:rFonts w:hint="eastAsia"/>
        </w:rPr>
        <w:t>健全生态资产与生态产品市场交易体制机制，建立排污权、碳排放权、水权、用能权交易制度，与金融机构开展合作，共同探索生态补偿资金项目市场化运作模式，建设各类生态产品交易市场。统筹推进组建绿色产业基金、加快推出相关的保险产品和业务，为相关项目和企业提供风险防御和风险补偿能力。加强社会信用体系建设及发展文化旅游产业、康养产业等生态产品价值实现。</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jc w:val="center"/>
              <w:rPr>
                <w:rFonts w:eastAsia="黑体"/>
                <w:kern w:val="0"/>
                <w:sz w:val="24"/>
                <w:szCs w:val="24"/>
              </w:rPr>
            </w:pPr>
            <w:bookmarkStart w:id="62" w:name="_Hlk96007243"/>
            <w:r>
              <w:rPr>
                <w:rFonts w:eastAsia="黑体"/>
              </w:rPr>
              <w:t>专栏1 生态制度体系建设重点工程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noWrap w:val="0"/>
            <w:vAlign w:val="top"/>
          </w:tcPr>
          <w:p>
            <w:pPr>
              <w:rPr>
                <w:sz w:val="24"/>
                <w:szCs w:val="24"/>
              </w:rPr>
            </w:pPr>
            <w:r>
              <w:rPr>
                <w:rFonts w:hint="eastAsia"/>
                <w:b/>
                <w:bCs/>
                <w:sz w:val="24"/>
                <w:szCs w:val="24"/>
              </w:rPr>
              <w:t>1、“智慧环保”二期项目：</w:t>
            </w:r>
            <w:r>
              <w:rPr>
                <w:rFonts w:hint="eastAsia"/>
                <w:sz w:val="24"/>
                <w:szCs w:val="24"/>
              </w:rPr>
              <w:t>智慧环保二期项目主要建设污染分担动态监控系统、地表水达标预测系统、全维生态环境</w:t>
            </w:r>
          </w:p>
        </w:tc>
      </w:tr>
      <w:bookmarkEnd w:id="62"/>
    </w:tbl>
    <w:p>
      <w:pPr>
        <w:bidi w:val="0"/>
        <w:ind w:firstLine="321" w:firstLineChars="100"/>
        <w:rPr>
          <w:rFonts w:hint="eastAsia" w:ascii="楷体_GB2312" w:hAnsi="楷体_GB2312" w:eastAsia="楷体_GB2312" w:cs="楷体_GB2312"/>
          <w:b/>
          <w:bCs/>
        </w:rPr>
      </w:pPr>
      <w:bookmarkStart w:id="63" w:name="_Toc152315080"/>
      <w:bookmarkStart w:id="64" w:name="_Toc152001365"/>
      <w:r>
        <w:rPr>
          <w:rFonts w:hint="eastAsia" w:ascii="楷体_GB2312" w:hAnsi="楷体_GB2312" w:eastAsia="楷体_GB2312" w:cs="楷体_GB2312"/>
          <w:b/>
          <w:bCs/>
        </w:rPr>
        <w:t>（二）生态安全体系建设</w:t>
      </w:r>
      <w:bookmarkEnd w:id="63"/>
      <w:bookmarkEnd w:id="64"/>
    </w:p>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仿宋_GB2312" w:hAnsi="仿宋_GB2312" w:eastAsia="仿宋_GB2312" w:cs="仿宋_GB2312"/>
          <w:b/>
          <w:bCs/>
        </w:rPr>
      </w:pPr>
      <w:bookmarkStart w:id="65" w:name="_Toc152315081"/>
      <w:bookmarkStart w:id="66" w:name="_Toc152001379"/>
      <w:r>
        <w:rPr>
          <w:rFonts w:hint="eastAsia" w:ascii="仿宋_GB2312" w:hAnsi="仿宋_GB2312" w:eastAsia="仿宋_GB2312" w:cs="仿宋_GB2312"/>
          <w:b/>
          <w:bCs/>
        </w:rPr>
        <w:t>1</w:t>
      </w:r>
      <w:r>
        <w:rPr>
          <w:rFonts w:hint="default" w:ascii="仿宋_GB2312" w:hAnsi="仿宋_GB2312" w:cs="仿宋_GB2312"/>
          <w:b/>
          <w:bCs/>
          <w:lang w:val="en-US"/>
        </w:rPr>
        <w:t>.</w:t>
      </w:r>
      <w:r>
        <w:rPr>
          <w:rFonts w:hint="eastAsia" w:ascii="仿宋_GB2312" w:hAnsi="仿宋_GB2312" w:eastAsia="仿宋_GB2312" w:cs="仿宋_GB2312"/>
          <w:b/>
          <w:bCs/>
        </w:rPr>
        <w:t>积极应对全球气候变化</w:t>
      </w:r>
      <w:bookmarkEnd w:id="65"/>
      <w:bookmarkEnd w:id="66"/>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制定实施碳达峰实施方案。</w:t>
      </w:r>
      <w:r>
        <w:rPr>
          <w:rFonts w:hint="eastAsia" w:ascii="仿宋_GB2312" w:hAnsi="仿宋_GB2312" w:eastAsia="仿宋_GB2312" w:cs="仿宋_GB2312"/>
        </w:rPr>
        <w:t>制定实施《青云谱区碳达峰碳中和方案》，以“降碳”为抓手，落实以二氧化碳排放强度控制为主、总量控制为辅的制度。优化空间布局与产业结构，加快构建新能源占比逐渐提高的能源供给体系，持续提高重点行业能源、资源利用效率，逐步完善绿色低碳技术创新体系，推行绿色生产生活方式，基本建立有利于绿色低碳循环发展的政策体系。到2025年，单位地区生产总值能耗和单位地区生产总值二氧化碳排放确保完成上级下达的指标要求，全区碳达峰基础不断夯实。到2030年，非化石能源消费比重确保完成上级下达指标要求，绿色低碳产业在经济总量中占比显著提升，绿色低碳导向的城市治理体系基本建立，顺利实现2030年碳达峰目标。</w:t>
      </w:r>
    </w:p>
    <w:p>
      <w:pPr>
        <w:pageBreakBefore w:val="0"/>
        <w:widowControl w:val="0"/>
        <w:kinsoku/>
        <w:wordWrap/>
        <w:overflowPunct/>
        <w:topLinePunct w:val="0"/>
        <w:autoSpaceDE/>
        <w:autoSpaceDN/>
        <w:bidi w:val="0"/>
        <w:adjustRightInd/>
        <w:snapToGrid/>
        <w:spacing w:line="560" w:lineRule="exact"/>
        <w:ind w:firstLine="562"/>
        <w:textAlignment w:val="auto"/>
        <w:rPr>
          <w:bCs/>
        </w:rPr>
      </w:pPr>
      <w:r>
        <w:rPr>
          <w:rFonts w:hint="eastAsia"/>
          <w:b/>
        </w:rPr>
        <w:t>有效控制温室气体排放。</w:t>
      </w:r>
      <w:r>
        <w:rPr>
          <w:rFonts w:hint="eastAsia"/>
          <w:bCs/>
        </w:rPr>
        <w:t>推动用能企业使用清洁能源替代传统化石燃料。加大电能、氢能替代力度。加快工业、建筑、交通等各用能领域的电气化、智能化发展，加强清洁能源供应保障，推行清洁能源替代。积极稳妥发展光伏发电、生物质能等新能源，优化能源利用结构，提高能源配置效率。培育壮大低碳、零碳、负碳产业，开展节能减排、推行清洁生产、构建绿色制造体系。</w:t>
      </w:r>
    </w:p>
    <w:p>
      <w:pPr>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推进交通行业低碳行动。</w:t>
      </w:r>
      <w:r>
        <w:rPr>
          <w:rFonts w:hint="eastAsia"/>
        </w:rPr>
        <w:t>鼓励购买小排量、新能源等环保节能型汽车，发展低排放、低能耗交通工具，推广使用电动汽车，建设充电设施体系。在公交车、出租车、公务车中推广使用节能与新能源汽车。加快畅通工程建设，发展智能交通系统，全面推进城市交通信息化动态管理，推进多种交通方式无缝对接。完善城市交通基础设施网路，建设公交优先的城市交通运输体系。加快推进新能源汽车在分时租赁、城市公交、出租汽车、场地用车等领域的应用，优化公共服务领域新能源汽车使用环境。</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r>
        <w:rPr>
          <w:b/>
        </w:rPr>
        <w:t>主动适应气候变化</w:t>
      </w:r>
      <w:r>
        <w:rPr>
          <w:rFonts w:hint="eastAsia"/>
          <w:b/>
        </w:rPr>
        <w:t>。</w:t>
      </w:r>
      <w:r>
        <w:rPr>
          <w:rFonts w:hint="eastAsia" w:ascii="仿宋_GB2312" w:hAnsi="仿宋_GB2312" w:eastAsia="仿宋_GB2312" w:cs="仿宋_GB2312"/>
        </w:rPr>
        <w:t>严格落实《国家适应气候变化战略2035》文件要求，提升城市基础设施、水资源保障、能源供应系统适应气候变化能力，保障人民生产生活安全。提升公众适应气候变化的意识，形成具有区域特色的适应气候变化新模式，推动低碳城市、低碳产业、低碳生活发展。推动城市基础设施建设向适应气候变化方向转变，因地制宜推进城市水网和河湖岸线生态缓冲带建设。积极探索低碳试点示范创建，创建一批零碳社区、零碳校园。</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rPr>
      </w:pPr>
      <w:bookmarkStart w:id="67" w:name="_Toc152001366"/>
      <w:bookmarkStart w:id="68" w:name="_Toc152315082"/>
      <w:r>
        <w:rPr>
          <w:rFonts w:hint="eastAsia" w:ascii="仿宋_GB2312" w:hAnsi="仿宋_GB2312" w:eastAsia="仿宋_GB2312" w:cs="仿宋_GB2312"/>
          <w:b/>
          <w:bCs/>
        </w:rPr>
        <w:t>2</w:t>
      </w:r>
      <w:r>
        <w:rPr>
          <w:rFonts w:hint="default" w:ascii="仿宋_GB2312" w:hAnsi="仿宋_GB2312" w:cs="仿宋_GB2312"/>
          <w:b/>
          <w:bCs/>
          <w:lang w:val="en-US"/>
        </w:rPr>
        <w:t>.</w:t>
      </w:r>
      <w:r>
        <w:rPr>
          <w:rFonts w:hint="eastAsia" w:ascii="仿宋_GB2312" w:hAnsi="仿宋_GB2312" w:eastAsia="仿宋_GB2312" w:cs="仿宋_GB2312"/>
          <w:b/>
          <w:bCs/>
        </w:rPr>
        <w:t>巩固提升区域水环境</w:t>
      </w:r>
      <w:bookmarkEnd w:id="67"/>
      <w:r>
        <w:rPr>
          <w:rFonts w:hint="eastAsia" w:ascii="仿宋_GB2312" w:hAnsi="仿宋_GB2312" w:eastAsia="仿宋_GB2312" w:cs="仿宋_GB2312"/>
          <w:b/>
          <w:bCs/>
        </w:rPr>
        <w:t>质量</w:t>
      </w:r>
      <w:bookmarkEnd w:id="68"/>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bookmarkStart w:id="69" w:name="_Toc152001367"/>
      <w:r>
        <w:rPr>
          <w:rFonts w:hint="eastAsia"/>
          <w:b/>
        </w:rPr>
        <w:t>强化“三水”统筹管理。</w:t>
      </w:r>
      <w:r>
        <w:rPr>
          <w:rFonts w:hint="eastAsia" w:ascii="仿宋_GB2312" w:hAnsi="仿宋_GB2312" w:eastAsia="仿宋_GB2312" w:cs="仿宋_GB2312"/>
        </w:rPr>
        <w:t>加强青云谱区重点流域空间管控，严格实施流域水功能分区管理，明晰各级行政辖区责任，建立流域-水功能区-控制单元-行政辖区四个层级的管控体系，分流域、分区域精准施策。统筹划定建成区污水治理片区、排水分区、排水单元，实施分流制区域治理。建立水资源刚性约束制度，实行水资源消耗总量和强度双控，统筹生产、生活、生态用水，大力推进工业、城镇等领域节水。严格执行水资源开发利用控制红线、用水效率控制红线和水功能区限制纳污红线，保障重点河湖生态流量。</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r>
        <w:rPr>
          <w:rFonts w:hint="eastAsia"/>
          <w:b/>
        </w:rPr>
        <w:t>深化水污染源头治理。</w:t>
      </w:r>
      <w:r>
        <w:rPr>
          <w:rFonts w:hint="eastAsia" w:ascii="仿宋_GB2312" w:hAnsi="仿宋_GB2312" w:eastAsia="仿宋_GB2312" w:cs="仿宋_GB2312"/>
        </w:rPr>
        <w:t>持续强化城镇生活污水治理。对城区生活污水处理进一步提质增效，在城区实施管网更新、破损修复清淤堵漏等建设改造。加快推进相关污水处理厂扩建提标，采用新型治水技术及新型治污模式，以分散处理为主，统筹分散处理和集中处理结合的治污模式，充分发挥5G、数据中心、人工智能等新一代数字技术支撑作用，大幅度减少管网覆盖面。推进昌南工业园区污水处理设施配套管网建设，加强污水处理厂在线监控平台维护管理，确保出水水质稳定达标排放。强化企业排污许可证管理和证后执法监管，规范企业自行监测和依法排污行为，持续推进工业污染源废水全面达标排放。</w:t>
      </w:r>
    </w:p>
    <w:bookmarkEnd w:id="69"/>
    <w:p>
      <w:pPr>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加强水环境综合治理。</w:t>
      </w:r>
      <w:r>
        <w:rPr>
          <w:rFonts w:hint="eastAsia"/>
        </w:rPr>
        <w:t>坚持综合治理、系统治理、源头治理，深入打好碧水保卫战，持续削减化学需氧量和氨氮等主要水污染物排放总量，实施鄱阳湖总磷控制。加大对象湖、梅湖水系治理整治力度，坚决取缔非法排污口，完善昌南工业园污水处理设施实现排放水质实时监控，着力推进城乡河道整治全覆盖工程，完善水质监测监管体系。</w:t>
      </w:r>
    </w:p>
    <w:p>
      <w:pPr>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开展城市黑臭水体治理。</w:t>
      </w:r>
      <w:r>
        <w:rPr>
          <w:rFonts w:hint="eastAsia"/>
        </w:rPr>
        <w:t>全面排查区内黑臭水体，核清底数并加大整治力度。科学制订城市黑臭水体治理方案，统筹推进城市黑臭水体治理与生活污水等治理工作相衔接，通过控源截污、清淤疏浚、水体净化等措施进行综合治理。深入推行河长制湖长制，加强统筹协调，完善长效机制，实现黑臭水体整治长治久清。</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推进美丽河湖建设。</w:t>
      </w:r>
      <w:r>
        <w:rPr>
          <w:rFonts w:hint="eastAsia"/>
        </w:rPr>
        <w:t>建立水生态环境监测体系，开展河湖水生态健康调查评估，摸清主要河湖生态健康本底。强化水土流失预防保护，强化湿地资源用途管制，充分发挥自然系统修复作用，着力维护湿地原生态。结合“三线三区“划定，优化城区建设规划，保护城市天际线和河湖蓝线。全面依法划定河湖管理范围，严格水城岸线分区管理和用途管制。强化涉河建设项目许可，加强事中事后监管。推进河湖“清四乱”、非法矮圩等专项整治常态化、规范化，全面改善河湖面貌。维护岸线生态功能，对人工岸线进行必要改造，因地制宜建设各具特色的岸线景观带，打造生态岸线、最美岸线。</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仿宋_GB2312" w:hAnsi="仿宋_GB2312" w:eastAsia="仿宋_GB2312" w:cs="仿宋_GB2312"/>
          <w:b/>
          <w:bCs/>
        </w:rPr>
      </w:pPr>
      <w:bookmarkStart w:id="70" w:name="_Toc152315083"/>
      <w:bookmarkStart w:id="71" w:name="_Toc152001370"/>
      <w:r>
        <w:rPr>
          <w:rFonts w:hint="eastAsia" w:ascii="仿宋_GB2312" w:hAnsi="仿宋_GB2312" w:eastAsia="仿宋_GB2312" w:cs="仿宋_GB2312"/>
          <w:b/>
          <w:bCs/>
        </w:rPr>
        <w:t>3</w:t>
      </w:r>
      <w:r>
        <w:rPr>
          <w:rFonts w:hint="default" w:ascii="仿宋_GB2312" w:hAnsi="仿宋_GB2312" w:cs="仿宋_GB2312"/>
          <w:b/>
          <w:bCs/>
          <w:lang w:val="en-US"/>
        </w:rPr>
        <w:t>.</w:t>
      </w:r>
      <w:r>
        <w:rPr>
          <w:rFonts w:hint="eastAsia" w:ascii="仿宋_GB2312" w:hAnsi="仿宋_GB2312" w:eastAsia="仿宋_GB2312" w:cs="仿宋_GB2312"/>
          <w:b/>
          <w:bCs/>
        </w:rPr>
        <w:t>持续改善大气环境质量</w:t>
      </w:r>
      <w:bookmarkEnd w:id="70"/>
      <w:bookmarkEnd w:id="71"/>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加强臭氧和细颗粒物协同控制。</w:t>
      </w:r>
      <w:r>
        <w:rPr>
          <w:rFonts w:hint="eastAsia" w:ascii="仿宋_GB2312" w:hAnsi="仿宋_GB2312" w:eastAsia="仿宋_GB2312" w:cs="仿宋_GB2312"/>
        </w:rPr>
        <w:t>持续开展臭氧形成机理研究与源解析，加快补齐臭氧污染治理短板，实现对细颗粒物和臭氧的协同控制。强化大气污染分区控制和分类管理，统筹考虑细颗粒物和臭氧污染区域传输规律和季节性特征，强化分区分时分类的差异化和精细化管控，明确控制目标、路线图和时间表。强化细颗粒物和臭氧共同前体物NO</w:t>
      </w:r>
      <w:r>
        <w:rPr>
          <w:rFonts w:hint="eastAsia" w:ascii="仿宋_GB2312" w:hAnsi="仿宋_GB2312" w:eastAsia="仿宋_GB2312" w:cs="仿宋_GB2312"/>
          <w:vertAlign w:val="subscript"/>
        </w:rPr>
        <w:t>x</w:t>
      </w:r>
      <w:r>
        <w:rPr>
          <w:rFonts w:hint="eastAsia" w:ascii="仿宋_GB2312" w:hAnsi="仿宋_GB2312" w:eastAsia="仿宋_GB2312" w:cs="仿宋_GB2312"/>
        </w:rPr>
        <w:t>和VOC</w:t>
      </w:r>
      <w:r>
        <w:rPr>
          <w:rFonts w:hint="eastAsia" w:ascii="仿宋_GB2312" w:hAnsi="仿宋_GB2312" w:eastAsia="仿宋_GB2312" w:cs="仿宋_GB2312"/>
          <w:vertAlign w:val="subscript"/>
        </w:rPr>
        <w:t>s</w:t>
      </w:r>
      <w:r>
        <w:rPr>
          <w:rFonts w:hint="eastAsia" w:ascii="仿宋_GB2312" w:hAnsi="仿宋_GB2312" w:eastAsia="仿宋_GB2312" w:cs="仿宋_GB2312"/>
        </w:rPr>
        <w:t>的排放控制，推动其排放量显著减少。</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bookmarkStart w:id="72" w:name="_Toc152001372"/>
      <w:r>
        <w:rPr>
          <w:rFonts w:hint="eastAsia"/>
          <w:b/>
        </w:rPr>
        <w:t>深化重点行业废气污染防治</w:t>
      </w:r>
      <w:bookmarkEnd w:id="72"/>
      <w:r>
        <w:rPr>
          <w:rFonts w:hint="eastAsia"/>
          <w:b/>
        </w:rPr>
        <w:t>。</w:t>
      </w:r>
      <w:r>
        <w:rPr>
          <w:rFonts w:hint="eastAsia" w:ascii="仿宋_GB2312" w:hAnsi="仿宋_GB2312" w:eastAsia="仿宋_GB2312" w:cs="仿宋_GB2312"/>
        </w:rPr>
        <w:t>加强江铃汽车股份有限公司、洪都航空工业股份有限公司等重点企业源头控制，落实“一企一策”，完成VOC</w:t>
      </w:r>
      <w:r>
        <w:rPr>
          <w:rFonts w:hint="eastAsia" w:ascii="仿宋_GB2312" w:hAnsi="仿宋_GB2312" w:eastAsia="仿宋_GB2312" w:cs="仿宋_GB2312"/>
          <w:vertAlign w:val="subscript"/>
        </w:rPr>
        <w:t>s</w:t>
      </w:r>
      <w:r>
        <w:rPr>
          <w:rFonts w:hint="eastAsia" w:ascii="仿宋_GB2312" w:hAnsi="仿宋_GB2312" w:eastAsia="仿宋_GB2312" w:cs="仿宋_GB2312"/>
        </w:rPr>
        <w:t>在线监控建设，提高VOC</w:t>
      </w:r>
      <w:r>
        <w:rPr>
          <w:rFonts w:hint="eastAsia" w:ascii="仿宋_GB2312" w:hAnsi="仿宋_GB2312" w:eastAsia="仿宋_GB2312" w:cs="仿宋_GB2312"/>
          <w:vertAlign w:val="subscript"/>
        </w:rPr>
        <w:t>s</w:t>
      </w:r>
      <w:r>
        <w:rPr>
          <w:rFonts w:hint="eastAsia" w:ascii="仿宋_GB2312" w:hAnsi="仿宋_GB2312" w:eastAsia="仿宋_GB2312" w:cs="仿宋_GB2312"/>
        </w:rPr>
        <w:t>含量低（无）的绿色原辅材料替代比例，提高无组织废气收集率。加强涉气“散乱污”企业综合整治，按照疏堵结合，分类施治原则，关停取缔类做好“两断三清”。大力推进网格化管理，加强巡查督察，确保不留死角，严防“死灰复燃”。对往年整治成果开展回头看，对已关停取缔又死灰复燃的企业和整改不彻底擅自恢复生产的企业，重新列入整治清单。</w:t>
      </w:r>
    </w:p>
    <w:p>
      <w:pPr>
        <w:pageBreakBefore w:val="0"/>
        <w:widowControl w:val="0"/>
        <w:kinsoku/>
        <w:wordWrap/>
        <w:overflowPunct/>
        <w:topLinePunct w:val="0"/>
        <w:autoSpaceDE/>
        <w:autoSpaceDN/>
        <w:bidi w:val="0"/>
        <w:adjustRightInd/>
        <w:snapToGrid/>
        <w:spacing w:line="560" w:lineRule="exact"/>
        <w:ind w:firstLine="562"/>
        <w:textAlignment w:val="auto"/>
        <w:rPr>
          <w:w w:val="99"/>
        </w:rPr>
      </w:pPr>
      <w:r>
        <w:rPr>
          <w:rFonts w:hint="eastAsia"/>
          <w:b/>
        </w:rPr>
        <w:t>加大餐饮油烟治理力度。</w:t>
      </w:r>
      <w:r>
        <w:rPr>
          <w:rFonts w:hint="eastAsia" w:ascii="仿宋_GB2312" w:hAnsi="仿宋_GB2312" w:eastAsia="仿宋_GB2312" w:cs="仿宋_GB2312"/>
        </w:rPr>
        <w:t>推进餐饮企业燃煤炉灶清洁化改造，城市建成区营业面积100平方米以上的餐饮经营场所安装高效油烟净化设施，规范烧烤管理，城市建成区依法禁止露天烧烤。以学校、中心区街道、居民住宅集中区和旅游风景点等环境敏感区为重点区域，控制城市餐饮油烟</w:t>
      </w:r>
      <w:r>
        <w:rPr>
          <w:rFonts w:hint="eastAsia"/>
        </w:rPr>
        <w:t>。</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r>
        <w:rPr>
          <w:rFonts w:hint="eastAsia"/>
          <w:b/>
        </w:rPr>
        <w:t>加强机动车尾气污染治理。</w:t>
      </w:r>
      <w:r>
        <w:rPr>
          <w:rFonts w:hint="eastAsia" w:ascii="仿宋_GB2312" w:hAnsi="仿宋_GB2312" w:eastAsia="仿宋_GB2312" w:cs="仿宋_GB2312"/>
        </w:rPr>
        <w:t>严格执行油品质量标准，加强车用油品、车用尿素、船用燃料油的监管。推动年销售汽油量大于5000吨的加油站，全面安装油气回收自动监控设备并与生态环境部门联网。全面推进储油库油气回收自动监控与联网。推进老旧柴油车深度治理，严格执行国家现行新车准入标准，规范机动车尾气排放检测行为，杜绝弄虚作假。督促报废车辆履行报废手续，确保报废车辆“应拆尽拆”，全面提升燃油品质，加强汽车尾气排放监管能力建设。</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r>
        <w:rPr>
          <w:rFonts w:hint="eastAsia"/>
          <w:b/>
        </w:rPr>
        <w:t>深化建筑工地扬尘污染治理。</w:t>
      </w:r>
      <w:r>
        <w:rPr>
          <w:rFonts w:hint="eastAsia" w:ascii="仿宋_GB2312" w:hAnsi="仿宋_GB2312" w:eastAsia="仿宋_GB2312" w:cs="仿宋_GB2312"/>
        </w:rPr>
        <w:t>重点加强对新开工工地、有土方作业工地、市政道路工程、空气子站3公里工地和扬尘管理问题突出的工地开展巡查，大力抓好工地裸土覆盖工作。加强混凝土搅拌站的扬尘管理，明确扬尘防治“四项硬措施”，规范搅拌站扬尘治理，防止扬尘污染产生。严格落实所有工地湿法作业，严禁车辆带泥上路，严禁冒黑烟机械施工。</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r>
        <w:rPr>
          <w:rFonts w:hint="eastAsia" w:ascii="仿宋_GB2312" w:hAnsi="仿宋_GB2312" w:eastAsia="仿宋_GB2312" w:cs="仿宋_GB2312"/>
          <w:b/>
        </w:rPr>
        <w:t>重污染天气应急管理。</w:t>
      </w:r>
      <w:r>
        <w:rPr>
          <w:rFonts w:hint="eastAsia" w:ascii="仿宋_GB2312" w:hAnsi="仿宋_GB2312" w:eastAsia="仿宋_GB2312" w:cs="仿宋_GB2312"/>
        </w:rPr>
        <w:t>将重污染天气应急响应纳入区人民政府突发事件应急管理体系，制定和完善应对重污染天气应急预案，实行政府主要负责人负责制。完善区域环境质量监测体系。探索搭建覆盖城乡的PM</w:t>
      </w:r>
      <w:r>
        <w:rPr>
          <w:rFonts w:hint="eastAsia" w:ascii="仿宋_GB2312" w:hAnsi="仿宋_GB2312" w:eastAsia="仿宋_GB2312" w:cs="仿宋_GB2312"/>
          <w:vertAlign w:val="subscript"/>
        </w:rPr>
        <w:t>2.5</w:t>
      </w:r>
      <w:r>
        <w:rPr>
          <w:rFonts w:hint="eastAsia" w:ascii="仿宋_GB2312" w:hAnsi="仿宋_GB2312" w:eastAsia="仿宋_GB2312" w:cs="仿宋_GB2312"/>
        </w:rPr>
        <w:t>监测网络，开展细颗粒物（PM</w:t>
      </w:r>
      <w:r>
        <w:rPr>
          <w:rFonts w:hint="eastAsia" w:ascii="仿宋_GB2312" w:hAnsi="仿宋_GB2312" w:eastAsia="仿宋_GB2312" w:cs="仿宋_GB2312"/>
          <w:vertAlign w:val="subscript"/>
        </w:rPr>
        <w:t>2.5</w:t>
      </w:r>
      <w:r>
        <w:rPr>
          <w:rFonts w:hint="eastAsia" w:ascii="仿宋_GB2312" w:hAnsi="仿宋_GB2312" w:eastAsia="仿宋_GB2312" w:cs="仿宋_GB2312"/>
        </w:rPr>
        <w:t>）等灰霾特征污染指标以及特定区域挥发性有机物等工业特征污染指标的监测。全面开展霾天气监测预警工作，加强部门合作，完善会商研判机制，做好重污染天气过程趋势分析，提高监测预警准确度，做好大气重污染预警及信息发布工作。完善应急保障，将重污染天气应对纳入政府突发事件应急管理体系，根据重污染天气预警等级，及时启动应急预案，引导公众做好健康防护。</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rPr>
      </w:pPr>
      <w:bookmarkStart w:id="73" w:name="_Toc152315084"/>
      <w:r>
        <w:rPr>
          <w:rFonts w:hint="eastAsia" w:ascii="仿宋_GB2312" w:hAnsi="仿宋_GB2312" w:eastAsia="仿宋_GB2312" w:cs="仿宋_GB2312"/>
          <w:b/>
          <w:bCs/>
        </w:rPr>
        <w:t>4</w:t>
      </w:r>
      <w:r>
        <w:rPr>
          <w:rFonts w:hint="default" w:ascii="仿宋_GB2312" w:hAnsi="仿宋_GB2312" w:cs="仿宋_GB2312"/>
          <w:b/>
          <w:bCs/>
          <w:lang w:val="en-US"/>
        </w:rPr>
        <w:t>.</w:t>
      </w:r>
      <w:r>
        <w:rPr>
          <w:rFonts w:hint="eastAsia" w:ascii="仿宋_GB2312" w:hAnsi="仿宋_GB2312" w:eastAsia="仿宋_GB2312" w:cs="仿宋_GB2312"/>
          <w:b/>
          <w:bCs/>
        </w:rPr>
        <w:t>深入推进土壤污染防治</w:t>
      </w:r>
      <w:bookmarkEnd w:id="73"/>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加强土壤污染源头防控。</w:t>
      </w:r>
      <w:r>
        <w:rPr>
          <w:rFonts w:hint="eastAsia"/>
        </w:rPr>
        <w:t>加强建筑用地污染防治。自然资源主管部门将建设用地土壤环境管理要求纳入规划管理，合理确定土地用途。未完成风险评估、风险管控和修复的污染地块，不得入库储备。建立疑似污染地块名单，根据土地使用权人上传的土壤环境调查报告建立污染地块名录，开展土壤环境详细调查、风险评估、风险管控、治理修复及其效果评估等工作，并将相关报告上传污染地块信息系统和向社会公开。强化园区土壤污染防治，严格新、改、扩建涉重金属重点行业建设项目准入关，严格遵循“等量置换”的原则，持续开展涉镉等重金属行业企业摸底排查，建立污染源问题清单并动态更新。</w:t>
      </w:r>
    </w:p>
    <w:p>
      <w:pPr>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严格建设用地环境管理。</w:t>
      </w:r>
      <w:r>
        <w:rPr>
          <w:rFonts w:hint="eastAsia"/>
        </w:rPr>
        <w:t>建立建设用地土壤污染风险管控和修复名录，掌握重点行业企业用地中污染地块的分布及其环境风险，对潜在污染场地实行分级管控，筛选其中污染风险较大的生产运行规模企业，纳入全区重点监管企业名录管理；动态更新污染地块土壤环境管理信息系统，强化与自然资源部门信息共享，对建设用地污染地块的再开发利用实行土壤污染防治联动监管机制，防范污染地块环境风险。严格产业准入，加强未利用地环境管理，防止新增建设项目造成新的土壤污染。</w:t>
      </w:r>
    </w:p>
    <w:p>
      <w:pPr>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加强工业固体废物防控。</w:t>
      </w:r>
      <w:r>
        <w:rPr>
          <w:rFonts w:hint="eastAsia"/>
        </w:rPr>
        <w:t>加强涉重金属行业污染防控，调查评估重点工业行业危险废物产生、贮存、利用、处置情况。完善危险废物经营许可、转移等管理制度，建设危险废物管理信息系统，构建“能定位、能查询、能跟踪、能预警、能考核”的危险废物全过程管理平台。深入推进长江经济带固体废物大排查活动，严厉打击危险废物非法转移、倾倒、利用处置等违法犯罪活动。</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r>
        <w:rPr>
          <w:rFonts w:hint="eastAsia" w:ascii="仿宋_GB2312" w:hAnsi="仿宋_GB2312" w:eastAsia="仿宋_GB2312" w:cs="仿宋_GB2312"/>
          <w:b/>
        </w:rPr>
        <w:t>增强危险废物收集处置与利用效益。</w:t>
      </w:r>
      <w:r>
        <w:rPr>
          <w:rFonts w:hint="eastAsia" w:ascii="仿宋_GB2312" w:hAnsi="仿宋_GB2312" w:eastAsia="仿宋_GB2312" w:cs="仿宋_GB2312"/>
          <w:bCs/>
        </w:rPr>
        <w:t>加强危险废物产生和经营单位环境监管，按照国家《危险废物规范化管理指标体系》落实危险废物内部管理制度、台账制度、申报登记等制度。加强危险废物收集处置与利用能力建设，建立健全危险废物分类投放、分类收集、分类运输、分类处置体系，强化危险废物安全管控。到2025年，工业固体废弃物综合利用率达到95%，危险废物安全处置率稳定在100%。</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rPr>
      </w:pPr>
      <w:bookmarkStart w:id="74" w:name="_Toc152315085"/>
      <w:r>
        <w:rPr>
          <w:rFonts w:hint="eastAsia" w:ascii="仿宋_GB2312" w:hAnsi="仿宋_GB2312" w:eastAsia="仿宋_GB2312" w:cs="仿宋_GB2312"/>
          <w:b/>
          <w:bCs/>
        </w:rPr>
        <w:t>5</w:t>
      </w:r>
      <w:r>
        <w:rPr>
          <w:rFonts w:hint="eastAsia" w:ascii="仿宋_GB2312" w:hAnsi="仿宋_GB2312" w:eastAsia="仿宋_GB2312" w:cs="仿宋_GB2312"/>
          <w:b/>
          <w:bCs/>
          <w:lang w:val="en-US"/>
        </w:rPr>
        <w:t>.</w:t>
      </w:r>
      <w:r>
        <w:rPr>
          <w:rFonts w:hint="eastAsia" w:ascii="仿宋_GB2312" w:hAnsi="仿宋_GB2312" w:eastAsia="仿宋_GB2312" w:cs="仿宋_GB2312"/>
          <w:b/>
          <w:bCs/>
        </w:rPr>
        <w:t>加快探索无废城市建设</w:t>
      </w:r>
      <w:bookmarkEnd w:id="74"/>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强化生活垃圾源头减量。</w:t>
      </w:r>
      <w:r>
        <w:rPr>
          <w:rFonts w:hint="eastAsia"/>
        </w:rPr>
        <w:t>建立健全政府、社区、企业和居民协调机制，加强生活垃圾总量控制，建立分类投放、分类收集、分类运输和分类处置的运行体系。构建垃圾收储运体系，实现全区生活垃圾减量化、无害化处理设施全覆盖。推进餐厨垃圾无害化处理和资源化利用，扩大餐厨垃圾收运处理一体化服务，提升餐厨垃圾处理技术水平。探索餐厨垃圾（含厨余垃圾等湿垃圾）一体化处理和资源化利用模式。</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促进工业固废资源化利用。</w:t>
      </w:r>
      <w:r>
        <w:rPr>
          <w:rFonts w:hint="eastAsia"/>
        </w:rPr>
        <w:t>鼓励推进企业开展绿色转型，优化配置各类资源，实施“补链、强链、延链”工程，构建循环经济产业链，实现项目间、企业间和产业间物料闭路循环。在航空装备、汽车零部件等产业方面，引入产业链工业副产物交换利用、工业固废综合循环利用等项目，打造循环经济产业链，消纳产业园区企业生产过程中产生的工业固体废物，促进园区废弃资源的高效利用和循环利用。</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加强建筑垃圾资源化利用。</w:t>
      </w:r>
      <w:r>
        <w:rPr>
          <w:rFonts w:hint="eastAsia"/>
        </w:rPr>
        <w:t>推进建筑垃圾分类分流利用与处置，加快建筑垃圾资源化处理厂及建筑垃圾消纳填埋场布局及能力优化提升。推动实施固定式处置设施、移动式处置设施和现场就地处置设施相结合的建筑垃圾资源化利用模式。推进装配式建筑技术发展与应用，推广建筑垃圾再生产品的应用。完善建筑废弃物限额排放制度，推行排放核准、电子联单、污染者付费、信用管理等制度及源头责任、生态补偿机制。大力发展绿色建筑，推广装配式建筑应用，鼓励绿色施工、绿色装修，推行建筑绿色节能改造，提升建筑质量及耐久性，推动建筑垃圾源头减量。</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构建固体废物智慧监管体系。</w:t>
      </w:r>
      <w:r>
        <w:rPr>
          <w:rFonts w:hint="eastAsia"/>
        </w:rPr>
        <w:t>持续提升固体废物信息化监管能力和水平，建立固体废物收储运及处理处置智慧化监管平台，运用物联网、大数据、云计算、人工智能等信息技术，通过数字化收运联单、运输车辆监管、视频监控及智能化终端等手段，持续提升全市固体废物管理信息系统覆盖面，全面实现固体废物申报、登记、转移信息化管理，落实固体废物监管数据与行政司法机关互联共享机制，实现固废废物的产生、贮存、运输、处理、处置全过程闭环智慧化信息化监管。</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仿宋_GB2312" w:hAnsi="仿宋_GB2312" w:eastAsia="仿宋_GB2312" w:cs="仿宋_GB2312"/>
          <w:b/>
          <w:bCs/>
        </w:rPr>
      </w:pPr>
      <w:bookmarkStart w:id="75" w:name="_Toc152315086"/>
      <w:r>
        <w:rPr>
          <w:rFonts w:hint="eastAsia" w:ascii="仿宋_GB2312" w:hAnsi="仿宋_GB2312" w:eastAsia="仿宋_GB2312" w:cs="仿宋_GB2312"/>
          <w:b/>
          <w:bCs/>
        </w:rPr>
        <w:t>6</w:t>
      </w:r>
      <w:r>
        <w:rPr>
          <w:rFonts w:hint="default" w:ascii="仿宋_GB2312" w:hAnsi="仿宋_GB2312" w:cs="仿宋_GB2312"/>
          <w:b/>
          <w:bCs/>
          <w:lang w:val="en-US"/>
        </w:rPr>
        <w:t>.</w:t>
      </w:r>
      <w:r>
        <w:rPr>
          <w:rFonts w:hint="eastAsia" w:ascii="仿宋_GB2312" w:hAnsi="仿宋_GB2312" w:eastAsia="仿宋_GB2312" w:cs="仿宋_GB2312"/>
          <w:b/>
          <w:bCs/>
        </w:rPr>
        <w:t>严防严控生态环境风险</w:t>
      </w:r>
      <w:bookmarkEnd w:id="75"/>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建立环境风险防控体系。</w:t>
      </w:r>
      <w:r>
        <w:rPr>
          <w:rFonts w:hint="eastAsia"/>
        </w:rPr>
        <w:t>完善环境风险管理制度，推进环境风险全过程管理，完善事前严防、事中严管、事后处置的全过程、多层级风险防范体系。建立风险防范预案和联动管控机制，加强突发环境事件调查、突发环境事件环境影响和损失评估。强化环境风险预警，完善环境风险源、敏感目标、环境应急能力及环境应急预案等数据库。建立环境事故处置和损坏赔偿制度。加大环境污染责任追究制和全过程行政问责，健全高环境风险企业强制保险制度和环境损害赔偿制度，最大力度减少突发环境事件。</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b/>
          <w:bCs/>
        </w:rPr>
      </w:pPr>
      <w:r>
        <w:rPr>
          <w:rFonts w:hint="eastAsia"/>
          <w:b/>
        </w:rPr>
        <w:t>提升环境应急响应能力。</w:t>
      </w:r>
      <w:r>
        <w:rPr>
          <w:rFonts w:hint="eastAsia"/>
          <w:bCs/>
        </w:rPr>
        <w:t>健全危险废物应急处置体系，建立突发环境事件危险废物应急处置的管理队伍及专家队伍。开展重点行业危险废物环境风险评估，强化全市危险废物环境风险管控。增加应急物资储备，增强应急响应能力，有针对性开展工业固体废物突发环境污染事故应急演练。完善环境应急监测技术方法和设备，全面提升应急监测能力。建立环境应急专业物资储备库，提高应急综合保障能力。</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b/>
        </w:rPr>
        <w:t>完善全过程环境风险监管</w:t>
      </w:r>
      <w:r>
        <w:rPr>
          <w:rFonts w:hint="eastAsia"/>
          <w:b/>
        </w:rPr>
        <w:t>。</w:t>
      </w:r>
      <w:r>
        <w:rPr>
          <w:rFonts w:hint="eastAsia"/>
          <w:bCs/>
        </w:rPr>
        <w:t>持续推进危险废物规范化环境管理，构建“源头严防、过程严管、后果严惩”的危险废物全过程监管体系。加强危险废物环境管理信息化建设，充分利用危险废物监管平台的预警功能，及时掌握危险废物超期贮存情况，并采取相应措施。</w:t>
      </w:r>
      <w:r>
        <w:rPr>
          <w:rFonts w:hint="eastAsia"/>
        </w:rPr>
        <w:t>加强危险废物贮存及转运处置全过程管控，持续完善小微产废单位危险废物收集体系建设，强化废弃危险化学品管控。强化工业固废堆存场所环境风险防范。有针对性开展工业固体废物突发环境污染事故应急演练。提升昌南工业园区的环境风险防控水平，增加应急物资储备，增强应急响应能力。开展重点行业危险废物环境风险评估，强化全市危险废物环境风险管控。</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rPr>
        <w:t>补齐医疗废物处置与应急能力短板。</w:t>
      </w:r>
      <w:r>
        <w:rPr>
          <w:rFonts w:hint="eastAsia"/>
        </w:rPr>
        <w:t>加强医疗废物收集处置设施建设，提升城区医疗废物处置能力，确保基本覆盖各级各类医疗机构。完善医疗废物应急处置响应机制，健全医疗废物应急处置物资储备体系，建立协同应急处置设施清单并动态更新，健全和提升应急处置机制与能力。</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rPr>
      </w:pPr>
      <w:r>
        <w:rPr>
          <w:rFonts w:hint="eastAsia"/>
          <w:b/>
        </w:rPr>
        <w:t>强化核与辐射环境安全监管。</w:t>
      </w:r>
      <w:r>
        <w:rPr>
          <w:rFonts w:hint="eastAsia"/>
        </w:rPr>
        <w:t>提高辐射安全水平、推进放射性污染防治。完善辐射事故应急体系，积极开展辐射事故应急综合演练，提高辐射事故应急响应和处置能力。强化核技术利用单位的例行检查，加强重点监管单位的专项检查和抽查，严格敏感时期对重点单位的监控。严格废旧放射源监管要求，加大闲置、废弃放射源的送贮（含返回原生产单位）力度，确保废放射源得到安全妥善处置。</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noWrap w:val="0"/>
            <w:vAlign w:val="top"/>
          </w:tcPr>
          <w:p>
            <w:pPr>
              <w:jc w:val="center"/>
              <w:rPr>
                <w:rFonts w:eastAsia="黑体"/>
                <w:color w:val="0000FF"/>
                <w:kern w:val="0"/>
                <w:sz w:val="24"/>
                <w:szCs w:val="24"/>
              </w:rPr>
            </w:pPr>
            <w:r>
              <w:rPr>
                <w:rFonts w:eastAsia="黑体"/>
                <w:color w:val="000000"/>
              </w:rPr>
              <w:t>专栏</w:t>
            </w:r>
            <w:r>
              <w:rPr>
                <w:rFonts w:hint="eastAsia" w:eastAsia="黑体"/>
                <w:color w:val="000000"/>
              </w:rPr>
              <w:t xml:space="preserve">2 </w:t>
            </w:r>
            <w:r>
              <w:rPr>
                <w:rFonts w:eastAsia="黑体"/>
                <w:color w:val="000000"/>
              </w:rPr>
              <w:t>生态</w:t>
            </w:r>
            <w:r>
              <w:rPr>
                <w:rFonts w:hint="eastAsia" w:eastAsia="黑体"/>
                <w:color w:val="000000"/>
              </w:rPr>
              <w:t>安全</w:t>
            </w:r>
            <w:r>
              <w:rPr>
                <w:rFonts w:eastAsia="黑体"/>
                <w:color w:val="000000"/>
              </w:rPr>
              <w:t>体系建设重点工程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noWrap w:val="0"/>
            <w:vAlign w:val="top"/>
          </w:tcPr>
          <w:p>
            <w:pPr>
              <w:pStyle w:val="17"/>
              <w:keepNext w:val="0"/>
              <w:keepLines w:val="0"/>
              <w:pageBreakBefore w:val="0"/>
              <w:widowControl w:val="0"/>
              <w:numPr>
                <w:ilvl w:val="0"/>
                <w:numId w:val="2"/>
              </w:numPr>
              <w:kinsoku/>
              <w:wordWrap/>
              <w:overflowPunct w:val="0"/>
              <w:topLinePunct w:val="0"/>
              <w:autoSpaceDE w:val="0"/>
              <w:autoSpaceDN w:val="0"/>
              <w:bidi w:val="0"/>
              <w:adjustRightInd w:val="0"/>
              <w:snapToGrid/>
              <w:spacing w:line="240" w:lineRule="auto"/>
              <w:ind w:left="374" w:leftChars="0" w:hanging="374" w:firstLineChars="0"/>
              <w:textAlignment w:val="baseline"/>
              <w:rPr>
                <w:sz w:val="24"/>
                <w:szCs w:val="24"/>
              </w:rPr>
            </w:pPr>
            <w:r>
              <w:rPr>
                <w:rFonts w:hint="eastAsia"/>
                <w:b/>
                <w:bCs/>
                <w:sz w:val="24"/>
                <w:szCs w:val="24"/>
              </w:rPr>
              <w:t>城区湖渠水质提升项目：</w:t>
            </w:r>
            <w:r>
              <w:rPr>
                <w:rFonts w:hint="eastAsia"/>
                <w:sz w:val="24"/>
                <w:szCs w:val="24"/>
              </w:rPr>
              <w:t>完善城区管网系统、雨污分流、控源截污、直排污水原位处理，清淤疏浚，建设人工湿地、水生植物塘，活水补给，水华藻类控制，恢复土著水生生物；</w:t>
            </w:r>
          </w:p>
          <w:p>
            <w:pPr>
              <w:pStyle w:val="17"/>
              <w:keepNext w:val="0"/>
              <w:keepLines w:val="0"/>
              <w:pageBreakBefore w:val="0"/>
              <w:widowControl w:val="0"/>
              <w:numPr>
                <w:ilvl w:val="0"/>
                <w:numId w:val="2"/>
              </w:numPr>
              <w:kinsoku/>
              <w:wordWrap/>
              <w:overflowPunct w:val="0"/>
              <w:topLinePunct w:val="0"/>
              <w:autoSpaceDE w:val="0"/>
              <w:autoSpaceDN w:val="0"/>
              <w:bidi w:val="0"/>
              <w:adjustRightInd w:val="0"/>
              <w:snapToGrid/>
              <w:spacing w:line="240" w:lineRule="auto"/>
              <w:ind w:left="374" w:leftChars="0" w:hanging="374" w:firstLineChars="0"/>
              <w:textAlignment w:val="baseline"/>
              <w:rPr>
                <w:sz w:val="24"/>
                <w:szCs w:val="24"/>
              </w:rPr>
            </w:pPr>
            <w:r>
              <w:rPr>
                <w:rFonts w:hint="eastAsia"/>
                <w:b/>
                <w:bCs/>
                <w:sz w:val="24"/>
                <w:szCs w:val="24"/>
              </w:rPr>
              <w:t>主要河流水生态调查与评估项目：</w:t>
            </w:r>
            <w:r>
              <w:rPr>
                <w:rFonts w:hint="eastAsia"/>
                <w:sz w:val="24"/>
                <w:szCs w:val="24"/>
              </w:rPr>
              <w:t>对城市内湖、抚河西支相关水系流域的水生态系统开展调查评估；</w:t>
            </w:r>
          </w:p>
          <w:p>
            <w:pPr>
              <w:pStyle w:val="17"/>
              <w:keepNext w:val="0"/>
              <w:keepLines w:val="0"/>
              <w:pageBreakBefore w:val="0"/>
              <w:widowControl w:val="0"/>
              <w:numPr>
                <w:ilvl w:val="0"/>
                <w:numId w:val="2"/>
              </w:numPr>
              <w:kinsoku/>
              <w:wordWrap/>
              <w:overflowPunct w:val="0"/>
              <w:topLinePunct w:val="0"/>
              <w:autoSpaceDE w:val="0"/>
              <w:autoSpaceDN w:val="0"/>
              <w:bidi w:val="0"/>
              <w:adjustRightInd w:val="0"/>
              <w:snapToGrid/>
              <w:spacing w:line="240" w:lineRule="auto"/>
              <w:ind w:left="374" w:leftChars="0" w:hanging="374" w:firstLineChars="0"/>
              <w:textAlignment w:val="baseline"/>
              <w:rPr>
                <w:sz w:val="24"/>
                <w:szCs w:val="24"/>
              </w:rPr>
            </w:pPr>
            <w:r>
              <w:rPr>
                <w:rFonts w:hint="eastAsia"/>
                <w:b/>
                <w:bCs/>
                <w:sz w:val="24"/>
                <w:szCs w:val="24"/>
              </w:rPr>
              <w:t>老工业地置换土壤调查与风险评估：</w:t>
            </w:r>
            <w:r>
              <w:rPr>
                <w:rFonts w:hint="eastAsia"/>
                <w:sz w:val="24"/>
                <w:szCs w:val="24"/>
              </w:rPr>
              <w:t>开展全区老工业置换土壤调查与风险评估项目；</w:t>
            </w:r>
          </w:p>
          <w:p>
            <w:pPr>
              <w:pStyle w:val="17"/>
              <w:keepNext w:val="0"/>
              <w:keepLines w:val="0"/>
              <w:pageBreakBefore w:val="0"/>
              <w:widowControl w:val="0"/>
              <w:numPr>
                <w:ilvl w:val="0"/>
                <w:numId w:val="2"/>
              </w:numPr>
              <w:kinsoku/>
              <w:wordWrap/>
              <w:overflowPunct w:val="0"/>
              <w:topLinePunct w:val="0"/>
              <w:autoSpaceDE w:val="0"/>
              <w:autoSpaceDN w:val="0"/>
              <w:bidi w:val="0"/>
              <w:adjustRightInd w:val="0"/>
              <w:snapToGrid/>
              <w:spacing w:line="240" w:lineRule="auto"/>
              <w:ind w:left="374" w:leftChars="0" w:hanging="374" w:firstLineChars="0"/>
              <w:textAlignment w:val="baseline"/>
              <w:rPr>
                <w:sz w:val="24"/>
                <w:szCs w:val="24"/>
              </w:rPr>
            </w:pPr>
            <w:r>
              <w:rPr>
                <w:rFonts w:hint="eastAsia"/>
                <w:b/>
                <w:bCs/>
                <w:sz w:val="24"/>
                <w:szCs w:val="24"/>
              </w:rPr>
              <w:t>工业固废综合处理项目：</w:t>
            </w:r>
            <w:r>
              <w:rPr>
                <w:rFonts w:hint="eastAsia"/>
                <w:sz w:val="24"/>
                <w:szCs w:val="24"/>
              </w:rPr>
              <w:t>开展工业固废综合利用处理项目建设；</w:t>
            </w:r>
          </w:p>
          <w:p>
            <w:pPr>
              <w:pStyle w:val="17"/>
              <w:keepNext w:val="0"/>
              <w:keepLines w:val="0"/>
              <w:pageBreakBefore w:val="0"/>
              <w:widowControl w:val="0"/>
              <w:numPr>
                <w:ilvl w:val="0"/>
                <w:numId w:val="2"/>
              </w:numPr>
              <w:kinsoku/>
              <w:wordWrap/>
              <w:overflowPunct w:val="0"/>
              <w:topLinePunct w:val="0"/>
              <w:autoSpaceDE w:val="0"/>
              <w:autoSpaceDN w:val="0"/>
              <w:bidi w:val="0"/>
              <w:adjustRightInd w:val="0"/>
              <w:snapToGrid/>
              <w:spacing w:line="240" w:lineRule="auto"/>
              <w:ind w:left="374" w:leftChars="0" w:hanging="374" w:firstLineChars="0"/>
              <w:textAlignment w:val="baseline"/>
              <w:rPr>
                <w:sz w:val="24"/>
                <w:szCs w:val="24"/>
              </w:rPr>
            </w:pPr>
            <w:r>
              <w:rPr>
                <w:rFonts w:hint="eastAsia"/>
                <w:b/>
                <w:bCs/>
                <w:sz w:val="24"/>
                <w:szCs w:val="24"/>
              </w:rPr>
              <w:t>城市环境空气质量监测系统建设项目：</w:t>
            </w:r>
            <w:r>
              <w:rPr>
                <w:rFonts w:hint="eastAsia"/>
                <w:sz w:val="24"/>
                <w:szCs w:val="24"/>
              </w:rPr>
              <w:t>建设机动车尾气遥感监测系统，建设黑烟车视频抓拍系统，建设柴油车和非道路移动机械远程在线监控系统，建设移动源综合监管平台；购入微型颗粒物走航监测设备和配套软件；应用颗粒物激光雷达、臭氧雷达遥感监测；建设大气组分监测站；采购环境空气挥发性有机物便携式设备；</w:t>
            </w:r>
          </w:p>
          <w:p>
            <w:pPr>
              <w:pStyle w:val="17"/>
              <w:keepNext w:val="0"/>
              <w:keepLines w:val="0"/>
              <w:pageBreakBefore w:val="0"/>
              <w:widowControl w:val="0"/>
              <w:numPr>
                <w:ilvl w:val="0"/>
                <w:numId w:val="2"/>
              </w:numPr>
              <w:kinsoku/>
              <w:wordWrap/>
              <w:overflowPunct w:val="0"/>
              <w:topLinePunct w:val="0"/>
              <w:autoSpaceDE w:val="0"/>
              <w:autoSpaceDN w:val="0"/>
              <w:bidi w:val="0"/>
              <w:adjustRightInd w:val="0"/>
              <w:snapToGrid/>
              <w:spacing w:line="240" w:lineRule="auto"/>
              <w:ind w:left="374" w:leftChars="0" w:hanging="374" w:firstLineChars="0"/>
              <w:textAlignment w:val="baseline"/>
              <w:rPr>
                <w:sz w:val="24"/>
                <w:szCs w:val="24"/>
              </w:rPr>
            </w:pPr>
            <w:r>
              <w:rPr>
                <w:rFonts w:hint="eastAsia"/>
                <w:b/>
                <w:bCs/>
                <w:sz w:val="24"/>
                <w:szCs w:val="24"/>
              </w:rPr>
              <w:t>餐饮油烟综合整治工程项目：</w:t>
            </w:r>
            <w:r>
              <w:rPr>
                <w:rFonts w:hint="eastAsia"/>
                <w:sz w:val="24"/>
                <w:szCs w:val="24"/>
              </w:rPr>
              <w:t>计划引入第三方给大型餐饮企业提供油烟综合整治服务，提升餐饮油烟综合治理水平；</w:t>
            </w:r>
          </w:p>
          <w:p>
            <w:pPr>
              <w:pStyle w:val="17"/>
              <w:keepNext w:val="0"/>
              <w:keepLines w:val="0"/>
              <w:pageBreakBefore w:val="0"/>
              <w:widowControl w:val="0"/>
              <w:numPr>
                <w:ilvl w:val="0"/>
                <w:numId w:val="2"/>
              </w:numPr>
              <w:kinsoku/>
              <w:wordWrap/>
              <w:overflowPunct w:val="0"/>
              <w:topLinePunct w:val="0"/>
              <w:autoSpaceDE w:val="0"/>
              <w:autoSpaceDN w:val="0"/>
              <w:bidi w:val="0"/>
              <w:adjustRightInd w:val="0"/>
              <w:snapToGrid/>
              <w:spacing w:line="240" w:lineRule="auto"/>
              <w:ind w:left="374" w:leftChars="0" w:hanging="374" w:firstLineChars="0"/>
              <w:textAlignment w:val="baseline"/>
              <w:rPr>
                <w:sz w:val="24"/>
                <w:szCs w:val="24"/>
              </w:rPr>
            </w:pPr>
            <w:r>
              <w:rPr>
                <w:rFonts w:hint="eastAsia"/>
                <w:b/>
                <w:bCs/>
                <w:sz w:val="24"/>
                <w:szCs w:val="24"/>
              </w:rPr>
              <w:t>臭氧污染来源解析与精细管控项目：</w:t>
            </w:r>
            <w:r>
              <w:rPr>
                <w:rFonts w:hint="eastAsia"/>
                <w:sz w:val="24"/>
                <w:szCs w:val="24"/>
              </w:rPr>
              <w:t>精准分析臭氧污染成因，识别与前体物VOC</w:t>
            </w:r>
            <w:r>
              <w:rPr>
                <w:sz w:val="24"/>
                <w:szCs w:val="24"/>
                <w:vertAlign w:val="subscript"/>
              </w:rPr>
              <w:t>s</w:t>
            </w:r>
            <w:r>
              <w:rPr>
                <w:rFonts w:hint="eastAsia"/>
                <w:sz w:val="24"/>
                <w:szCs w:val="24"/>
              </w:rPr>
              <w:t>和NO</w:t>
            </w:r>
            <w:r>
              <w:rPr>
                <w:sz w:val="24"/>
                <w:szCs w:val="24"/>
                <w:vertAlign w:val="subscript"/>
              </w:rPr>
              <w:t>x</w:t>
            </w:r>
            <w:r>
              <w:rPr>
                <w:rFonts w:hint="eastAsia"/>
                <w:sz w:val="24"/>
                <w:szCs w:val="24"/>
              </w:rPr>
              <w:t>的特征规律；应用科学观测方法获取本地VOC</w:t>
            </w:r>
            <w:r>
              <w:rPr>
                <w:sz w:val="24"/>
                <w:szCs w:val="24"/>
                <w:vertAlign w:val="subscript"/>
              </w:rPr>
              <w:t>s</w:t>
            </w:r>
            <w:r>
              <w:rPr>
                <w:rFonts w:hint="eastAsia"/>
                <w:sz w:val="24"/>
                <w:szCs w:val="24"/>
              </w:rPr>
              <w:t>时空分布特征，集成多模式模型算法构建臭氧预警和来源识别精细化管理决策支撑平台；动态实时更新VOC</w:t>
            </w:r>
            <w:r>
              <w:rPr>
                <w:sz w:val="24"/>
                <w:szCs w:val="24"/>
                <w:vertAlign w:val="subscript"/>
              </w:rPr>
              <w:t>s</w:t>
            </w:r>
            <w:r>
              <w:rPr>
                <w:rFonts w:hint="eastAsia"/>
                <w:sz w:val="24"/>
                <w:szCs w:val="24"/>
              </w:rPr>
              <w:t>排放源清单，为臭氧污染管控提供基础；建立臭氧防治专项资金库，支持各类臭氧解析、数据分析工程、科学研究以及VOC</w:t>
            </w:r>
            <w:r>
              <w:rPr>
                <w:sz w:val="24"/>
                <w:szCs w:val="24"/>
                <w:vertAlign w:val="subscript"/>
              </w:rPr>
              <w:t>s</w:t>
            </w:r>
            <w:r>
              <w:rPr>
                <w:rFonts w:hint="eastAsia"/>
                <w:sz w:val="24"/>
                <w:szCs w:val="24"/>
              </w:rPr>
              <w:t>深度治理工程；</w:t>
            </w:r>
          </w:p>
          <w:p>
            <w:pPr>
              <w:pStyle w:val="17"/>
              <w:keepNext w:val="0"/>
              <w:keepLines w:val="0"/>
              <w:pageBreakBefore w:val="0"/>
              <w:widowControl w:val="0"/>
              <w:numPr>
                <w:ilvl w:val="0"/>
                <w:numId w:val="2"/>
              </w:numPr>
              <w:kinsoku/>
              <w:wordWrap/>
              <w:overflowPunct w:val="0"/>
              <w:topLinePunct w:val="0"/>
              <w:autoSpaceDE w:val="0"/>
              <w:autoSpaceDN w:val="0"/>
              <w:bidi w:val="0"/>
              <w:adjustRightInd w:val="0"/>
              <w:snapToGrid/>
              <w:spacing w:line="240" w:lineRule="auto"/>
              <w:ind w:left="374" w:leftChars="0" w:hanging="374" w:firstLineChars="0"/>
              <w:textAlignment w:val="baseline"/>
              <w:rPr>
                <w:sz w:val="24"/>
                <w:szCs w:val="24"/>
              </w:rPr>
            </w:pPr>
            <w:r>
              <w:rPr>
                <w:rFonts w:hint="eastAsia"/>
                <w:b/>
                <w:bCs/>
                <w:sz w:val="24"/>
                <w:szCs w:val="24"/>
              </w:rPr>
              <w:t>江河湖库水环境监测与风险监控预警体系建设工程项目：</w:t>
            </w:r>
            <w:r>
              <w:rPr>
                <w:rFonts w:hint="eastAsia"/>
                <w:sz w:val="24"/>
                <w:szCs w:val="24"/>
              </w:rPr>
              <w:t>在主要湖泊、水质断面建设水质自动监测站，建立相应水环境管理系统。</w:t>
            </w:r>
          </w:p>
        </w:tc>
      </w:tr>
      <w:bookmarkEnd w:id="47"/>
    </w:tbl>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楷体_GB2312" w:hAnsi="楷体_GB2312" w:eastAsia="楷体_GB2312" w:cs="楷体_GB2312"/>
          <w:b/>
          <w:bCs/>
        </w:rPr>
      </w:pPr>
      <w:bookmarkStart w:id="76" w:name="_Toc151983641"/>
      <w:bookmarkStart w:id="77" w:name="_Toc80087532"/>
      <w:bookmarkStart w:id="78" w:name="_Toc142642734"/>
      <w:bookmarkStart w:id="79" w:name="_Toc152315087"/>
      <w:bookmarkStart w:id="80" w:name="_Toc151982402"/>
      <w:r>
        <w:rPr>
          <w:rFonts w:hint="eastAsia" w:ascii="楷体_GB2312" w:hAnsi="楷体_GB2312" w:eastAsia="楷体_GB2312" w:cs="楷体_GB2312"/>
          <w:b/>
          <w:bCs/>
        </w:rPr>
        <w:t>（三）生态空间体系建设</w:t>
      </w:r>
      <w:bookmarkEnd w:id="76"/>
      <w:bookmarkEnd w:id="77"/>
      <w:bookmarkEnd w:id="78"/>
      <w:bookmarkEnd w:id="79"/>
      <w:bookmarkEnd w:id="80"/>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rPr>
      </w:pPr>
      <w:bookmarkStart w:id="81" w:name="_Toc151982403"/>
      <w:bookmarkStart w:id="82" w:name="_Toc151983642"/>
      <w:bookmarkStart w:id="83" w:name="_Toc152315088"/>
      <w:bookmarkStart w:id="84" w:name="_Toc142642735"/>
      <w:bookmarkStart w:id="85" w:name="_Toc80087533"/>
      <w:r>
        <w:rPr>
          <w:rFonts w:hint="eastAsia" w:ascii="仿宋_GB2312" w:hAnsi="仿宋_GB2312" w:eastAsia="仿宋_GB2312" w:cs="仿宋_GB2312"/>
          <w:b/>
          <w:bCs/>
        </w:rPr>
        <w:t>1</w:t>
      </w:r>
      <w:r>
        <w:rPr>
          <w:rFonts w:hint="eastAsia" w:ascii="仿宋_GB2312" w:hAnsi="仿宋_GB2312" w:eastAsia="仿宋_GB2312" w:cs="仿宋_GB2312"/>
          <w:b/>
          <w:bCs/>
          <w:lang w:val="en-US"/>
        </w:rPr>
        <w:t>.</w:t>
      </w:r>
      <w:r>
        <w:rPr>
          <w:rFonts w:hint="eastAsia" w:ascii="仿宋_GB2312" w:hAnsi="仿宋_GB2312" w:eastAsia="仿宋_GB2312" w:cs="仿宋_GB2312"/>
          <w:b/>
          <w:bCs/>
        </w:rPr>
        <w:t>强化国土空间规划</w:t>
      </w:r>
      <w:bookmarkEnd w:id="81"/>
      <w:bookmarkEnd w:id="82"/>
      <w:bookmarkEnd w:id="83"/>
    </w:p>
    <w:bookmarkEnd w:id="84"/>
    <w:bookmarkEnd w:id="85"/>
    <w:p>
      <w:pPr>
        <w:pStyle w:val="3"/>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落实《江西省国土空间规划（2021-2035年）》《南昌市国土空间总体规划（2021-2035年）》，统筹融合生产、生活、生态三大空间，严守城镇开发边界控制线。严格按照主体功能定位进行各类开发活动，严禁任意改变土地用途。按照城镇开发建设管控导向，重点完善城镇功能的区域边界，科学划定城镇集中建设区、城镇弹性发展区和特别用途区，边界外原则上不得进行城镇集中建设。</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rPr>
      </w:pPr>
      <w:bookmarkStart w:id="86" w:name="_Toc145331634"/>
      <w:bookmarkStart w:id="87" w:name="_Hlk145339324"/>
      <w:bookmarkStart w:id="88" w:name="_Toc152315089"/>
      <w:r>
        <w:rPr>
          <w:rFonts w:hint="eastAsia" w:ascii="仿宋_GB2312" w:hAnsi="仿宋_GB2312" w:eastAsia="仿宋_GB2312" w:cs="仿宋_GB2312"/>
          <w:b/>
          <w:bCs/>
        </w:rPr>
        <w:t>2</w:t>
      </w:r>
      <w:r>
        <w:rPr>
          <w:rFonts w:hint="default" w:ascii="仿宋_GB2312" w:hAnsi="仿宋_GB2312" w:cs="仿宋_GB2312"/>
          <w:b/>
          <w:bCs/>
          <w:lang w:val="en-US"/>
        </w:rPr>
        <w:t>.</w:t>
      </w:r>
      <w:r>
        <w:rPr>
          <w:rFonts w:hint="eastAsia" w:ascii="仿宋_GB2312" w:hAnsi="仿宋_GB2312" w:eastAsia="仿宋_GB2312" w:cs="仿宋_GB2312"/>
          <w:b/>
          <w:bCs/>
        </w:rPr>
        <w:t>优化国土空间格局</w:t>
      </w:r>
      <w:bookmarkEnd w:id="86"/>
      <w:bookmarkEnd w:id="87"/>
      <w:bookmarkEnd w:id="88"/>
    </w:p>
    <w:p>
      <w:pPr>
        <w:pStyle w:val="3"/>
        <w:keepNext w:val="0"/>
        <w:keepLines w:val="0"/>
        <w:pageBreakBefore w:val="0"/>
        <w:widowControl w:val="0"/>
        <w:kinsoku/>
        <w:wordWrap/>
        <w:overflowPunct/>
        <w:topLinePunct w:val="0"/>
        <w:autoSpaceDE/>
        <w:autoSpaceDN/>
        <w:bidi w:val="0"/>
        <w:adjustRightInd/>
        <w:snapToGrid/>
        <w:spacing w:after="0" w:line="560" w:lineRule="exact"/>
        <w:ind w:firstLine="561"/>
        <w:textAlignment w:val="auto"/>
      </w:pPr>
      <w:bookmarkStart w:id="89" w:name="_Hlk145339338"/>
      <w:bookmarkStart w:id="90" w:name="_Hlk96008040"/>
      <w:r>
        <w:rPr>
          <w:b/>
          <w:bCs/>
        </w:rPr>
        <w:t>构建生态</w:t>
      </w:r>
      <w:r>
        <w:rPr>
          <w:rFonts w:hint="eastAsia"/>
          <w:b/>
          <w:bCs/>
        </w:rPr>
        <w:t>空间</w:t>
      </w:r>
      <w:r>
        <w:rPr>
          <w:b/>
          <w:bCs/>
        </w:rPr>
        <w:t>格局。</w:t>
      </w:r>
      <w:r>
        <w:t>依托河湖湿地等自然本底，构建</w:t>
      </w:r>
      <w:r>
        <w:rPr>
          <w:rFonts w:hint="eastAsia"/>
        </w:rPr>
        <w:t>筑牢“一带”的空间布局，打造生态人文都市区。“一带”即梅湖·象湖生态文化旅游带，主要包括八大山人梅湖景区、象湖景区、花博园等周边区块。依托八大山人梅湖、象湖景区丰富的生态人文资源，对梅湖、象湖、花博园资源进行充分整合，空间进行合理布局，融入八大山人相关人文、生态、旅游特色元素，着力布局文化创意、工艺美术、教育培训、文化研究、博物馆、文化会展、休闲娱乐等，打造集梅湖艺术体验带、象湖生态休闲带为一体的青云谱区生态文化旅游带，形成全市“北看海昏侯汉代文化、中看滕王阁唐代文化、南看八大山人明清文化”格局中青云谱重要一极，将青云谱打造成为独具风韵的生态文化旅游休闲新高地。</w:t>
      </w:r>
    </w:p>
    <w:p>
      <w:pPr>
        <w:keepNext w:val="0"/>
        <w:keepLines w:val="0"/>
        <w:pageBreakBefore w:val="0"/>
        <w:widowControl w:val="0"/>
        <w:kinsoku/>
        <w:wordWrap/>
        <w:overflowPunct/>
        <w:topLinePunct w:val="0"/>
        <w:autoSpaceDE/>
        <w:autoSpaceDN/>
        <w:bidi w:val="0"/>
        <w:adjustRightInd/>
        <w:snapToGrid/>
        <w:spacing w:line="560" w:lineRule="exact"/>
        <w:ind w:firstLine="561"/>
        <w:textAlignment w:val="auto"/>
      </w:pPr>
      <w:r>
        <w:rPr>
          <w:b/>
          <w:bCs/>
        </w:rPr>
        <w:t>优化</w:t>
      </w:r>
      <w:r>
        <w:rPr>
          <w:rFonts w:hint="eastAsia"/>
          <w:b/>
          <w:bCs/>
        </w:rPr>
        <w:t>产业</w:t>
      </w:r>
      <w:r>
        <w:rPr>
          <w:b/>
          <w:bCs/>
        </w:rPr>
        <w:t>空间布局。</w:t>
      </w:r>
      <w:r>
        <w:rPr>
          <w:rFonts w:hint="eastAsia"/>
        </w:rPr>
        <w:t>围绕建设成为产业创新未来城的目标，努力打造全国老工业转型示范区、全省军民融合样板区、全市产城融合发展极，构建“一核三区”的空间布局。“一核”即洪都新城核心区，主要包括洪都老厂区、广州路以北等周边区块，辐射青云谱镇。新经济产业集聚区。“三区”即新经济产业集聚区、现代商务商贸带动区、总部经济创新发展引领区，新经济产业集聚区主要包括广州路以南等地块，现代商务商贸带动主要包括十字街、井冈山大道、京山街道、徐坊街道等地块，总部经济创新发展引领区主要包括江铃老厂区、江联老厂区、迎宾大道及其周边区块。</w:t>
      </w:r>
    </w:p>
    <w:bookmarkEnd w:id="89"/>
    <w:bookmarkEnd w:id="90"/>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rPr>
      </w:pPr>
      <w:bookmarkStart w:id="91" w:name="_Toc152315090"/>
      <w:bookmarkStart w:id="92" w:name="_Toc142642736"/>
      <w:bookmarkStart w:id="93" w:name="_Toc80087534"/>
      <w:r>
        <w:rPr>
          <w:rFonts w:hint="eastAsia" w:ascii="仿宋_GB2312" w:hAnsi="仿宋_GB2312" w:eastAsia="仿宋_GB2312" w:cs="仿宋_GB2312"/>
          <w:b/>
          <w:bCs/>
        </w:rPr>
        <w:t>3</w:t>
      </w:r>
      <w:r>
        <w:rPr>
          <w:rFonts w:hint="default" w:ascii="仿宋_GB2312" w:hAnsi="仿宋_GB2312" w:cs="仿宋_GB2312"/>
          <w:b/>
          <w:bCs/>
          <w:lang w:val="en-US"/>
        </w:rPr>
        <w:t>.</w:t>
      </w:r>
      <w:r>
        <w:rPr>
          <w:rFonts w:hint="eastAsia" w:ascii="仿宋_GB2312" w:hAnsi="仿宋_GB2312" w:eastAsia="仿宋_GB2312" w:cs="仿宋_GB2312"/>
          <w:b/>
          <w:bCs/>
        </w:rPr>
        <w:t>加大生态系统保护</w:t>
      </w:r>
      <w:bookmarkEnd w:id="91"/>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r>
        <w:rPr>
          <w:rFonts w:hint="eastAsia"/>
          <w:b/>
          <w:bCs/>
        </w:rPr>
        <w:t>加强水生态修复。</w:t>
      </w:r>
      <w:r>
        <w:rPr>
          <w:rFonts w:hint="eastAsia" w:ascii="仿宋_GB2312" w:hAnsi="仿宋_GB2312" w:eastAsia="仿宋_GB2312" w:cs="仿宋_GB2312"/>
        </w:rPr>
        <w:t>加快象湖、梅湖水系整治和河道的生态修复，加大流域生态治理力度，力争2025年前对区域内河湖生态治理项目。持续开展岸线清理整治，动态监测主流河湖水整体质量，继续巩固黑臭水体治理成果，推进大河湖截污清淤工程，完成城南片区治涝工程，彻底解决黄庄闸以北上游明渠水质污染问题。</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bCs/>
        </w:rPr>
        <w:t>构建生态绿地网络。</w:t>
      </w:r>
      <w:r>
        <w:rPr>
          <w:rFonts w:hint="eastAsia"/>
        </w:rPr>
        <w:t>结合路网、水网、湖泊等重要片区进行生态布局，打造生态隔离廊道。加快推进城区道路绿化样板街的打造，加快建设一批绿地花园、屋顶花园。建设城市公园和社区居住区绿地，围绕城市道路和水系等建设绿色走廊，力争增设洪招社区、洪科社区、洪翔社区、规划三路、麻坊党建公园等多个“口袋公园”“邮票绿地”，在城市重要节点、重点区域、主要道路上实施景观绿化，形成点线面结合的绿地系统，打造一批生态廊道。加强城市绿地生态修复，依托城市内湖象湖，建设绿化防护带、郊野公园和城市公园绿地，增强生境斑块的连通性，连通城乡生态网络和通风廊道。</w:t>
      </w:r>
    </w:p>
    <w:bookmarkEnd w:id="92"/>
    <w:bookmarkEnd w:id="93"/>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楷体_GB2312" w:hAnsi="楷体_GB2312" w:eastAsia="楷体_GB2312" w:cs="楷体_GB2312"/>
          <w:b/>
          <w:bCs/>
        </w:rPr>
      </w:pPr>
      <w:bookmarkStart w:id="94" w:name="_Toc80087535"/>
      <w:bookmarkStart w:id="95" w:name="_Toc151982405"/>
      <w:bookmarkStart w:id="96" w:name="_Toc152315091"/>
      <w:bookmarkStart w:id="97" w:name="_Toc151983644"/>
      <w:bookmarkStart w:id="98" w:name="_Toc142642737"/>
      <w:r>
        <w:rPr>
          <w:rFonts w:hint="eastAsia" w:ascii="楷体_GB2312" w:hAnsi="楷体_GB2312" w:eastAsia="楷体_GB2312" w:cs="楷体_GB2312"/>
          <w:b/>
          <w:bCs/>
        </w:rPr>
        <w:t>（四）生态经济体系建设</w:t>
      </w:r>
      <w:bookmarkEnd w:id="94"/>
      <w:bookmarkEnd w:id="95"/>
      <w:bookmarkEnd w:id="96"/>
      <w:bookmarkEnd w:id="97"/>
      <w:bookmarkEnd w:id="98"/>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rPr>
      </w:pPr>
      <w:bookmarkStart w:id="99" w:name="_Toc152315092"/>
      <w:r>
        <w:rPr>
          <w:rFonts w:hint="eastAsia" w:ascii="仿宋_GB2312" w:hAnsi="仿宋_GB2312" w:eastAsia="仿宋_GB2312" w:cs="仿宋_GB2312"/>
          <w:b/>
          <w:bCs/>
        </w:rPr>
        <w:t>1</w:t>
      </w:r>
      <w:r>
        <w:rPr>
          <w:rFonts w:hint="default" w:ascii="仿宋_GB2312" w:hAnsi="仿宋_GB2312" w:cs="仿宋_GB2312"/>
          <w:b/>
          <w:bCs/>
          <w:lang w:val="en-US"/>
        </w:rPr>
        <w:t>.</w:t>
      </w:r>
      <w:r>
        <w:rPr>
          <w:rFonts w:hint="eastAsia" w:ascii="仿宋_GB2312" w:hAnsi="仿宋_GB2312" w:eastAsia="仿宋_GB2312" w:cs="仿宋_GB2312"/>
          <w:b/>
          <w:bCs/>
        </w:rPr>
        <w:t>推动生态工业发展</w:t>
      </w:r>
      <w:bookmarkEnd w:id="99"/>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r>
        <w:rPr>
          <w:rFonts w:hint="eastAsia"/>
          <w:b/>
          <w:bCs/>
        </w:rPr>
        <w:t>做强做优新经济产业集聚区。</w:t>
      </w:r>
      <w:r>
        <w:rPr>
          <w:rFonts w:hint="eastAsia" w:ascii="仿宋_GB2312" w:hAnsi="仿宋_GB2312" w:eastAsia="仿宋_GB2312" w:cs="仿宋_GB2312"/>
        </w:rPr>
        <w:t>严格入区标准和引进高端重大项目等措施，依托现有优势产业，推进未来主攻产业，合理调整功能布局，以新型都市工业和现代服务业为产业主导，在维持现有精密机械加工制造业基础上，提升现有产业基础，重点打造“两医一新”新高地。“两医”即高性能医疗器械产业园和医药物流产业园，集聚区将依托金鹰路两侧土地资源和现有医药物流产业基础，建设以海凭（南昌）高性能医疗器械产业园为代表的高精尖医疗器械产业板块及以九州通、瑞康时代为代表的医药流通产业板块。同时加快导入生物医药、医疗器械等优质项目，引进一批重点产业，依托现有产业板块，延伸整个医药产业链，形成集医疗药品和器械研发、制造、检测、销售、物流为一体的产业集群。“一新”即高潮湖新经济产业园，重点发展VR、物联网、5G、人工智能、区块链、智能制造、云计算等数字经济产业，加快推动5G技术产业发展，深化重点领域大数据应用，引进数字经济龙头企业，培育现有相关领域中小企业，加快构建新经济产业生态圈，形成以知识、技术、信息等生产要素为支撑的新经济产业体系。</w:t>
      </w:r>
    </w:p>
    <w:p>
      <w:pPr>
        <w:pStyle w:val="3"/>
        <w:pageBreakBefore w:val="0"/>
        <w:widowControl w:val="0"/>
        <w:kinsoku/>
        <w:wordWrap/>
        <w:overflowPunct/>
        <w:topLinePunct w:val="0"/>
        <w:autoSpaceDE/>
        <w:autoSpaceDN/>
        <w:bidi w:val="0"/>
        <w:adjustRightInd/>
        <w:snapToGrid/>
        <w:spacing w:after="0" w:line="560" w:lineRule="exact"/>
        <w:ind w:firstLine="562"/>
        <w:textAlignment w:val="auto"/>
      </w:pPr>
      <w:r>
        <w:rPr>
          <w:rFonts w:hint="eastAsia"/>
          <w:b/>
          <w:bCs/>
        </w:rPr>
        <w:t>加快发展数字经济新业态。</w:t>
      </w:r>
      <w:r>
        <w:rPr>
          <w:rFonts w:hint="eastAsia" w:ascii="仿宋_GB2312" w:hAnsi="仿宋_GB2312" w:eastAsia="仿宋_GB2312" w:cs="仿宋_GB2312"/>
        </w:rPr>
        <w:t>推进数字经济与实体经济深度融合，策应全国“03专项”创新发展，南昌市5G应用示范城及VR产业发展要求，充分发挥新一代信息技术赋能作用，加快发展数字经济新业态，形成数字经济产业链。加快培育新业态新模式，推动大数据与云计算服务模式深度融合，引导企业在研发设计、生产制造、物流配送、市场营销、售后服务、企业管理等环节推广应用数字化、智能化系统，加快区块链、云计算等新技术应用。加快推进新基建，提高数字资源集聚和服务能力，推广大数据产业应用。</w:t>
      </w:r>
    </w:p>
    <w:p>
      <w:pPr>
        <w:pStyle w:val="3"/>
        <w:pageBreakBefore w:val="0"/>
        <w:widowControl w:val="0"/>
        <w:kinsoku/>
        <w:wordWrap/>
        <w:overflowPunct/>
        <w:topLinePunct w:val="0"/>
        <w:autoSpaceDE/>
        <w:autoSpaceDN/>
        <w:bidi w:val="0"/>
        <w:adjustRightInd/>
        <w:snapToGrid/>
        <w:spacing w:after="0" w:line="560" w:lineRule="exact"/>
        <w:ind w:firstLine="562"/>
        <w:textAlignment w:val="auto"/>
        <w:rPr>
          <w:rFonts w:hint="eastAsia" w:ascii="仿宋_GB2312" w:hAnsi="仿宋_GB2312" w:eastAsia="仿宋_GB2312" w:cs="仿宋_GB2312"/>
        </w:rPr>
      </w:pPr>
      <w:r>
        <w:rPr>
          <w:rFonts w:hint="eastAsia"/>
          <w:b/>
          <w:bCs/>
        </w:rPr>
        <w:t>发展绿色健康食品产业。</w:t>
      </w:r>
      <w:r>
        <w:rPr>
          <w:rFonts w:hint="eastAsia" w:ascii="仿宋_GB2312" w:hAnsi="仿宋_GB2312" w:eastAsia="仿宋_GB2312" w:cs="仿宋_GB2312"/>
        </w:rPr>
        <w:t>围绕都市人健康、时尚、创意、绿色的新型消费理念，满足人民群众日益增长的消费需求，以开拓中高端消费市场为重点，依托阳光乳业、南昌乔府食品等龙头食品加工企业，重点发展健康营养、绿色有机、时尚休闲的食品和保健食品。做好南昌老字号食品的传承与创新，构建绿色食品产业链，培育和打造国内外知名食品品牌。</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rPr>
      </w:pPr>
      <w:bookmarkStart w:id="100" w:name="_Toc152315093"/>
      <w:r>
        <w:rPr>
          <w:rFonts w:hint="eastAsia" w:ascii="仿宋_GB2312" w:hAnsi="仿宋_GB2312" w:eastAsia="仿宋_GB2312" w:cs="仿宋_GB2312"/>
          <w:b/>
          <w:bCs/>
        </w:rPr>
        <w:t>2</w:t>
      </w:r>
      <w:r>
        <w:rPr>
          <w:rFonts w:hint="default" w:ascii="仿宋_GB2312" w:hAnsi="仿宋_GB2312" w:cs="仿宋_GB2312"/>
          <w:b/>
          <w:bCs/>
          <w:lang w:val="en-US"/>
        </w:rPr>
        <w:t>.</w:t>
      </w:r>
      <w:r>
        <w:rPr>
          <w:rFonts w:hint="eastAsia" w:ascii="仿宋_GB2312" w:hAnsi="仿宋_GB2312" w:eastAsia="仿宋_GB2312" w:cs="仿宋_GB2312"/>
          <w:b/>
          <w:bCs/>
        </w:rPr>
        <w:t>提升现代服务业</w:t>
      </w:r>
      <w:bookmarkEnd w:id="100"/>
    </w:p>
    <w:p>
      <w:pPr>
        <w:pStyle w:val="3"/>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推进楼宇总部经济，军民融合产业、电子商务产业、检测检验认证产业、智慧物流产业、建筑服务业等生产性服务业新发展。充分整合和挖掘全区现有的各类文化旅游资源，实施数字化文化产业发展战略，打造精品旅游路线和多元化高附加值的文化产业链，提升文化旅游产业发展核心竞争力。以“文化高地、精神高地”为纲，综合打造八大山人梅湖·象湖文化旅游区5A级景区、城市会客厅、南昌博物馆群、旅游目的地等，大力提升八大山人梅湖·象湖景区的旅游市场价值，引入多元化业态，加快推动梅湖景区、象湖风景区和花博园主园区的联动协调发展。充分依托洪都老厂区、江铃老厂区、南昌印钞厂、阳光乳业、乔府食品等辖区内特色工业文化资源，结合企业搬迁改造，联动规划打造“参看华东车展、探秘钞票制造、逛航空博物馆”为主题的南昌市工业科技文化精品旅游片区，同时打造一条工业科技观摩旅游精品路线。依托全区丰富的地域特色和民俗文化，以青云谱区独具特色的传统非遗文化城南龙灯、青云谱舨王庙龙舟赛和江西省历史文化名村、南昌市3A级乡村旅游景区——朱姑桥梅村等地域文化为代表，融入高科技元素，打造民俗旅游业、民俗手工艺品制造业和特色餐饮业等产业。深入研究陆象山和王阳明的心学文化，将心学文化价值进行延伸，融入论坛、研学、旅游、文创等功能，打造成全国知名的心学文化研学旅游胜地。</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仿宋_GB2312" w:hAnsi="仿宋_GB2312" w:eastAsia="仿宋_GB2312" w:cs="仿宋_GB2312"/>
          <w:b/>
          <w:bCs/>
        </w:rPr>
      </w:pPr>
      <w:bookmarkStart w:id="101" w:name="_Toc145331638"/>
      <w:bookmarkStart w:id="102" w:name="_Toc152315094"/>
      <w:r>
        <w:rPr>
          <w:rFonts w:hint="eastAsia" w:ascii="仿宋_GB2312" w:hAnsi="仿宋_GB2312" w:eastAsia="仿宋_GB2312" w:cs="仿宋_GB2312"/>
          <w:b/>
          <w:bCs/>
        </w:rPr>
        <w:t>3</w:t>
      </w:r>
      <w:r>
        <w:rPr>
          <w:rFonts w:hint="default" w:ascii="仿宋_GB2312" w:hAnsi="仿宋_GB2312" w:cs="仿宋_GB2312"/>
          <w:b/>
          <w:bCs/>
          <w:lang w:val="en-US"/>
        </w:rPr>
        <w:t>.</w:t>
      </w:r>
      <w:r>
        <w:rPr>
          <w:rFonts w:hint="eastAsia" w:ascii="仿宋_GB2312" w:hAnsi="仿宋_GB2312" w:eastAsia="仿宋_GB2312" w:cs="仿宋_GB2312"/>
          <w:b/>
          <w:bCs/>
        </w:rPr>
        <w:t>推进资源结构调整</w:t>
      </w:r>
      <w:bookmarkEnd w:id="101"/>
      <w:bookmarkEnd w:id="102"/>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bCs/>
        </w:rPr>
      </w:pPr>
      <w:bookmarkStart w:id="103" w:name="_Toc73957149"/>
      <w:bookmarkStart w:id="104" w:name="_Hlk145339711"/>
      <w:bookmarkStart w:id="105" w:name="_Toc67413884"/>
      <w:r>
        <w:rPr>
          <w:rFonts w:hint="eastAsia"/>
          <w:b/>
        </w:rPr>
        <w:t>统筹推进能耗“双控”。</w:t>
      </w:r>
      <w:r>
        <w:rPr>
          <w:rFonts w:hint="eastAsia"/>
        </w:rPr>
        <w:t>加强节能形势分析预警，实施重点领域节能监察行动，强化重点用能企业监测，规范企业合法用能，鼓励企业对标能效标杆水平实施节能改造，引导落后、低效产能有序退出。严把项目准入关口，坚决遏制高耗能项目盲目发展。严格项目节能审查，加强用能管理，科学控制能源消费增长。</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color w:val="FF0000"/>
        </w:rPr>
      </w:pPr>
      <w:r>
        <w:rPr>
          <w:rFonts w:hint="eastAsia"/>
          <w:b/>
        </w:rPr>
        <w:t>高效利用清洁</w:t>
      </w:r>
      <w:r>
        <w:rPr>
          <w:b/>
        </w:rPr>
        <w:t>能源。</w:t>
      </w:r>
      <w:r>
        <w:rPr>
          <w:rFonts w:hint="eastAsia"/>
        </w:rPr>
        <w:t>依法依规淘汰集中供热管网覆盖区域的燃煤锅炉，推动以工业余热、电厂余热、清洁能源等替代煤炭供热（蒸汽），因地制宜实施发电、制热、供冷等“两利用”改造。加快天然气推广利用，提升用气总量。统筹推进煤改电、煤改气，全面提升生产生活终端用能设备的电气化率。</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b/>
        </w:rPr>
        <w:t>推进</w:t>
      </w:r>
      <w:r>
        <w:rPr>
          <w:rFonts w:hint="eastAsia"/>
          <w:b/>
        </w:rPr>
        <w:t>城镇绿色节能改造</w:t>
      </w:r>
      <w:r>
        <w:rPr>
          <w:b/>
        </w:rPr>
        <w:t>。</w:t>
      </w:r>
      <w:r>
        <w:rPr>
          <w:rFonts w:hint="eastAsia"/>
        </w:rPr>
        <w:t>全面提高建筑节能标准，实施绿色建筑标识认定制度，推动城镇新建建筑全面达到绿色建筑评价标准基本级及以上建设标准。推动城镇老旧小区基础设施改造，对既有建筑开展建筑节能改造和光伏一体化建设。实施绿色高效制冷行动，以建筑中央空调、冷链物流等为重点，更新升级制冷技术、设备，优化负荷供需匹配，大幅提升制冷系统能效水平。</w:t>
      </w:r>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bCs/>
        </w:rPr>
      </w:pPr>
      <w:r>
        <w:rPr>
          <w:b/>
        </w:rPr>
        <w:t>推进交通运输</w:t>
      </w:r>
      <w:r>
        <w:rPr>
          <w:rFonts w:hint="eastAsia"/>
          <w:b/>
        </w:rPr>
        <w:t>物流</w:t>
      </w:r>
      <w:r>
        <w:rPr>
          <w:b/>
        </w:rPr>
        <w:t>节能。</w:t>
      </w:r>
      <w:r>
        <w:rPr>
          <w:rFonts w:hint="eastAsia"/>
          <w:bCs/>
        </w:rPr>
        <w:t>推广绿色出行，不断完善新能源充电桩等电基础设施建设，加大新能源车辆推广应用力度。积极发展智慧交通运输，大力发展多式联运体系。全面落实汽车国六排放标准和非道路移动柴油机械国四排放标准，基本淘汰国三及以下排放标准汽车，鼓励重型柴油货车更新换代。</w:t>
      </w:r>
    </w:p>
    <w:bookmarkEnd w:id="103"/>
    <w:bookmarkEnd w:id="104"/>
    <w:bookmarkEnd w:id="105"/>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bookmarkStart w:id="106" w:name="_Hlk152084651"/>
      <w:bookmarkStart w:id="107" w:name="_Hlk145339735"/>
      <w:r>
        <w:rPr>
          <w:rFonts w:hint="eastAsia"/>
          <w:b/>
          <w:bCs/>
        </w:rPr>
        <w:t>落实和完善水资源管理制度。</w:t>
      </w:r>
      <w:r>
        <w:t>切实落实最严格水资源管理制度，实施水资源消耗总量和强度双控行动，强化水资源承载能力刚性约束，全面推进各行业节水，促进经济发展方式和用水方式转变。</w:t>
      </w:r>
      <w:r>
        <w:rPr>
          <w:rFonts w:hint="eastAsia"/>
        </w:rPr>
        <w:t>建立规划水资源论证制度，进一步强化建设项目水资源论证制度。全力推进节水行动，将节水行动纳入高质量发展考核体系，加强用水计量和监管，推动高耗水用水行业节水增效，支持企业开展节水技术改造及再生水回用改造，逐步建立和完善适合省情的水效领跑者指标体系，创建一批省级节水型企业。</w:t>
      </w:r>
    </w:p>
    <w:bookmarkEnd w:id="106"/>
    <w:p>
      <w:pPr>
        <w:keepNext w:val="0"/>
        <w:keepLines w:val="0"/>
        <w:pageBreakBefore w:val="0"/>
        <w:widowControl w:val="0"/>
        <w:kinsoku/>
        <w:wordWrap/>
        <w:overflowPunct/>
        <w:topLinePunct w:val="0"/>
        <w:autoSpaceDE/>
        <w:autoSpaceDN/>
        <w:bidi w:val="0"/>
        <w:adjustRightInd/>
        <w:snapToGrid/>
        <w:spacing w:line="560" w:lineRule="exact"/>
        <w:ind w:firstLine="561"/>
        <w:textAlignment w:val="auto"/>
        <w:rPr>
          <w:rFonts w:hint="eastAsia" w:ascii="仿宋_GB2312" w:hAnsi="仿宋_GB2312" w:eastAsia="仿宋_GB2312" w:cs="仿宋_GB2312"/>
        </w:rPr>
      </w:pPr>
      <w:bookmarkStart w:id="108" w:name="_Hlk152084768"/>
      <w:r>
        <w:rPr>
          <w:rFonts w:hint="eastAsia"/>
          <w:b/>
          <w:bCs/>
        </w:rPr>
        <w:t>推进工业企业节水。</w:t>
      </w:r>
      <w:r>
        <w:rPr>
          <w:rFonts w:hint="eastAsia" w:ascii="仿宋_GB2312" w:hAnsi="仿宋_GB2312" w:eastAsia="仿宋_GB2312" w:cs="仿宋_GB2312"/>
        </w:rPr>
        <w:t>实施节水设施“三同时”管理，开展高耗水行业节水诊断、水平衡测试、用水效率评估，严格用水定额和计划用水管理，强化行业和产品用水强度控制。在工业产业结构布局方面，严格落实国家、省市政策，依法依规推进不符合城市战略定位的高耗水企业退出，大力发展符合国家新兴产业政策、水资源消耗少、用水效率高的产业，严格控制新建和扩建高耗水项目。</w:t>
      </w:r>
    </w:p>
    <w:bookmarkEnd w:id="107"/>
    <w:bookmarkEnd w:id="108"/>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8296" w:type="dxa"/>
            <w:noWrap w:val="0"/>
            <w:vAlign w:val="top"/>
          </w:tcPr>
          <w:p>
            <w:pPr>
              <w:jc w:val="center"/>
              <w:rPr>
                <w:rFonts w:eastAsia="黑体"/>
                <w:color w:val="0000FF"/>
                <w:kern w:val="0"/>
                <w:sz w:val="24"/>
                <w:szCs w:val="24"/>
              </w:rPr>
            </w:pPr>
            <w:bookmarkStart w:id="109" w:name="_Hlk96008188"/>
            <w:r>
              <w:rPr>
                <w:rFonts w:eastAsia="黑体"/>
                <w:color w:val="000000"/>
              </w:rPr>
              <w:t>专栏</w:t>
            </w:r>
            <w:r>
              <w:rPr>
                <w:rFonts w:hint="eastAsia" w:eastAsia="黑体"/>
                <w:color w:val="000000"/>
              </w:rPr>
              <w:t>3生态经济体系建设</w:t>
            </w:r>
            <w:r>
              <w:rPr>
                <w:rFonts w:eastAsia="黑体"/>
                <w:color w:val="000000"/>
              </w:rPr>
              <w:t>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8296" w:type="dxa"/>
            <w:noWrap w:val="0"/>
            <w:vAlign w:val="top"/>
          </w:tcPr>
          <w:p>
            <w:pPr>
              <w:pStyle w:val="17"/>
              <w:keepNext w:val="0"/>
              <w:keepLines w:val="0"/>
              <w:pageBreakBefore w:val="0"/>
              <w:widowControl w:val="0"/>
              <w:numPr>
                <w:ilvl w:val="0"/>
                <w:numId w:val="3"/>
              </w:numPr>
              <w:kinsoku/>
              <w:wordWrap/>
              <w:overflowPunct/>
              <w:topLinePunct w:val="0"/>
              <w:autoSpaceDE/>
              <w:autoSpaceDN/>
              <w:bidi w:val="0"/>
              <w:adjustRightInd/>
              <w:snapToGrid/>
              <w:spacing w:line="240" w:lineRule="auto"/>
              <w:ind w:left="397" w:hanging="374" w:firstLineChars="0"/>
              <w:textAlignment w:val="auto"/>
              <w:rPr>
                <w:color w:val="000000"/>
                <w:sz w:val="24"/>
                <w:szCs w:val="24"/>
              </w:rPr>
            </w:pPr>
            <w:r>
              <w:rPr>
                <w:rFonts w:hint="eastAsia"/>
                <w:b/>
                <w:bCs/>
                <w:color w:val="000000"/>
                <w:sz w:val="24"/>
                <w:szCs w:val="24"/>
              </w:rPr>
              <w:t>江铃老厂区改造升级：</w:t>
            </w:r>
            <w:r>
              <w:rPr>
                <w:rFonts w:hint="eastAsia"/>
                <w:color w:val="000000"/>
                <w:sz w:val="24"/>
                <w:szCs w:val="24"/>
              </w:rPr>
              <w:t>综合开发+产业引擎+轨道交通”模式,按照“北关部门)科创+中商业+南文创”布局,利用数字经济赋能、高校加持,重点建设商务办公区、专业技术服务区、科创街区和文化创意基地等,打造老工业区转型升级新样板。</w:t>
            </w:r>
          </w:p>
          <w:p>
            <w:pPr>
              <w:pStyle w:val="17"/>
              <w:keepNext w:val="0"/>
              <w:keepLines w:val="0"/>
              <w:pageBreakBefore w:val="0"/>
              <w:widowControl w:val="0"/>
              <w:numPr>
                <w:ilvl w:val="0"/>
                <w:numId w:val="3"/>
              </w:numPr>
              <w:kinsoku/>
              <w:wordWrap/>
              <w:overflowPunct/>
              <w:topLinePunct w:val="0"/>
              <w:autoSpaceDE/>
              <w:autoSpaceDN/>
              <w:bidi w:val="0"/>
              <w:adjustRightInd/>
              <w:snapToGrid/>
              <w:spacing w:line="240" w:lineRule="auto"/>
              <w:ind w:left="397" w:hanging="374" w:firstLineChars="0"/>
              <w:textAlignment w:val="auto"/>
              <w:rPr>
                <w:color w:val="000000"/>
                <w:sz w:val="24"/>
                <w:szCs w:val="24"/>
              </w:rPr>
            </w:pPr>
            <w:r>
              <w:rPr>
                <w:rFonts w:hint="eastAsia"/>
                <w:b/>
                <w:bCs/>
                <w:color w:val="000000"/>
                <w:sz w:val="24"/>
                <w:szCs w:val="24"/>
              </w:rPr>
              <w:t>电子商务产业：</w:t>
            </w:r>
            <w:r>
              <w:rPr>
                <w:rFonts w:hint="eastAsia"/>
                <w:color w:val="000000"/>
                <w:sz w:val="24"/>
                <w:szCs w:val="24"/>
              </w:rPr>
              <w:t>做强青云谱区数字电商孵化基地。</w:t>
            </w:r>
          </w:p>
          <w:p>
            <w:pPr>
              <w:pStyle w:val="17"/>
              <w:keepNext w:val="0"/>
              <w:keepLines w:val="0"/>
              <w:pageBreakBefore w:val="0"/>
              <w:widowControl w:val="0"/>
              <w:numPr>
                <w:ilvl w:val="0"/>
                <w:numId w:val="3"/>
              </w:numPr>
              <w:kinsoku/>
              <w:wordWrap/>
              <w:overflowPunct/>
              <w:topLinePunct w:val="0"/>
              <w:autoSpaceDE/>
              <w:autoSpaceDN/>
              <w:bidi w:val="0"/>
              <w:adjustRightInd/>
              <w:snapToGrid/>
              <w:spacing w:line="240" w:lineRule="auto"/>
              <w:ind w:left="397" w:hanging="374" w:firstLineChars="0"/>
              <w:textAlignment w:val="auto"/>
              <w:rPr>
                <w:color w:val="000000"/>
                <w:sz w:val="24"/>
                <w:szCs w:val="24"/>
              </w:rPr>
            </w:pPr>
            <w:r>
              <w:rPr>
                <w:rFonts w:hint="eastAsia"/>
                <w:b/>
                <w:bCs/>
                <w:color w:val="000000"/>
                <w:sz w:val="24"/>
                <w:szCs w:val="24"/>
              </w:rPr>
              <w:t>洪都老工业区搬迁改造：</w:t>
            </w:r>
            <w:r>
              <w:rPr>
                <w:rFonts w:hint="eastAsia"/>
                <w:color w:val="000000"/>
                <w:sz w:val="24"/>
                <w:szCs w:val="24"/>
              </w:rPr>
              <w:t>提升洪都老工业区搬迁改造效能。</w:t>
            </w:r>
          </w:p>
          <w:p>
            <w:pPr>
              <w:pStyle w:val="17"/>
              <w:keepNext w:val="0"/>
              <w:keepLines w:val="0"/>
              <w:pageBreakBefore w:val="0"/>
              <w:widowControl w:val="0"/>
              <w:numPr>
                <w:ilvl w:val="0"/>
                <w:numId w:val="3"/>
              </w:numPr>
              <w:kinsoku/>
              <w:wordWrap/>
              <w:overflowPunct/>
              <w:topLinePunct w:val="0"/>
              <w:autoSpaceDE/>
              <w:autoSpaceDN/>
              <w:bidi w:val="0"/>
              <w:adjustRightInd/>
              <w:snapToGrid/>
              <w:spacing w:line="240" w:lineRule="auto"/>
              <w:ind w:left="397" w:hanging="374" w:firstLineChars="0"/>
              <w:textAlignment w:val="auto"/>
              <w:rPr>
                <w:color w:val="000000"/>
                <w:sz w:val="24"/>
                <w:szCs w:val="24"/>
              </w:rPr>
            </w:pPr>
            <w:r>
              <w:rPr>
                <w:rFonts w:hint="eastAsia"/>
                <w:b/>
                <w:bCs/>
                <w:color w:val="000000"/>
                <w:sz w:val="24"/>
                <w:szCs w:val="24"/>
              </w:rPr>
              <w:t>打造特色总部园区：</w:t>
            </w:r>
            <w:r>
              <w:rPr>
                <w:rFonts w:hint="eastAsia"/>
                <w:color w:val="000000"/>
                <w:sz w:val="24"/>
                <w:szCs w:val="24"/>
              </w:rPr>
              <w:t>重点推进梦想小镇、景泰华、医药产业园等特色园区向总部园区转型，建设一批特色总部园区；</w:t>
            </w:r>
          </w:p>
          <w:p>
            <w:pPr>
              <w:pStyle w:val="17"/>
              <w:keepNext w:val="0"/>
              <w:keepLines w:val="0"/>
              <w:pageBreakBefore w:val="0"/>
              <w:widowControl w:val="0"/>
              <w:numPr>
                <w:ilvl w:val="0"/>
                <w:numId w:val="3"/>
              </w:numPr>
              <w:kinsoku/>
              <w:wordWrap/>
              <w:overflowPunct/>
              <w:topLinePunct w:val="0"/>
              <w:autoSpaceDE/>
              <w:autoSpaceDN/>
              <w:bidi w:val="0"/>
              <w:adjustRightInd/>
              <w:snapToGrid/>
              <w:spacing w:line="240" w:lineRule="auto"/>
              <w:ind w:left="397" w:hanging="374" w:firstLineChars="0"/>
              <w:textAlignment w:val="auto"/>
              <w:rPr>
                <w:color w:val="000000"/>
                <w:sz w:val="24"/>
                <w:szCs w:val="24"/>
              </w:rPr>
            </w:pPr>
            <w:r>
              <w:rPr>
                <w:rFonts w:hint="eastAsia"/>
                <w:b/>
                <w:bCs/>
                <w:color w:val="000000"/>
                <w:sz w:val="24"/>
                <w:szCs w:val="24"/>
              </w:rPr>
              <w:t>智慧旅游项目：</w:t>
            </w:r>
            <w:r>
              <w:rPr>
                <w:rFonts w:hint="eastAsia"/>
                <w:color w:val="000000"/>
                <w:sz w:val="24"/>
                <w:szCs w:val="24"/>
              </w:rPr>
              <w:t>加快推进“智慧旅游”建设；</w:t>
            </w:r>
          </w:p>
          <w:p>
            <w:pPr>
              <w:pStyle w:val="17"/>
              <w:keepNext w:val="0"/>
              <w:keepLines w:val="0"/>
              <w:pageBreakBefore w:val="0"/>
              <w:widowControl w:val="0"/>
              <w:numPr>
                <w:ilvl w:val="0"/>
                <w:numId w:val="3"/>
              </w:numPr>
              <w:kinsoku/>
              <w:wordWrap/>
              <w:overflowPunct/>
              <w:topLinePunct w:val="0"/>
              <w:autoSpaceDE/>
              <w:autoSpaceDN/>
              <w:bidi w:val="0"/>
              <w:adjustRightInd/>
              <w:snapToGrid/>
              <w:spacing w:line="240" w:lineRule="auto"/>
              <w:ind w:left="397" w:hanging="374" w:firstLineChars="0"/>
              <w:textAlignment w:val="auto"/>
              <w:rPr>
                <w:color w:val="000000"/>
                <w:sz w:val="24"/>
                <w:szCs w:val="24"/>
              </w:rPr>
            </w:pPr>
            <w:r>
              <w:rPr>
                <w:rFonts w:hint="eastAsia"/>
                <w:b/>
                <w:bCs/>
                <w:color w:val="000000"/>
                <w:sz w:val="24"/>
                <w:szCs w:val="24"/>
              </w:rPr>
              <w:t>文化旅游业：</w:t>
            </w:r>
            <w:r>
              <w:rPr>
                <w:rFonts w:hint="eastAsia"/>
                <w:color w:val="000000"/>
                <w:sz w:val="24"/>
                <w:szCs w:val="24"/>
              </w:rPr>
              <w:t>打造八大山人梅湖·象湖文化旅游区5A级景区、城市会客厅、南昌博物馆群、旅游目的地等，大力提升八大山人梅湖·象湖景区的旅游市场价值，建设文化主题公园，积极配合做好象湖湿地公园提升改造；</w:t>
            </w:r>
          </w:p>
          <w:p>
            <w:pPr>
              <w:pStyle w:val="17"/>
              <w:keepNext w:val="0"/>
              <w:keepLines w:val="0"/>
              <w:pageBreakBefore w:val="0"/>
              <w:widowControl w:val="0"/>
              <w:numPr>
                <w:ilvl w:val="0"/>
                <w:numId w:val="3"/>
              </w:numPr>
              <w:kinsoku/>
              <w:wordWrap/>
              <w:overflowPunct/>
              <w:topLinePunct w:val="0"/>
              <w:autoSpaceDE/>
              <w:autoSpaceDN/>
              <w:bidi w:val="0"/>
              <w:adjustRightInd/>
              <w:snapToGrid/>
              <w:spacing w:line="240" w:lineRule="auto"/>
              <w:ind w:left="397" w:hanging="374" w:firstLineChars="0"/>
              <w:textAlignment w:val="auto"/>
              <w:rPr>
                <w:color w:val="000000"/>
                <w:sz w:val="24"/>
                <w:szCs w:val="24"/>
              </w:rPr>
            </w:pPr>
            <w:r>
              <w:rPr>
                <w:rFonts w:hint="eastAsia"/>
                <w:b/>
                <w:bCs/>
                <w:color w:val="000000"/>
                <w:sz w:val="24"/>
                <w:szCs w:val="24"/>
              </w:rPr>
              <w:t>做强做优新经济产业集聚区：</w:t>
            </w:r>
            <w:r>
              <w:rPr>
                <w:rFonts w:hint="eastAsia"/>
                <w:color w:val="000000"/>
                <w:sz w:val="24"/>
                <w:szCs w:val="24"/>
              </w:rPr>
              <w:t>“两医”即高性能医疗器械产业园和医药物流产业园，集聚区将依托金鹰路两侧土地资源和现有医药物流产业基础，建设以海凭（南昌）高性能医疗器械产业园为代表的高精尖医疗器械产业板块及以九州通、瑞康时代为代表的医药流通产业板块。同时加快导入生物医药、医疗器械等优质项目，引进一批重点产业，依托现有产业板块，延伸整个医药产业链，形成集医疗药品和器械研发、制造、检测、销售、物流为一体的产业集群。“一新”即高潮湖新经济产业园，重点发展VR、物联网、5G、人工智能、区块链、智能制造、云计算等数字经济产业，加快推动5G技术产业发展，深化重点领域大数据应用，引进数字经济龙头企业，培育现有相关领域中小企业，加快构建新经济产业生态圈，形成以知识、技术、信息等生产要素为支撑的新经济产业体系。</w:t>
            </w:r>
          </w:p>
        </w:tc>
      </w:tr>
      <w:bookmarkEnd w:id="109"/>
    </w:tbl>
    <w:p>
      <w:pPr>
        <w:keepNext w:val="0"/>
        <w:keepLines w:val="0"/>
        <w:pageBreakBefore w:val="0"/>
        <w:widowControl w:val="0"/>
        <w:kinsoku/>
        <w:wordWrap/>
        <w:overflowPunct/>
        <w:topLinePunct w:val="0"/>
        <w:autoSpaceDE/>
        <w:autoSpaceDN/>
        <w:bidi w:val="0"/>
        <w:adjustRightInd/>
        <w:snapToGrid/>
        <w:spacing w:line="560" w:lineRule="exact"/>
        <w:ind w:firstLine="321" w:firstLineChars="100"/>
        <w:textAlignment w:val="auto"/>
        <w:rPr>
          <w:rFonts w:hint="eastAsia" w:ascii="楷体_GB2312" w:hAnsi="楷体_GB2312" w:eastAsia="楷体_GB2312" w:cs="楷体_GB2312"/>
          <w:b/>
          <w:bCs/>
        </w:rPr>
      </w:pPr>
      <w:bookmarkStart w:id="110" w:name="_Toc142642743"/>
      <w:bookmarkStart w:id="111" w:name="_Toc151921873"/>
      <w:bookmarkStart w:id="112" w:name="_Toc80087540"/>
      <w:bookmarkStart w:id="113" w:name="_Toc152315095"/>
      <w:r>
        <w:rPr>
          <w:rFonts w:hint="eastAsia" w:ascii="楷体_GB2312" w:hAnsi="楷体_GB2312" w:eastAsia="楷体_GB2312" w:cs="楷体_GB2312"/>
          <w:b/>
          <w:bCs/>
        </w:rPr>
        <w:t>（五）生态生活体系建设</w:t>
      </w:r>
      <w:bookmarkEnd w:id="110"/>
      <w:bookmarkEnd w:id="111"/>
      <w:bookmarkEnd w:id="112"/>
      <w:bookmarkEnd w:id="113"/>
    </w:p>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仿宋_GB2312" w:hAnsi="仿宋_GB2312" w:eastAsia="仿宋_GB2312" w:cs="仿宋_GB2312"/>
          <w:b/>
          <w:bCs/>
        </w:rPr>
      </w:pPr>
      <w:bookmarkStart w:id="114" w:name="_Toc152315096"/>
      <w:bookmarkStart w:id="115" w:name="_Toc151921874"/>
      <w:r>
        <w:rPr>
          <w:rFonts w:hint="eastAsia" w:ascii="仿宋_GB2312" w:hAnsi="仿宋_GB2312" w:eastAsia="仿宋_GB2312" w:cs="仿宋_GB2312"/>
          <w:b/>
          <w:bCs/>
        </w:rPr>
        <w:t>1</w:t>
      </w:r>
      <w:r>
        <w:rPr>
          <w:rFonts w:hint="default" w:ascii="仿宋_GB2312" w:hAnsi="仿宋_GB2312" w:cs="仿宋_GB2312"/>
          <w:b/>
          <w:bCs/>
          <w:lang w:val="en-US"/>
        </w:rPr>
        <w:t>.</w:t>
      </w:r>
      <w:r>
        <w:rPr>
          <w:rFonts w:hint="eastAsia" w:ascii="仿宋_GB2312" w:hAnsi="仿宋_GB2312" w:eastAsia="仿宋_GB2312" w:cs="仿宋_GB2312"/>
          <w:b/>
          <w:bCs/>
        </w:rPr>
        <w:t>提升城市功能和品质</w:t>
      </w:r>
      <w:bookmarkEnd w:id="114"/>
      <w:bookmarkEnd w:id="115"/>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r>
        <w:rPr>
          <w:rFonts w:hint="eastAsia"/>
          <w:b/>
          <w:bCs/>
        </w:rPr>
        <w:t>完善基础设施建设。</w:t>
      </w:r>
      <w:r>
        <w:rPr>
          <w:rFonts w:hint="eastAsia" w:ascii="仿宋_GB2312" w:hAnsi="仿宋_GB2312" w:eastAsia="仿宋_GB2312" w:cs="仿宋_GB2312"/>
        </w:rPr>
        <w:t>完善老工业区路网建设，加强洪都新城道路基础设施建设，完成城乡结合部等道路改造提升，到2025年，提升改造完成洪都新城37条道路建设。完善城乡生活配套基础设施建设，完善学校、公园、配电站、垃圾站、无害化卫生厕所等基础设施及公共社会服务配套设施，确保规划期间城乡无害化卫生厕所普及率始终达到100%。</w:t>
      </w:r>
    </w:p>
    <w:p>
      <w:pPr>
        <w:pageBreakBefore w:val="0"/>
        <w:widowControl w:val="0"/>
        <w:kinsoku/>
        <w:wordWrap/>
        <w:overflowPunct/>
        <w:topLinePunct w:val="0"/>
        <w:autoSpaceDE/>
        <w:autoSpaceDN/>
        <w:bidi w:val="0"/>
        <w:adjustRightInd/>
        <w:snapToGrid/>
        <w:spacing w:line="560" w:lineRule="exact"/>
        <w:ind w:firstLine="562"/>
        <w:textAlignment w:val="auto"/>
      </w:pPr>
      <w:r>
        <w:rPr>
          <w:rFonts w:hint="eastAsia"/>
          <w:b/>
          <w:bCs/>
        </w:rPr>
        <w:t>推进海绵城市和地下管网建设。</w:t>
      </w:r>
      <w:r>
        <w:rPr>
          <w:rFonts w:hint="eastAsia"/>
        </w:rPr>
        <w:t>加强海绵城市建设，全面改造使用年限超期、材质落后、漏损严重、瓶颈管段的供水管网，推进雨污分流管网改造和建设，实施供热、燃气、电力、通信等地下管线专项治理改造工程。改善旅游景区服务设施建设。</w:t>
      </w:r>
    </w:p>
    <w:p>
      <w:pPr>
        <w:pageBreakBefore w:val="0"/>
        <w:widowControl w:val="0"/>
        <w:kinsoku/>
        <w:wordWrap/>
        <w:overflowPunct/>
        <w:topLinePunct w:val="0"/>
        <w:autoSpaceDE/>
        <w:autoSpaceDN/>
        <w:bidi w:val="0"/>
        <w:adjustRightInd/>
        <w:snapToGrid/>
        <w:spacing w:line="560" w:lineRule="exact"/>
        <w:ind w:firstLine="562"/>
        <w:textAlignment w:val="auto"/>
      </w:pPr>
      <w:r>
        <w:rPr>
          <w:rFonts w:hint="eastAsia"/>
          <w:b/>
          <w:bCs/>
        </w:rPr>
        <w:t>优化旅游公共基础设施。</w:t>
      </w:r>
      <w:r>
        <w:rPr>
          <w:rFonts w:hint="eastAsia"/>
        </w:rPr>
        <w:t>科学规划，合理布局，提升景区景观以及配套软硬件，从旅游交通、游览、旅游安全、卫生、邮电服务、旅游购物、资源与环境保护等八个方面提升服务质量与环境质量，不断完善基础设施、优化旅游环境、提升旅游服务水平和档次等。</w:t>
      </w:r>
    </w:p>
    <w:p>
      <w:pPr>
        <w:pStyle w:val="3"/>
        <w:pageBreakBefore w:val="0"/>
        <w:widowControl w:val="0"/>
        <w:kinsoku/>
        <w:wordWrap/>
        <w:overflowPunct/>
        <w:topLinePunct w:val="0"/>
        <w:autoSpaceDE/>
        <w:autoSpaceDN/>
        <w:bidi w:val="0"/>
        <w:adjustRightInd/>
        <w:snapToGrid/>
        <w:spacing w:after="0" w:line="560" w:lineRule="exact"/>
        <w:ind w:firstLine="562"/>
        <w:textAlignment w:val="auto"/>
        <w:rPr>
          <w:rFonts w:hint="eastAsia" w:ascii="仿宋_GB2312" w:hAnsi="仿宋_GB2312" w:eastAsia="仿宋_GB2312" w:cs="仿宋_GB2312"/>
        </w:rPr>
      </w:pPr>
      <w:r>
        <w:rPr>
          <w:rFonts w:hint="eastAsia" w:ascii="仿宋_GB2312" w:hAnsi="仿宋_GB2312" w:eastAsia="仿宋_GB2312" w:cs="仿宋_GB2312"/>
          <w:b/>
          <w:bCs/>
        </w:rPr>
        <w:t>建设高品质城区。</w:t>
      </w:r>
      <w:r>
        <w:rPr>
          <w:rFonts w:hint="eastAsia" w:ascii="仿宋_GB2312" w:hAnsi="仿宋_GB2312" w:eastAsia="仿宋_GB2312" w:cs="仿宋_GB2312"/>
        </w:rPr>
        <w:t>严格落实空间开发要求。深化多规合一改革，平衡发展与保护关系，统筹融合人文、生态和城市建设。加快老旧小区改造。以洪都旧城改造为抓手，进一步推进南莲路周边棚户区改造，因地制宜改造老旧小区和城中村，将老旧小区和城中村改造与城市功能品质提升紧密结合，注重补全老旧小区短板，探索“老小区+新模式”。</w:t>
      </w:r>
    </w:p>
    <w:p>
      <w:pPr>
        <w:pStyle w:val="3"/>
        <w:pageBreakBefore w:val="0"/>
        <w:widowControl w:val="0"/>
        <w:kinsoku/>
        <w:wordWrap/>
        <w:overflowPunct/>
        <w:topLinePunct w:val="0"/>
        <w:autoSpaceDE/>
        <w:autoSpaceDN/>
        <w:bidi w:val="0"/>
        <w:adjustRightInd/>
        <w:snapToGrid/>
        <w:spacing w:after="0" w:line="560" w:lineRule="exact"/>
        <w:ind w:firstLine="562"/>
        <w:textAlignment w:val="auto"/>
        <w:rPr>
          <w:rFonts w:hint="eastAsia" w:ascii="仿宋_GB2312" w:hAnsi="仿宋_GB2312" w:eastAsia="仿宋_GB2312" w:cs="仿宋_GB2312"/>
        </w:rPr>
      </w:pPr>
      <w:r>
        <w:rPr>
          <w:rFonts w:hint="eastAsia" w:ascii="仿宋_GB2312" w:hAnsi="仿宋_GB2312" w:eastAsia="仿宋_GB2312" w:cs="仿宋_GB2312"/>
          <w:b/>
          <w:bCs/>
        </w:rPr>
        <w:t>推动资源整合利用。</w:t>
      </w:r>
      <w:r>
        <w:rPr>
          <w:rFonts w:hint="eastAsia" w:ascii="仿宋_GB2312" w:hAnsi="仿宋_GB2312" w:eastAsia="仿宋_GB2312" w:cs="仿宋_GB2312"/>
        </w:rPr>
        <w:t>充分挖掘利用丰富的历史文化资源，结合小区原有面貌和社区历史文化，把城市有机更新、景观打造、环境整治与文化传承结合起来，加快对历史建筑、遗存、名人故居实施保护修缮工程，深入开展历史文化街区环境风貌整治，对洪都老工业区遗址进行保护与利用、高品质建设八大山人等历史文化街区。</w:t>
      </w:r>
    </w:p>
    <w:p>
      <w:pPr>
        <w:pStyle w:val="3"/>
        <w:keepNext w:val="0"/>
        <w:keepLines w:val="0"/>
        <w:pageBreakBefore w:val="0"/>
        <w:widowControl w:val="0"/>
        <w:kinsoku/>
        <w:wordWrap/>
        <w:overflowPunct/>
        <w:topLinePunct w:val="0"/>
        <w:autoSpaceDE/>
        <w:autoSpaceDN/>
        <w:bidi w:val="0"/>
        <w:adjustRightInd/>
        <w:snapToGrid/>
        <w:spacing w:after="0" w:line="560" w:lineRule="exact"/>
        <w:ind w:firstLine="562"/>
        <w:textAlignment w:val="auto"/>
      </w:pPr>
      <w:r>
        <w:rPr>
          <w:rFonts w:hint="eastAsia"/>
          <w:b/>
          <w:bCs/>
        </w:rPr>
        <w:t>加快城市功能修补。</w:t>
      </w:r>
      <w:r>
        <w:rPr>
          <w:rFonts w:hint="eastAsia"/>
        </w:rPr>
        <w:t>高效利用中心城区宝贵的空间资源，完善老城区和洪都新城停车设施、公共照明、电动汽车充电、智能快件箱等基础设施，全面提升背街小巷环境品质。美化城市形象。持续开展环境综合整治，扩大主城区生态修复、城市修补和城市更新覆盖面；对城区裸露土地进行绿化美化，做到“黄土不露天”，建设城市公园和社区居住区绿地，</w:t>
      </w:r>
      <w:r>
        <w:rPr>
          <w:rFonts w:hint="eastAsia" w:ascii="仿宋_GB2312" w:hAnsi="仿宋_GB2312" w:eastAsia="仿宋_GB2312" w:cs="仿宋_GB2312"/>
        </w:rPr>
        <w:t>围绕城市道路和水系等建设绿色走廊，力争增设洪招社区、洪科社区、洪翔社区、规划三路、麻坊党建公园等多个“口袋公园”“邮票绿地”，在城市重要节点、重点区域、主要道路上实施景观绿化，形成点线面结合的绿地系统，打造一批生态廊道。严禁侵占绿地。通过建设绿地系统保障城镇人均公园绿地面积2030年达到12平方米/人。</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rPr>
      </w:pPr>
      <w:bookmarkStart w:id="116" w:name="_Toc152315097"/>
      <w:bookmarkStart w:id="117" w:name="_Toc151921875"/>
      <w:r>
        <w:rPr>
          <w:rFonts w:hint="eastAsia" w:ascii="仿宋_GB2312" w:hAnsi="仿宋_GB2312" w:eastAsia="仿宋_GB2312" w:cs="仿宋_GB2312"/>
          <w:b/>
          <w:bCs/>
        </w:rPr>
        <w:t>2</w:t>
      </w:r>
      <w:r>
        <w:rPr>
          <w:rFonts w:hint="default" w:ascii="仿宋_GB2312" w:hAnsi="仿宋_GB2312" w:cs="仿宋_GB2312"/>
          <w:b/>
          <w:bCs/>
          <w:lang w:val="en-US"/>
        </w:rPr>
        <w:t>.</w:t>
      </w:r>
      <w:r>
        <w:rPr>
          <w:rFonts w:hint="eastAsia" w:ascii="仿宋_GB2312" w:hAnsi="仿宋_GB2312" w:eastAsia="仿宋_GB2312" w:cs="仿宋_GB2312"/>
          <w:b/>
          <w:bCs/>
        </w:rPr>
        <w:t>建设资源节约型社会</w:t>
      </w:r>
      <w:bookmarkEnd w:id="116"/>
      <w:bookmarkEnd w:id="117"/>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pPr>
      <w:r>
        <w:rPr>
          <w:rFonts w:hint="eastAsia"/>
          <w:b/>
          <w:bCs/>
        </w:rPr>
        <w:t>全面建成节水型社会。</w:t>
      </w:r>
      <w:r>
        <w:rPr>
          <w:rFonts w:hint="eastAsia"/>
        </w:rPr>
        <w:t>推动区域节水型社会建设工作，开展节水型公共机构、小区等创建工作，通过“世界水日”“中国水周”等重要节点，在生态、水利、自然资源等多个领域开展节水宣传活动，普及水情知识和节水知识，提高全社会节水意识，转变群众节水观念，营造节水氛围。严格执行水资源开发利用控制、用水效率控制及南昌市水资源管理“三条红线”的约束作用，确保规划期间青云谱区单位地区生产总值用水量完成省、市规定的目标任务。</w:t>
      </w:r>
    </w:p>
    <w:p>
      <w:pPr>
        <w:pStyle w:val="3"/>
        <w:pageBreakBefore w:val="0"/>
        <w:widowControl w:val="0"/>
        <w:kinsoku/>
        <w:wordWrap/>
        <w:overflowPunct/>
        <w:topLinePunct w:val="0"/>
        <w:autoSpaceDE/>
        <w:autoSpaceDN/>
        <w:bidi w:val="0"/>
        <w:adjustRightInd/>
        <w:snapToGrid/>
        <w:spacing w:after="0" w:line="560" w:lineRule="exact"/>
        <w:ind w:firstLine="562"/>
        <w:textAlignment w:val="auto"/>
      </w:pPr>
      <w:r>
        <w:rPr>
          <w:rFonts w:hint="eastAsia"/>
          <w:b/>
          <w:bCs/>
        </w:rPr>
        <w:t>严格控制能耗总量和能源强度。</w:t>
      </w:r>
      <w:r>
        <w:rPr>
          <w:rFonts w:hint="eastAsia"/>
        </w:rPr>
        <w:t>提高能源使用配置效率，提高能源利用效率，全面推广使用清洁能源，推进工业、建筑行业、交通运输等相关行业节能，防止新增高耗能和落后产能，控制能源消费有序增长，确保规划期间单位地区生产总值能耗完成省、市规定的目标任务。</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仿宋_GB2312" w:hAnsi="仿宋_GB2312" w:eastAsia="仿宋_GB2312" w:cs="仿宋_GB2312"/>
          <w:b/>
          <w:bCs/>
        </w:rPr>
      </w:pPr>
      <w:bookmarkStart w:id="118" w:name="_Toc151921876"/>
      <w:bookmarkStart w:id="119" w:name="_Toc152315098"/>
      <w:r>
        <w:rPr>
          <w:rFonts w:hint="eastAsia" w:ascii="仿宋_GB2312" w:hAnsi="仿宋_GB2312" w:eastAsia="仿宋_GB2312" w:cs="仿宋_GB2312"/>
          <w:b/>
          <w:bCs/>
        </w:rPr>
        <w:t>3</w:t>
      </w:r>
      <w:r>
        <w:rPr>
          <w:rFonts w:hint="default" w:ascii="仿宋_GB2312" w:hAnsi="仿宋_GB2312" w:cs="仿宋_GB2312"/>
          <w:b/>
          <w:bCs/>
          <w:lang w:val="en-US"/>
        </w:rPr>
        <w:t>.</w:t>
      </w:r>
      <w:r>
        <w:rPr>
          <w:rFonts w:hint="eastAsia" w:ascii="仿宋_GB2312" w:hAnsi="仿宋_GB2312" w:eastAsia="仿宋_GB2312" w:cs="仿宋_GB2312"/>
          <w:b/>
          <w:bCs/>
        </w:rPr>
        <w:t>倡导绿色生活方式</w:t>
      </w:r>
      <w:bookmarkEnd w:id="118"/>
      <w:bookmarkEnd w:id="119"/>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color w:val="000000"/>
        </w:rPr>
      </w:pPr>
      <w:r>
        <w:rPr>
          <w:rFonts w:hint="eastAsia"/>
          <w:b/>
          <w:bCs/>
          <w:color w:val="000000"/>
        </w:rPr>
        <w:t>开展生活垃圾分类减量化行动。</w:t>
      </w:r>
      <w:r>
        <w:rPr>
          <w:rFonts w:hint="eastAsia"/>
          <w:color w:val="000000"/>
        </w:rPr>
        <w:t>大力开展垃圾分类宣传活动，制作垃圾分类指导手册、宣传单、台历、海报等宣传品，向社会进行发放。利用报刊、广播、电视、网络、多媒体等多种宣传手段，通过群众喜闻乐见的宣传方式，持续普及垃圾分类知识，形成全民积极参与分类的良好社会氛围。加强各类学校的垃圾分类教育，使垃圾分类进校园，培养学生自觉参与垃圾分类的意识。</w:t>
      </w:r>
    </w:p>
    <w:tbl>
      <w:tblPr>
        <w:tblStyle w:val="13"/>
        <w:tblW w:w="8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8580" w:type="dxa"/>
            <w:noWrap w:val="0"/>
            <w:vAlign w:val="top"/>
          </w:tcPr>
          <w:p>
            <w:pPr>
              <w:jc w:val="center"/>
              <w:rPr>
                <w:rFonts w:eastAsia="黑体"/>
                <w:color w:val="0000FF"/>
                <w:kern w:val="0"/>
                <w:sz w:val="24"/>
                <w:szCs w:val="24"/>
              </w:rPr>
            </w:pPr>
            <w:r>
              <w:rPr>
                <w:rFonts w:eastAsia="黑体"/>
                <w:color w:val="000000"/>
              </w:rPr>
              <w:t>专栏</w:t>
            </w:r>
            <w:r>
              <w:rPr>
                <w:rFonts w:hint="eastAsia" w:eastAsia="黑体"/>
                <w:color w:val="000000"/>
              </w:rPr>
              <w:t>4生态生活体系建设</w:t>
            </w:r>
            <w:r>
              <w:rPr>
                <w:rFonts w:eastAsia="黑体"/>
                <w:color w:val="000000"/>
              </w:rPr>
              <w:t>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8580" w:type="dxa"/>
            <w:noWrap w:val="0"/>
            <w:vAlign w:val="top"/>
          </w:tcPr>
          <w:p>
            <w:pPr>
              <w:pStyle w:val="17"/>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Chars="0"/>
              <w:textAlignment w:val="auto"/>
              <w:rPr>
                <w:color w:val="000000"/>
                <w:sz w:val="24"/>
                <w:szCs w:val="24"/>
              </w:rPr>
            </w:pPr>
            <w:r>
              <w:rPr>
                <w:rFonts w:hint="eastAsia"/>
                <w:b/>
                <w:bCs/>
                <w:color w:val="000000"/>
                <w:sz w:val="24"/>
                <w:szCs w:val="24"/>
              </w:rPr>
              <w:t>停车设施建设工程：</w:t>
            </w:r>
            <w:r>
              <w:rPr>
                <w:rFonts w:hint="eastAsia"/>
                <w:color w:val="000000"/>
                <w:sz w:val="24"/>
                <w:szCs w:val="24"/>
              </w:rPr>
              <w:t>在全区范围内建设停车楼、地下停车场、机械式立体停车库等集约化停车设施，并按一定比例配建电动汽车充电设施；</w:t>
            </w:r>
          </w:p>
          <w:p>
            <w:pPr>
              <w:pStyle w:val="17"/>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Chars="0"/>
              <w:textAlignment w:val="auto"/>
              <w:rPr>
                <w:color w:val="000000"/>
                <w:sz w:val="24"/>
                <w:szCs w:val="24"/>
              </w:rPr>
            </w:pPr>
            <w:r>
              <w:rPr>
                <w:rFonts w:hint="eastAsia"/>
                <w:b/>
                <w:bCs/>
                <w:color w:val="000000"/>
                <w:sz w:val="24"/>
                <w:szCs w:val="24"/>
              </w:rPr>
              <w:t>城乡生活配套基础设施建设工程：</w:t>
            </w:r>
            <w:r>
              <w:rPr>
                <w:rFonts w:hint="eastAsia"/>
                <w:color w:val="000000"/>
                <w:sz w:val="24"/>
                <w:szCs w:val="24"/>
              </w:rPr>
              <w:t>推进“洪都航空文化园”建设、110千伏洪都变电站建设、新型建材市场、智慧型农贸市场建设、公共厕所提升改造；</w:t>
            </w:r>
          </w:p>
          <w:p>
            <w:pPr>
              <w:pStyle w:val="17"/>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Chars="0"/>
              <w:textAlignment w:val="auto"/>
              <w:rPr>
                <w:color w:val="000000"/>
                <w:sz w:val="24"/>
                <w:szCs w:val="24"/>
              </w:rPr>
            </w:pPr>
            <w:r>
              <w:rPr>
                <w:rFonts w:hint="eastAsia"/>
                <w:b/>
                <w:bCs/>
                <w:color w:val="000000"/>
                <w:sz w:val="24"/>
                <w:szCs w:val="24"/>
              </w:rPr>
              <w:t>老旧小区、城中村、棚户区改造：</w:t>
            </w:r>
            <w:r>
              <w:rPr>
                <w:rFonts w:hint="eastAsia"/>
                <w:color w:val="000000"/>
                <w:sz w:val="24"/>
                <w:szCs w:val="24"/>
              </w:rPr>
              <w:t>推进范围约4217户的老旧小区改造，建设内容包括：市政设施、小区道路、建筑本体、基本公共设施、房屋建筑提升、公共环境提升、建筑特色营造、公共空间营造、公共设施营造等。推进位于城南大道以西、新溪桥南二路以北的城南村改造，进一步推进南莲路周边棚户区改造，黄溪农民公寓二期升级改造；</w:t>
            </w:r>
          </w:p>
          <w:p>
            <w:pPr>
              <w:pStyle w:val="17"/>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Chars="0"/>
              <w:textAlignment w:val="auto"/>
              <w:rPr>
                <w:color w:val="000000"/>
                <w:sz w:val="24"/>
                <w:szCs w:val="24"/>
              </w:rPr>
            </w:pPr>
            <w:r>
              <w:rPr>
                <w:rFonts w:hint="eastAsia"/>
                <w:b/>
                <w:bCs/>
                <w:color w:val="000000"/>
                <w:sz w:val="24"/>
                <w:szCs w:val="24"/>
              </w:rPr>
              <w:t>路网工程建设：</w:t>
            </w:r>
            <w:r>
              <w:rPr>
                <w:rFonts w:hint="eastAsia"/>
                <w:color w:val="000000"/>
                <w:sz w:val="24"/>
                <w:szCs w:val="24"/>
              </w:rPr>
              <w:t>对相关道路进行排水、路基施工，路沿石安装，人行道铺设，沥青摊铺，沿线绿化，路灯安装等建设；开始昌南新城南北连通渠工程（青云谱段）；新建相关道路，相关道路综合提升改造；</w:t>
            </w:r>
          </w:p>
          <w:p>
            <w:pPr>
              <w:pStyle w:val="17"/>
              <w:keepNext w:val="0"/>
              <w:keepLines w:val="0"/>
              <w:pageBreakBefore w:val="0"/>
              <w:widowControl w:val="0"/>
              <w:numPr>
                <w:ilvl w:val="0"/>
                <w:numId w:val="4"/>
              </w:numPr>
              <w:kinsoku/>
              <w:wordWrap/>
              <w:overflowPunct/>
              <w:topLinePunct w:val="0"/>
              <w:autoSpaceDE/>
              <w:autoSpaceDN/>
              <w:bidi w:val="0"/>
              <w:adjustRightInd/>
              <w:snapToGrid/>
              <w:spacing w:line="240" w:lineRule="auto"/>
              <w:ind w:firstLineChars="0"/>
              <w:textAlignment w:val="auto"/>
              <w:rPr>
                <w:color w:val="000000"/>
                <w:sz w:val="24"/>
                <w:szCs w:val="24"/>
              </w:rPr>
            </w:pPr>
            <w:r>
              <w:rPr>
                <w:rFonts w:hint="eastAsia"/>
                <w:b/>
                <w:bCs/>
                <w:color w:val="000000"/>
                <w:sz w:val="24"/>
                <w:szCs w:val="24"/>
              </w:rPr>
              <w:t>洪都老厂区改造：</w:t>
            </w:r>
            <w:r>
              <w:rPr>
                <w:rFonts w:hint="eastAsia"/>
                <w:color w:val="000000"/>
                <w:sz w:val="24"/>
                <w:szCs w:val="24"/>
              </w:rPr>
              <w:t>重点激活工业遗产用地，活化工业文化景观，推动以“洪都”老厂区等工业基地为主要空间载体的用地存量更新，加快提升洪都社区等老旧小区人居环境，促进片区产业转型升级，积极争创工业型历史文化街区，大力发展文化创意产业；</w:t>
            </w:r>
          </w:p>
          <w:p>
            <w:pPr>
              <w:keepNext w:val="0"/>
              <w:keepLines w:val="0"/>
              <w:pageBreakBefore w:val="0"/>
              <w:widowControl w:val="0"/>
              <w:kinsoku/>
              <w:wordWrap/>
              <w:overflowPunct/>
              <w:topLinePunct w:val="0"/>
              <w:autoSpaceDE/>
              <w:autoSpaceDN/>
              <w:bidi w:val="0"/>
              <w:adjustRightInd/>
              <w:snapToGrid/>
              <w:spacing w:line="240" w:lineRule="auto"/>
              <w:ind w:left="361" w:hanging="361" w:hangingChars="150"/>
              <w:textAlignment w:val="auto"/>
            </w:pPr>
            <w:r>
              <w:rPr>
                <w:rFonts w:hint="eastAsia"/>
                <w:b/>
                <w:bCs/>
                <w:color w:val="000000"/>
                <w:sz w:val="24"/>
                <w:szCs w:val="24"/>
              </w:rPr>
              <w:t>6、商贸服务业：</w:t>
            </w:r>
            <w:r>
              <w:rPr>
                <w:rFonts w:hint="eastAsia"/>
                <w:color w:val="000000"/>
                <w:sz w:val="24"/>
                <w:szCs w:val="24"/>
              </w:rPr>
              <w:t>将王府井商圈同十字街、绳金塔商圈、洪城商圈、上海路商圈、青云小镇商业街以及青云印象汇、麦德龙、华润万家等大型商场和省建材、香江家居、龙鼎茶城、老旧钢铁等一批传统批发市场有机串联起来，加速推进洪都新城和江铃老厂区的建设、广州路周边土地的整体开发与运营、迎宾北大道的提升改造，引进洪都商业综合体、江铃商业综合体、广州路商业综合体，京山商业综合体，联动沿线的西湖区、青山湖区，形成全市最大的商贸服务产业集群。</w:t>
            </w:r>
          </w:p>
        </w:tc>
      </w:tr>
    </w:tbl>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楷体_GB2312" w:hAnsi="楷体_GB2312" w:eastAsia="楷体_GB2312" w:cs="楷体_GB2312"/>
          <w:b/>
          <w:bCs/>
        </w:rPr>
      </w:pPr>
      <w:bookmarkStart w:id="120" w:name="_Toc142642748"/>
      <w:bookmarkStart w:id="121" w:name="_Toc152315099"/>
      <w:bookmarkStart w:id="122" w:name="_Toc80087545"/>
      <w:bookmarkStart w:id="123" w:name="_Toc151921877"/>
      <w:r>
        <w:rPr>
          <w:rFonts w:hint="eastAsia" w:ascii="楷体_GB2312" w:hAnsi="楷体_GB2312" w:eastAsia="楷体_GB2312" w:cs="楷体_GB2312"/>
          <w:b/>
          <w:bCs/>
        </w:rPr>
        <w:t>（六）生态文化体系建设</w:t>
      </w:r>
      <w:bookmarkEnd w:id="120"/>
      <w:bookmarkEnd w:id="121"/>
      <w:bookmarkEnd w:id="122"/>
      <w:bookmarkEnd w:id="123"/>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rPr>
      </w:pPr>
      <w:bookmarkStart w:id="124" w:name="_Toc151921878"/>
      <w:bookmarkStart w:id="125" w:name="_Toc142642749"/>
      <w:bookmarkStart w:id="126" w:name="_Toc152315100"/>
      <w:r>
        <w:rPr>
          <w:rFonts w:hint="eastAsia" w:ascii="仿宋_GB2312" w:hAnsi="仿宋_GB2312" w:eastAsia="仿宋_GB2312" w:cs="仿宋_GB2312"/>
          <w:b/>
          <w:bCs/>
        </w:rPr>
        <w:t>1</w:t>
      </w:r>
      <w:r>
        <w:rPr>
          <w:rFonts w:hint="default" w:ascii="仿宋_GB2312" w:hAnsi="仿宋_GB2312" w:cs="仿宋_GB2312"/>
          <w:b/>
          <w:bCs/>
          <w:lang w:val="en-US"/>
        </w:rPr>
        <w:t>.</w:t>
      </w:r>
      <w:r>
        <w:rPr>
          <w:rFonts w:hint="eastAsia" w:ascii="仿宋_GB2312" w:hAnsi="仿宋_GB2312" w:eastAsia="仿宋_GB2312" w:cs="仿宋_GB2312"/>
          <w:b/>
          <w:bCs/>
        </w:rPr>
        <w:t>加强文化资源保护利用</w:t>
      </w:r>
      <w:bookmarkEnd w:id="124"/>
      <w:bookmarkEnd w:id="125"/>
      <w:bookmarkEnd w:id="126"/>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bCs/>
        </w:rPr>
      </w:pPr>
      <w:r>
        <w:rPr>
          <w:rFonts w:hint="eastAsia"/>
          <w:b/>
        </w:rPr>
        <w:t>深化青云谱优秀传统文化研究传承。</w:t>
      </w:r>
      <w:r>
        <w:rPr>
          <w:rFonts w:hint="eastAsia" w:ascii="仿宋_GB2312" w:hAnsi="仿宋_GB2312" w:eastAsia="仿宋_GB2312" w:cs="仿宋_GB2312"/>
          <w:bCs/>
        </w:rPr>
        <w:t>深化青云谱优秀传统文化研究传承。加强对青云谱优秀传统文化时代价值的研究，深化“红色”文化、“绿色”文化、“蓝色”文化、“墨色”文化、“古色”文化、心学文化、工业文化、法治文化、宗教文化、民俗文化、音乐文化等青云谱特色文化研究和推广，挖掘八大山人、傅抱石、王阳明、程允贤、汪大渊、徐孺子、梅福、梅汝璈、许真君等特色文化资源，讲好青云谱人文历史故事，不断增强传统文化的生命力和影响力。</w:t>
      </w:r>
    </w:p>
    <w:p>
      <w:pPr>
        <w:pageBreakBefore w:val="0"/>
        <w:widowControl w:val="0"/>
        <w:kinsoku/>
        <w:wordWrap/>
        <w:overflowPunct/>
        <w:topLinePunct w:val="0"/>
        <w:autoSpaceDE/>
        <w:autoSpaceDN/>
        <w:bidi w:val="0"/>
        <w:adjustRightInd/>
        <w:snapToGrid/>
        <w:spacing w:line="560" w:lineRule="exact"/>
        <w:ind w:firstLine="562"/>
        <w:textAlignment w:val="auto"/>
        <w:rPr>
          <w:bCs/>
        </w:rPr>
      </w:pPr>
      <w:r>
        <w:rPr>
          <w:rFonts w:hint="eastAsia"/>
          <w:b/>
        </w:rPr>
        <w:t>加强非遗资源保护传承和利用。</w:t>
      </w:r>
      <w:r>
        <w:rPr>
          <w:rFonts w:hint="eastAsia"/>
          <w:bCs/>
        </w:rPr>
        <w:t>充分利用青云谱丰富的非遗资源，推进国家、省级非物质文化遗产传承基地和传播基地建设，重点推出一批市场前景广阔、深受群众喜爱的非遗特色企业和特色产品。加快实施传统工艺振兴计划，完善非遗数据库，深入挖掘城南龙灯、青云谱舨王庙龙舟赛、青云谱剪纸、青云谱腐乳制作技艺、八大山人书画技艺、青云谱灯彩制作技艺、万家绘染布画、南昌国画写意绣等非遗项目内涵。大力打造乡土文化平台，积极打造非物质文化遗产村（社区）、非物质文化遗产旅游景区。完善非物质文化遗产保护体系，建立非物质文化遗产保护长效机制。</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rPr>
      </w:pPr>
      <w:bookmarkStart w:id="127" w:name="_Toc80087547"/>
      <w:bookmarkStart w:id="128" w:name="_Toc152315101"/>
      <w:bookmarkStart w:id="129" w:name="_Toc151921879"/>
      <w:bookmarkStart w:id="130" w:name="_Toc142642750"/>
      <w:r>
        <w:rPr>
          <w:rFonts w:hint="eastAsia" w:ascii="仿宋_GB2312" w:hAnsi="仿宋_GB2312" w:eastAsia="仿宋_GB2312" w:cs="仿宋_GB2312"/>
          <w:b/>
          <w:bCs/>
        </w:rPr>
        <w:t>2</w:t>
      </w:r>
      <w:r>
        <w:rPr>
          <w:rFonts w:hint="default" w:ascii="仿宋_GB2312" w:hAnsi="仿宋_GB2312" w:cs="仿宋_GB2312"/>
          <w:b/>
          <w:bCs/>
          <w:lang w:val="en-US"/>
        </w:rPr>
        <w:t>.</w:t>
      </w:r>
      <w:r>
        <w:rPr>
          <w:rFonts w:hint="eastAsia" w:ascii="仿宋_GB2312" w:hAnsi="仿宋_GB2312" w:eastAsia="仿宋_GB2312" w:cs="仿宋_GB2312"/>
          <w:b/>
          <w:bCs/>
        </w:rPr>
        <w:t>加强生态文明宣传教育</w:t>
      </w:r>
      <w:bookmarkEnd w:id="127"/>
      <w:bookmarkEnd w:id="128"/>
      <w:bookmarkEnd w:id="129"/>
      <w:bookmarkEnd w:id="130"/>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r>
        <w:rPr>
          <w:b/>
        </w:rPr>
        <w:t>推进青云谱党政干部生态文明培训工作。</w:t>
      </w:r>
      <w:r>
        <w:rPr>
          <w:rFonts w:hint="eastAsia" w:ascii="仿宋_GB2312" w:hAnsi="仿宋_GB2312" w:eastAsia="仿宋_GB2312" w:cs="仿宋_GB2312"/>
        </w:rPr>
        <w:t>将生态文明教育系列课程列入党政领导干部教育培训主体班次，每年制定完善党政干部生态文明培训计划，不断强化领导干部的环境保护意识和生态文明意识。通过生态文明培训确保规划期间党政领导干部参加生态文明培训的人数比例保持100%。</w:t>
      </w:r>
    </w:p>
    <w:p>
      <w:pPr>
        <w:pStyle w:val="3"/>
        <w:pageBreakBefore w:val="0"/>
        <w:widowControl w:val="0"/>
        <w:kinsoku/>
        <w:wordWrap/>
        <w:overflowPunct/>
        <w:topLinePunct w:val="0"/>
        <w:autoSpaceDE/>
        <w:autoSpaceDN/>
        <w:bidi w:val="0"/>
        <w:adjustRightInd/>
        <w:snapToGrid/>
        <w:spacing w:after="0" w:line="560" w:lineRule="exact"/>
        <w:ind w:firstLine="562"/>
        <w:textAlignment w:val="auto"/>
      </w:pPr>
      <w:r>
        <w:rPr>
          <w:rFonts w:hint="eastAsia"/>
          <w:b/>
          <w:bCs/>
        </w:rPr>
        <w:t>加强生态文明宣传。</w:t>
      </w:r>
      <w:r>
        <w:rPr>
          <w:rFonts w:hint="eastAsia"/>
        </w:rPr>
        <w:t>多形式开展生态文明宣传，通过生态文化主题的文艺汇演，展现青云谱生态文明创建成果；充分利用“世界环境日”、“地球日”、“爱鸟周”、“国际生物多样性日”、“植树节”等环境相关的宣传日开展生态宣传活动，有计划地组织调动全民积极性的环保活动；定期组织社区居民、师生、企事业单位等生态文明主题宣教基地学习、体验；组织学校、社区、企业和企事业单位参观污水和垃圾收集、处理场所，加强生态文明观念和意识，常态化生态文明宣传。</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bCs/>
        </w:rPr>
      </w:pPr>
      <w:bookmarkStart w:id="131" w:name="_Toc80087548"/>
      <w:bookmarkStart w:id="132" w:name="_Toc151921880"/>
      <w:bookmarkStart w:id="133" w:name="_Toc142642751"/>
      <w:bookmarkStart w:id="134" w:name="_Toc152315102"/>
      <w:r>
        <w:rPr>
          <w:rFonts w:hint="eastAsia" w:ascii="仿宋_GB2312" w:hAnsi="仿宋_GB2312" w:eastAsia="仿宋_GB2312" w:cs="仿宋_GB2312"/>
          <w:b/>
          <w:bCs/>
        </w:rPr>
        <w:t>3</w:t>
      </w:r>
      <w:r>
        <w:rPr>
          <w:rFonts w:hint="default" w:ascii="仿宋_GB2312" w:hAnsi="仿宋_GB2312" w:cs="仿宋_GB2312"/>
          <w:b/>
          <w:bCs/>
          <w:lang w:val="en-US"/>
        </w:rPr>
        <w:t>.</w:t>
      </w:r>
      <w:r>
        <w:rPr>
          <w:rFonts w:hint="eastAsia" w:ascii="仿宋_GB2312" w:hAnsi="仿宋_GB2312" w:eastAsia="仿宋_GB2312" w:cs="仿宋_GB2312"/>
          <w:b/>
          <w:bCs/>
        </w:rPr>
        <w:t>推动生态文明共建共享</w:t>
      </w:r>
      <w:bookmarkEnd w:id="131"/>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color w:val="000000"/>
        </w:rPr>
      </w:pPr>
      <w:r>
        <w:rPr>
          <w:b/>
          <w:color w:val="000000"/>
        </w:rPr>
        <w:t>强化社会监督。</w:t>
      </w:r>
      <w:r>
        <w:rPr>
          <w:rFonts w:hint="eastAsia" w:ascii="仿宋_GB2312" w:hAnsi="仿宋_GB2312" w:eastAsia="仿宋_GB2312" w:cs="仿宋_GB2312"/>
          <w:color w:val="000000"/>
        </w:rPr>
        <w:t>建立完善公众参与环境管理决策的有效渠道和合理机制，建立沟通协商平台，鼓励公众对政府环保工作、企业排污行为进行监督，广泛听取公众意见和建议，保障公众知情权、参与权、监督权和表达权。加大环保举报热线“12369”的宣传力度，进一步畅通群众投诉举报渠道，方便公众对污染现象随时举报。引导公众通过环境信访、行政调解、寻求司法救济等方式理性维护自己合法权益。积极引导环保社会组织健康有序发展，参与环境保护监督。</w:t>
      </w:r>
    </w:p>
    <w:p>
      <w:pPr>
        <w:pageBreakBefore w:val="0"/>
        <w:widowControl w:val="0"/>
        <w:kinsoku/>
        <w:wordWrap/>
        <w:overflowPunct/>
        <w:topLinePunct w:val="0"/>
        <w:autoSpaceDE/>
        <w:autoSpaceDN/>
        <w:bidi w:val="0"/>
        <w:adjustRightInd/>
        <w:snapToGrid/>
        <w:spacing w:line="560" w:lineRule="exact"/>
        <w:ind w:firstLine="562"/>
        <w:textAlignment w:val="auto"/>
        <w:rPr>
          <w:color w:val="000000"/>
        </w:rPr>
      </w:pPr>
      <w:r>
        <w:rPr>
          <w:rFonts w:hint="eastAsia"/>
          <w:b/>
          <w:bCs/>
          <w:color w:val="000000"/>
        </w:rPr>
        <w:t>完善生态文化阵地建设。</w:t>
      </w:r>
      <w:r>
        <w:rPr>
          <w:rFonts w:hint="eastAsia"/>
          <w:color w:val="000000"/>
        </w:rPr>
        <w:t>以生态文化共享为宗旨，不断丰富生态文化服务载体。打造一批生态环境优美、生态理念健康、生态文化浓郁的绿地、生态文化馆等生态文明载体。</w:t>
      </w:r>
    </w:p>
    <w:p>
      <w:pPr>
        <w:pageBreakBefore w:val="0"/>
        <w:widowControl w:val="0"/>
        <w:kinsoku/>
        <w:wordWrap/>
        <w:overflowPunct/>
        <w:topLinePunct w:val="0"/>
        <w:autoSpaceDE/>
        <w:autoSpaceDN/>
        <w:bidi w:val="0"/>
        <w:adjustRightInd/>
        <w:snapToGrid/>
        <w:spacing w:line="560" w:lineRule="exact"/>
        <w:ind w:firstLine="562"/>
        <w:textAlignment w:val="auto"/>
        <w:rPr>
          <w:rFonts w:hint="eastAsia" w:ascii="仿宋_GB2312" w:hAnsi="仿宋_GB2312" w:eastAsia="仿宋_GB2312" w:cs="仿宋_GB2312"/>
        </w:rPr>
      </w:pPr>
      <w:r>
        <w:rPr>
          <w:rFonts w:hint="eastAsia"/>
          <w:b/>
          <w:bCs/>
        </w:rPr>
        <w:t>实施生态文化惠民工程。</w:t>
      </w:r>
      <w:r>
        <w:rPr>
          <w:rFonts w:hint="eastAsia" w:ascii="仿宋_GB2312" w:hAnsi="仿宋_GB2312" w:eastAsia="仿宋_GB2312" w:cs="仿宋_GB2312"/>
        </w:rPr>
        <w:t>开展内容丰度、形式多样的生态文化活动项目，改进提升文化惠民工程质量、形式和内容，以公众对青云谱区生态文明建设中的关注点、敏感点普及生态文化和观念，提高公众生态文明互动意愿和参与度，确保规划期间公众对生态文明建设的参与度和满意度不低于80%。</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noWrap w:val="0"/>
            <w:vAlign w:val="top"/>
          </w:tcPr>
          <w:p>
            <w:pPr>
              <w:jc w:val="center"/>
              <w:rPr>
                <w:rFonts w:eastAsia="黑体"/>
                <w:color w:val="000000"/>
                <w:kern w:val="0"/>
                <w:sz w:val="24"/>
                <w:szCs w:val="24"/>
              </w:rPr>
            </w:pPr>
            <w:bookmarkStart w:id="135" w:name="_Hlk96009168"/>
            <w:r>
              <w:rPr>
                <w:rFonts w:eastAsia="黑体"/>
                <w:color w:val="000000"/>
              </w:rPr>
              <w:t>专栏</w:t>
            </w:r>
            <w:r>
              <w:rPr>
                <w:rFonts w:hint="eastAsia" w:eastAsia="黑体"/>
                <w:color w:val="000000"/>
              </w:rPr>
              <w:t>5</w:t>
            </w:r>
            <w:r>
              <w:rPr>
                <w:rFonts w:eastAsia="黑体"/>
                <w:color w:val="000000"/>
              </w:rPr>
              <w:t>生态文化体系建设重点工程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296" w:type="dxa"/>
            <w:noWrap w:val="0"/>
            <w:vAlign w:val="top"/>
          </w:tcPr>
          <w:p>
            <w:pPr>
              <w:pStyle w:val="17"/>
              <w:keepNext w:val="0"/>
              <w:keepLines w:val="0"/>
              <w:pageBreakBefore w:val="0"/>
              <w:widowControl w:val="0"/>
              <w:numPr>
                <w:ilvl w:val="0"/>
                <w:numId w:val="5"/>
              </w:numPr>
              <w:kinsoku/>
              <w:wordWrap/>
              <w:overflowPunct/>
              <w:topLinePunct w:val="0"/>
              <w:autoSpaceDE/>
              <w:autoSpaceDN/>
              <w:bidi w:val="0"/>
              <w:adjustRightInd/>
              <w:snapToGrid/>
              <w:spacing w:line="240" w:lineRule="auto"/>
              <w:ind w:left="374" w:hanging="374" w:firstLineChars="0"/>
              <w:textAlignment w:val="auto"/>
              <w:rPr>
                <w:color w:val="000000"/>
                <w:sz w:val="24"/>
                <w:szCs w:val="24"/>
              </w:rPr>
            </w:pPr>
            <w:r>
              <w:rPr>
                <w:rFonts w:hint="eastAsia"/>
                <w:b/>
                <w:bCs/>
                <w:color w:val="000000"/>
                <w:sz w:val="24"/>
                <w:szCs w:val="24"/>
              </w:rPr>
              <w:t>博物馆群建设工程</w:t>
            </w:r>
            <w:r>
              <w:rPr>
                <w:rFonts w:hint="eastAsia"/>
                <w:color w:val="000000"/>
                <w:sz w:val="24"/>
                <w:szCs w:val="24"/>
              </w:rPr>
              <w:t>：改造提升八大山人纪念馆、程允贤雕塑艺术馆、彭友善美术馆、南昌市博物馆、梅汝</w:t>
            </w:r>
            <w:r>
              <w:rPr>
                <w:rFonts w:hint="eastAsia" w:ascii="仿宋" w:hAnsi="仿宋" w:eastAsia="仿宋" w:cs="微软雅黑"/>
                <w:color w:val="000000"/>
                <w:sz w:val="24"/>
                <w:szCs w:val="24"/>
              </w:rPr>
              <w:t>璈</w:t>
            </w:r>
            <w:r>
              <w:rPr>
                <w:rFonts w:hint="eastAsia" w:ascii="仿宋_GB2312" w:hAnsi="仿宋_GB2312" w:cs="仿宋_GB2312"/>
                <w:color w:val="000000"/>
                <w:sz w:val="24"/>
                <w:szCs w:val="24"/>
              </w:rPr>
              <w:t>故居陈列馆、华南博物馆、陈云旧居陈列馆、万寿塔陈列馆，加快建设梅湖艺术馆、南钞钱币博物馆。</w:t>
            </w:r>
          </w:p>
          <w:p>
            <w:pPr>
              <w:pStyle w:val="17"/>
              <w:keepNext w:val="0"/>
              <w:keepLines w:val="0"/>
              <w:pageBreakBefore w:val="0"/>
              <w:widowControl w:val="0"/>
              <w:numPr>
                <w:ilvl w:val="0"/>
                <w:numId w:val="5"/>
              </w:numPr>
              <w:kinsoku/>
              <w:wordWrap/>
              <w:overflowPunct/>
              <w:topLinePunct w:val="0"/>
              <w:autoSpaceDE/>
              <w:autoSpaceDN/>
              <w:bidi w:val="0"/>
              <w:adjustRightInd/>
              <w:snapToGrid/>
              <w:spacing w:line="240" w:lineRule="auto"/>
              <w:ind w:left="374" w:hanging="374" w:firstLineChars="0"/>
              <w:textAlignment w:val="auto"/>
              <w:rPr>
                <w:color w:val="000000"/>
                <w:sz w:val="24"/>
                <w:szCs w:val="24"/>
              </w:rPr>
            </w:pPr>
            <w:r>
              <w:rPr>
                <w:rFonts w:hint="eastAsia"/>
                <w:b/>
                <w:bCs/>
                <w:color w:val="000000"/>
                <w:sz w:val="24"/>
                <w:szCs w:val="24"/>
              </w:rPr>
              <w:t>数字文旅发展工程：</w:t>
            </w:r>
            <w:r>
              <w:rPr>
                <w:rFonts w:hint="eastAsia"/>
                <w:color w:val="000000"/>
                <w:sz w:val="24"/>
                <w:szCs w:val="24"/>
              </w:rPr>
              <w:t>推进文化与科技深度融合，培育“互联网＋文化旅游产业”新业态，创建全省文化和科技融合示范基强化数字化技术在文化领域的深入应用，培育一批动漫、游戏等数字文化龙头企业。创新发展公共数字文化工程。建成区公共数字图书馆网络体系，实现国家、省、市、区各级公共图书馆间的数字文化资源传递与共享。大力推进智慧景区建设。推进八大山人梅湖景区、象湖湿地公园智慧化建设。利用在线旅游平台推出云旅游项目，支持云直播、云看展等旅游新业态的发展；</w:t>
            </w:r>
          </w:p>
          <w:p>
            <w:pPr>
              <w:pStyle w:val="17"/>
              <w:keepNext w:val="0"/>
              <w:keepLines w:val="0"/>
              <w:pageBreakBefore w:val="0"/>
              <w:widowControl w:val="0"/>
              <w:numPr>
                <w:ilvl w:val="0"/>
                <w:numId w:val="5"/>
              </w:numPr>
              <w:kinsoku/>
              <w:wordWrap/>
              <w:overflowPunct/>
              <w:topLinePunct w:val="0"/>
              <w:autoSpaceDE/>
              <w:autoSpaceDN/>
              <w:bidi w:val="0"/>
              <w:adjustRightInd/>
              <w:snapToGrid/>
              <w:spacing w:line="240" w:lineRule="auto"/>
              <w:ind w:left="374" w:hanging="374" w:firstLineChars="0"/>
              <w:textAlignment w:val="auto"/>
              <w:rPr>
                <w:color w:val="000000"/>
                <w:sz w:val="24"/>
                <w:szCs w:val="24"/>
              </w:rPr>
            </w:pPr>
            <w:r>
              <w:rPr>
                <w:rFonts w:hint="eastAsia"/>
                <w:b/>
                <w:bCs/>
                <w:color w:val="000000"/>
                <w:sz w:val="24"/>
                <w:szCs w:val="24"/>
              </w:rPr>
              <w:t>八大山人梅湖·象湖旅游街区：</w:t>
            </w:r>
            <w:r>
              <w:rPr>
                <w:rFonts w:hint="eastAsia"/>
                <w:color w:val="000000"/>
                <w:sz w:val="24"/>
                <w:szCs w:val="24"/>
              </w:rPr>
              <w:t>大力推进八大山人梅湖·象湖旅游街区建设，着力优化699文化创意园、樟树林文化生活公园,打造集城市形象展示、社交休闲、餐饮娱乐于一体的大型综合性历史文化片区；</w:t>
            </w:r>
          </w:p>
          <w:p>
            <w:pPr>
              <w:pStyle w:val="17"/>
              <w:keepNext w:val="0"/>
              <w:keepLines w:val="0"/>
              <w:pageBreakBefore w:val="0"/>
              <w:widowControl w:val="0"/>
              <w:numPr>
                <w:ilvl w:val="0"/>
                <w:numId w:val="5"/>
              </w:numPr>
              <w:kinsoku/>
              <w:wordWrap/>
              <w:overflowPunct/>
              <w:topLinePunct w:val="0"/>
              <w:autoSpaceDE/>
              <w:autoSpaceDN/>
              <w:bidi w:val="0"/>
              <w:adjustRightInd/>
              <w:snapToGrid/>
              <w:spacing w:line="240" w:lineRule="auto"/>
              <w:ind w:left="374" w:hanging="374" w:firstLineChars="0"/>
              <w:textAlignment w:val="auto"/>
              <w:rPr>
                <w:color w:val="000000"/>
                <w:sz w:val="24"/>
                <w:szCs w:val="24"/>
              </w:rPr>
            </w:pPr>
            <w:r>
              <w:rPr>
                <w:rFonts w:hint="eastAsia"/>
                <w:b/>
                <w:bCs/>
                <w:color w:val="000000"/>
                <w:sz w:val="24"/>
                <w:szCs w:val="24"/>
              </w:rPr>
              <w:t>开展传统文化传承工程：</w:t>
            </w:r>
            <w:r>
              <w:rPr>
                <w:rFonts w:hint="eastAsia"/>
                <w:color w:val="000000"/>
                <w:sz w:val="24"/>
                <w:szCs w:val="24"/>
              </w:rPr>
              <w:t>建立青云谱历史文化资源大数据库，进一步加强对青云谱区“八大山人、灌婴筑城、楷模徐孺子、航海家汪大渊、大法官梅汝</w:t>
            </w:r>
            <w:r>
              <w:rPr>
                <w:rFonts w:hint="eastAsia" w:ascii="仿宋" w:hAnsi="仿宋" w:eastAsia="仿宋" w:cs="微软雅黑"/>
                <w:color w:val="000000"/>
                <w:sz w:val="24"/>
                <w:szCs w:val="24"/>
              </w:rPr>
              <w:t>璈</w:t>
            </w:r>
            <w:r>
              <w:rPr>
                <w:rFonts w:hint="eastAsia" w:ascii="仿宋_GB2312" w:hAnsi="仿宋_GB2312" w:cs="仿宋_GB2312"/>
                <w:color w:val="000000"/>
                <w:sz w:val="24"/>
                <w:szCs w:val="24"/>
              </w:rPr>
              <w:t>、城南龙灯”等传统文化和历史名人的研究，传承历史名人的青云精神。启动实施“城南龙灯”等非遗传承，持续打造“传承国粹，古韵青云”区域传统文化教育特色活动；</w:t>
            </w:r>
          </w:p>
          <w:p>
            <w:pPr>
              <w:pStyle w:val="17"/>
              <w:keepNext w:val="0"/>
              <w:keepLines w:val="0"/>
              <w:pageBreakBefore w:val="0"/>
              <w:widowControl w:val="0"/>
              <w:numPr>
                <w:ilvl w:val="0"/>
                <w:numId w:val="5"/>
              </w:numPr>
              <w:kinsoku/>
              <w:wordWrap/>
              <w:overflowPunct/>
              <w:topLinePunct w:val="0"/>
              <w:autoSpaceDE/>
              <w:autoSpaceDN/>
              <w:bidi w:val="0"/>
              <w:adjustRightInd/>
              <w:snapToGrid/>
              <w:spacing w:line="240" w:lineRule="auto"/>
              <w:ind w:left="374" w:hanging="374" w:firstLineChars="0"/>
              <w:textAlignment w:val="auto"/>
              <w:rPr>
                <w:color w:val="000000"/>
                <w:sz w:val="24"/>
                <w:szCs w:val="24"/>
              </w:rPr>
            </w:pPr>
            <w:r>
              <w:rPr>
                <w:rFonts w:hint="eastAsia"/>
                <w:b/>
                <w:bCs/>
                <w:color w:val="000000"/>
                <w:sz w:val="24"/>
                <w:szCs w:val="24"/>
              </w:rPr>
              <w:t>工业文化旅游：</w:t>
            </w:r>
            <w:r>
              <w:rPr>
                <w:rFonts w:hint="eastAsia"/>
                <w:color w:val="000000"/>
                <w:sz w:val="24"/>
                <w:szCs w:val="24"/>
              </w:rPr>
              <w:t>充分依托洪都老厂区、江铃老厂区、南昌印钞厂、阳光乳业、乔府食品等辖区内特色工业文化资源，结合企业搬迁改造，联动规划打造“参看华东车展、探秘钞票制造、逛航空博物馆”为主题的南昌市工业科技文化精品旅游片区。</w:t>
            </w:r>
          </w:p>
        </w:tc>
      </w:tr>
      <w:bookmarkEnd w:id="135"/>
    </w:tbl>
    <w:p>
      <w:pPr>
        <w:pStyle w:val="3"/>
      </w:pPr>
    </w:p>
    <w:p>
      <w:pPr>
        <w:pStyle w:val="4"/>
      </w:pPr>
    </w:p>
    <w:p/>
    <w:p>
      <w:pPr>
        <w:pStyle w:val="2"/>
      </w:pPr>
    </w:p>
    <w:p>
      <w:pPr>
        <w:pStyle w:val="4"/>
      </w:pPr>
    </w:p>
    <w:p>
      <w:pPr>
        <w:rPr>
          <w:color w:val="000000"/>
        </w:rPr>
        <w:sectPr>
          <w:headerReference r:id="rId7" w:type="default"/>
          <w:footerReference r:id="rId8" w:type="default"/>
          <w:pgSz w:w="11906" w:h="16838"/>
          <w:pgMar w:top="1440" w:right="1800" w:bottom="1440" w:left="1800" w:header="851" w:footer="992" w:gutter="0"/>
          <w:pgNumType w:fmt="numberInDash" w:chapStyle="1"/>
          <w:cols w:space="720" w:num="1"/>
          <w:docGrid w:type="lines" w:linePitch="381" w:charSpace="0"/>
        </w:sect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rPr>
      </w:pPr>
      <w:bookmarkStart w:id="136" w:name="_Toc152315103"/>
      <w:bookmarkStart w:id="137" w:name="_Toc151921885"/>
      <w:r>
        <w:rPr>
          <w:rFonts w:hint="eastAsia" w:ascii="黑体" w:hAnsi="黑体" w:eastAsia="黑体" w:cs="黑体"/>
          <w:b w:val="0"/>
          <w:bCs w:val="0"/>
        </w:rPr>
        <w:t>第五章保障措施</w:t>
      </w:r>
      <w:bookmarkEnd w:id="136"/>
      <w:bookmarkEnd w:id="137"/>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rPr>
      </w:pPr>
      <w:bookmarkStart w:id="138" w:name="_Toc151921886"/>
      <w:bookmarkStart w:id="139" w:name="_Toc152315104"/>
      <w:r>
        <w:rPr>
          <w:rFonts w:hint="eastAsia" w:ascii="楷体_GB2312" w:hAnsi="楷体_GB2312" w:eastAsia="楷体_GB2312" w:cs="楷体_GB2312"/>
          <w:b/>
          <w:bCs/>
        </w:rPr>
        <w:t>（一）组织保障</w:t>
      </w:r>
      <w:bookmarkEnd w:id="138"/>
      <w:bookmarkEnd w:id="13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pPr>
      <w:r>
        <w:rPr>
          <w:rFonts w:hint="eastAsia"/>
        </w:rPr>
        <w:t>全面加强党的领导，在生态环境保护委员会基础上，组建生态文明建设示范区创建工作领导小组，由区党委、区政府主要领导任组长，相关部门负责人为成员。加强各部门及乡镇的统筹和协调，建立联系会议机制，制定工作规程和年度工作计划。将生态文明示范区建设的目标、任务及重点工程分解到各乡镇和责任部门，细化落实责任。</w:t>
      </w:r>
      <w:r>
        <w:t>加强本规划与相关规划的协调衔接，实现与国民经济和社会发展规划、</w:t>
      </w:r>
      <w:r>
        <w:rPr>
          <w:rFonts w:hint="eastAsia"/>
        </w:rPr>
        <w:t>国土空间规划</w:t>
      </w:r>
      <w:r>
        <w:t>、</w:t>
      </w:r>
      <w:r>
        <w:rPr>
          <w:rFonts w:hint="eastAsia"/>
        </w:rPr>
        <w:t>生态环境</w:t>
      </w:r>
      <w:r>
        <w:t>保护规划</w:t>
      </w:r>
      <w:r>
        <w:rPr>
          <w:rFonts w:hint="eastAsia"/>
        </w:rPr>
        <w:t>以及其他专项规划</w:t>
      </w:r>
      <w:r>
        <w:t>的“融合”，推动规划目标任务的全面转化和落实。</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楷体_GB2312" w:hAnsi="楷体_GB2312" w:eastAsia="楷体_GB2312" w:cs="楷体_GB2312"/>
          <w:b/>
          <w:bCs/>
        </w:rPr>
      </w:pPr>
      <w:bookmarkStart w:id="140" w:name="_Toc151921887"/>
      <w:bookmarkStart w:id="141" w:name="_Toc152315105"/>
      <w:r>
        <w:rPr>
          <w:rFonts w:hint="eastAsia" w:ascii="楷体_GB2312" w:hAnsi="楷体_GB2312" w:eastAsia="楷体_GB2312" w:cs="楷体_GB2312"/>
          <w:b/>
          <w:bCs/>
        </w:rPr>
        <w:t>（二）制度保障</w:t>
      </w:r>
      <w:bookmarkEnd w:id="140"/>
      <w:bookmarkEnd w:id="14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pPr>
      <w:r>
        <w:rPr>
          <w:rFonts w:hint="eastAsia"/>
        </w:rPr>
        <w:t>加快建立适合青云谱区特色的生态文明制度体系，实行最严格的生态环境环保制度、全面建立资源高效利用制度、健全生态保护和修复制度、严明生态环境保护责任制度。建立以保护生态环境为导向的经济政策。生态文明建设的重大工程和重点项目优先立项，优先保证用地，并在税收等方面给予优惠支持。建立自然资源与环境有偿使用政策，对资源收益者征收资源开发补偿费和生态环境补偿费。推动环境治理和环评管理机制创新，积极探索建立更加符合生态文明建设要求的环境治理机制，把资源消耗、环境损害、生态效益纳入经济社会发展评价体系，建立体现生态文明要求的目标体系、考核办法、奖惩机制，全面提升环境管理水平。</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rPr>
      </w:pPr>
      <w:bookmarkStart w:id="142" w:name="_Toc151921888"/>
      <w:bookmarkStart w:id="143" w:name="_Toc152315106"/>
      <w:r>
        <w:rPr>
          <w:rFonts w:hint="eastAsia" w:ascii="楷体_GB2312" w:hAnsi="楷体_GB2312" w:eastAsia="楷体_GB2312" w:cs="楷体_GB2312"/>
          <w:b/>
          <w:bCs/>
        </w:rPr>
        <w:t>（三）资金保障</w:t>
      </w:r>
      <w:bookmarkEnd w:id="142"/>
      <w:bookmarkEnd w:id="14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pPr>
      <w:r>
        <w:rPr>
          <w:rFonts w:hint="eastAsia"/>
        </w:rPr>
        <w:t>建立“政府引导、企业为主、社会参与”的多元化融资机制。积极争取国家和省市专项资金支持，根据有关国家和省市政策，积极争取中央、省和市相关专项资金和政策支持。加大地方财政资金投入力度，将节能环保支出列为公共财政支出重点，并逐年增加资金投入比重。引进市场化融资机制，积极调动社会资本投入生态环境保护的积极性，构建多元化的环境保护投入融资格局。加强对资金使用绩效评价和项目后续管理，切实提高资金的使用效益。加大生态文明建设项目资金的审计和监管工作，统筹建设资金，确保建设目标和重点项目按计划推进。</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rPr>
      </w:pPr>
      <w:bookmarkStart w:id="144" w:name="_Toc152315107"/>
      <w:bookmarkStart w:id="145" w:name="_Toc151921889"/>
      <w:r>
        <w:rPr>
          <w:rFonts w:hint="eastAsia" w:ascii="楷体_GB2312" w:hAnsi="楷体_GB2312" w:eastAsia="楷体_GB2312" w:cs="楷体_GB2312"/>
          <w:b/>
          <w:bCs/>
        </w:rPr>
        <w:t>（四）技术保障</w:t>
      </w:r>
      <w:bookmarkEnd w:id="144"/>
      <w:bookmarkEnd w:id="14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pPr>
      <w:r>
        <w:rPr>
          <w:rFonts w:hint="eastAsia"/>
        </w:rPr>
        <w:t>加强生态环境保护能力建设，加大环境监测软硬件建设，不断提高环境监测能力，建成全方位、多层次、城乡全覆盖的环境监测体系，提高生态环境动态监测和跟踪水平。推动生态环境科技人才队伍建设，引进和培养一批环保科技专家及各专业领域的学术、技术带头人。建立完善的激励机制，大力支持青云谱区生态环境领域的科学研究、开发和研制。加强对从事生态环境保护、生态经济建设专职人员对外合作交流，强化政府部门工作人员培训，培养一支懂业务、善协调、会管理的生态文明建设专业队伍。</w:t>
      </w:r>
    </w:p>
    <w:p>
      <w:pPr>
        <w:keepNext w:val="0"/>
        <w:keepLines w:val="0"/>
        <w:pageBreakBefore w:val="0"/>
        <w:widowControl w:val="0"/>
        <w:kinsoku/>
        <w:wordWrap/>
        <w:overflowPunct/>
        <w:topLinePunct w:val="0"/>
        <w:autoSpaceDE/>
        <w:autoSpaceDN/>
        <w:bidi w:val="0"/>
        <w:adjustRightInd/>
        <w:snapToGrid/>
        <w:spacing w:line="560" w:lineRule="exact"/>
        <w:ind w:firstLine="482" w:firstLineChars="150"/>
        <w:textAlignment w:val="auto"/>
        <w:rPr>
          <w:rFonts w:hint="eastAsia" w:ascii="楷体_GB2312" w:hAnsi="楷体_GB2312" w:eastAsia="楷体_GB2312" w:cs="楷体_GB2312"/>
          <w:b/>
          <w:bCs/>
        </w:rPr>
      </w:pPr>
      <w:bookmarkStart w:id="146" w:name="_Toc152315108"/>
      <w:bookmarkStart w:id="147" w:name="_Toc151921890"/>
      <w:r>
        <w:rPr>
          <w:rFonts w:hint="eastAsia" w:ascii="楷体_GB2312" w:hAnsi="楷体_GB2312" w:eastAsia="楷体_GB2312" w:cs="楷体_GB2312"/>
          <w:b/>
          <w:bCs/>
        </w:rPr>
        <w:t>（五）社会保障</w:t>
      </w:r>
      <w:bookmarkEnd w:id="146"/>
      <w:bookmarkEnd w:id="147"/>
    </w:p>
    <w:p>
      <w:pPr>
        <w:pStyle w:val="3"/>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pPr>
      <w:r>
        <w:rPr>
          <w:rFonts w:hint="eastAsia"/>
        </w:rPr>
        <w:t>组织开展生态文明知识宣传教育，切实增强全社会生态环境保护的意识。加强典型宣传工作，积极发掘在生态文明建设过程中涌现的典型人物故事，充分利用广播、电视、报刊、网站、自媒体等新闻媒体和社交平台开展宣传工作，发挥榜样引领和辐射作用，形成全社会参与生态文明建设的氛围。建立健全人大代表、政协委员、专家学者、新闻媒体等社会公监督机制，完善信息公开制度，通过新闻媒体和政府网站等多种方式及时发布相关信息，保障公众的知情权、参与权和监督权。鼓励非政府组织、志愿者积极参与生态文明建设，开展环保宣传等社会公益活动。</w:t>
      </w:r>
    </w:p>
    <w:p>
      <w:pPr>
        <w:pStyle w:val="3"/>
        <w:keepNext w:val="0"/>
        <w:keepLines w:val="0"/>
        <w:pageBreakBefore w:val="0"/>
        <w:widowControl w:val="0"/>
        <w:kinsoku/>
        <w:wordWrap/>
        <w:overflowPunct/>
        <w:topLinePunct w:val="0"/>
        <w:autoSpaceDE/>
        <w:autoSpaceDN/>
        <w:bidi w:val="0"/>
        <w:adjustRightInd/>
        <w:snapToGrid/>
        <w:spacing w:after="0" w:line="560" w:lineRule="exact"/>
        <w:textAlignment w:val="auto"/>
      </w:pPr>
    </w:p>
    <w:sectPr>
      <w:footerReference r:id="rId9" w:type="default"/>
      <w:pgSz w:w="11906" w:h="16838"/>
      <w:pgMar w:top="2098" w:right="1531" w:bottom="1984" w:left="1531"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337C9E1-D327-44A6-BBF2-8440C0BC352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99B5FA9E-A5F8-4092-9390-F64F21B90C9E}"/>
  </w:font>
  <w:font w:name="仿宋_GB2312">
    <w:panose1 w:val="02010609030101010101"/>
    <w:charset w:val="86"/>
    <w:family w:val="modern"/>
    <w:pitch w:val="default"/>
    <w:sig w:usb0="00000001" w:usb1="080E0000" w:usb2="00000000" w:usb3="00000000" w:csb0="00040000" w:csb1="00000000"/>
    <w:embedRegular r:id="rId3" w:fontKey="{B72A47CE-2E7F-4C1D-A24E-A32B9B9D6278}"/>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auto"/>
    <w:pitch w:val="default"/>
    <w:sig w:usb0="A00002BF" w:usb1="184F6CFA" w:usb2="00000012" w:usb3="00000000" w:csb0="00040001" w:csb1="00000000"/>
    <w:embedRegular r:id="rId4" w:fontKey="{993400D3-A78D-431C-B930-21254102CF16}"/>
  </w:font>
  <w:font w:name="方正小标宋_GBK">
    <w:altName w:val="Arial Unicode MS"/>
    <w:panose1 w:val="02000000000000000000"/>
    <w:charset w:val="86"/>
    <w:family w:val="script"/>
    <w:pitch w:val="default"/>
    <w:sig w:usb0="00000001" w:usb1="08000000" w:usb2="00000000" w:usb3="00000000" w:csb0="00040000" w:csb1="00000000"/>
    <w:embedRegular r:id="rId5" w:fontKey="{BF6C8EAC-0BA4-43CB-B3ED-7DEB60055781}"/>
  </w:font>
  <w:font w:name="楷体_GB2312">
    <w:panose1 w:val="02010609030101010101"/>
    <w:charset w:val="86"/>
    <w:family w:val="modern"/>
    <w:pitch w:val="default"/>
    <w:sig w:usb0="00000001" w:usb1="080E0000" w:usb2="00000000" w:usb3="00000000" w:csb0="00040000" w:csb1="00000000"/>
    <w:embedRegular r:id="rId6" w:fontKey="{841B5E0A-9FD8-4876-93E2-BFA5E652BCE3}"/>
  </w:font>
  <w:font w:name="微软雅黑">
    <w:panose1 w:val="020B0503020204020204"/>
    <w:charset w:val="86"/>
    <w:family w:val="swiss"/>
    <w:pitch w:val="default"/>
    <w:sig w:usb0="80000287" w:usb1="2ACF3C50" w:usb2="00000016" w:usb3="00000000" w:csb0="0004001F" w:csb1="00000000"/>
    <w:embedRegular r:id="rId7" w:fontKey="{312E6ACB-17AE-45D7-A77E-B1CCF1FA06FA}"/>
  </w:font>
  <w:font w:name="仿宋">
    <w:panose1 w:val="02010609060101010101"/>
    <w:charset w:val="86"/>
    <w:family w:val="modern"/>
    <w:pitch w:val="default"/>
    <w:sig w:usb0="800002BF" w:usb1="38CF7CFA" w:usb2="00000016" w:usb3="00000000" w:csb0="00040001" w:csb1="00000000"/>
    <w:embedRegular r:id="rId8" w:fontKey="{6D4ECC4E-462D-4991-B352-8353DE0DD6DA}"/>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e0X343gEAAL4DAAAOAAAAAAAA&#10;AAEAIAAAAB4BAABkcnMvZTJvRG9jLnhtbFBLBQYAAAAABgAGAFkBAABuBQAAAAA=&#10;">
              <v:fill on="f" focussize="0,0"/>
              <v:stroke on="f"/>
              <v:imagedata o:title=""/>
              <o:lock v:ext="edit" aspectratio="f"/>
              <v:textbox inset="0mm,0mm,0mm,0mm" style="mso-fit-shape-to-text:t;">
                <w:txbxContent>
                  <w:p>
                    <w:pPr>
                      <w:pStyle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- 3 -</w:t>
                          </w:r>
                          <w:r>
                            <w:rPr>
                              <w:rFonts w:hint="eastAsia" w:ascii="仿宋_GB2312" w:hAnsi="仿宋_GB2312" w:eastAsia="仿宋_GB2312" w:cs="仿宋_GB2312"/>
                              <w:sz w:val="28"/>
                              <w:szCs w:val="28"/>
                            </w:rPr>
                            <w:fldChar w:fldCharType="end"/>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jEmbS3gEAAL4DAAAOAAAAAAAA&#10;AAEAIAAAAB4BAABkcnMvZTJvRG9jLnhtbFBLBQYAAAAABgAGAFkBAABuBQAAAAA=&#10;">
              <v:fill on="f" focussize="0,0"/>
              <v:stroke on="f"/>
              <v:imagedata o:title=""/>
              <o:lock v:ext="edit" aspectratio="f"/>
              <v:textbox inset="0mm,0mm,0mm,0mm" style="mso-fit-shape-to-text:t;">
                <w:txbxContent>
                  <w:p>
                    <w:pPr>
                      <w:pStyle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- 3 -</w:t>
                    </w:r>
                    <w:r>
                      <w:rPr>
                        <w:rFonts w:hint="eastAsia" w:ascii="仿宋_GB2312" w:hAnsi="仿宋_GB2312" w:eastAsia="仿宋_GB2312" w:cs="仿宋_GB2312"/>
                        <w:sz w:val="28"/>
                        <w:szCs w:val="28"/>
                      </w:rPr>
                      <w:fldChar w:fldCharType="end"/>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4QsZskBAACZ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UOG5x4OefP86//px/fyev&#10;szx9gBqzbgPmpeG9H3BpZj+gM7MeVLT5i3wIxlHc00VcOSQi8qPVcrWqMCQwNl8Qn90/DxHSB+kt&#10;yUZDI06viMqPnyCNqXNKrub8jTamTNC4/xyImT0s9z72mK007IaJ0M63J+TT4+Ab6nDPKTEfHeqa&#10;d2Q24mzsZuMQot53ZYlyPQjvDgmbKL3lCiPsVBgnVthN25VX4t97ybr/oz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ThCxmyQEAAJkDAAAOAAAAAAAAAAEAIAAAAB4BAABkcnMvZTJvRG9j&#10;LnhtbFBLBQYAAAAABgAGAFkBAABZBQAAAAA=&#10;">
              <v:fill on="f" focussize="0,0"/>
              <v:stroke on="f"/>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- 8 -</w:t>
                          </w:r>
                          <w:r>
                            <w:rPr>
                              <w:rFonts w:hint="eastAsia" w:ascii="仿宋_GB2312" w:hAnsi="仿宋_GB2312" w:eastAsia="仿宋_GB2312" w:cs="仿宋_GB2312"/>
                              <w:sz w:val="28"/>
                              <w:szCs w:val="28"/>
                            </w:rPr>
                            <w:fldChar w:fldCharType="end"/>
                          </w: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MWwji3gEAAL4DAAAOAAAAAAAA&#10;AAEAIAAAAB4BAABkcnMvZTJvRG9jLnhtbFBLBQYAAAAABgAGAFkBAABuBQAAAAA=&#10;">
              <v:fill on="f" focussize="0,0"/>
              <v:stroke on="f"/>
              <v:imagedata o:title=""/>
              <o:lock v:ext="edit" aspectratio="f"/>
              <v:textbox inset="0mm,0mm,0mm,0mm" style="mso-fit-shape-to-text:t;">
                <w:txbxContent>
                  <w:p>
                    <w:pPr>
                      <w:pStyle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- 8 -</w:t>
                    </w:r>
                    <w:r>
                      <w:rPr>
                        <w:rFonts w:hint="eastAsia" w:ascii="仿宋_GB2312" w:hAnsi="仿宋_GB2312" w:eastAsia="仿宋_GB2312" w:cs="仿宋_GB2312"/>
                        <w:sz w:val="28"/>
                        <w:szCs w:val="2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- 22 -</w:t>
                          </w:r>
                          <w:r>
                            <w:rPr>
                              <w:rFonts w:hint="eastAsia" w:ascii="仿宋_GB2312" w:hAnsi="仿宋_GB2312" w:eastAsia="仿宋_GB2312" w:cs="仿宋_GB2312"/>
                              <w:sz w:val="28"/>
                              <w:szCs w:val="28"/>
                            </w:rPr>
                            <w:fldChar w:fldCharType="end"/>
                          </w:r>
                        </w:p>
                      </w:txbxContent>
                    </wps:txbx>
                    <wps:bodyPr vert="horz" wrap="none" lIns="0" tIns="0" rIns="0" bIns="0" anchor="t" anchorCtr="0" upright="0">
                      <a:spAutoFit/>
                    </wps:bodyPr>
                  </wps:wsp>
                </a:graphicData>
              </a:graphic>
            </wp:anchor>
          </w:drawing>
        </mc:Choice>
        <mc:Fallback>
          <w:pict>
            <v:shape id="文本框 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EiskMvdAQAAvgMAAA4AAAAAAAAA&#10;AQAgAAAAHgEAAGRycy9lMm9Eb2MueG1sUEsFBgAAAAAGAAYAWQEAAG0FAAAAAA==&#10;">
              <v:fill on="f" focussize="0,0"/>
              <v:stroke on="f"/>
              <v:imagedata o:title=""/>
              <o:lock v:ext="edit" aspectratio="f"/>
              <v:textbox inset="0mm,0mm,0mm,0mm" style="mso-fit-shape-to-text:t;">
                <w:txbxContent>
                  <w:p>
                    <w:pPr>
                      <w:pStyle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- 22 -</w:t>
                    </w:r>
                    <w:r>
                      <w:rPr>
                        <w:rFonts w:hint="eastAsia" w:ascii="仿宋_GB2312" w:hAnsi="仿宋_GB2312" w:eastAsia="仿宋_GB2312" w:cs="仿宋_GB2312"/>
                        <w:sz w:val="28"/>
                        <w:szCs w:val="2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8JKgI+cBAADH&#10;AwAADgAAAAAAAAABACAAAAAfAQAAZHJzL2Uyb0RvYy54bWxQSwUGAAAAAAYABgBZAQAAeAUAAAAA&#10;">
              <v:fill on="f" focussize="0,0"/>
              <v:stroke on="f" weight="0.5pt"/>
              <v:imagedata o:title=""/>
              <o:lock v:ext="edit" aspectratio="f"/>
              <v:textbox inset="0mm,0mm,0mm,0mm" style="mso-fit-shape-to-text:t;">
                <w:txbxContent>
                  <w:p>
                    <w:pPr>
                      <w:pStyle w:val="9"/>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7FF6612"/>
    <w:multiLevelType w:val="singleLevel"/>
    <w:tmpl w:val="D7FF6612"/>
    <w:lvl w:ilvl="0" w:tentative="0">
      <w:start w:val="1"/>
      <w:numFmt w:val="decimal"/>
      <w:suff w:val="nothing"/>
      <w:lvlText w:val="（%1）"/>
      <w:lvlJc w:val="left"/>
    </w:lvl>
  </w:abstractNum>
  <w:abstractNum w:abstractNumId="1">
    <w:nsid w:val="2BB464D9"/>
    <w:multiLevelType w:val="multilevel"/>
    <w:tmpl w:val="2BB464D9"/>
    <w:lvl w:ilvl="0" w:tentative="0">
      <w:start w:val="1"/>
      <w:numFmt w:val="decimal"/>
      <w:lvlText w:val="%1、"/>
      <w:lvlJc w:val="left"/>
      <w:pPr>
        <w:ind w:left="398" w:hanging="375"/>
      </w:pPr>
      <w:rPr>
        <w:rFonts w:hint="default"/>
        <w:b/>
        <w:bCs/>
      </w:rPr>
    </w:lvl>
    <w:lvl w:ilvl="1" w:tentative="0">
      <w:start w:val="1"/>
      <w:numFmt w:val="lowerLetter"/>
      <w:lvlText w:val="%2)"/>
      <w:lvlJc w:val="left"/>
      <w:pPr>
        <w:ind w:left="903" w:hanging="440"/>
      </w:pPr>
    </w:lvl>
    <w:lvl w:ilvl="2" w:tentative="0">
      <w:start w:val="1"/>
      <w:numFmt w:val="lowerRoman"/>
      <w:lvlText w:val="%3."/>
      <w:lvlJc w:val="right"/>
      <w:pPr>
        <w:ind w:left="1343" w:hanging="440"/>
      </w:pPr>
    </w:lvl>
    <w:lvl w:ilvl="3" w:tentative="0">
      <w:start w:val="1"/>
      <w:numFmt w:val="decimal"/>
      <w:lvlText w:val="%4."/>
      <w:lvlJc w:val="left"/>
      <w:pPr>
        <w:ind w:left="1783" w:hanging="440"/>
      </w:pPr>
    </w:lvl>
    <w:lvl w:ilvl="4" w:tentative="0">
      <w:start w:val="1"/>
      <w:numFmt w:val="lowerLetter"/>
      <w:lvlText w:val="%5)"/>
      <w:lvlJc w:val="left"/>
      <w:pPr>
        <w:ind w:left="2223" w:hanging="440"/>
      </w:pPr>
    </w:lvl>
    <w:lvl w:ilvl="5" w:tentative="0">
      <w:start w:val="1"/>
      <w:numFmt w:val="lowerRoman"/>
      <w:lvlText w:val="%6."/>
      <w:lvlJc w:val="right"/>
      <w:pPr>
        <w:ind w:left="2663" w:hanging="440"/>
      </w:pPr>
    </w:lvl>
    <w:lvl w:ilvl="6" w:tentative="0">
      <w:start w:val="1"/>
      <w:numFmt w:val="decimal"/>
      <w:lvlText w:val="%7."/>
      <w:lvlJc w:val="left"/>
      <w:pPr>
        <w:ind w:left="3103" w:hanging="440"/>
      </w:pPr>
    </w:lvl>
    <w:lvl w:ilvl="7" w:tentative="0">
      <w:start w:val="1"/>
      <w:numFmt w:val="lowerLetter"/>
      <w:lvlText w:val="%8)"/>
      <w:lvlJc w:val="left"/>
      <w:pPr>
        <w:ind w:left="3543" w:hanging="440"/>
      </w:pPr>
    </w:lvl>
    <w:lvl w:ilvl="8" w:tentative="0">
      <w:start w:val="1"/>
      <w:numFmt w:val="lowerRoman"/>
      <w:lvlText w:val="%9."/>
      <w:lvlJc w:val="right"/>
      <w:pPr>
        <w:ind w:left="3983" w:hanging="440"/>
      </w:pPr>
    </w:lvl>
  </w:abstractNum>
  <w:abstractNum w:abstractNumId="2">
    <w:nsid w:val="2C11527A"/>
    <w:multiLevelType w:val="multilevel"/>
    <w:tmpl w:val="2C11527A"/>
    <w:lvl w:ilvl="0" w:tentative="0">
      <w:start w:val="1"/>
      <w:numFmt w:val="decimal"/>
      <w:lvlText w:val="%1、"/>
      <w:lvlJc w:val="left"/>
      <w:pPr>
        <w:ind w:left="375" w:hanging="375"/>
      </w:pPr>
      <w:rPr>
        <w:rFonts w:hint="default"/>
        <w:b/>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330E50F8"/>
    <w:multiLevelType w:val="multilevel"/>
    <w:tmpl w:val="330E50F8"/>
    <w:lvl w:ilvl="0" w:tentative="0">
      <w:start w:val="1"/>
      <w:numFmt w:val="decimal"/>
      <w:lvlText w:val="%1、"/>
      <w:lvlJc w:val="left"/>
      <w:pPr>
        <w:ind w:left="375" w:hanging="375"/>
      </w:pPr>
      <w:rPr>
        <w:rFonts w:hint="default"/>
        <w:b/>
        <w:bCs/>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4622553D"/>
    <w:multiLevelType w:val="multilevel"/>
    <w:tmpl w:val="4622553D"/>
    <w:lvl w:ilvl="0" w:tentative="0">
      <w:start w:val="1"/>
      <w:numFmt w:val="decimal"/>
      <w:lvlText w:val="%1、"/>
      <w:lvlJc w:val="left"/>
      <w:pPr>
        <w:ind w:left="375" w:hanging="375"/>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53F51F2"/>
    <w:rsid w:val="0C8D469F"/>
    <w:rsid w:val="19FE0289"/>
    <w:rsid w:val="1EEF7583"/>
    <w:rsid w:val="35DC2388"/>
    <w:rsid w:val="37256BBC"/>
    <w:rsid w:val="3DA7F82B"/>
    <w:rsid w:val="3EEBF2F1"/>
    <w:rsid w:val="3EEC23F6"/>
    <w:rsid w:val="3FBDC06F"/>
    <w:rsid w:val="3FEA2F06"/>
    <w:rsid w:val="43DFA0B6"/>
    <w:rsid w:val="47EE660F"/>
    <w:rsid w:val="4DB4D3B1"/>
    <w:rsid w:val="4FFFDB2F"/>
    <w:rsid w:val="53FD5A27"/>
    <w:rsid w:val="579D442A"/>
    <w:rsid w:val="5B7FA469"/>
    <w:rsid w:val="5F5D5305"/>
    <w:rsid w:val="5FCC573F"/>
    <w:rsid w:val="5FFE42B6"/>
    <w:rsid w:val="5FFF824E"/>
    <w:rsid w:val="66CBD4F9"/>
    <w:rsid w:val="69CB9B40"/>
    <w:rsid w:val="69F6720C"/>
    <w:rsid w:val="6EBF8D0B"/>
    <w:rsid w:val="6F8C868F"/>
    <w:rsid w:val="6FD7A637"/>
    <w:rsid w:val="6FFB4C62"/>
    <w:rsid w:val="74378542"/>
    <w:rsid w:val="74EF6508"/>
    <w:rsid w:val="76AF8E10"/>
    <w:rsid w:val="76F3AF02"/>
    <w:rsid w:val="77F1C3D7"/>
    <w:rsid w:val="77FB2C24"/>
    <w:rsid w:val="7BD221CD"/>
    <w:rsid w:val="7BDFF8B3"/>
    <w:rsid w:val="7CAF687D"/>
    <w:rsid w:val="7CFA40D1"/>
    <w:rsid w:val="7E1D7CE3"/>
    <w:rsid w:val="7EEFE2DF"/>
    <w:rsid w:val="7FF67C19"/>
    <w:rsid w:val="7FF6D06E"/>
    <w:rsid w:val="7FFBEEC3"/>
    <w:rsid w:val="8FAE74DB"/>
    <w:rsid w:val="9ED3AD98"/>
    <w:rsid w:val="9EFFD282"/>
    <w:rsid w:val="9F66BCA8"/>
    <w:rsid w:val="A3BC214F"/>
    <w:rsid w:val="A5FF3468"/>
    <w:rsid w:val="A8DFD4E5"/>
    <w:rsid w:val="AD62A7D4"/>
    <w:rsid w:val="ADF7027D"/>
    <w:rsid w:val="B4FF8DBE"/>
    <w:rsid w:val="B5B7B1D1"/>
    <w:rsid w:val="BDD3A0A5"/>
    <w:rsid w:val="BDFB64DB"/>
    <w:rsid w:val="BDFEBDD0"/>
    <w:rsid w:val="BEE78C65"/>
    <w:rsid w:val="BEF744DB"/>
    <w:rsid w:val="BF5328A5"/>
    <w:rsid w:val="BF9FC550"/>
    <w:rsid w:val="BFFDCF6C"/>
    <w:rsid w:val="C6BF97D0"/>
    <w:rsid w:val="CFBD4753"/>
    <w:rsid w:val="D5479F37"/>
    <w:rsid w:val="D5DE5931"/>
    <w:rsid w:val="DB4D74BE"/>
    <w:rsid w:val="DDD72D8B"/>
    <w:rsid w:val="DEB7CB86"/>
    <w:rsid w:val="DED2D1BF"/>
    <w:rsid w:val="DEDBDAED"/>
    <w:rsid w:val="DEDE7D2C"/>
    <w:rsid w:val="DF99F804"/>
    <w:rsid w:val="DFDF29E6"/>
    <w:rsid w:val="E7772A66"/>
    <w:rsid w:val="EDF75816"/>
    <w:rsid w:val="EE9FC36D"/>
    <w:rsid w:val="EF2F9040"/>
    <w:rsid w:val="EFD50BB2"/>
    <w:rsid w:val="EFEF9BE7"/>
    <w:rsid w:val="F13FB17A"/>
    <w:rsid w:val="F3FAE409"/>
    <w:rsid w:val="F5DC6BB4"/>
    <w:rsid w:val="F5FDB6BC"/>
    <w:rsid w:val="F7B5DEE5"/>
    <w:rsid w:val="F7FEC6E2"/>
    <w:rsid w:val="F7FF3830"/>
    <w:rsid w:val="F9F362C0"/>
    <w:rsid w:val="F9FE5401"/>
    <w:rsid w:val="FAD0E420"/>
    <w:rsid w:val="FB3DD8C0"/>
    <w:rsid w:val="FBEBECE1"/>
    <w:rsid w:val="FBFFD5DC"/>
    <w:rsid w:val="FC1F75F2"/>
    <w:rsid w:val="FD9FE961"/>
    <w:rsid w:val="FDC7D652"/>
    <w:rsid w:val="FDEF351F"/>
    <w:rsid w:val="FDF7B4BE"/>
    <w:rsid w:val="FE3DA0BE"/>
    <w:rsid w:val="FED99948"/>
    <w:rsid w:val="FEF73CEA"/>
    <w:rsid w:val="FEFF89C7"/>
    <w:rsid w:val="FF3A5C9E"/>
    <w:rsid w:val="FF45C94F"/>
    <w:rsid w:val="FF77B575"/>
    <w:rsid w:val="FF9FDDFC"/>
    <w:rsid w:val="FFA5B211"/>
    <w:rsid w:val="FFFB363B"/>
    <w:rsid w:val="FFFF4E0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lang w:val="en-US" w:eastAsia="zh-CN" w:bidi="ar-SA"/>
    </w:rPr>
  </w:style>
  <w:style w:type="paragraph" w:styleId="5">
    <w:name w:val="heading 1"/>
    <w:basedOn w:val="1"/>
    <w:next w:val="1"/>
    <w:qFormat/>
    <w:uiPriority w:val="9"/>
    <w:pPr>
      <w:keepNext/>
      <w:keepLines/>
      <w:spacing w:line="578" w:lineRule="auto"/>
      <w:outlineLvl w:val="0"/>
    </w:pPr>
    <w:rPr>
      <w:rFonts w:ascii="Calibri" w:hAnsi="Calibri"/>
      <w:b/>
      <w:bCs/>
      <w:kern w:val="44"/>
      <w:sz w:val="44"/>
      <w:szCs w:val="44"/>
    </w:rPr>
  </w:style>
  <w:style w:type="paragraph" w:styleId="6">
    <w:name w:val="heading 2"/>
    <w:basedOn w:val="1"/>
    <w:next w:val="1"/>
    <w:unhideWhenUsed/>
    <w:qFormat/>
    <w:uiPriority w:val="9"/>
    <w:pPr>
      <w:keepNext/>
      <w:keepLines/>
      <w:spacing w:before="260" w:after="260" w:line="416" w:lineRule="auto"/>
      <w:outlineLvl w:val="1"/>
    </w:pPr>
    <w:rPr>
      <w:rFonts w:ascii="Cambria" w:hAnsi="Cambria" w:eastAsia="宋体"/>
      <w:b/>
      <w:bCs/>
      <w:szCs w:val="32"/>
    </w:rPr>
  </w:style>
  <w:style w:type="paragraph" w:styleId="7">
    <w:name w:val="heading 3"/>
    <w:basedOn w:val="1"/>
    <w:next w:val="1"/>
    <w:unhideWhenUsed/>
    <w:qFormat/>
    <w:uiPriority w:val="9"/>
    <w:pPr>
      <w:keepNext/>
      <w:keepLines/>
      <w:spacing w:before="260" w:after="260" w:line="416" w:lineRule="auto"/>
      <w:outlineLvl w:val="2"/>
    </w:pPr>
    <w:rPr>
      <w:b/>
      <w:bCs/>
      <w:szCs w:val="32"/>
    </w:rPr>
  </w:style>
  <w:style w:type="character" w:default="1" w:styleId="14">
    <w:name w:val="Default Paragraph Font"/>
    <w:semiHidden/>
    <w:qFormat/>
    <w:uiPriority w:val="0"/>
  </w:style>
  <w:style w:type="table" w:default="1" w:styleId="13">
    <w:name w:val="Normal Table"/>
    <w:semiHidden/>
    <w:qFormat/>
    <w:uiPriority w:val="0"/>
    <w:tblPr>
      <w:tblStyle w:val="13"/>
      <w:tblCellMar>
        <w:top w:w="0" w:type="dxa"/>
        <w:left w:w="108" w:type="dxa"/>
        <w:bottom w:w="0" w:type="dxa"/>
        <w:right w:w="108" w:type="dxa"/>
      </w:tblCellMar>
    </w:tblPr>
  </w:style>
  <w:style w:type="paragraph" w:styleId="2">
    <w:name w:val="Body Text First Indent"/>
    <w:basedOn w:val="3"/>
    <w:next w:val="3"/>
    <w:qFormat/>
    <w:uiPriority w:val="99"/>
    <w:pPr>
      <w:ind w:firstLine="420" w:firstLineChars="100"/>
    </w:pPr>
  </w:style>
  <w:style w:type="paragraph" w:styleId="3">
    <w:name w:val="Body Text"/>
    <w:basedOn w:val="1"/>
    <w:next w:val="4"/>
    <w:qFormat/>
    <w:uiPriority w:val="99"/>
    <w:pPr>
      <w:spacing w:after="120"/>
    </w:pPr>
  </w:style>
  <w:style w:type="paragraph" w:customStyle="1" w:styleId="4">
    <w:name w:val="引用1"/>
    <w:basedOn w:val="1"/>
    <w:next w:val="1"/>
    <w:qFormat/>
    <w:uiPriority w:val="0"/>
    <w:rPr>
      <w:i/>
      <w:iCs/>
      <w:color w:val="000000"/>
    </w:rPr>
  </w:style>
  <w:style w:type="paragraph" w:styleId="8">
    <w:name w:val="toc 3"/>
    <w:basedOn w:val="1"/>
    <w:next w:val="1"/>
    <w:unhideWhenUsed/>
    <w:qFormat/>
    <w:uiPriority w:val="39"/>
    <w:pPr>
      <w:spacing w:before="120" w:after="120"/>
      <w:ind w:left="400" w:leftChars="400"/>
      <w:contextualSpacing/>
    </w:pPr>
    <w:rPr>
      <w:position w:val="-12"/>
      <w:sz w:val="21"/>
      <w:szCs w:val="28"/>
      <w:lang w:val="zh-CN"/>
    </w:rPr>
  </w:style>
  <w:style w:type="paragraph" w:styleId="9">
    <w:name w:val="footer"/>
    <w:basedOn w:val="1"/>
    <w:uiPriority w:val="0"/>
    <w:pPr>
      <w:tabs>
        <w:tab w:val="center" w:pos="4153"/>
        <w:tab w:val="right" w:pos="8306"/>
      </w:tabs>
      <w:snapToGrid w:val="0"/>
      <w:jc w:val="left"/>
    </w:pPr>
    <w:rPr>
      <w:sz w:val="18"/>
    </w:rPr>
  </w:style>
  <w:style w:type="paragraph" w:styleId="10">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unhideWhenUsed/>
    <w:qFormat/>
    <w:uiPriority w:val="39"/>
    <w:pPr>
      <w:tabs>
        <w:tab w:val="right" w:leader="dot" w:pos="8296"/>
      </w:tabs>
      <w:spacing w:before="120" w:after="120"/>
    </w:pPr>
    <w:rPr>
      <w:position w:val="-12"/>
      <w:sz w:val="21"/>
      <w:szCs w:val="28"/>
    </w:rPr>
  </w:style>
  <w:style w:type="paragraph" w:styleId="12">
    <w:name w:val="toc 2"/>
    <w:basedOn w:val="1"/>
    <w:next w:val="1"/>
    <w:unhideWhenUsed/>
    <w:qFormat/>
    <w:uiPriority w:val="39"/>
    <w:pPr>
      <w:tabs>
        <w:tab w:val="right" w:leader="dot" w:pos="8296"/>
      </w:tabs>
      <w:adjustRightInd w:val="0"/>
      <w:snapToGrid w:val="0"/>
      <w:spacing w:before="120" w:after="120"/>
      <w:ind w:left="200" w:leftChars="200"/>
    </w:pPr>
    <w:rPr>
      <w:position w:val="-12"/>
      <w:sz w:val="21"/>
      <w:szCs w:val="28"/>
    </w:rPr>
  </w:style>
  <w:style w:type="character" w:styleId="15">
    <w:name w:val="Strong"/>
    <w:basedOn w:val="14"/>
    <w:qFormat/>
    <w:uiPriority w:val="22"/>
    <w:rPr>
      <w:b/>
    </w:rPr>
  </w:style>
  <w:style w:type="character" w:styleId="16">
    <w:name w:val="Hyperlink"/>
    <w:basedOn w:val="14"/>
    <w:unhideWhenUsed/>
    <w:qFormat/>
    <w:uiPriority w:val="99"/>
    <w:rPr>
      <w:color w:val="0000FF"/>
      <w:u w:val="single"/>
    </w:rPr>
  </w:style>
  <w:style w:type="paragraph" w:styleId="17">
    <w:name w:val="List Paragraph"/>
    <w:basedOn w:val="1"/>
    <w:qFormat/>
    <w:uiPriority w:val="34"/>
    <w:pPr>
      <w:spacing w:line="360" w:lineRule="auto"/>
      <w:ind w:firstLine="420" w:firstLineChars="200"/>
    </w:pPr>
    <w:rPr>
      <w:position w:val="-1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2.33333333333333</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2024-02-28T23:15:09Z</dcterms:created>
  <dc:creator>kylin</dc:creator>
  <cp:lastModifiedBy>彭凤</cp:lastModifiedBy>
  <dcterms:modified xsi:type="dcterms:W3CDTF">2024-03-22T07:29:09Z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20AE7AF5079D4400BA3426DB1BFB9391_13</vt:lpwstr>
  </property>
</Properties>
</file>