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黑体" w:eastAsia="黑体"/>
          <w:sz w:val="44"/>
          <w:szCs w:val="36"/>
        </w:rPr>
      </w:pPr>
      <w:r>
        <w:rPr>
          <w:rFonts w:hint="eastAsia" w:ascii="黑体" w:hAnsi="黑体" w:eastAsia="黑体"/>
          <w:sz w:val="44"/>
          <w:szCs w:val="36"/>
          <w:lang w:val="en-US" w:eastAsia="zh-CN"/>
        </w:rPr>
        <w:t>青云谱区统计局</w:t>
      </w:r>
      <w:r>
        <w:rPr>
          <w:rFonts w:hint="eastAsia" w:ascii="黑体" w:hAnsi="黑体" w:eastAsia="黑体"/>
          <w:sz w:val="44"/>
          <w:szCs w:val="36"/>
        </w:rPr>
        <w:t>部门</w:t>
      </w:r>
      <w:r>
        <w:rPr>
          <w:rFonts w:hint="eastAsia" w:ascii="黑体" w:eastAsia="黑体"/>
          <w:sz w:val="44"/>
          <w:szCs w:val="36"/>
        </w:rPr>
        <w:t>201</w:t>
      </w:r>
      <w:r>
        <w:rPr>
          <w:rFonts w:hint="eastAsia" w:ascii="黑体" w:eastAsia="黑体"/>
          <w:sz w:val="44"/>
          <w:szCs w:val="36"/>
          <w:lang w:val="en-US" w:eastAsia="zh-CN"/>
        </w:rPr>
        <w:t>8</w:t>
      </w:r>
      <w:r>
        <w:rPr>
          <w:rFonts w:hint="eastAsia" w:ascii="黑体" w:eastAsia="黑体"/>
          <w:sz w:val="44"/>
          <w:szCs w:val="36"/>
        </w:rPr>
        <w:t>年度部门决算</w:t>
      </w:r>
    </w:p>
    <w:p>
      <w:pPr>
        <w:spacing w:line="600" w:lineRule="exact"/>
        <w:jc w:val="center"/>
        <w:rPr>
          <w:rFonts w:hint="eastAsia" w:ascii="黑体" w:eastAsia="黑体"/>
          <w:sz w:val="44"/>
          <w:szCs w:val="36"/>
        </w:rPr>
      </w:pPr>
    </w:p>
    <w:p>
      <w:pPr>
        <w:spacing w:line="600" w:lineRule="exact"/>
        <w:jc w:val="center"/>
        <w:rPr>
          <w:rFonts w:hint="eastAsia" w:ascii="黑体" w:eastAsia="黑体"/>
          <w:sz w:val="40"/>
          <w:szCs w:val="36"/>
        </w:rPr>
      </w:pPr>
      <w:r>
        <w:rPr>
          <w:rFonts w:hint="eastAsia" w:ascii="黑体" w:eastAsia="黑体"/>
          <w:sz w:val="40"/>
          <w:szCs w:val="36"/>
        </w:rPr>
        <w:t>目    录</w:t>
      </w:r>
    </w:p>
    <w:p>
      <w:pPr>
        <w:widowControl/>
        <w:spacing w:line="600" w:lineRule="exact"/>
        <w:ind w:firstLine="640"/>
        <w:jc w:val="left"/>
        <w:rPr>
          <w:rFonts w:hint="eastAsia" w:ascii="仿宋_GB2312" w:eastAsia="仿宋_GB2312"/>
          <w:sz w:val="32"/>
          <w:szCs w:val="30"/>
        </w:rPr>
      </w:pPr>
    </w:p>
    <w:p>
      <w:pPr>
        <w:widowControl/>
        <w:spacing w:line="600" w:lineRule="exact"/>
        <w:ind w:firstLine="640"/>
        <w:jc w:val="left"/>
        <w:rPr>
          <w:rFonts w:hint="eastAsia" w:ascii="黑体" w:hAnsi="黑体" w:eastAsia="黑体"/>
          <w:b/>
          <w:sz w:val="32"/>
          <w:szCs w:val="32"/>
        </w:rPr>
      </w:pPr>
      <w:r>
        <w:rPr>
          <w:rFonts w:hint="eastAsia" w:ascii="黑体" w:hAnsi="黑体" w:eastAsia="黑体"/>
          <w:b/>
          <w:sz w:val="32"/>
          <w:szCs w:val="32"/>
        </w:rPr>
        <w:t xml:space="preserve">第一部分  </w:t>
      </w:r>
      <w:r>
        <w:rPr>
          <w:rFonts w:hint="eastAsia" w:ascii="黑体" w:hAnsi="黑体" w:eastAsia="黑体"/>
          <w:sz w:val="32"/>
          <w:szCs w:val="32"/>
          <w:lang w:val="en-US" w:eastAsia="zh-CN"/>
        </w:rPr>
        <w:t>青云谱区统计局</w:t>
      </w:r>
      <w:r>
        <w:rPr>
          <w:rFonts w:hint="eastAsia" w:ascii="黑体" w:hAnsi="黑体" w:eastAsia="黑体"/>
          <w:sz w:val="32"/>
          <w:szCs w:val="32"/>
        </w:rPr>
        <w:t>部门</w:t>
      </w:r>
      <w:r>
        <w:rPr>
          <w:rFonts w:hint="eastAsia" w:ascii="黑体" w:hAnsi="黑体" w:eastAsia="黑体"/>
          <w:b/>
          <w:sz w:val="32"/>
          <w:szCs w:val="32"/>
        </w:rPr>
        <w:t>概况</w:t>
      </w:r>
    </w:p>
    <w:p>
      <w:pPr>
        <w:widowControl/>
        <w:spacing w:line="600" w:lineRule="exact"/>
        <w:ind w:firstLine="640"/>
        <w:jc w:val="left"/>
        <w:rPr>
          <w:rFonts w:hint="eastAsia" w:ascii="仿宋" w:hAnsi="仿宋" w:eastAsia="仿宋"/>
          <w:sz w:val="32"/>
          <w:szCs w:val="30"/>
        </w:rPr>
      </w:pPr>
      <w:r>
        <w:rPr>
          <w:rFonts w:hint="eastAsia" w:ascii="仿宋_GB2312" w:eastAsia="仿宋_GB2312"/>
          <w:b/>
          <w:sz w:val="32"/>
          <w:szCs w:val="30"/>
        </w:rPr>
        <w:t xml:space="preserve">    </w:t>
      </w:r>
      <w:r>
        <w:rPr>
          <w:rFonts w:hint="eastAsia" w:ascii="仿宋" w:hAnsi="仿宋" w:eastAsia="仿宋"/>
          <w:sz w:val="32"/>
          <w:szCs w:val="30"/>
        </w:rPr>
        <w:t>一、部门主要职责</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二、部门基本情况</w:t>
      </w:r>
    </w:p>
    <w:p>
      <w:pPr>
        <w:widowControl/>
        <w:spacing w:line="600" w:lineRule="exact"/>
        <w:ind w:firstLine="640"/>
        <w:jc w:val="left"/>
        <w:rPr>
          <w:rFonts w:hint="eastAsia" w:ascii="黑体" w:hAnsi="黑体" w:eastAsia="黑体"/>
          <w:sz w:val="32"/>
          <w:szCs w:val="32"/>
        </w:rPr>
      </w:pPr>
      <w:r>
        <w:rPr>
          <w:rFonts w:hint="eastAsia" w:ascii="黑体" w:hAnsi="黑体" w:eastAsia="黑体"/>
          <w:sz w:val="32"/>
          <w:szCs w:val="32"/>
        </w:rPr>
        <w:t>第二部分  201</w:t>
      </w:r>
      <w:r>
        <w:rPr>
          <w:rFonts w:hint="eastAsia" w:ascii="黑体" w:hAnsi="黑体" w:eastAsia="黑体"/>
          <w:sz w:val="32"/>
          <w:szCs w:val="32"/>
          <w:lang w:val="en-US" w:eastAsia="zh-CN"/>
        </w:rPr>
        <w:t>8</w:t>
      </w:r>
      <w:r>
        <w:rPr>
          <w:rFonts w:hint="eastAsia" w:ascii="黑体" w:hAnsi="黑体" w:eastAsia="黑体"/>
          <w:sz w:val="32"/>
          <w:szCs w:val="32"/>
        </w:rPr>
        <w:t>年度部门决算表</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一、收入支出决算总表</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二、收入决算表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三、支出决算表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四、财政拨款收入支出决算总表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五、一般公共预算财政拨款支出决算表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六、一般公共预算财政拨款基本支出决算表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七、一般公共预算财政拨款“三公”经费支出决算</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八、政府性基金预算财政拨款收入支出决算表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九、国有资产占用情况表</w:t>
      </w:r>
    </w:p>
    <w:p>
      <w:pPr>
        <w:widowControl/>
        <w:spacing w:line="600" w:lineRule="exact"/>
        <w:jc w:val="left"/>
        <w:rPr>
          <w:rFonts w:hint="eastAsia" w:ascii="黑体" w:hAnsi="黑体" w:eastAsia="黑体"/>
          <w:sz w:val="32"/>
          <w:szCs w:val="32"/>
        </w:rPr>
      </w:pPr>
      <w:r>
        <w:rPr>
          <w:rFonts w:hint="eastAsia" w:ascii="仿宋" w:hAnsi="仿宋" w:eastAsia="仿宋" w:cs="宋体"/>
          <w:kern w:val="0"/>
          <w:sz w:val="32"/>
          <w:szCs w:val="32"/>
        </w:rPr>
        <w:t xml:space="preserve">    </w:t>
      </w:r>
      <w:r>
        <w:rPr>
          <w:rFonts w:hint="eastAsia" w:ascii="黑体" w:hAnsi="黑体" w:eastAsia="黑体"/>
          <w:sz w:val="32"/>
          <w:szCs w:val="32"/>
        </w:rPr>
        <w:t>第三部分  201</w:t>
      </w:r>
      <w:r>
        <w:rPr>
          <w:rFonts w:hint="eastAsia" w:ascii="黑体" w:hAnsi="黑体" w:eastAsia="黑体"/>
          <w:sz w:val="32"/>
          <w:szCs w:val="32"/>
          <w:lang w:val="en-US" w:eastAsia="zh-CN"/>
        </w:rPr>
        <w:t>8</w:t>
      </w:r>
      <w:r>
        <w:rPr>
          <w:rFonts w:hint="eastAsia" w:ascii="黑体" w:hAnsi="黑体" w:eastAsia="黑体"/>
          <w:sz w:val="32"/>
          <w:szCs w:val="32"/>
        </w:rPr>
        <w:t>年度部门决算情况说明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一、收入决算情况说明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二、支出决算情况说明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三、财政拨款支出决算情况说明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四、一般公共预算财政拨款基本支出决算情况说明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五、一般公共预算财政拨款“三公”经费支出决算</w:t>
      </w:r>
    </w:p>
    <w:p>
      <w:pPr>
        <w:widowControl/>
        <w:spacing w:line="600" w:lineRule="exact"/>
        <w:jc w:val="left"/>
        <w:rPr>
          <w:rFonts w:hint="eastAsia" w:ascii="仿宋" w:hAnsi="仿宋" w:eastAsia="仿宋"/>
          <w:sz w:val="32"/>
          <w:szCs w:val="30"/>
        </w:rPr>
      </w:pPr>
      <w:r>
        <w:rPr>
          <w:rFonts w:hint="eastAsia" w:ascii="仿宋" w:hAnsi="仿宋" w:eastAsia="仿宋"/>
          <w:sz w:val="32"/>
          <w:szCs w:val="30"/>
        </w:rPr>
        <w:t xml:space="preserve">    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六、机关运行经费支出情况说明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七、政府采购支出情况说明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八、国有资产占用情况说明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九、预算绩效情况说明</w:t>
      </w:r>
    </w:p>
    <w:p>
      <w:pPr>
        <w:widowControl/>
        <w:spacing w:line="600" w:lineRule="exact"/>
        <w:ind w:firstLine="640"/>
        <w:jc w:val="left"/>
        <w:rPr>
          <w:rFonts w:ascii="仿宋" w:hAnsi="仿宋" w:eastAsia="仿宋"/>
          <w:sz w:val="32"/>
          <w:szCs w:val="30"/>
        </w:rPr>
      </w:pPr>
      <w:r>
        <w:rPr>
          <w:rFonts w:hint="eastAsia" w:ascii="黑体" w:hAnsi="黑体" w:eastAsia="黑体"/>
          <w:sz w:val="32"/>
          <w:szCs w:val="32"/>
        </w:rPr>
        <w:t>第四部分  名词解释</w:t>
      </w: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ind w:firstLine="630"/>
        <w:jc w:val="center"/>
        <w:rPr>
          <w:rFonts w:hint="eastAsia" w:ascii="宋体" w:hAnsi="宋体"/>
          <w:b/>
          <w:sz w:val="36"/>
          <w:szCs w:val="36"/>
        </w:rPr>
      </w:pPr>
    </w:p>
    <w:p>
      <w:pPr>
        <w:widowControl/>
        <w:spacing w:line="580" w:lineRule="exact"/>
        <w:jc w:val="center"/>
        <w:rPr>
          <w:rFonts w:hint="eastAsia" w:ascii="宋体" w:hAnsi="宋体"/>
          <w:b/>
          <w:sz w:val="32"/>
          <w:szCs w:val="30"/>
        </w:rPr>
      </w:pPr>
    </w:p>
    <w:p>
      <w:pPr>
        <w:widowControl/>
        <w:spacing w:line="580" w:lineRule="exact"/>
        <w:jc w:val="center"/>
        <w:rPr>
          <w:rFonts w:hint="eastAsia" w:ascii="宋体" w:hAnsi="宋体"/>
          <w:b/>
          <w:sz w:val="32"/>
          <w:szCs w:val="30"/>
        </w:rPr>
      </w:pPr>
    </w:p>
    <w:p>
      <w:pPr>
        <w:widowControl/>
        <w:spacing w:line="580" w:lineRule="exact"/>
        <w:jc w:val="center"/>
        <w:rPr>
          <w:rFonts w:hint="eastAsia" w:ascii="宋体" w:hAnsi="宋体"/>
          <w:b/>
          <w:sz w:val="32"/>
          <w:szCs w:val="30"/>
        </w:rPr>
      </w:pPr>
      <w:r>
        <w:rPr>
          <w:rFonts w:hint="eastAsia" w:ascii="宋体" w:hAnsi="宋体"/>
          <w:b/>
          <w:sz w:val="32"/>
          <w:szCs w:val="30"/>
        </w:rPr>
        <w:t xml:space="preserve">第一部分  </w:t>
      </w:r>
      <w:r>
        <w:rPr>
          <w:rFonts w:hint="eastAsia" w:ascii="宋体" w:hAnsi="宋体"/>
          <w:b/>
          <w:sz w:val="32"/>
          <w:szCs w:val="30"/>
          <w:lang w:val="en-US" w:eastAsia="zh-CN"/>
        </w:rPr>
        <w:t>南昌市青云谱区统计局</w:t>
      </w:r>
      <w:r>
        <w:rPr>
          <w:rFonts w:hint="eastAsia" w:ascii="宋体" w:hAnsi="宋体"/>
          <w:b/>
          <w:sz w:val="32"/>
          <w:szCs w:val="32"/>
        </w:rPr>
        <w:t>部门</w:t>
      </w:r>
      <w:r>
        <w:rPr>
          <w:rFonts w:hint="eastAsia" w:ascii="宋体" w:hAnsi="宋体"/>
          <w:b/>
          <w:sz w:val="32"/>
          <w:szCs w:val="30"/>
        </w:rPr>
        <w:t>概况</w:t>
      </w:r>
    </w:p>
    <w:p>
      <w:pPr>
        <w:ind w:firstLine="630"/>
        <w:jc w:val="center"/>
        <w:rPr>
          <w:rFonts w:hint="eastAsia"/>
          <w:sz w:val="32"/>
          <w:szCs w:val="32"/>
        </w:rPr>
      </w:pPr>
    </w:p>
    <w:p>
      <w:pPr>
        <w:ind w:firstLine="630"/>
        <w:jc w:val="left"/>
        <w:rPr>
          <w:rFonts w:hint="eastAsia" w:ascii="黑体" w:hAnsi="黑体" w:eastAsia="黑体"/>
          <w:sz w:val="30"/>
          <w:szCs w:val="30"/>
        </w:rPr>
      </w:pPr>
      <w:r>
        <w:rPr>
          <w:rFonts w:hint="eastAsia" w:ascii="黑体" w:hAnsi="黑体" w:eastAsia="黑体"/>
          <w:sz w:val="30"/>
          <w:szCs w:val="30"/>
        </w:rPr>
        <w:t>一、部门主要职能</w:t>
      </w:r>
    </w:p>
    <w:p>
      <w:pPr>
        <w:pStyle w:val="10"/>
        <w:rPr>
          <w:rFonts w:hint="eastAsia" w:ascii="仿宋" w:hAnsi="仿宋" w:eastAsia="仿宋"/>
          <w:sz w:val="32"/>
          <w:szCs w:val="32"/>
        </w:rPr>
      </w:pPr>
      <w:r>
        <w:rPr>
          <w:rFonts w:hint="eastAsia" w:ascii="仿宋" w:hAnsi="仿宋" w:eastAsia="仿宋"/>
          <w:sz w:val="32"/>
          <w:szCs w:val="32"/>
        </w:rPr>
        <w:t>青云谱区统计局是主管全区统计工作的区政府工作部门，主要职责是：</w:t>
      </w:r>
    </w:p>
    <w:p>
      <w:pPr>
        <w:ind w:firstLine="537" w:firstLineChars="168"/>
        <w:rPr>
          <w:rFonts w:hint="eastAsia" w:ascii="仿宋" w:hAnsi="仿宋" w:eastAsia="仿宋"/>
          <w:sz w:val="32"/>
          <w:szCs w:val="32"/>
        </w:rPr>
      </w:pPr>
      <w:r>
        <w:rPr>
          <w:rFonts w:hint="eastAsia" w:ascii="仿宋" w:hAnsi="仿宋" w:eastAsia="仿宋"/>
          <w:sz w:val="32"/>
          <w:szCs w:val="32"/>
        </w:rPr>
        <w:t>（一）承担组织和协调全区统计工作，确保统计数据真实、准确、及时的责任。依照国家法律、法规和政策，拟定全区统计改革、统计现代化建设和统计调查计划；组织领导和监督各街办、青云谱镇（园）、各部门、各企事业单位的统计工作；组织宣传、贯彻执行统计法律法规；查处统计违法案件，监督检查统计法律法规的实施。</w:t>
      </w:r>
    </w:p>
    <w:p>
      <w:pPr>
        <w:ind w:firstLine="640" w:firstLineChars="200"/>
        <w:rPr>
          <w:rFonts w:hint="eastAsia" w:ascii="仿宋" w:hAnsi="仿宋" w:eastAsia="仿宋"/>
          <w:sz w:val="32"/>
          <w:szCs w:val="32"/>
        </w:rPr>
      </w:pPr>
      <w:r>
        <w:rPr>
          <w:rFonts w:hint="eastAsia" w:ascii="仿宋" w:hAnsi="仿宋" w:eastAsia="仿宋"/>
          <w:sz w:val="32"/>
          <w:szCs w:val="32"/>
        </w:rPr>
        <w:t>（二）建立健全全区国民经济核算体系、统计指标体系、统计调查体系；制定全区性统计调查和统计报表制度；贯彻执行国家、省、市统计标准，指导全区统计工作。</w:t>
      </w:r>
    </w:p>
    <w:p>
      <w:pPr>
        <w:ind w:firstLine="640" w:firstLineChars="200"/>
        <w:rPr>
          <w:rFonts w:hint="eastAsia" w:ascii="仿宋" w:hAnsi="仿宋" w:eastAsia="仿宋"/>
          <w:sz w:val="32"/>
          <w:szCs w:val="32"/>
        </w:rPr>
      </w:pPr>
      <w:r>
        <w:rPr>
          <w:rFonts w:hint="eastAsia" w:ascii="仿宋" w:hAnsi="仿宋" w:eastAsia="仿宋"/>
          <w:sz w:val="32"/>
          <w:szCs w:val="32"/>
        </w:rPr>
        <w:t>（三）根据国家、省、市有关部门下发的重大国情国力普查计划、方案，拟订本区的实施方案，会同有关部门组织实施人口、经济、农业等重大国情国力普查，汇总、整理和提供有关国情国力方面的统计数据。</w:t>
      </w:r>
    </w:p>
    <w:p>
      <w:pPr>
        <w:ind w:firstLine="640" w:firstLineChars="200"/>
        <w:rPr>
          <w:rFonts w:hint="eastAsia" w:ascii="仿宋" w:hAnsi="仿宋" w:eastAsia="仿宋"/>
          <w:sz w:val="32"/>
          <w:szCs w:val="32"/>
        </w:rPr>
      </w:pPr>
      <w:r>
        <w:rPr>
          <w:rFonts w:hint="eastAsia" w:ascii="仿宋" w:hAnsi="仿宋" w:eastAsia="仿宋"/>
          <w:sz w:val="32"/>
          <w:szCs w:val="32"/>
        </w:rPr>
        <w:t>（四）组织实施农林牧渔业、工业、建筑业、批发和零售业、住宿和餐饮业、房地产业、租赁和商务服务业、居民服务和其他服务业、文化体育和娱乐业以及装卸搬运和其他运输服务业、仓储业、计算机服务业、软件业、科技交流和推广服务业、社会福利业等统计调查，收集、汇总、整理和提供有关调查的统计数据，综合整理和提供旅游、交通运输、邮政、教育、卫生、社会保障、公用事业等全区性基本统计数据。</w:t>
      </w:r>
    </w:p>
    <w:p>
      <w:pPr>
        <w:ind w:firstLine="640" w:firstLineChars="200"/>
        <w:rPr>
          <w:rFonts w:hint="eastAsia" w:ascii="仿宋" w:hAnsi="仿宋" w:eastAsia="仿宋"/>
          <w:sz w:val="32"/>
          <w:szCs w:val="32"/>
        </w:rPr>
      </w:pPr>
      <w:r>
        <w:rPr>
          <w:rFonts w:hint="eastAsia" w:ascii="仿宋" w:hAnsi="仿宋" w:eastAsia="仿宋"/>
          <w:sz w:val="32"/>
          <w:szCs w:val="32"/>
        </w:rPr>
        <w:t>（五）组织实施能源、投资、科技、人口、劳动力、社会发展基本情况、环境基本状况等统计调查，收集、汇总、整理和提供有关调查的统计数据，综合整理和提供资源、房屋、对外贸易、对外经济等全区性基本统计数据。</w:t>
      </w:r>
    </w:p>
    <w:p>
      <w:pPr>
        <w:ind w:firstLine="640" w:firstLineChars="200"/>
        <w:rPr>
          <w:rFonts w:hint="eastAsia" w:ascii="仿宋" w:hAnsi="仿宋" w:eastAsia="仿宋"/>
          <w:sz w:val="32"/>
          <w:szCs w:val="32"/>
        </w:rPr>
      </w:pPr>
      <w:r>
        <w:rPr>
          <w:rFonts w:hint="eastAsia" w:ascii="仿宋" w:hAnsi="仿宋" w:eastAsia="仿宋"/>
          <w:sz w:val="32"/>
          <w:szCs w:val="32"/>
        </w:rPr>
        <w:t>（六）组织各街办、镇（园）、各部门的经济、社会、科技和资源环境统计调查，统一核定、管理、公布全区性基本统计资料，定期发布全区国民经济和社会发展情况的统计信息，组织建立服务业统计信息共享制度和发布制度。</w:t>
      </w:r>
    </w:p>
    <w:p>
      <w:pPr>
        <w:ind w:firstLine="640" w:firstLineChars="200"/>
        <w:rPr>
          <w:rFonts w:hint="eastAsia" w:ascii="仿宋" w:hAnsi="仿宋" w:eastAsia="仿宋"/>
          <w:sz w:val="32"/>
          <w:szCs w:val="32"/>
        </w:rPr>
      </w:pPr>
      <w:r>
        <w:rPr>
          <w:rFonts w:hint="eastAsia" w:ascii="仿宋" w:hAnsi="仿宋" w:eastAsia="仿宋"/>
          <w:sz w:val="32"/>
          <w:szCs w:val="32"/>
        </w:rPr>
        <w:t>（七）对国民经济、社会发展、科技进步和资源环境等情况进行统计分析、统计预测和统计监督，向区委、区政府及有关部门提供信息和咨询建议。</w:t>
      </w:r>
    </w:p>
    <w:p>
      <w:pPr>
        <w:ind w:firstLine="640" w:firstLineChars="200"/>
        <w:rPr>
          <w:rFonts w:hint="eastAsia" w:ascii="仿宋" w:hAnsi="仿宋" w:eastAsia="仿宋"/>
          <w:sz w:val="32"/>
          <w:szCs w:val="32"/>
        </w:rPr>
      </w:pPr>
      <w:r>
        <w:rPr>
          <w:rFonts w:hint="eastAsia" w:ascii="仿宋" w:hAnsi="仿宋" w:eastAsia="仿宋"/>
          <w:sz w:val="32"/>
          <w:szCs w:val="32"/>
        </w:rPr>
        <w:t>（八）建立并管理全区统计信息自动化系统和统计数据库系统，组织制定各街办、镇（园）统计数据库和网络的基本标准和运行规则，指导街办、镇（园）统计信息化系统建设。</w:t>
      </w:r>
    </w:p>
    <w:p>
      <w:pPr>
        <w:ind w:firstLine="640" w:firstLineChars="200"/>
        <w:rPr>
          <w:rFonts w:hint="eastAsia" w:ascii="仿宋" w:hAnsi="仿宋" w:eastAsia="仿宋"/>
          <w:sz w:val="32"/>
          <w:szCs w:val="32"/>
        </w:rPr>
      </w:pPr>
      <w:r>
        <w:rPr>
          <w:rFonts w:hint="eastAsia" w:ascii="仿宋" w:hAnsi="仿宋" w:eastAsia="仿宋"/>
          <w:sz w:val="32"/>
          <w:szCs w:val="32"/>
        </w:rPr>
        <w:t>（九）负责推进、指导、协调、监督本部门、本系统的政府信息公开工作。</w:t>
      </w:r>
    </w:p>
    <w:p>
      <w:pPr>
        <w:ind w:left="643"/>
        <w:rPr>
          <w:rFonts w:hint="eastAsia" w:ascii="仿宋" w:hAnsi="仿宋" w:eastAsia="仿宋"/>
          <w:sz w:val="32"/>
          <w:szCs w:val="32"/>
        </w:rPr>
      </w:pPr>
      <w:r>
        <w:rPr>
          <w:rFonts w:hint="eastAsia" w:ascii="仿宋" w:hAnsi="仿宋" w:eastAsia="仿宋"/>
          <w:sz w:val="32"/>
          <w:szCs w:val="32"/>
        </w:rPr>
        <w:t>（十）承办区人民政府交办的其他事项。</w:t>
      </w:r>
    </w:p>
    <w:p>
      <w:pPr>
        <w:ind w:firstLine="630"/>
        <w:jc w:val="left"/>
        <w:rPr>
          <w:rFonts w:hint="eastAsia" w:ascii="黑体" w:hAnsi="黑体" w:eastAsia="黑体"/>
          <w:sz w:val="30"/>
          <w:szCs w:val="30"/>
        </w:rPr>
      </w:pPr>
      <w:r>
        <w:rPr>
          <w:rFonts w:hint="eastAsia" w:ascii="黑体" w:hAnsi="黑体" w:eastAsia="黑体"/>
          <w:sz w:val="30"/>
          <w:szCs w:val="30"/>
        </w:rPr>
        <w:t>二、部门基本情况</w:t>
      </w:r>
    </w:p>
    <w:p>
      <w:pPr>
        <w:pStyle w:val="10"/>
        <w:rPr>
          <w:rFonts w:hint="eastAsia" w:ascii="仿宋" w:hAnsi="仿宋" w:eastAsia="仿宋"/>
          <w:sz w:val="32"/>
          <w:szCs w:val="32"/>
        </w:rPr>
      </w:pPr>
      <w:r>
        <w:rPr>
          <w:rFonts w:hint="eastAsia" w:ascii="仿宋" w:hAnsi="仿宋" w:eastAsia="仿宋"/>
          <w:sz w:val="30"/>
          <w:szCs w:val="30"/>
        </w:rPr>
        <w:t xml:space="preserve">纳入本套部门决算汇编范围的单位共 </w:t>
      </w:r>
      <w:r>
        <w:rPr>
          <w:rFonts w:hint="eastAsia" w:ascii="仿宋" w:hAnsi="仿宋" w:eastAsia="仿宋"/>
          <w:sz w:val="30"/>
          <w:szCs w:val="30"/>
          <w:lang w:val="en-US" w:eastAsia="zh-CN"/>
        </w:rPr>
        <w:t>3</w:t>
      </w:r>
      <w:r>
        <w:rPr>
          <w:rFonts w:hint="eastAsia" w:ascii="仿宋" w:hAnsi="仿宋" w:eastAsia="仿宋"/>
          <w:sz w:val="30"/>
          <w:szCs w:val="30"/>
        </w:rPr>
        <w:t xml:space="preserve"> 个，</w:t>
      </w:r>
      <w:r>
        <w:rPr>
          <w:rFonts w:hint="eastAsia" w:ascii="仿宋" w:hAnsi="仿宋" w:eastAsia="仿宋"/>
          <w:sz w:val="32"/>
          <w:szCs w:val="32"/>
        </w:rPr>
        <w:t>包括</w:t>
      </w:r>
      <w:r>
        <w:rPr>
          <w:rFonts w:hint="eastAsia" w:ascii="仿宋" w:hAnsi="仿宋" w:eastAsia="仿宋"/>
          <w:sz w:val="32"/>
          <w:szCs w:val="32"/>
          <w:lang w:eastAsia="zh-CN"/>
        </w:rPr>
        <w:t>：</w:t>
      </w:r>
      <w:r>
        <w:rPr>
          <w:rFonts w:hint="eastAsia" w:ascii="仿宋" w:hAnsi="仿宋" w:eastAsia="仿宋"/>
          <w:sz w:val="32"/>
          <w:szCs w:val="32"/>
          <w:lang w:val="en-US" w:eastAsia="zh-CN"/>
        </w:rPr>
        <w:t>南昌市青云谱区统计局</w:t>
      </w:r>
      <w:r>
        <w:rPr>
          <w:rFonts w:hint="eastAsia" w:ascii="仿宋" w:hAnsi="仿宋" w:eastAsia="仿宋"/>
          <w:sz w:val="32"/>
          <w:szCs w:val="32"/>
        </w:rPr>
        <w:t>局本级</w:t>
      </w:r>
      <w:r>
        <w:rPr>
          <w:rFonts w:hint="eastAsia" w:ascii="仿宋" w:hAnsi="仿宋" w:eastAsia="仿宋"/>
          <w:sz w:val="32"/>
          <w:szCs w:val="32"/>
          <w:lang w:eastAsia="zh-CN"/>
        </w:rPr>
        <w:t>、</w:t>
      </w:r>
      <w:r>
        <w:rPr>
          <w:rFonts w:hint="eastAsia" w:ascii="仿宋" w:hAnsi="仿宋" w:eastAsia="仿宋"/>
          <w:sz w:val="32"/>
          <w:szCs w:val="32"/>
          <w:lang w:val="en-US" w:eastAsia="zh-CN"/>
        </w:rPr>
        <w:t>南昌市青云谱区经济调查队和南昌市青云谱区民情民意调查中心</w:t>
      </w:r>
      <w:r>
        <w:rPr>
          <w:rFonts w:hint="eastAsia" w:ascii="仿宋" w:hAnsi="仿宋" w:eastAsia="仿宋"/>
          <w:sz w:val="32"/>
          <w:szCs w:val="32"/>
        </w:rPr>
        <w:t>。</w:t>
      </w:r>
    </w:p>
    <w:p>
      <w:pPr>
        <w:pStyle w:val="10"/>
        <w:rPr>
          <w:rFonts w:hint="eastAsia" w:ascii="仿宋" w:hAnsi="仿宋" w:eastAsia="仿宋"/>
          <w:sz w:val="32"/>
          <w:szCs w:val="32"/>
        </w:rPr>
      </w:pPr>
      <w:r>
        <w:rPr>
          <w:rFonts w:hint="eastAsia" w:ascii="仿宋" w:hAnsi="仿宋" w:eastAsia="仿宋"/>
          <w:sz w:val="32"/>
          <w:szCs w:val="32"/>
          <w:lang w:val="en-US" w:eastAsia="zh-CN"/>
        </w:rPr>
        <w:t>本部门2018年年末</w:t>
      </w:r>
      <w:r>
        <w:rPr>
          <w:rFonts w:hint="eastAsia" w:ascii="仿宋" w:hAnsi="仿宋" w:eastAsia="仿宋"/>
          <w:sz w:val="32"/>
          <w:szCs w:val="32"/>
        </w:rPr>
        <w:t>实有人数4</w:t>
      </w:r>
      <w:r>
        <w:rPr>
          <w:rFonts w:hint="eastAsia" w:ascii="仿宋" w:hAnsi="仿宋" w:eastAsia="仿宋"/>
          <w:sz w:val="32"/>
          <w:szCs w:val="32"/>
          <w:lang w:val="en-US" w:eastAsia="zh-CN"/>
        </w:rPr>
        <w:t>2</w:t>
      </w:r>
      <w:r>
        <w:rPr>
          <w:rFonts w:hint="eastAsia" w:ascii="仿宋" w:hAnsi="仿宋" w:eastAsia="仿宋"/>
          <w:sz w:val="32"/>
          <w:szCs w:val="32"/>
        </w:rPr>
        <w:t>人，其中：在职人数</w:t>
      </w:r>
      <w:r>
        <w:rPr>
          <w:rFonts w:hint="eastAsia" w:ascii="仿宋" w:hAnsi="仿宋" w:eastAsia="仿宋"/>
          <w:sz w:val="32"/>
          <w:szCs w:val="32"/>
          <w:lang w:val="en-US" w:eastAsia="zh-CN"/>
        </w:rPr>
        <w:t>39</w:t>
      </w:r>
      <w:r>
        <w:rPr>
          <w:rFonts w:hint="eastAsia" w:ascii="仿宋" w:hAnsi="仿宋" w:eastAsia="仿宋"/>
          <w:sz w:val="32"/>
          <w:szCs w:val="32"/>
        </w:rPr>
        <w:t>人（行政人员4人、全部补助事业人员22人</w:t>
      </w:r>
      <w:r>
        <w:rPr>
          <w:rFonts w:hint="eastAsia" w:ascii="仿宋" w:hAnsi="仿宋" w:eastAsia="仿宋"/>
          <w:sz w:val="32"/>
          <w:szCs w:val="32"/>
          <w:lang w:eastAsia="zh-CN"/>
        </w:rPr>
        <w:t>、</w:t>
      </w:r>
      <w:r>
        <w:rPr>
          <w:rFonts w:hint="eastAsia" w:ascii="仿宋" w:hAnsi="仿宋" w:eastAsia="仿宋"/>
          <w:sz w:val="32"/>
          <w:szCs w:val="32"/>
          <w:lang w:val="en-US" w:eastAsia="zh-CN"/>
        </w:rPr>
        <w:t>临时工12人，安置残疾人1人</w:t>
      </w:r>
      <w:r>
        <w:rPr>
          <w:rFonts w:hint="eastAsia" w:ascii="仿宋" w:hAnsi="仿宋" w:eastAsia="仿宋"/>
          <w:sz w:val="32"/>
          <w:szCs w:val="32"/>
        </w:rPr>
        <w:t>），</w:t>
      </w:r>
      <w:r>
        <w:rPr>
          <w:rFonts w:hint="eastAsia" w:ascii="仿宋" w:hAnsi="仿宋" w:eastAsia="仿宋"/>
          <w:sz w:val="32"/>
          <w:szCs w:val="32"/>
          <w:lang w:val="en-US" w:eastAsia="zh-CN"/>
        </w:rPr>
        <w:t>离休人员0人，</w:t>
      </w:r>
      <w:r>
        <w:rPr>
          <w:rFonts w:hint="eastAsia" w:ascii="仿宋" w:hAnsi="仿宋" w:eastAsia="仿宋"/>
          <w:sz w:val="32"/>
          <w:szCs w:val="32"/>
        </w:rPr>
        <w:t>退休人员3人</w:t>
      </w:r>
      <w:r>
        <w:rPr>
          <w:rFonts w:hint="eastAsia" w:ascii="仿宋" w:hAnsi="仿宋" w:eastAsia="仿宋"/>
          <w:sz w:val="32"/>
          <w:szCs w:val="32"/>
          <w:lang w:val="en-US" w:eastAsia="zh-CN"/>
        </w:rPr>
        <w:t>；年末其他人员0人；年末学生人数0人</w:t>
      </w:r>
      <w:r>
        <w:rPr>
          <w:rFonts w:hint="eastAsia" w:ascii="仿宋" w:hAnsi="仿宋" w:eastAsia="仿宋"/>
          <w:sz w:val="32"/>
          <w:szCs w:val="32"/>
        </w:rPr>
        <w:t>。</w:t>
      </w:r>
    </w:p>
    <w:p>
      <w:pPr>
        <w:pStyle w:val="10"/>
        <w:rPr>
          <w:rFonts w:hint="eastAsia" w:ascii="仿宋" w:hAnsi="仿宋" w:eastAsia="仿宋"/>
          <w:sz w:val="32"/>
          <w:szCs w:val="32"/>
        </w:rPr>
      </w:pPr>
      <w:r>
        <w:rPr>
          <w:rFonts w:hint="eastAsia" w:ascii="宋体" w:hAnsi="宋体"/>
          <w:b/>
          <w:sz w:val="32"/>
          <w:szCs w:val="32"/>
        </w:rPr>
        <w:t xml:space="preserve"> </w:t>
      </w:r>
      <w:r>
        <w:rPr>
          <w:rFonts w:hint="eastAsia" w:ascii="宋体" w:hAnsi="宋体"/>
          <w:b/>
          <w:sz w:val="32"/>
          <w:szCs w:val="32"/>
          <w:lang w:val="en-US" w:eastAsia="zh-CN"/>
        </w:rPr>
        <w:t xml:space="preserve">       第二部分    </w:t>
      </w:r>
      <w:r>
        <w:rPr>
          <w:rFonts w:hint="eastAsia" w:ascii="宋体" w:hAnsi="宋体"/>
          <w:b/>
          <w:sz w:val="32"/>
          <w:szCs w:val="32"/>
        </w:rPr>
        <w:t>201</w:t>
      </w:r>
      <w:r>
        <w:rPr>
          <w:rFonts w:hint="eastAsia" w:ascii="宋体" w:hAnsi="宋体"/>
          <w:b/>
          <w:sz w:val="32"/>
          <w:szCs w:val="32"/>
          <w:lang w:val="en-US" w:eastAsia="zh-CN"/>
        </w:rPr>
        <w:t>8</w:t>
      </w:r>
      <w:r>
        <w:rPr>
          <w:rFonts w:hint="eastAsia" w:ascii="宋体" w:hAnsi="宋体"/>
          <w:b/>
          <w:sz w:val="32"/>
          <w:szCs w:val="32"/>
        </w:rPr>
        <w:t>年度部门决算表</w:t>
      </w:r>
    </w:p>
    <w:tbl>
      <w:tblPr>
        <w:tblStyle w:val="6"/>
        <w:tblpPr w:leftFromText="180" w:rightFromText="180" w:vertAnchor="text" w:horzAnchor="page" w:tblpX="1342" w:tblpY="572"/>
        <w:tblOverlap w:val="never"/>
        <w:tblW w:w="9585" w:type="dxa"/>
        <w:tblInd w:w="0" w:type="dxa"/>
        <w:shd w:val="clear" w:color="auto" w:fill="auto"/>
        <w:tblLayout w:type="fixed"/>
        <w:tblCellMar>
          <w:top w:w="0" w:type="dxa"/>
          <w:left w:w="0" w:type="dxa"/>
          <w:bottom w:w="0" w:type="dxa"/>
          <w:right w:w="0" w:type="dxa"/>
        </w:tblCellMar>
      </w:tblPr>
      <w:tblGrid>
        <w:gridCol w:w="9585"/>
      </w:tblGrid>
      <w:tr>
        <w:tblPrEx>
          <w:shd w:val="clear" w:color="auto" w:fill="auto"/>
          <w:tblCellMar>
            <w:top w:w="0" w:type="dxa"/>
            <w:left w:w="0" w:type="dxa"/>
            <w:bottom w:w="0" w:type="dxa"/>
            <w:right w:w="0" w:type="dxa"/>
          </w:tblCellMar>
        </w:tblPrEx>
        <w:trPr>
          <w:trHeight w:val="375" w:hRule="atLeast"/>
        </w:trPr>
        <w:tc>
          <w:tcPr>
            <w:tcW w:w="9585" w:type="dxa"/>
            <w:tcBorders>
              <w:top w:val="nil"/>
              <w:left w:val="nil"/>
              <w:bottom w:val="nil"/>
              <w:right w:val="nil"/>
            </w:tcBorders>
            <w:shd w:val="clear" w:color="auto" w:fill="auto"/>
            <w:noWrap/>
            <w:tcMar>
              <w:top w:w="15" w:type="dxa"/>
              <w:left w:w="15" w:type="dxa"/>
              <w:right w:w="15" w:type="dxa"/>
            </w:tcMar>
            <w:vAlign w:val="bottom"/>
          </w:tcPr>
          <w:tbl>
            <w:tblPr>
              <w:tblStyle w:val="6"/>
              <w:tblW w:w="9467" w:type="dxa"/>
              <w:tblInd w:w="-20" w:type="dxa"/>
              <w:shd w:val="clear" w:color="auto" w:fill="auto"/>
              <w:tblLayout w:type="fixed"/>
              <w:tblCellMar>
                <w:top w:w="0" w:type="dxa"/>
                <w:left w:w="108" w:type="dxa"/>
                <w:bottom w:w="0" w:type="dxa"/>
                <w:right w:w="108" w:type="dxa"/>
              </w:tblCellMar>
            </w:tblPr>
            <w:tblGrid>
              <w:gridCol w:w="5"/>
              <w:gridCol w:w="2195"/>
              <w:gridCol w:w="207"/>
              <w:gridCol w:w="206"/>
              <w:gridCol w:w="562"/>
              <w:gridCol w:w="1552"/>
              <w:gridCol w:w="2551"/>
              <w:gridCol w:w="5"/>
              <w:gridCol w:w="557"/>
              <w:gridCol w:w="5"/>
              <w:gridCol w:w="1617"/>
              <w:gridCol w:w="5"/>
            </w:tblGrid>
            <w:tr>
              <w:tblPrEx>
                <w:shd w:val="clear" w:color="auto" w:fill="auto"/>
                <w:tblCellMar>
                  <w:top w:w="0" w:type="dxa"/>
                  <w:left w:w="108" w:type="dxa"/>
                  <w:bottom w:w="0" w:type="dxa"/>
                  <w:right w:w="108" w:type="dxa"/>
                </w:tblCellMar>
              </w:tblPrEx>
              <w:trPr>
                <w:gridBefore w:val="1"/>
                <w:wBefore w:w="5" w:type="dxa"/>
                <w:trHeight w:val="540" w:hRule="atLeast"/>
              </w:trPr>
              <w:tc>
                <w:tcPr>
                  <w:tcW w:w="2195" w:type="dxa"/>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413"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114" w:type="dxa"/>
                  <w:gridSpan w:val="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18"/>
                      <w:szCs w:val="18"/>
                      <w:u w:val="none"/>
                      <w:lang w:val="en-US" w:eastAsia="zh-CN" w:bidi="ar"/>
                    </w:rPr>
                    <w:t>收入支出决算总表</w:t>
                  </w:r>
                </w:p>
              </w:tc>
              <w:tc>
                <w:tcPr>
                  <w:tcW w:w="2556"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2"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622"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r>
            <w:tr>
              <w:tblPrEx>
                <w:shd w:val="clear" w:color="auto" w:fill="auto"/>
                <w:tblCellMar>
                  <w:top w:w="0" w:type="dxa"/>
                  <w:left w:w="108" w:type="dxa"/>
                  <w:bottom w:w="0" w:type="dxa"/>
                  <w:right w:w="108" w:type="dxa"/>
                </w:tblCellMar>
              </w:tblPrEx>
              <w:trPr>
                <w:gridBefore w:val="1"/>
                <w:wBefore w:w="5" w:type="dxa"/>
                <w:trHeight w:val="255" w:hRule="atLeast"/>
              </w:trPr>
              <w:tc>
                <w:tcPr>
                  <w:tcW w:w="2195"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3"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114"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556"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2"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622" w:type="dxa"/>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批复01表</w:t>
                  </w:r>
                </w:p>
              </w:tc>
            </w:tr>
            <w:tr>
              <w:tblPrEx>
                <w:tblCellMar>
                  <w:top w:w="0" w:type="dxa"/>
                  <w:left w:w="108" w:type="dxa"/>
                  <w:bottom w:w="0" w:type="dxa"/>
                  <w:right w:w="108" w:type="dxa"/>
                </w:tblCellMar>
              </w:tblPrEx>
              <w:trPr>
                <w:gridBefore w:val="1"/>
                <w:wBefore w:w="5" w:type="dxa"/>
                <w:trHeight w:val="255" w:hRule="atLeast"/>
              </w:trPr>
              <w:tc>
                <w:tcPr>
                  <w:tcW w:w="2195"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编制单位：南昌市青云谱区统计局</w:t>
                  </w:r>
                </w:p>
              </w:tc>
              <w:tc>
                <w:tcPr>
                  <w:tcW w:w="413"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114" w:type="dxa"/>
                  <w:gridSpan w:val="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2018年度</w:t>
                  </w:r>
                </w:p>
              </w:tc>
              <w:tc>
                <w:tcPr>
                  <w:tcW w:w="2556"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2"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622" w:type="dxa"/>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4727" w:type="dxa"/>
                  <w:gridSpan w:val="6"/>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4735" w:type="dxa"/>
                  <w:gridSpan w:val="5"/>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552"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项目（按功能分类）</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2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    次</w:t>
                  </w:r>
                </w:p>
              </w:tc>
              <w:tc>
                <w:tcPr>
                  <w:tcW w:w="768" w:type="dxa"/>
                  <w:gridSpan w:val="2"/>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52"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    次</w:t>
                  </w:r>
                </w:p>
              </w:tc>
              <w:tc>
                <w:tcPr>
                  <w:tcW w:w="562" w:type="dxa"/>
                  <w:gridSpan w:val="2"/>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62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一、财政拨款收入</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5,763,396.79</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6,558,497.34</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其中：政府性基金预算财政拨款</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二、上级补助收入</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三、事业收入</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四、经营收入</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五、附属单位上缴收入</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六、其他收入</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七、文化体育与传媒支出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九、医疗卫生与计划生育支出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十四、资源勘探信息等支出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十八、国土海洋气象等支出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二十一、其他支出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二十二、债务还本支出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552"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二十三、债务付息支出</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5,763,396.79</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6,767,905.09</w:t>
                  </w:r>
                </w:p>
              </w:tc>
            </w:tr>
            <w:tr>
              <w:tblPrEx>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用事业基金弥补收支差额</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1,144,616.42</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140,108.12</w:t>
                  </w:r>
                </w:p>
              </w:tc>
            </w:tr>
            <w:tr>
              <w:tblPrEx>
                <w:shd w:val="clear" w:color="auto" w:fill="auto"/>
                <w:tblCellMar>
                  <w:top w:w="0" w:type="dxa"/>
                  <w:left w:w="108" w:type="dxa"/>
                  <w:bottom w:w="0" w:type="dxa"/>
                  <w:right w:w="108" w:type="dxa"/>
                </w:tblCellMar>
              </w:tblPrEx>
              <w:trPr>
                <w:gridAfter w:val="1"/>
                <w:wAfter w:w="5" w:type="dxa"/>
                <w:trHeight w:val="308" w:hRule="atLeast"/>
              </w:trPr>
              <w:tc>
                <w:tcPr>
                  <w:tcW w:w="2407" w:type="dxa"/>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768"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55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6,908,013.21</w:t>
                  </w:r>
                </w:p>
              </w:tc>
              <w:tc>
                <w:tcPr>
                  <w:tcW w:w="255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62" w:type="dxa"/>
                  <w:gridSpan w:val="2"/>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622" w:type="dxa"/>
                  <w:gridSpan w:val="2"/>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6,908,013.21</w:t>
                  </w:r>
                </w:p>
              </w:tc>
            </w:tr>
            <w:tr>
              <w:tblPrEx>
                <w:tblCellMar>
                  <w:top w:w="0" w:type="dxa"/>
                  <w:left w:w="108" w:type="dxa"/>
                  <w:bottom w:w="0" w:type="dxa"/>
                  <w:right w:w="108" w:type="dxa"/>
                </w:tblCellMar>
              </w:tblPrEx>
              <w:trPr>
                <w:gridBefore w:val="1"/>
                <w:wBefore w:w="5" w:type="dxa"/>
                <w:trHeight w:val="308" w:hRule="atLeast"/>
              </w:trPr>
              <w:tc>
                <w:tcPr>
                  <w:tcW w:w="9462" w:type="dxa"/>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注：本表反映部门本年度的总收支和年末结转结余情况。</w:t>
                  </w:r>
                </w:p>
              </w:tc>
            </w:tr>
          </w:tbl>
          <w:p>
            <w:pPr>
              <w:keepNext w:val="0"/>
              <w:keepLines w:val="0"/>
              <w:widowControl/>
              <w:suppressLineNumbers w:val="0"/>
              <w:jc w:val="both"/>
              <w:textAlignment w:val="bottom"/>
              <w:rPr>
                <w:rFonts w:hint="eastAsia" w:ascii="宋体" w:hAnsi="宋体" w:eastAsia="宋体" w:cs="宋体"/>
                <w:i w:val="0"/>
                <w:color w:val="000000"/>
                <w:sz w:val="28"/>
                <w:szCs w:val="28"/>
                <w:u w:val="none"/>
              </w:rPr>
            </w:pPr>
          </w:p>
        </w:tc>
      </w:tr>
    </w:tbl>
    <w:tbl>
      <w:tblPr>
        <w:tblStyle w:val="6"/>
        <w:tblpPr w:leftFromText="180" w:rightFromText="180" w:vertAnchor="text" w:horzAnchor="page" w:tblpX="400" w:tblpY="5892"/>
        <w:tblOverlap w:val="never"/>
        <w:tblW w:w="11504" w:type="dxa"/>
        <w:tblInd w:w="0" w:type="dxa"/>
        <w:shd w:val="clear" w:color="auto" w:fill="auto"/>
        <w:tblLayout w:type="fixed"/>
        <w:tblCellMar>
          <w:top w:w="0" w:type="dxa"/>
          <w:left w:w="108" w:type="dxa"/>
          <w:bottom w:w="0" w:type="dxa"/>
          <w:right w:w="108" w:type="dxa"/>
        </w:tblCellMar>
      </w:tblPr>
      <w:tblGrid>
        <w:gridCol w:w="510"/>
        <w:gridCol w:w="315"/>
        <w:gridCol w:w="360"/>
        <w:gridCol w:w="3150"/>
        <w:gridCol w:w="1620"/>
        <w:gridCol w:w="1560"/>
        <w:gridCol w:w="750"/>
        <w:gridCol w:w="705"/>
        <w:gridCol w:w="660"/>
        <w:gridCol w:w="1180"/>
        <w:gridCol w:w="694"/>
      </w:tblGrid>
      <w:tr>
        <w:tblPrEx>
          <w:tblCellMar>
            <w:top w:w="0" w:type="dxa"/>
            <w:left w:w="108" w:type="dxa"/>
            <w:bottom w:w="0" w:type="dxa"/>
            <w:right w:w="108" w:type="dxa"/>
          </w:tblCellMar>
        </w:tblPrEx>
        <w:trPr>
          <w:trHeight w:val="540" w:hRule="atLeast"/>
        </w:trPr>
        <w:tc>
          <w:tcPr>
            <w:tcW w:w="11504" w:type="dxa"/>
            <w:gridSpan w:val="11"/>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收入决算表</w:t>
            </w:r>
          </w:p>
        </w:tc>
      </w:tr>
      <w:tr>
        <w:tblPrEx>
          <w:shd w:val="clear" w:color="auto" w:fill="auto"/>
          <w:tblCellMar>
            <w:top w:w="0" w:type="dxa"/>
            <w:left w:w="108" w:type="dxa"/>
            <w:bottom w:w="0" w:type="dxa"/>
            <w:right w:w="108" w:type="dxa"/>
          </w:tblCellMar>
        </w:tblPrEx>
        <w:trPr>
          <w:trHeight w:val="255" w:hRule="atLeast"/>
        </w:trPr>
        <w:tc>
          <w:tcPr>
            <w:tcW w:w="510" w:type="dxa"/>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315"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6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15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62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6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5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5"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6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874" w:type="dxa"/>
            <w:gridSpan w:val="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批复02表</w:t>
            </w:r>
          </w:p>
        </w:tc>
      </w:tr>
      <w:tr>
        <w:tblPrEx>
          <w:shd w:val="clear" w:color="auto" w:fill="auto"/>
          <w:tblCellMar>
            <w:top w:w="0" w:type="dxa"/>
            <w:left w:w="108" w:type="dxa"/>
            <w:bottom w:w="0" w:type="dxa"/>
            <w:right w:w="108" w:type="dxa"/>
          </w:tblCellMar>
        </w:tblPrEx>
        <w:trPr>
          <w:trHeight w:val="255" w:hRule="atLeast"/>
        </w:trPr>
        <w:tc>
          <w:tcPr>
            <w:tcW w:w="4335" w:type="dxa"/>
            <w:gridSpan w:val="4"/>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编制单位：南昌市青云谱区统计局</w:t>
            </w:r>
          </w:p>
        </w:tc>
        <w:tc>
          <w:tcPr>
            <w:tcW w:w="162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015" w:type="dxa"/>
            <w:gridSpan w:val="3"/>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2018年度</w:t>
            </w:r>
          </w:p>
        </w:tc>
        <w:tc>
          <w:tcPr>
            <w:tcW w:w="66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874" w:type="dxa"/>
            <w:gridSpan w:val="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shd w:val="clear" w:color="auto" w:fill="auto"/>
          <w:tblCellMar>
            <w:top w:w="0" w:type="dxa"/>
            <w:left w:w="108" w:type="dxa"/>
            <w:bottom w:w="0" w:type="dxa"/>
            <w:right w:w="108" w:type="dxa"/>
          </w:tblCellMar>
        </w:tblPrEx>
        <w:trPr>
          <w:trHeight w:val="308" w:hRule="atLeast"/>
        </w:trPr>
        <w:tc>
          <w:tcPr>
            <w:tcW w:w="4335"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1620" w:type="dxa"/>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60" w:type="dxa"/>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750" w:type="dxa"/>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705" w:type="dxa"/>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660" w:type="dxa"/>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180" w:type="dxa"/>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694" w:type="dxa"/>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tblPrEx>
          <w:shd w:val="clear" w:color="auto" w:fill="auto"/>
          <w:tblCellMar>
            <w:top w:w="0" w:type="dxa"/>
            <w:left w:w="108" w:type="dxa"/>
            <w:bottom w:w="0" w:type="dxa"/>
            <w:right w:w="108" w:type="dxa"/>
          </w:tblCellMar>
        </w:tblPrEx>
        <w:trPr>
          <w:trHeight w:val="385" w:hRule="atLeast"/>
        </w:trPr>
        <w:tc>
          <w:tcPr>
            <w:tcW w:w="1185"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支出功能分类  科目编码</w:t>
            </w:r>
          </w:p>
        </w:tc>
        <w:tc>
          <w:tcPr>
            <w:tcW w:w="3150"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2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6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18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9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rPr>
          <w:trHeight w:val="369" w:hRule="atLeast"/>
        </w:trPr>
        <w:tc>
          <w:tcPr>
            <w:tcW w:w="1185"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22"/>
                <w:szCs w:val="22"/>
                <w:u w:val="none"/>
              </w:rPr>
            </w:pPr>
          </w:p>
        </w:tc>
        <w:tc>
          <w:tcPr>
            <w:tcW w:w="3150"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6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18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9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23" w:hRule="atLeast"/>
        </w:trPr>
        <w:tc>
          <w:tcPr>
            <w:tcW w:w="1185"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22"/>
                <w:szCs w:val="22"/>
                <w:u w:val="none"/>
              </w:rPr>
            </w:pPr>
          </w:p>
        </w:tc>
        <w:tc>
          <w:tcPr>
            <w:tcW w:w="3150"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60"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5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6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18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9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492" w:hRule="atLeast"/>
        </w:trPr>
        <w:tc>
          <w:tcPr>
            <w:tcW w:w="510" w:type="dxa"/>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315"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360"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315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2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6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5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0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6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94"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 </w:t>
            </w:r>
          </w:p>
        </w:tc>
      </w:tr>
      <w:tr>
        <w:tblPrEx>
          <w:tblCellMar>
            <w:top w:w="0" w:type="dxa"/>
            <w:left w:w="108" w:type="dxa"/>
            <w:bottom w:w="0" w:type="dxa"/>
            <w:right w:w="108" w:type="dxa"/>
          </w:tblCellMar>
        </w:tblPrEx>
        <w:trPr>
          <w:trHeight w:val="308" w:hRule="atLeast"/>
        </w:trPr>
        <w:tc>
          <w:tcPr>
            <w:tcW w:w="510" w:type="dxa"/>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315"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360"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315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5,763,396.79</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5,763,396.79</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5,571,469.79</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5,571,469.79</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统计信息事务</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5,571,469.79</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5,571,469.79</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2010501</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1,519,019.17</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1,519,019.17</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2010507</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专项普查活动</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800,000.00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800,000.00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2010508</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统计抽样调查</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2010550</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2,311,842.62</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2,311,842.62</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2010599</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其他统计信息事务支出</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740,608.00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740,608.00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行政事业单位离退休</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2080504</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未归口管理的行政单位离退休</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6,838.00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85"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31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75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0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8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504" w:type="dxa"/>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注：本表反映部门本年度取得的各项收入情况。</w:t>
            </w:r>
          </w:p>
        </w:tc>
      </w:tr>
      <w:tr>
        <w:tblPrEx>
          <w:shd w:val="clear" w:color="auto" w:fill="auto"/>
          <w:tblCellMar>
            <w:top w:w="0" w:type="dxa"/>
            <w:left w:w="108" w:type="dxa"/>
            <w:bottom w:w="0" w:type="dxa"/>
            <w:right w:w="108" w:type="dxa"/>
          </w:tblCellMar>
        </w:tblPrEx>
        <w:trPr>
          <w:trHeight w:val="308" w:hRule="atLeast"/>
        </w:trPr>
        <w:tc>
          <w:tcPr>
            <w:tcW w:w="11504" w:type="dxa"/>
            <w:gridSpan w:val="11"/>
            <w:tcBorders>
              <w:top w:val="nil"/>
              <w:left w:val="nil"/>
              <w:bottom w:val="nil"/>
              <w:right w:val="nil"/>
            </w:tcBorders>
            <w:shd w:val="clear" w:color="auto" w:fill="auto"/>
            <w:noWrap/>
            <w:vAlign w:val="center"/>
          </w:tcPr>
          <w:tbl>
            <w:tblPr>
              <w:tblStyle w:val="6"/>
              <w:tblpPr w:leftFromText="180" w:rightFromText="180" w:vertAnchor="text" w:horzAnchor="page" w:tblpX="361" w:tblpY="286"/>
              <w:tblOverlap w:val="never"/>
              <w:tblW w:w="10785" w:type="dxa"/>
              <w:tblInd w:w="0" w:type="dxa"/>
              <w:shd w:val="clear" w:color="auto" w:fill="auto"/>
              <w:tblLayout w:type="fixed"/>
              <w:tblCellMar>
                <w:top w:w="0" w:type="dxa"/>
                <w:left w:w="108" w:type="dxa"/>
                <w:bottom w:w="0" w:type="dxa"/>
                <w:right w:w="108" w:type="dxa"/>
              </w:tblCellMar>
            </w:tblPr>
            <w:tblGrid>
              <w:gridCol w:w="436"/>
              <w:gridCol w:w="436"/>
              <w:gridCol w:w="436"/>
              <w:gridCol w:w="3296"/>
              <w:gridCol w:w="1536"/>
              <w:gridCol w:w="1536"/>
              <w:gridCol w:w="799"/>
              <w:gridCol w:w="720"/>
              <w:gridCol w:w="735"/>
              <w:gridCol w:w="855"/>
            </w:tblGrid>
            <w:tr>
              <w:tblPrEx>
                <w:shd w:val="clear" w:color="auto" w:fill="auto"/>
                <w:tblCellMar>
                  <w:top w:w="0" w:type="dxa"/>
                  <w:left w:w="108" w:type="dxa"/>
                  <w:bottom w:w="0" w:type="dxa"/>
                  <w:right w:w="108" w:type="dxa"/>
                </w:tblCellMar>
              </w:tblPrEx>
              <w:trPr>
                <w:trHeight w:val="540" w:hRule="atLeast"/>
              </w:trPr>
              <w:tc>
                <w:tcPr>
                  <w:tcW w:w="10785" w:type="dxa"/>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支出决算表</w:t>
                  </w:r>
                </w:p>
              </w:tc>
            </w:tr>
            <w:tr>
              <w:tblPrEx>
                <w:shd w:val="clear" w:color="auto" w:fill="auto"/>
                <w:tblCellMar>
                  <w:top w:w="0" w:type="dxa"/>
                  <w:left w:w="108" w:type="dxa"/>
                  <w:bottom w:w="0" w:type="dxa"/>
                  <w:right w:w="108" w:type="dxa"/>
                </w:tblCellMar>
              </w:tblPrEx>
              <w:trPr>
                <w:trHeight w:val="255" w:hRule="atLeast"/>
              </w:trPr>
              <w:tc>
                <w:tcPr>
                  <w:tcW w:w="436" w:type="dxa"/>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43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29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3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3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99"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2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35"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55"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批复03表</w:t>
                  </w:r>
                </w:p>
              </w:tc>
            </w:tr>
            <w:tr>
              <w:tblPrEx>
                <w:tblCellMar>
                  <w:top w:w="0" w:type="dxa"/>
                  <w:left w:w="108" w:type="dxa"/>
                  <w:bottom w:w="0" w:type="dxa"/>
                  <w:right w:w="108" w:type="dxa"/>
                </w:tblCellMar>
              </w:tblPrEx>
              <w:trPr>
                <w:trHeight w:val="255" w:hRule="atLeast"/>
              </w:trPr>
              <w:tc>
                <w:tcPr>
                  <w:tcW w:w="4604" w:type="dxa"/>
                  <w:gridSpan w:val="4"/>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编制单位：南昌市青云谱区统计局</w:t>
                  </w:r>
                </w:p>
              </w:tc>
              <w:tc>
                <w:tcPr>
                  <w:tcW w:w="153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36"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2018年度</w:t>
                  </w:r>
                </w:p>
              </w:tc>
              <w:tc>
                <w:tcPr>
                  <w:tcW w:w="799"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2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90" w:type="dxa"/>
                  <w:gridSpan w:val="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shd w:val="clear" w:color="auto" w:fill="auto"/>
                <w:tblCellMar>
                  <w:top w:w="0" w:type="dxa"/>
                  <w:left w:w="108" w:type="dxa"/>
                  <w:bottom w:w="0" w:type="dxa"/>
                  <w:right w:w="108" w:type="dxa"/>
                </w:tblCellMar>
              </w:tblPrEx>
              <w:trPr>
                <w:trHeight w:val="308" w:hRule="atLeast"/>
              </w:trPr>
              <w:tc>
                <w:tcPr>
                  <w:tcW w:w="4604"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1536" w:type="dxa"/>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536" w:type="dxa"/>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799" w:type="dxa"/>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720" w:type="dxa"/>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735" w:type="dxa"/>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855" w:type="dxa"/>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CellMar>
                  <w:top w:w="0" w:type="dxa"/>
                  <w:left w:w="108" w:type="dxa"/>
                  <w:bottom w:w="0" w:type="dxa"/>
                  <w:right w:w="108" w:type="dxa"/>
                </w:tblCellMar>
              </w:tblPrEx>
              <w:trPr>
                <w:trHeight w:val="308" w:hRule="atLeast"/>
              </w:trPr>
              <w:tc>
                <w:tcPr>
                  <w:tcW w:w="1308"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支出功能分类科目编码</w:t>
                  </w:r>
                </w:p>
              </w:tc>
              <w:tc>
                <w:tcPr>
                  <w:tcW w:w="3296"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99"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2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3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5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130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29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99"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2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3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5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130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29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99"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2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3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5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436" w:type="dxa"/>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436"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436"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329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3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3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99"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2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3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5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CellMar>
                  <w:top w:w="0" w:type="dxa"/>
                  <w:left w:w="108" w:type="dxa"/>
                  <w:bottom w:w="0" w:type="dxa"/>
                  <w:right w:w="108" w:type="dxa"/>
                </w:tblCellMar>
              </w:tblPrEx>
              <w:trPr>
                <w:trHeight w:val="308" w:hRule="atLeast"/>
              </w:trPr>
              <w:tc>
                <w:tcPr>
                  <w:tcW w:w="436" w:type="dxa"/>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329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6,767,905.09</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6,767,905.09</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6,558,497.34</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6,558,497.34</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统计信息事务</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6,532,830.34</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6,532,830.34</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2010501</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1,519,019.17</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1,519,019.17</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2010507</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专项普查活动</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667,955.44</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667,955.44</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2010508</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统计抽样调查</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200,000.00</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200,000.00</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2010550</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2,311,842.62</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2,311,842.62</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2010599</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其他统计信息事务支出</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1,834,013.11</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1,834,013.11</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20115</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工商行政管理事务</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25,667.00</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25,667.00</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2011550</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25,667.00</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25,667.00</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行政事业单位离退休</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2080504</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未归口管理的行政单位离退休</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329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3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799"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0785" w:type="dxa"/>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注：本表反映部门本年度各项支出情况。</w:t>
                  </w:r>
                </w:p>
              </w:tc>
            </w:tr>
          </w:tbl>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bl>
    <w:tbl>
      <w:tblPr>
        <w:tblStyle w:val="6"/>
        <w:tblpPr w:leftFromText="180" w:rightFromText="180" w:vertAnchor="text" w:horzAnchor="page" w:tblpX="250" w:tblpY="9359"/>
        <w:tblOverlap w:val="never"/>
        <w:tblW w:w="11271" w:type="dxa"/>
        <w:tblInd w:w="0" w:type="dxa"/>
        <w:shd w:val="clear" w:color="auto" w:fill="auto"/>
        <w:tblLayout w:type="fixed"/>
        <w:tblCellMar>
          <w:top w:w="0" w:type="dxa"/>
          <w:left w:w="108" w:type="dxa"/>
          <w:bottom w:w="0" w:type="dxa"/>
          <w:right w:w="108" w:type="dxa"/>
        </w:tblCellMar>
      </w:tblPr>
      <w:tblGrid>
        <w:gridCol w:w="2625"/>
        <w:gridCol w:w="591"/>
        <w:gridCol w:w="1306"/>
        <w:gridCol w:w="2575"/>
        <w:gridCol w:w="580"/>
        <w:gridCol w:w="1306"/>
        <w:gridCol w:w="1306"/>
        <w:gridCol w:w="1035"/>
      </w:tblGrid>
      <w:tr>
        <w:tblPrEx>
          <w:tblCellMar>
            <w:top w:w="0" w:type="dxa"/>
            <w:left w:w="108" w:type="dxa"/>
            <w:bottom w:w="0" w:type="dxa"/>
            <w:right w:w="108" w:type="dxa"/>
          </w:tblCellMar>
        </w:tblPrEx>
        <w:trPr>
          <w:trHeight w:val="540" w:hRule="atLeast"/>
        </w:trPr>
        <w:tc>
          <w:tcPr>
            <w:tcW w:w="11271"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财政拨款收入支出决算总表</w:t>
            </w:r>
          </w:p>
        </w:tc>
      </w:tr>
      <w:tr>
        <w:tblPrEx>
          <w:shd w:val="clear" w:color="auto" w:fill="auto"/>
          <w:tblCellMar>
            <w:top w:w="0" w:type="dxa"/>
            <w:left w:w="108" w:type="dxa"/>
            <w:bottom w:w="0" w:type="dxa"/>
            <w:right w:w="108" w:type="dxa"/>
          </w:tblCellMar>
        </w:tblPrEx>
        <w:trPr>
          <w:trHeight w:val="255" w:hRule="atLeast"/>
        </w:trPr>
        <w:tc>
          <w:tcPr>
            <w:tcW w:w="2625" w:type="dxa"/>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591"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30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575"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8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30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30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35"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批复04表</w:t>
            </w:r>
          </w:p>
        </w:tc>
      </w:tr>
      <w:tr>
        <w:tblPrEx>
          <w:tblCellMar>
            <w:top w:w="0" w:type="dxa"/>
            <w:left w:w="108" w:type="dxa"/>
            <w:bottom w:w="0" w:type="dxa"/>
            <w:right w:w="108" w:type="dxa"/>
          </w:tblCellMar>
        </w:tblPrEx>
        <w:trPr>
          <w:trHeight w:val="255" w:hRule="atLeast"/>
        </w:trPr>
        <w:tc>
          <w:tcPr>
            <w:tcW w:w="3216" w:type="dxa"/>
            <w:gridSpan w:val="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编制单位：南昌市青云谱区统计局</w:t>
            </w:r>
          </w:p>
        </w:tc>
        <w:tc>
          <w:tcPr>
            <w:tcW w:w="130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575" w:type="dxa"/>
            <w:tcBorders>
              <w:top w:val="nil"/>
              <w:left w:val="nil"/>
              <w:bottom w:val="nil"/>
              <w:right w:val="nil"/>
            </w:tcBorders>
            <w:shd w:val="clear" w:color="auto" w:fill="auto"/>
            <w:noWrap/>
            <w:vAlign w:val="bottom"/>
          </w:tcPr>
          <w:p>
            <w:pPr>
              <w:rPr>
                <w:rFonts w:hint="default" w:ascii="Arial" w:hAnsi="Arial" w:eastAsia="宋体"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2018年</w:t>
            </w:r>
          </w:p>
        </w:tc>
        <w:tc>
          <w:tcPr>
            <w:tcW w:w="580"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30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30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35"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CellMar>
            <w:top w:w="0" w:type="dxa"/>
            <w:left w:w="108" w:type="dxa"/>
            <w:bottom w:w="0" w:type="dxa"/>
            <w:right w:w="108" w:type="dxa"/>
          </w:tblCellMar>
        </w:tblPrEx>
        <w:trPr>
          <w:trHeight w:val="308" w:hRule="atLeast"/>
        </w:trPr>
        <w:tc>
          <w:tcPr>
            <w:tcW w:w="4522"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     入</w:t>
            </w:r>
          </w:p>
        </w:tc>
        <w:tc>
          <w:tcPr>
            <w:tcW w:w="6759" w:type="dxa"/>
            <w:gridSpan w:val="5"/>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     出</w:t>
            </w:r>
          </w:p>
        </w:tc>
      </w:tr>
      <w:tr>
        <w:tblPrEx>
          <w:tblCellMar>
            <w:top w:w="0" w:type="dxa"/>
            <w:left w:w="108" w:type="dxa"/>
            <w:bottom w:w="0" w:type="dxa"/>
            <w:right w:w="108" w:type="dxa"/>
          </w:tblCellMar>
        </w:tblPrEx>
        <w:trPr>
          <w:trHeight w:val="292" w:hRule="atLeast"/>
        </w:trPr>
        <w:tc>
          <w:tcPr>
            <w:tcW w:w="2625" w:type="dxa"/>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    目</w:t>
            </w:r>
          </w:p>
        </w:tc>
        <w:tc>
          <w:tcPr>
            <w:tcW w:w="591"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1306"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2556"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项目（按功能分类）</w:t>
            </w:r>
          </w:p>
        </w:tc>
        <w:tc>
          <w:tcPr>
            <w:tcW w:w="580"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3627" w:type="dxa"/>
            <w:gridSpan w:val="3"/>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tblPrEx>
          <w:shd w:val="clear" w:color="auto" w:fill="auto"/>
          <w:tblCellMar>
            <w:top w:w="0" w:type="dxa"/>
            <w:left w:w="108" w:type="dxa"/>
            <w:bottom w:w="0" w:type="dxa"/>
            <w:right w:w="108" w:type="dxa"/>
          </w:tblCellMar>
        </w:tblPrEx>
        <w:trPr>
          <w:trHeight w:val="1260" w:hRule="atLeast"/>
        </w:trPr>
        <w:tc>
          <w:tcPr>
            <w:tcW w:w="2625" w:type="dxa"/>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591"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1306"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2556"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580"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130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296"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一般公共预算财政拨款</w:t>
            </w:r>
          </w:p>
        </w:tc>
        <w:tc>
          <w:tcPr>
            <w:tcW w:w="103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政府性基金预算财政拨款</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    次</w:t>
            </w:r>
          </w:p>
        </w:tc>
        <w:tc>
          <w:tcPr>
            <w:tcW w:w="591" w:type="dxa"/>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130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    次</w:t>
            </w:r>
          </w:p>
        </w:tc>
        <w:tc>
          <w:tcPr>
            <w:tcW w:w="580" w:type="dxa"/>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130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0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3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w:t>
            </w: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5,763,396.79</w:t>
            </w: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6,558,497.34</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6,558,497.34</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w:t>
            </w: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七、文化体育与传媒支出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24,318.75</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24,318.75</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九、医疗卫生与计划生育支出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十四、资源勘探信息等支出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十八、国土海洋气象等支出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185,089.00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185,089.00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二十一、其他支出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二十二、债务还本支出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二十三、债务付息支出</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5,763,396.79</w:t>
            </w: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6,767,905.09</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6,767,905.09</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年初财政拨款结转和结余</w:t>
            </w: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1,144,616.42</w:t>
            </w: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年末财政拨款结转和结余</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140,108.12</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140,108.12</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w:t>
            </w: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1,144,616.42</w:t>
            </w:r>
          </w:p>
        </w:tc>
        <w:tc>
          <w:tcPr>
            <w:tcW w:w="2575" w:type="dxa"/>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1035"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w:t>
            </w: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575" w:type="dxa"/>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1306"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c>
          <w:tcPr>
            <w:tcW w:w="1035" w:type="dxa"/>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308" w:hRule="atLeast"/>
        </w:trPr>
        <w:tc>
          <w:tcPr>
            <w:tcW w:w="262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591"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6,908,013.21</w:t>
            </w:r>
          </w:p>
        </w:tc>
        <w:tc>
          <w:tcPr>
            <w:tcW w:w="25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58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6,908,013.21</w:t>
            </w:r>
          </w:p>
        </w:tc>
        <w:tc>
          <w:tcPr>
            <w:tcW w:w="130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6,908,013.21</w:t>
            </w:r>
          </w:p>
        </w:tc>
        <w:tc>
          <w:tcPr>
            <w:tcW w:w="10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308" w:hRule="atLeast"/>
        </w:trPr>
        <w:tc>
          <w:tcPr>
            <w:tcW w:w="11271" w:type="dxa"/>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注：本表反映部门本年度一般公共预算财政拨款和政府性基金预算财政拨款的总收支和年末结转结余情况。</w:t>
            </w:r>
          </w:p>
        </w:tc>
      </w:tr>
    </w:tbl>
    <w:tbl>
      <w:tblPr>
        <w:tblStyle w:val="6"/>
        <w:tblpPr w:leftFromText="180" w:rightFromText="180" w:vertAnchor="text" w:horzAnchor="page" w:tblpX="355" w:tblpY="424"/>
        <w:tblOverlap w:val="never"/>
        <w:tblW w:w="20462" w:type="dxa"/>
        <w:tblInd w:w="0" w:type="dxa"/>
        <w:shd w:val="clear" w:color="auto" w:fill="auto"/>
        <w:tblLayout w:type="fixed"/>
        <w:tblCellMar>
          <w:top w:w="0" w:type="dxa"/>
          <w:left w:w="108" w:type="dxa"/>
          <w:bottom w:w="0" w:type="dxa"/>
          <w:right w:w="108" w:type="dxa"/>
        </w:tblCellMar>
      </w:tblPr>
      <w:tblGrid>
        <w:gridCol w:w="439"/>
        <w:gridCol w:w="439"/>
        <w:gridCol w:w="439"/>
        <w:gridCol w:w="4563"/>
        <w:gridCol w:w="2792"/>
        <w:gridCol w:w="1546"/>
        <w:gridCol w:w="1424"/>
      </w:tblGrid>
      <w:tr>
        <w:tblPrEx>
          <w:tblCellMar>
            <w:top w:w="0" w:type="dxa"/>
            <w:left w:w="108" w:type="dxa"/>
            <w:bottom w:w="0" w:type="dxa"/>
            <w:right w:w="108" w:type="dxa"/>
          </w:tblCellMar>
        </w:tblPrEx>
        <w:trPr>
          <w:trHeight w:val="540" w:hRule="atLeast"/>
        </w:trPr>
        <w:tc>
          <w:tcPr>
            <w:tcW w:w="11642" w:type="dxa"/>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一般公共预算财政拨款支出决算表</w:t>
            </w:r>
          </w:p>
        </w:tc>
      </w:tr>
      <w:tr>
        <w:tblPrEx>
          <w:shd w:val="clear" w:color="auto" w:fill="auto"/>
          <w:tblCellMar>
            <w:top w:w="0" w:type="dxa"/>
            <w:left w:w="108" w:type="dxa"/>
            <w:bottom w:w="0" w:type="dxa"/>
            <w:right w:w="108" w:type="dxa"/>
          </w:tblCellMar>
        </w:tblPrEx>
        <w:trPr>
          <w:trHeight w:val="255" w:hRule="atLeast"/>
        </w:trPr>
        <w:tc>
          <w:tcPr>
            <w:tcW w:w="439" w:type="dxa"/>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439"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9"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563"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792"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4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24"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批复05表</w:t>
            </w:r>
          </w:p>
        </w:tc>
      </w:tr>
      <w:tr>
        <w:tblPrEx>
          <w:shd w:val="clear" w:color="auto" w:fill="auto"/>
          <w:tblCellMar>
            <w:top w:w="0" w:type="dxa"/>
            <w:left w:w="108" w:type="dxa"/>
            <w:bottom w:w="0" w:type="dxa"/>
            <w:right w:w="108" w:type="dxa"/>
          </w:tblCellMar>
        </w:tblPrEx>
        <w:trPr>
          <w:trHeight w:val="255" w:hRule="atLeast"/>
        </w:trPr>
        <w:tc>
          <w:tcPr>
            <w:tcW w:w="5880" w:type="dxa"/>
            <w:gridSpan w:val="4"/>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编制单位：南昌市青云谱区统计局</w:t>
            </w:r>
          </w:p>
        </w:tc>
        <w:tc>
          <w:tcPr>
            <w:tcW w:w="2792"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2018年度</w:t>
            </w:r>
          </w:p>
        </w:tc>
        <w:tc>
          <w:tcPr>
            <w:tcW w:w="1546" w:type="dxa"/>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24"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shd w:val="clear" w:color="auto" w:fill="auto"/>
          <w:tblCellMar>
            <w:top w:w="0" w:type="dxa"/>
            <w:left w:w="108" w:type="dxa"/>
            <w:bottom w:w="0" w:type="dxa"/>
            <w:right w:w="108" w:type="dxa"/>
          </w:tblCellMar>
        </w:tblPrEx>
        <w:trPr>
          <w:trHeight w:val="308" w:hRule="atLeast"/>
        </w:trPr>
        <w:tc>
          <w:tcPr>
            <w:tcW w:w="5880"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2792" w:type="dxa"/>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546" w:type="dxa"/>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424" w:type="dxa"/>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shd w:val="clear" w:color="auto" w:fill="auto"/>
          <w:tblCellMar>
            <w:top w:w="0" w:type="dxa"/>
            <w:left w:w="108" w:type="dxa"/>
            <w:bottom w:w="0" w:type="dxa"/>
            <w:right w:w="108" w:type="dxa"/>
          </w:tblCellMar>
        </w:tblPrEx>
        <w:trPr>
          <w:trHeight w:val="308" w:hRule="atLeast"/>
        </w:trPr>
        <w:tc>
          <w:tcPr>
            <w:tcW w:w="1317"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支出功能分类  科目编码</w:t>
            </w:r>
          </w:p>
        </w:tc>
        <w:tc>
          <w:tcPr>
            <w:tcW w:w="4563"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792"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4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424"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1317"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22"/>
                <w:szCs w:val="22"/>
                <w:u w:val="none"/>
              </w:rPr>
            </w:pPr>
          </w:p>
        </w:tc>
        <w:tc>
          <w:tcPr>
            <w:tcW w:w="4563"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2792"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4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424"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1317"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22"/>
                <w:szCs w:val="22"/>
                <w:u w:val="none"/>
              </w:rPr>
            </w:pPr>
          </w:p>
        </w:tc>
        <w:tc>
          <w:tcPr>
            <w:tcW w:w="4563"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2792"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546"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424" w:type="dxa"/>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439" w:type="dxa"/>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439"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439" w:type="dxa"/>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563"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792"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46"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24"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shd w:val="clear" w:color="auto" w:fill="auto"/>
          <w:tblCellMar>
            <w:top w:w="0" w:type="dxa"/>
            <w:left w:w="108" w:type="dxa"/>
            <w:bottom w:w="0" w:type="dxa"/>
            <w:right w:w="108" w:type="dxa"/>
          </w:tblCellMar>
        </w:tblPrEx>
        <w:trPr>
          <w:trHeight w:val="308" w:hRule="atLeast"/>
        </w:trPr>
        <w:tc>
          <w:tcPr>
            <w:tcW w:w="439" w:type="dxa"/>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9"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9" w:type="dxa"/>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563"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6,767,905.09</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6,767,905.09</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6,558,497.34</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6,558,497.34</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统计信息事务</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6,532,830.34</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6,532,830.34</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2010501</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1,519,019.17</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1,519,019.17</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2010507</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专项普查活动</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667,955.44</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667,955.44</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2010508</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统计抽样调查</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200,000.00</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200,000.00</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2010550</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2,311,842.62</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2,311,842.62</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2010599</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其他统计信息事务支出</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1,834,013.11</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1,834,013.11</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20115</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工商行政管理事务</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25,667.00</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25,667.00</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2011550</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25,667.00</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25,667.00</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行政事业单位离退休</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2080504</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未归口管理的行政单位离退休</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24,318.75</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08" w:hRule="atLeast"/>
        </w:trPr>
        <w:tc>
          <w:tcPr>
            <w:tcW w:w="1317" w:type="dxa"/>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456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792"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54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185,089.00</w:t>
            </w:r>
          </w:p>
        </w:tc>
        <w:tc>
          <w:tcPr>
            <w:tcW w:w="1424"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11642"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注：本表反映部门本年度一般公共预算财政拨款支出情况。</w:t>
            </w:r>
          </w:p>
        </w:tc>
      </w:tr>
    </w:tbl>
    <w:tbl>
      <w:tblPr>
        <w:tblStyle w:val="6"/>
        <w:tblpPr w:leftFromText="180" w:rightFromText="180" w:vertAnchor="text" w:horzAnchor="page" w:tblpX="295" w:tblpY="585"/>
        <w:tblOverlap w:val="never"/>
        <w:tblW w:w="11505" w:type="dxa"/>
        <w:tblInd w:w="0" w:type="dxa"/>
        <w:shd w:val="clear" w:color="auto" w:fill="auto"/>
        <w:tblLayout w:type="fixed"/>
        <w:tblCellMar>
          <w:top w:w="0" w:type="dxa"/>
          <w:left w:w="108" w:type="dxa"/>
          <w:bottom w:w="0" w:type="dxa"/>
          <w:right w:w="108" w:type="dxa"/>
        </w:tblCellMar>
      </w:tblPr>
      <w:tblGrid>
        <w:gridCol w:w="795"/>
        <w:gridCol w:w="1530"/>
        <w:gridCol w:w="1275"/>
        <w:gridCol w:w="900"/>
        <w:gridCol w:w="1590"/>
        <w:gridCol w:w="1515"/>
        <w:gridCol w:w="930"/>
        <w:gridCol w:w="1815"/>
        <w:gridCol w:w="1155"/>
      </w:tblGrid>
      <w:tr>
        <w:tblPrEx>
          <w:shd w:val="clear" w:color="auto" w:fill="auto"/>
          <w:tblCellMar>
            <w:top w:w="0" w:type="dxa"/>
            <w:left w:w="108" w:type="dxa"/>
            <w:bottom w:w="0" w:type="dxa"/>
            <w:right w:w="108" w:type="dxa"/>
          </w:tblCellMar>
        </w:tblPrEx>
        <w:trPr>
          <w:trHeight w:val="255" w:hRule="atLeast"/>
        </w:trPr>
        <w:tc>
          <w:tcPr>
            <w:tcW w:w="11505" w:type="dxa"/>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一般公共预算财政拨款基本支出决算表</w:t>
            </w:r>
          </w:p>
        </w:tc>
      </w:tr>
      <w:tr>
        <w:tblPrEx>
          <w:shd w:val="clear" w:color="auto" w:fill="auto"/>
          <w:tblCellMar>
            <w:top w:w="0" w:type="dxa"/>
            <w:left w:w="108" w:type="dxa"/>
            <w:bottom w:w="0" w:type="dxa"/>
            <w:right w:w="108" w:type="dxa"/>
          </w:tblCellMar>
        </w:tblPrEx>
        <w:trPr>
          <w:trHeight w:val="255" w:hRule="atLeast"/>
        </w:trPr>
        <w:tc>
          <w:tcPr>
            <w:tcW w:w="795" w:type="dxa"/>
            <w:tcBorders>
              <w:top w:val="nil"/>
              <w:left w:val="nil"/>
              <w:bottom w:val="nil"/>
              <w:right w:val="nil"/>
            </w:tcBorders>
            <w:shd w:val="clear" w:color="auto" w:fill="auto"/>
            <w:noWrap/>
            <w:vAlign w:val="bottom"/>
          </w:tcPr>
          <w:p>
            <w:pPr>
              <w:rPr>
                <w:rFonts w:hint="eastAsia" w:ascii="Arial" w:hAnsi="Arial" w:cs="Arial"/>
                <w:i w:val="0"/>
                <w:iCs w:val="0"/>
                <w:color w:val="000000"/>
                <w:sz w:val="18"/>
                <w:szCs w:val="18"/>
                <w:u w:val="none"/>
              </w:rPr>
            </w:pPr>
          </w:p>
        </w:tc>
        <w:tc>
          <w:tcPr>
            <w:tcW w:w="1530"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1275"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900"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1590"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1515"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930"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1815"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1155"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批复06表</w:t>
            </w:r>
          </w:p>
        </w:tc>
      </w:tr>
      <w:tr>
        <w:tblPrEx>
          <w:shd w:val="clear" w:color="auto" w:fill="auto"/>
          <w:tblCellMar>
            <w:top w:w="0" w:type="dxa"/>
            <w:left w:w="108" w:type="dxa"/>
            <w:bottom w:w="0" w:type="dxa"/>
            <w:right w:w="108" w:type="dxa"/>
          </w:tblCellMar>
        </w:tblPrEx>
        <w:trPr>
          <w:trHeight w:val="255" w:hRule="atLeast"/>
        </w:trPr>
        <w:tc>
          <w:tcPr>
            <w:tcW w:w="3600" w:type="dxa"/>
            <w:gridSpan w:val="3"/>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编制单位：南昌市青云谱区统计局</w:t>
            </w:r>
          </w:p>
        </w:tc>
        <w:tc>
          <w:tcPr>
            <w:tcW w:w="900"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1590" w:type="dxa"/>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2018年度</w:t>
            </w:r>
          </w:p>
        </w:tc>
        <w:tc>
          <w:tcPr>
            <w:tcW w:w="1515"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930" w:type="dxa"/>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2970" w:type="dxa"/>
            <w:gridSpan w:val="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金额单位：元</w:t>
            </w:r>
          </w:p>
        </w:tc>
      </w:tr>
      <w:tr>
        <w:tblPrEx>
          <w:shd w:val="clear" w:color="auto" w:fill="auto"/>
          <w:tblCellMar>
            <w:top w:w="0" w:type="dxa"/>
            <w:left w:w="108" w:type="dxa"/>
            <w:bottom w:w="0" w:type="dxa"/>
            <w:right w:w="108" w:type="dxa"/>
          </w:tblCellMar>
        </w:tblPrEx>
        <w:trPr>
          <w:trHeight w:val="308" w:hRule="atLeast"/>
        </w:trPr>
        <w:tc>
          <w:tcPr>
            <w:tcW w:w="3600"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w:t>
            </w:r>
          </w:p>
        </w:tc>
        <w:tc>
          <w:tcPr>
            <w:tcW w:w="7905" w:type="dxa"/>
            <w:gridSpan w:val="6"/>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经济分类科目编码</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27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90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经济分类科目编码</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51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9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经济分类科目编码</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155"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r>
      <w:tr>
        <w:tblPrEx>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301</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工资福利支出</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4,932,243.94</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302</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商品和服务支出</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1,402,633.52</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307</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债务利息及费用支出</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30101</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基本工资</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951,197.60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30201</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30,906.55</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30701</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国内债务付息</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30102</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津贴补贴</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146,437.80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30202</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印刷费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8,390.00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30702</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国外债务付息</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30103</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奖金</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1,785,663.25</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30203</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咨询费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30703</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国内债务发行费用</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30106</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伙食补助费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55,800.00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30204</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手续费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30704</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国外债务发行费用</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30107</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绩效工资</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736,480.00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30205</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310</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资本性支出</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323,788.49</w:t>
            </w:r>
          </w:p>
        </w:tc>
      </w:tr>
      <w:tr>
        <w:tblPrEx>
          <w:shd w:val="clear" w:color="auto" w:fill="auto"/>
          <w:tblCellMar>
            <w:top w:w="0" w:type="dxa"/>
            <w:left w:w="108" w:type="dxa"/>
            <w:bottom w:w="0" w:type="dxa"/>
            <w:right w:w="108" w:type="dxa"/>
          </w:tblCellMar>
        </w:tblPrEx>
        <w:trPr>
          <w:trHeight w:val="820"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30108</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机关事业单位基本养老保险缴费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305,673.70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30206</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电费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17,863.44</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31001</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房屋建筑物购建</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30109</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职业年金缴费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30207</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邮电费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8,941.23</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31002</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办公设备购置</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323,788.49</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30110</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职工基本医疗保险缴费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216,076.11</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30208</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取暖费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31003</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专用设备购置</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30111</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公务员医疗补助缴款</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30209</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物业管理费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31005</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30112</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其他社会保障缴费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30211</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差旅费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1,399.50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31006</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30113</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320,866.00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30212</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因公出国（境）费用</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31007</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信息网络及软件购置更新</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30114</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30213</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维修（护）费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31008</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物资储备</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30199</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其他工资福利支出</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414,049.48</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30214</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租赁费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31009</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土地补偿</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303</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对个人和家庭的补助</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109,239.14</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30215</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会议费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11,590.00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31010</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安置补助</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30301</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离休费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30216</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培训费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201,321.80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31011</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地上附着物和青苗补偿</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30302</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退休费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109,239.14</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30217</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公务接待费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31012</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拆迁补偿</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30303</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退职（役）费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30218</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专用材料费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31013</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30304</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抚恤金</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30224</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被装购置费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31019</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其他交通工具购置</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30305</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生活补贴</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30225</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专用燃料费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31021</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文物和陈列品购置</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30306</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救济费</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30226</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劳务费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235,975.00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31022</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无形资产购置</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30307</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医疗费补助</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30227</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委托业务费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282,179.78</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30308</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助学金</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30228</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工会经费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312</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对企业补助</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30309</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奖励金</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30229</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福利费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277,039.00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31201</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资本金注入</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30310</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个人农业生产补贴</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30231</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公务用车运行维护费</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31203</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政府投资基金股权投资</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30399</w:t>
            </w:r>
          </w:p>
        </w:tc>
        <w:tc>
          <w:tcPr>
            <w:tcW w:w="153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其他对个人和家庭的补助支出</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30239</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其他交通费用</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3,104.50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31204</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费用补贴</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30" w:type="dxa"/>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27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30240</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税金及附加费用</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78.30</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31205</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利息补贴</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3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27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0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30299</w:t>
            </w:r>
          </w:p>
        </w:tc>
        <w:tc>
          <w:tcPr>
            <w:tcW w:w="1590"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其他商品和服务支出</w:t>
            </w:r>
          </w:p>
        </w:tc>
        <w:tc>
          <w:tcPr>
            <w:tcW w:w="151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293,604.42</w:t>
            </w: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31299</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其他对企业补助</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3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27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00" w:type="dxa"/>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9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51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399</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其他支出</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3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27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00" w:type="dxa"/>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9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51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39906</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赠与</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3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27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00" w:type="dxa"/>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9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51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39907</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国家赔偿费用支出</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3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27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00" w:type="dxa"/>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9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51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39908</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对民间非营利组织和群众性自治组织补贴</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shd w:val="clear" w:color="auto" w:fill="auto"/>
          <w:tblCellMar>
            <w:top w:w="0" w:type="dxa"/>
            <w:left w:w="108" w:type="dxa"/>
            <w:bottom w:w="0" w:type="dxa"/>
            <w:right w:w="108" w:type="dxa"/>
          </w:tblCellMar>
        </w:tblPrEx>
        <w:trPr>
          <w:trHeight w:val="662" w:hRule="atLeast"/>
        </w:trPr>
        <w:tc>
          <w:tcPr>
            <w:tcW w:w="795"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3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27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00" w:type="dxa"/>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1590" w:type="dxa"/>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8"/>
                <w:szCs w:val="18"/>
                <w:u w:val="none"/>
              </w:rPr>
            </w:pPr>
          </w:p>
        </w:tc>
        <w:tc>
          <w:tcPr>
            <w:tcW w:w="1515" w:type="dxa"/>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930" w:type="dxa"/>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39999</w:t>
            </w:r>
          </w:p>
        </w:tc>
        <w:tc>
          <w:tcPr>
            <w:tcW w:w="1815" w:type="dxa"/>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其他支出</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CellMar>
            <w:top w:w="0" w:type="dxa"/>
            <w:left w:w="108" w:type="dxa"/>
            <w:bottom w:w="0" w:type="dxa"/>
            <w:right w:w="108" w:type="dxa"/>
          </w:tblCellMar>
        </w:tblPrEx>
        <w:trPr>
          <w:trHeight w:val="662" w:hRule="atLeast"/>
        </w:trPr>
        <w:tc>
          <w:tcPr>
            <w:tcW w:w="2325" w:type="dxa"/>
            <w:gridSpan w:val="2"/>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人员经费合计</w:t>
            </w:r>
          </w:p>
        </w:tc>
        <w:tc>
          <w:tcPr>
            <w:tcW w:w="127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5,041,483.08</w:t>
            </w:r>
          </w:p>
        </w:tc>
        <w:tc>
          <w:tcPr>
            <w:tcW w:w="6750" w:type="dxa"/>
            <w:gridSpan w:val="5"/>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公用支出合计</w:t>
            </w:r>
          </w:p>
        </w:tc>
        <w:tc>
          <w:tcPr>
            <w:tcW w:w="115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1,726,422.01</w:t>
            </w:r>
          </w:p>
        </w:tc>
      </w:tr>
      <w:tr>
        <w:tblPrEx>
          <w:shd w:val="clear" w:color="auto" w:fill="auto"/>
          <w:tblCellMar>
            <w:top w:w="0" w:type="dxa"/>
            <w:left w:w="108" w:type="dxa"/>
            <w:bottom w:w="0" w:type="dxa"/>
            <w:right w:w="108" w:type="dxa"/>
          </w:tblCellMar>
        </w:tblPrEx>
        <w:trPr>
          <w:trHeight w:val="308" w:hRule="atLeast"/>
        </w:trPr>
        <w:tc>
          <w:tcPr>
            <w:tcW w:w="11505" w:type="dxa"/>
            <w:gridSpan w:val="9"/>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注：本表反映部门本年度一般公共预算财政拨款基本支出明细情况。</w:t>
            </w:r>
          </w:p>
        </w:tc>
      </w:tr>
    </w:tbl>
    <w:tbl>
      <w:tblPr>
        <w:tblStyle w:val="6"/>
        <w:tblW w:w="8070" w:type="dxa"/>
        <w:tblInd w:w="93" w:type="dxa"/>
        <w:shd w:val="clear" w:color="auto" w:fill="auto"/>
        <w:tblLayout w:type="autofit"/>
        <w:tblCellMar>
          <w:top w:w="0" w:type="dxa"/>
          <w:left w:w="108" w:type="dxa"/>
          <w:bottom w:w="0" w:type="dxa"/>
          <w:right w:w="108" w:type="dxa"/>
        </w:tblCellMar>
      </w:tblPr>
      <w:tblGrid>
        <w:gridCol w:w="4002"/>
        <w:gridCol w:w="1142"/>
        <w:gridCol w:w="1410"/>
        <w:gridCol w:w="1516"/>
      </w:tblGrid>
      <w:tr>
        <w:tblPrEx>
          <w:tblCellMar>
            <w:top w:w="0" w:type="dxa"/>
            <w:left w:w="108" w:type="dxa"/>
            <w:bottom w:w="0" w:type="dxa"/>
            <w:right w:w="108" w:type="dxa"/>
          </w:tblCellMar>
        </w:tblPrEx>
        <w:trPr>
          <w:trHeight w:val="255" w:hRule="atLeast"/>
        </w:trPr>
        <w:tc>
          <w:tcPr>
            <w:tcW w:w="8070" w:type="dxa"/>
            <w:gridSpan w:val="4"/>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一般公共预算财政拨款“三公”经费支出决算表</w:t>
            </w:r>
          </w:p>
        </w:tc>
      </w:tr>
      <w:tr>
        <w:tblPrEx>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批复07表</w:t>
            </w:r>
          </w:p>
        </w:tc>
      </w:tr>
      <w:tr>
        <w:tblPrEx>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编制单位：南昌市青云谱区统计局</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2018年度</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年初预算数</w:t>
            </w:r>
          </w:p>
        </w:tc>
        <w:tc>
          <w:tcPr>
            <w:tcW w:w="0" w:type="auto"/>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CellMar>
            <w:top w:w="0" w:type="dxa"/>
            <w:left w:w="108" w:type="dxa"/>
            <w:bottom w:w="0" w:type="dxa"/>
            <w:right w:w="108" w:type="dxa"/>
          </w:tblCellMar>
        </w:tblPrEx>
        <w:trPr>
          <w:trHeight w:val="308" w:hRule="atLeast"/>
        </w:trPr>
        <w:tc>
          <w:tcPr>
            <w:tcW w:w="0" w:type="auto"/>
            <w:tcBorders>
              <w:top w:val="nil"/>
              <w:left w:val="single" w:color="000000" w:sz="4" w:space="0"/>
              <w:bottom w:val="nil"/>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nil"/>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nil"/>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一、“三公”经费支出</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1.因公出国（境）费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2.公务用车购置及运行维护费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（1）公务用车购置费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3.公务接待费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（1）国内接待费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其中：外事接待费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（2）国（境）外接待费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二、相关统计数</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1.因公出国（境）团组数（个）</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2.因公出国（境）人次数（人）</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3.公务用车购置数（辆）</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4.公务用车保有量（辆）</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5.国内公务接待批次（个）</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其中：外事接待批次（个）</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6.国内公务接待人次（人）</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其中：外事接待人次（人）</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7.国（境）外公务接待批次（个）</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8.国（境）外公务接待人次（人）</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815" w:hRule="atLeast"/>
        </w:trPr>
        <w:tc>
          <w:tcPr>
            <w:tcW w:w="8070"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注：本表反映部门本年度“三公”经费支出预决算情况。其中，预算数为“三公”经费年初预算数，决算数是包括当年一般公共预算财政拨款和以前年度结转资金安排的实际支出。</w:t>
            </w:r>
          </w:p>
        </w:tc>
      </w:tr>
    </w:tbl>
    <w:p>
      <w:pPr>
        <w:autoSpaceDE w:val="0"/>
        <w:autoSpaceDN w:val="0"/>
        <w:adjustRightInd w:val="0"/>
        <w:spacing w:line="360" w:lineRule="auto"/>
        <w:jc w:val="left"/>
        <w:rPr>
          <w:rFonts w:hint="eastAsia"/>
          <w:szCs w:val="30"/>
        </w:rPr>
      </w:pPr>
    </w:p>
    <w:tbl>
      <w:tblPr>
        <w:tblStyle w:val="6"/>
        <w:tblpPr w:leftFromText="180" w:rightFromText="180" w:vertAnchor="text" w:horzAnchor="page" w:tblpX="802" w:tblpY="-5400"/>
        <w:tblOverlap w:val="never"/>
        <w:tblW w:w="10436" w:type="dxa"/>
        <w:tblInd w:w="0" w:type="dxa"/>
        <w:shd w:val="clear" w:color="auto" w:fill="auto"/>
        <w:tblLayout w:type="autofit"/>
        <w:tblCellMar>
          <w:top w:w="0" w:type="dxa"/>
          <w:left w:w="0" w:type="dxa"/>
          <w:bottom w:w="0" w:type="dxa"/>
          <w:right w:w="0" w:type="dxa"/>
        </w:tblCellMar>
      </w:tblPr>
      <w:tblGrid>
        <w:gridCol w:w="457"/>
        <w:gridCol w:w="457"/>
        <w:gridCol w:w="457"/>
        <w:gridCol w:w="1659"/>
        <w:gridCol w:w="1033"/>
        <w:gridCol w:w="1309"/>
        <w:gridCol w:w="676"/>
        <w:gridCol w:w="1309"/>
        <w:gridCol w:w="1309"/>
        <w:gridCol w:w="1770"/>
      </w:tblGrid>
      <w:tr>
        <w:tblPrEx>
          <w:tblCellMar>
            <w:top w:w="0" w:type="dxa"/>
            <w:left w:w="0" w:type="dxa"/>
            <w:bottom w:w="0" w:type="dxa"/>
            <w:right w:w="0" w:type="dxa"/>
          </w:tblCellMar>
        </w:tblPrEx>
        <w:trPr>
          <w:trHeight w:val="285" w:hRule="atLeast"/>
        </w:trPr>
        <w:tc>
          <w:tcPr>
            <w:tcW w:w="10436" w:type="dxa"/>
            <w:gridSpan w:val="10"/>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政府性基金预算财政拨款收入支出决算表</w:t>
            </w:r>
          </w:p>
        </w:tc>
      </w:tr>
      <w:tr>
        <w:tblPrEx>
          <w:tblCellMar>
            <w:top w:w="0" w:type="dxa"/>
            <w:left w:w="0" w:type="dxa"/>
            <w:bottom w:w="0" w:type="dxa"/>
            <w:right w:w="0" w:type="dxa"/>
          </w:tblCellMar>
        </w:tblPrEx>
        <w:trPr>
          <w:trHeight w:val="255" w:hRule="atLeast"/>
        </w:trPr>
        <w:tc>
          <w:tcPr>
            <w:tcW w:w="457" w:type="dxa"/>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457"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457"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65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033"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30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76"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30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30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770" w:type="dxa"/>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255" w:hRule="atLeast"/>
        </w:trPr>
        <w:tc>
          <w:tcPr>
            <w:tcW w:w="3030" w:type="dxa"/>
            <w:gridSpan w:val="4"/>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编制单位：南昌市青云谱区统计局</w:t>
            </w:r>
          </w:p>
        </w:tc>
        <w:tc>
          <w:tcPr>
            <w:tcW w:w="1033"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309" w:type="dxa"/>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2018年度</w:t>
            </w:r>
          </w:p>
        </w:tc>
        <w:tc>
          <w:tcPr>
            <w:tcW w:w="676"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30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30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770" w:type="dxa"/>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CellMar>
            <w:top w:w="0" w:type="dxa"/>
            <w:left w:w="0" w:type="dxa"/>
            <w:bottom w:w="0" w:type="dxa"/>
            <w:right w:w="0" w:type="dxa"/>
          </w:tblCellMar>
        </w:tblPrEx>
        <w:trPr>
          <w:trHeight w:val="308" w:hRule="atLeast"/>
        </w:trPr>
        <w:tc>
          <w:tcPr>
            <w:tcW w:w="3030" w:type="dxa"/>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1033"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309" w:type="dxa"/>
            <w:vMerge w:val="restart"/>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3294" w:type="dxa"/>
            <w:gridSpan w:val="3"/>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770"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tblPrEx>
          <w:tblCellMar>
            <w:top w:w="0" w:type="dxa"/>
            <w:left w:w="0" w:type="dxa"/>
            <w:bottom w:w="0" w:type="dxa"/>
            <w:right w:w="0" w:type="dxa"/>
          </w:tblCellMar>
        </w:tblPrEx>
        <w:trPr>
          <w:trHeight w:val="308" w:hRule="atLeast"/>
        </w:trPr>
        <w:tc>
          <w:tcPr>
            <w:tcW w:w="1371"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支出功能分类科目编码</w:t>
            </w:r>
          </w:p>
        </w:tc>
        <w:tc>
          <w:tcPr>
            <w:tcW w:w="1659"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03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76"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309"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309"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770"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371"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59"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3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76"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70"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371"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59"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3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76"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70"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457" w:type="dxa"/>
            <w:vMerge w:val="restar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57"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57"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659"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033"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09"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76"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09"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09"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770"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tblPrEx>
          <w:shd w:val="clear" w:color="auto" w:fill="auto"/>
          <w:tblCellMar>
            <w:top w:w="0" w:type="dxa"/>
            <w:left w:w="0" w:type="dxa"/>
            <w:bottom w:w="0" w:type="dxa"/>
            <w:right w:w="0" w:type="dxa"/>
          </w:tblCellMar>
        </w:tblPrEx>
        <w:trPr>
          <w:trHeight w:val="308" w:hRule="atLeast"/>
        </w:trPr>
        <w:tc>
          <w:tcPr>
            <w:tcW w:w="457" w:type="dxa"/>
            <w:vMerge w:val="continue"/>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57"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57"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59"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03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37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5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03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137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5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03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137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5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03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137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5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03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137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5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03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37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5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03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10436" w:type="dxa"/>
            <w:gridSpan w:val="10"/>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注：本表反映部门本年度政府性基金预算财政拨款收入、支出及结转和结余情况。</w:t>
            </w:r>
          </w:p>
        </w:tc>
      </w:tr>
    </w:tbl>
    <w:p>
      <w:pPr>
        <w:autoSpaceDE w:val="0"/>
        <w:autoSpaceDN w:val="0"/>
        <w:adjustRightInd w:val="0"/>
        <w:spacing w:line="360" w:lineRule="auto"/>
        <w:jc w:val="left"/>
        <w:rPr>
          <w:rFonts w:hint="eastAsia" w:ascii="仿宋" w:hAnsi="仿宋" w:eastAsia="仿宋" w:cs="仿宋_GB2312"/>
          <w:kern w:val="0"/>
          <w:sz w:val="30"/>
          <w:szCs w:val="30"/>
        </w:rPr>
      </w:pPr>
    </w:p>
    <w:tbl>
      <w:tblPr>
        <w:tblStyle w:val="6"/>
        <w:tblW w:w="7965" w:type="dxa"/>
        <w:tblInd w:w="0" w:type="dxa"/>
        <w:shd w:val="clear" w:color="auto" w:fill="auto"/>
        <w:tblLayout w:type="autofit"/>
        <w:tblCellMar>
          <w:top w:w="0" w:type="dxa"/>
          <w:left w:w="0" w:type="dxa"/>
          <w:bottom w:w="0" w:type="dxa"/>
          <w:right w:w="0" w:type="dxa"/>
        </w:tblCellMar>
      </w:tblPr>
      <w:tblGrid>
        <w:gridCol w:w="5256"/>
        <w:gridCol w:w="950"/>
        <w:gridCol w:w="1759"/>
      </w:tblGrid>
      <w:tr>
        <w:tblPrEx>
          <w:tblCellMar>
            <w:top w:w="0" w:type="dxa"/>
            <w:left w:w="0" w:type="dxa"/>
            <w:bottom w:w="0" w:type="dxa"/>
            <w:right w:w="0" w:type="dxa"/>
          </w:tblCellMar>
        </w:tblPrEx>
        <w:trPr>
          <w:trHeight w:val="285" w:hRule="atLeast"/>
        </w:trPr>
        <w:tc>
          <w:tcPr>
            <w:tcW w:w="7965" w:type="dxa"/>
            <w:gridSpan w:val="3"/>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国有资产占用情况表</w:t>
            </w:r>
          </w:p>
        </w:tc>
      </w:tr>
      <w:tr>
        <w:tblPrEx>
          <w:shd w:val="clear" w:color="auto" w:fill="auto"/>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单位：台、辆、套</w:t>
            </w:r>
          </w:p>
        </w:tc>
      </w:tr>
      <w:tr>
        <w:tblPrEx>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编制单位：南昌市青云谱区统计局</w:t>
            </w: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2018年度</w:t>
            </w: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CellMar>
            <w:top w:w="0" w:type="dxa"/>
            <w:left w:w="0" w:type="dxa"/>
            <w:bottom w:w="0" w:type="dxa"/>
            <w:right w:w="0"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0" w:type="auto"/>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一、车辆数合计(台、辆)</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1.副部（省）级及以上领导用车</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2.主要领导干部用车</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3.机要通信用车</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4.应急保障用车</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5.执法执勤用车</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6.特种专业技术用车</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7.离退休干部用车</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8.其他用车</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二、单价50万元（含）以上通用设备（台，套）</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三、单价100万元（含）以上专用设备（台，套）</w:t>
            </w:r>
          </w:p>
        </w:tc>
        <w:tc>
          <w:tcPr>
            <w:tcW w:w="0" w:type="auto"/>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bl>
    <w:p>
      <w:pPr>
        <w:autoSpaceDE w:val="0"/>
        <w:autoSpaceDN w:val="0"/>
        <w:adjustRightInd w:val="0"/>
        <w:spacing w:line="360" w:lineRule="auto"/>
        <w:jc w:val="left"/>
        <w:rPr>
          <w:rFonts w:hint="eastAsia" w:ascii="仿宋" w:hAnsi="仿宋" w:eastAsia="仿宋" w:cs="仿宋_GB2312"/>
          <w:kern w:val="0"/>
          <w:sz w:val="30"/>
          <w:szCs w:val="30"/>
        </w:rPr>
      </w:pPr>
    </w:p>
    <w:p>
      <w:pPr>
        <w:widowControl/>
        <w:spacing w:line="600" w:lineRule="exact"/>
        <w:ind w:firstLine="640"/>
        <w:jc w:val="center"/>
        <w:rPr>
          <w:rFonts w:hint="eastAsia" w:ascii="宋体" w:hAnsi="宋体"/>
          <w:b/>
          <w:sz w:val="32"/>
          <w:szCs w:val="32"/>
        </w:rPr>
      </w:pPr>
      <w:r>
        <w:rPr>
          <w:rFonts w:hint="eastAsia" w:ascii="宋体" w:hAnsi="宋体"/>
          <w:b/>
          <w:sz w:val="32"/>
          <w:szCs w:val="32"/>
        </w:rPr>
        <w:t>第三部分  201</w:t>
      </w:r>
      <w:r>
        <w:rPr>
          <w:rFonts w:hint="eastAsia" w:ascii="宋体" w:hAnsi="宋体"/>
          <w:b/>
          <w:sz w:val="32"/>
          <w:szCs w:val="32"/>
          <w:lang w:val="en-US" w:eastAsia="zh-CN"/>
        </w:rPr>
        <w:t>8</w:t>
      </w:r>
      <w:r>
        <w:rPr>
          <w:rFonts w:hint="eastAsia" w:ascii="宋体" w:hAnsi="宋体"/>
          <w:b/>
          <w:sz w:val="32"/>
          <w:szCs w:val="32"/>
        </w:rPr>
        <w:t>年度部门决算情况说明</w:t>
      </w:r>
    </w:p>
    <w:p>
      <w:pPr>
        <w:ind w:firstLine="630"/>
        <w:jc w:val="left"/>
        <w:rPr>
          <w:rFonts w:ascii="黑体" w:hAnsi="黑体" w:eastAsia="黑体"/>
          <w:sz w:val="30"/>
          <w:szCs w:val="30"/>
        </w:rPr>
      </w:pPr>
      <w:r>
        <w:rPr>
          <w:rFonts w:hint="eastAsia" w:ascii="黑体" w:hAnsi="黑体" w:eastAsia="黑体"/>
          <w:sz w:val="30"/>
          <w:szCs w:val="30"/>
        </w:rPr>
        <w:t>一、收入决算情况说明</w:t>
      </w:r>
    </w:p>
    <w:p>
      <w:pPr>
        <w:ind w:firstLine="630"/>
        <w:jc w:val="left"/>
        <w:rPr>
          <w:rFonts w:hint="eastAsia" w:ascii="仿宋" w:hAnsi="仿宋" w:eastAsia="仿宋" w:cs="仿宋"/>
          <w:sz w:val="30"/>
          <w:szCs w:val="30"/>
        </w:rPr>
      </w:pPr>
      <w:r>
        <w:rPr>
          <w:rFonts w:hint="eastAsia" w:ascii="仿宋" w:hAnsi="仿宋" w:eastAsia="仿宋" w:cs="仿宋"/>
          <w:sz w:val="30"/>
          <w:szCs w:val="30"/>
        </w:rPr>
        <w:t>本部门2018年度收入总计 690.8 万元，其中年初结转和结余114.5万元（年初结转和结余进行了调整），较2017年增加114.5万元；本年收入合计576.3  万元，较2017年减少101.6万元，减少15 %。主要原因是2018年拨入新增入统企业经费减少了。</w:t>
      </w:r>
    </w:p>
    <w:p>
      <w:pPr>
        <w:ind w:firstLine="630"/>
        <w:jc w:val="left"/>
        <w:rPr>
          <w:rFonts w:hint="eastAsia" w:ascii="仿宋" w:hAnsi="仿宋" w:eastAsia="仿宋" w:cs="仿宋"/>
          <w:sz w:val="30"/>
          <w:szCs w:val="30"/>
        </w:rPr>
      </w:pPr>
      <w:r>
        <w:rPr>
          <w:rFonts w:hint="eastAsia" w:ascii="仿宋" w:hAnsi="仿宋" w:eastAsia="仿宋" w:cs="仿宋"/>
          <w:sz w:val="30"/>
          <w:szCs w:val="30"/>
        </w:rPr>
        <w:t xml:space="preserve">本年收入的具体构成为：财政拨款收入576.3  万元，占100  %；事业收入 0  万元，占0  %；经营收入 0  万元，占 0 %；其他收入0   万元，占 0 %。  </w:t>
      </w:r>
    </w:p>
    <w:p>
      <w:pPr>
        <w:ind w:firstLine="630"/>
        <w:jc w:val="left"/>
        <w:rPr>
          <w:rFonts w:hint="eastAsia" w:ascii="仿宋" w:hAnsi="仿宋" w:eastAsia="仿宋" w:cs="仿宋"/>
          <w:sz w:val="30"/>
          <w:szCs w:val="30"/>
        </w:rPr>
      </w:pPr>
      <w:r>
        <w:rPr>
          <w:rFonts w:hint="eastAsia" w:ascii="仿宋" w:hAnsi="仿宋" w:eastAsia="仿宋" w:cs="仿宋"/>
          <w:sz w:val="30"/>
          <w:szCs w:val="30"/>
        </w:rPr>
        <w:t>二、支出决算情况说明</w:t>
      </w:r>
    </w:p>
    <w:p>
      <w:pPr>
        <w:ind w:firstLine="630"/>
        <w:jc w:val="left"/>
        <w:rPr>
          <w:rFonts w:hint="eastAsia" w:ascii="仿宋" w:hAnsi="仿宋" w:eastAsia="仿宋" w:cs="仿宋"/>
          <w:sz w:val="30"/>
          <w:szCs w:val="30"/>
        </w:rPr>
      </w:pPr>
      <w:r>
        <w:rPr>
          <w:rFonts w:hint="eastAsia" w:ascii="仿宋" w:hAnsi="仿宋" w:eastAsia="仿宋" w:cs="仿宋"/>
          <w:sz w:val="30"/>
          <w:szCs w:val="30"/>
        </w:rPr>
        <w:t>本部门2018年度支出总计690.8 万元，其中本年支出合计   676.8万元，较2017年增加29.8万元，增长4.6  %，主要原因是：</w:t>
      </w:r>
      <w:r>
        <w:rPr>
          <w:rFonts w:hint="eastAsia" w:ascii="仿宋" w:hAnsi="仿宋" w:eastAsia="仿宋" w:cs="仿宋"/>
          <w:color w:val="000000"/>
          <w:sz w:val="30"/>
          <w:szCs w:val="30"/>
        </w:rPr>
        <w:t>2018年度发放了2016、2017年绩效奖。</w:t>
      </w:r>
      <w:r>
        <w:rPr>
          <w:rFonts w:hint="eastAsia" w:ascii="仿宋" w:hAnsi="仿宋" w:eastAsia="仿宋" w:cs="仿宋"/>
          <w:sz w:val="30"/>
          <w:szCs w:val="30"/>
        </w:rPr>
        <w:t>年末结转和结余14 万元，较2017年减少100.5万元，减少87.8%，主要原因是：</w:t>
      </w:r>
      <w:r>
        <w:rPr>
          <w:rFonts w:hint="eastAsia" w:ascii="仿宋" w:hAnsi="仿宋" w:eastAsia="仿宋" w:cs="仿宋"/>
          <w:color w:val="000000"/>
          <w:sz w:val="30"/>
          <w:szCs w:val="30"/>
        </w:rPr>
        <w:t>2018年度发放了16、17年的绩效奖、17年综治奖、节能奖和文明奖等</w:t>
      </w:r>
      <w:r>
        <w:rPr>
          <w:rFonts w:hint="eastAsia" w:ascii="仿宋" w:hAnsi="仿宋" w:eastAsia="仿宋" w:cs="仿宋"/>
          <w:sz w:val="30"/>
          <w:szCs w:val="30"/>
        </w:rPr>
        <w:t>。</w:t>
      </w:r>
    </w:p>
    <w:p>
      <w:pPr>
        <w:ind w:firstLine="630"/>
        <w:jc w:val="left"/>
        <w:rPr>
          <w:rFonts w:hint="eastAsia" w:ascii="仿宋" w:hAnsi="仿宋" w:eastAsia="仿宋" w:cs="仿宋"/>
          <w:sz w:val="30"/>
          <w:szCs w:val="30"/>
        </w:rPr>
      </w:pPr>
      <w:r>
        <w:rPr>
          <w:rFonts w:hint="eastAsia" w:ascii="仿宋" w:hAnsi="仿宋" w:eastAsia="仿宋" w:cs="仿宋"/>
          <w:sz w:val="30"/>
          <w:szCs w:val="30"/>
        </w:rPr>
        <w:t>本年支出的具体构成为：基本支出 676.8万元，占100  %；项目支出  0 万元，占 0  %；经营支出  0 万元，占0  %；其他支出（对附属单位补助支出、上缴上级支出） 0  万元，占0  %。</w:t>
      </w:r>
    </w:p>
    <w:p>
      <w:pPr>
        <w:ind w:firstLine="630"/>
        <w:jc w:val="left"/>
        <w:rPr>
          <w:rFonts w:hint="eastAsia" w:ascii="仿宋" w:hAnsi="仿宋" w:eastAsia="仿宋" w:cs="仿宋"/>
          <w:sz w:val="30"/>
          <w:szCs w:val="30"/>
        </w:rPr>
      </w:pPr>
      <w:r>
        <w:rPr>
          <w:rFonts w:hint="eastAsia" w:ascii="仿宋" w:hAnsi="仿宋" w:eastAsia="仿宋" w:cs="仿宋"/>
          <w:sz w:val="30"/>
          <w:szCs w:val="30"/>
        </w:rPr>
        <w:t>三、财政拨款支出决算情况说明</w:t>
      </w:r>
    </w:p>
    <w:p>
      <w:pPr>
        <w:ind w:firstLine="630"/>
        <w:jc w:val="left"/>
        <w:rPr>
          <w:rFonts w:hint="eastAsia" w:ascii="仿宋" w:hAnsi="仿宋" w:eastAsia="仿宋" w:cs="仿宋"/>
          <w:sz w:val="30"/>
          <w:szCs w:val="30"/>
        </w:rPr>
      </w:pPr>
      <w:r>
        <w:rPr>
          <w:rFonts w:hint="eastAsia" w:ascii="仿宋" w:hAnsi="仿宋" w:eastAsia="仿宋" w:cs="仿宋"/>
          <w:sz w:val="30"/>
          <w:szCs w:val="30"/>
        </w:rPr>
        <w:t>本部门2018年度财政拨款本年支出年初预算数为 369.02  万元，决算数为 676.8 万元，完成年初预算的183.4  %。</w:t>
      </w:r>
      <w:r>
        <w:rPr>
          <w:rFonts w:hint="eastAsia" w:ascii="仿宋" w:hAnsi="仿宋" w:eastAsia="仿宋" w:cs="仿宋"/>
          <w:color w:val="000000"/>
          <w:sz w:val="30"/>
          <w:szCs w:val="30"/>
        </w:rPr>
        <w:t>主要原因是2018年度新增了经济普查开支，购置了设备等，而且2018年度发放了16、17年的绩效奖、17年综治奖、节能奖和文明奖等。</w:t>
      </w:r>
      <w:r>
        <w:rPr>
          <w:rFonts w:hint="eastAsia" w:ascii="仿宋" w:hAnsi="仿宋" w:eastAsia="仿宋" w:cs="仿宋"/>
          <w:sz w:val="30"/>
          <w:szCs w:val="30"/>
        </w:rPr>
        <w:t>其中：</w:t>
      </w:r>
    </w:p>
    <w:p>
      <w:pPr>
        <w:ind w:firstLine="630"/>
        <w:jc w:val="left"/>
        <w:rPr>
          <w:rFonts w:hint="eastAsia" w:ascii="仿宋" w:hAnsi="仿宋" w:eastAsia="仿宋" w:cs="仿宋"/>
          <w:sz w:val="30"/>
          <w:szCs w:val="30"/>
        </w:rPr>
      </w:pPr>
      <w:r>
        <w:rPr>
          <w:rFonts w:hint="eastAsia" w:ascii="仿宋" w:hAnsi="仿宋" w:eastAsia="仿宋" w:cs="仿宋"/>
          <w:sz w:val="30"/>
          <w:szCs w:val="30"/>
        </w:rPr>
        <w:t>（一）一般公共服务支出年初预算数为 349.9万元，决算数为655.8  万元，完成年初预算的187.4  %，主要原因是：</w:t>
      </w:r>
      <w:r>
        <w:rPr>
          <w:rFonts w:hint="eastAsia" w:ascii="仿宋" w:hAnsi="仿宋" w:eastAsia="仿宋" w:cs="仿宋"/>
          <w:color w:val="000000"/>
          <w:sz w:val="30"/>
          <w:szCs w:val="30"/>
        </w:rPr>
        <w:t>2018年度新增了经济普查开支，购置了设备等，而且2018年度发放了16、17年的绩效奖、17年综治奖、节能奖和文明奖等。</w:t>
      </w:r>
    </w:p>
    <w:p>
      <w:pPr>
        <w:ind w:firstLine="630"/>
        <w:jc w:val="left"/>
        <w:rPr>
          <w:rFonts w:hint="eastAsia" w:ascii="仿宋" w:hAnsi="仿宋" w:eastAsia="仿宋" w:cs="仿宋"/>
          <w:sz w:val="30"/>
          <w:szCs w:val="30"/>
        </w:rPr>
      </w:pPr>
      <w:r>
        <w:rPr>
          <w:rFonts w:hint="eastAsia" w:ascii="仿宋" w:hAnsi="仿宋" w:eastAsia="仿宋" w:cs="仿宋"/>
          <w:sz w:val="30"/>
          <w:szCs w:val="30"/>
        </w:rPr>
        <w:t>（二）住房保障支出年初预算数为18.4万元，决算数为  18.5万元，完成年初预算的100.5  %，主要原因：2018年预算是以2017年10月份工资做的，因为2018年行政事业人员工资正常加薪，故存在一点差别。</w:t>
      </w:r>
    </w:p>
    <w:p>
      <w:pPr>
        <w:ind w:firstLine="585"/>
        <w:jc w:val="left"/>
        <w:rPr>
          <w:rFonts w:hint="eastAsia" w:ascii="仿宋" w:hAnsi="仿宋" w:eastAsia="仿宋" w:cs="仿宋"/>
          <w:sz w:val="30"/>
          <w:szCs w:val="30"/>
        </w:rPr>
      </w:pPr>
      <w:r>
        <w:rPr>
          <w:rFonts w:hint="eastAsia" w:ascii="仿宋" w:hAnsi="仿宋" w:eastAsia="仿宋" w:cs="仿宋"/>
          <w:sz w:val="30"/>
          <w:szCs w:val="30"/>
        </w:rPr>
        <w:t>四、一般公共预算财政拨款基本支出决算情况说明</w:t>
      </w:r>
    </w:p>
    <w:p>
      <w:pPr>
        <w:ind w:firstLine="585"/>
        <w:jc w:val="left"/>
        <w:rPr>
          <w:rFonts w:hint="eastAsia" w:ascii="仿宋" w:hAnsi="仿宋" w:eastAsia="仿宋" w:cs="仿宋"/>
          <w:sz w:val="30"/>
          <w:szCs w:val="30"/>
        </w:rPr>
      </w:pPr>
      <w:r>
        <w:rPr>
          <w:rFonts w:hint="eastAsia" w:ascii="仿宋" w:hAnsi="仿宋" w:eastAsia="仿宋" w:cs="仿宋"/>
          <w:sz w:val="30"/>
          <w:szCs w:val="30"/>
        </w:rPr>
        <w:t>本部门2018年度一般公共预算财政拨款基本支出676.8  万元，其中：</w:t>
      </w:r>
    </w:p>
    <w:p>
      <w:pPr>
        <w:ind w:firstLine="585"/>
        <w:jc w:val="left"/>
        <w:rPr>
          <w:rFonts w:hint="eastAsia" w:ascii="仿宋" w:hAnsi="仿宋" w:eastAsia="仿宋" w:cs="仿宋"/>
          <w:sz w:val="30"/>
          <w:szCs w:val="30"/>
        </w:rPr>
      </w:pPr>
      <w:r>
        <w:rPr>
          <w:rFonts w:hint="eastAsia" w:ascii="仿宋" w:hAnsi="仿宋" w:eastAsia="仿宋" w:cs="仿宋"/>
          <w:sz w:val="30"/>
          <w:szCs w:val="30"/>
        </w:rPr>
        <w:t>（一）工资福利支出493.2万元，较2017年增加94.9 万元，增加了23.8 %，主要原因是：2018年补发了2016年绩效奖，并发放2017年绩效奖、综治奖、节能奖和文明单位奖。</w:t>
      </w:r>
    </w:p>
    <w:p>
      <w:pPr>
        <w:ind w:firstLine="585"/>
        <w:jc w:val="left"/>
        <w:rPr>
          <w:rFonts w:hint="eastAsia" w:ascii="仿宋" w:hAnsi="仿宋" w:eastAsia="仿宋" w:cs="仿宋"/>
          <w:sz w:val="30"/>
          <w:szCs w:val="30"/>
        </w:rPr>
      </w:pPr>
      <w:r>
        <w:rPr>
          <w:rFonts w:hint="eastAsia" w:ascii="仿宋" w:hAnsi="仿宋" w:eastAsia="仿宋" w:cs="仿宋"/>
          <w:sz w:val="30"/>
          <w:szCs w:val="30"/>
        </w:rPr>
        <w:t>（二）商品和服务支出140.3万元，较2017年减少52.5万元，下降了27.2%，主要原因是：2018年新增入统企业区级奖励经费减少了，下拨新增入统企业经费20万元，比2017年减少了62万元。</w:t>
      </w:r>
    </w:p>
    <w:p>
      <w:pPr>
        <w:ind w:firstLine="585"/>
        <w:jc w:val="left"/>
        <w:rPr>
          <w:rFonts w:hint="eastAsia" w:ascii="仿宋" w:hAnsi="仿宋" w:eastAsia="仿宋" w:cs="仿宋"/>
          <w:sz w:val="30"/>
          <w:szCs w:val="30"/>
        </w:rPr>
      </w:pPr>
      <w:r>
        <w:rPr>
          <w:rFonts w:hint="eastAsia" w:ascii="仿宋" w:hAnsi="仿宋" w:eastAsia="仿宋" w:cs="仿宋"/>
          <w:sz w:val="30"/>
          <w:szCs w:val="30"/>
        </w:rPr>
        <w:t>（三）对个人和家庭补助支出10.9万元，比2017年减少35.8 万元，下降76.7 %，主要原因是：2017年个人和对家庭补助支出包括了单位承担的住房公积金40.8万元，2018年单位承担的住房公积金没有放在这个科目下。</w:t>
      </w:r>
    </w:p>
    <w:p>
      <w:pPr>
        <w:ind w:firstLine="585"/>
        <w:jc w:val="left"/>
        <w:rPr>
          <w:rFonts w:hint="eastAsia" w:ascii="仿宋" w:hAnsi="仿宋" w:eastAsia="仿宋" w:cs="仿宋"/>
          <w:sz w:val="30"/>
          <w:szCs w:val="30"/>
        </w:rPr>
      </w:pPr>
      <w:r>
        <w:rPr>
          <w:rFonts w:hint="eastAsia" w:ascii="仿宋" w:hAnsi="仿宋" w:eastAsia="仿宋" w:cs="仿宋"/>
          <w:sz w:val="30"/>
          <w:szCs w:val="30"/>
        </w:rPr>
        <w:t>（四）资本性支出32.4万元，较2017年增加了23.1 万元，增加了248.4%，主要原因是：2018年经济普查购置了台式电脑3台和调查用的平板电脑。</w:t>
      </w:r>
    </w:p>
    <w:p>
      <w:pPr>
        <w:ind w:firstLine="630"/>
        <w:jc w:val="left"/>
        <w:rPr>
          <w:rFonts w:hint="eastAsia" w:ascii="仿宋" w:hAnsi="仿宋" w:eastAsia="仿宋" w:cs="仿宋"/>
          <w:sz w:val="30"/>
          <w:szCs w:val="30"/>
        </w:rPr>
      </w:pPr>
      <w:r>
        <w:rPr>
          <w:rFonts w:hint="eastAsia" w:ascii="仿宋" w:hAnsi="仿宋" w:eastAsia="仿宋" w:cs="仿宋"/>
          <w:sz w:val="30"/>
          <w:szCs w:val="30"/>
        </w:rPr>
        <w:t>五、一般公共预算财政拨款“三公”经费支出决算情况说明</w:t>
      </w:r>
    </w:p>
    <w:p>
      <w:pPr>
        <w:ind w:firstLine="630"/>
        <w:jc w:val="left"/>
        <w:rPr>
          <w:rFonts w:hint="eastAsia" w:ascii="仿宋" w:hAnsi="仿宋" w:eastAsia="仿宋" w:cs="仿宋"/>
          <w:sz w:val="30"/>
          <w:szCs w:val="30"/>
        </w:rPr>
      </w:pPr>
      <w:r>
        <w:rPr>
          <w:rFonts w:hint="eastAsia" w:ascii="仿宋" w:hAnsi="仿宋" w:eastAsia="仿宋" w:cs="仿宋"/>
          <w:sz w:val="30"/>
          <w:szCs w:val="30"/>
        </w:rPr>
        <w:t>本部门2018年度一般公共预算财政拨款“三公”经费支出年初预算数为 1.82万元，决算数为 0元。决算数较2017年减少0.3  万元。其中：</w:t>
      </w:r>
    </w:p>
    <w:p>
      <w:pPr>
        <w:ind w:firstLine="630"/>
        <w:jc w:val="left"/>
        <w:rPr>
          <w:rFonts w:hint="eastAsia" w:ascii="仿宋" w:hAnsi="仿宋" w:eastAsia="仿宋" w:cs="仿宋"/>
          <w:sz w:val="30"/>
          <w:szCs w:val="30"/>
        </w:rPr>
      </w:pPr>
      <w:r>
        <w:rPr>
          <w:rFonts w:hint="eastAsia" w:ascii="仿宋" w:hAnsi="仿宋" w:eastAsia="仿宋" w:cs="仿宋"/>
          <w:sz w:val="30"/>
          <w:szCs w:val="30"/>
        </w:rPr>
        <w:t>（一）因公出国（境）支出年初预算数为  0 万元，决算数为 0 万元，完成年初预算的0 %，决算数较2018年增加（减少）  0万元，增长（下降）0  %。决算数较年初预算数增加（减少）的主要原因是：。</w:t>
      </w:r>
    </w:p>
    <w:p>
      <w:pPr>
        <w:ind w:firstLine="630"/>
        <w:jc w:val="left"/>
        <w:rPr>
          <w:rFonts w:hint="eastAsia" w:ascii="仿宋" w:hAnsi="仿宋" w:eastAsia="仿宋" w:cs="仿宋"/>
          <w:sz w:val="30"/>
          <w:szCs w:val="30"/>
        </w:rPr>
      </w:pPr>
      <w:r>
        <w:rPr>
          <w:rFonts w:hint="eastAsia" w:ascii="仿宋" w:hAnsi="仿宋" w:eastAsia="仿宋" w:cs="仿宋"/>
          <w:sz w:val="30"/>
          <w:szCs w:val="30"/>
        </w:rPr>
        <w:t>（二）公务接待费支出年初预算数为 1.82  万元，决算数为  0元，</w:t>
      </w:r>
      <w:r>
        <w:rPr>
          <w:rFonts w:hint="eastAsia" w:ascii="仿宋" w:hAnsi="仿宋" w:eastAsia="仿宋" w:cs="仿宋"/>
          <w:color w:val="000000"/>
          <w:kern w:val="0"/>
          <w:sz w:val="30"/>
          <w:szCs w:val="30"/>
        </w:rPr>
        <w:t>2018年公务接待费实际为3245元，因2018年公务接待费结账较晚，年底录入了三公经费平台数据，财政系统12月25日关闭未能及时转账</w:t>
      </w:r>
      <w:r>
        <w:rPr>
          <w:rFonts w:hint="eastAsia" w:ascii="仿宋" w:hAnsi="仿宋" w:eastAsia="仿宋" w:cs="仿宋"/>
          <w:color w:val="000000"/>
          <w:kern w:val="0"/>
          <w:sz w:val="30"/>
          <w:szCs w:val="30"/>
          <w:lang w:eastAsia="zh-CN"/>
        </w:rPr>
        <w:t>，</w:t>
      </w:r>
      <w:r>
        <w:rPr>
          <w:rFonts w:hint="eastAsia" w:ascii="仿宋" w:hAnsi="仿宋" w:eastAsia="仿宋" w:cs="仿宋"/>
          <w:color w:val="000000"/>
          <w:kern w:val="0"/>
          <w:sz w:val="30"/>
          <w:szCs w:val="30"/>
          <w:lang w:val="en-US" w:eastAsia="zh-CN"/>
        </w:rPr>
        <w:t>2018年国内公务接待人数26人，接待批次3次</w:t>
      </w:r>
      <w:r>
        <w:rPr>
          <w:rFonts w:hint="eastAsia" w:ascii="仿宋" w:hAnsi="仿宋" w:eastAsia="仿宋" w:cs="仿宋"/>
          <w:color w:val="000000"/>
          <w:kern w:val="0"/>
          <w:sz w:val="30"/>
          <w:szCs w:val="30"/>
        </w:rPr>
        <w:t>。</w:t>
      </w:r>
    </w:p>
    <w:p>
      <w:pPr>
        <w:ind w:firstLine="630"/>
        <w:jc w:val="left"/>
        <w:rPr>
          <w:rFonts w:hint="eastAsia" w:ascii="仿宋" w:hAnsi="仿宋" w:eastAsia="仿宋" w:cs="仿宋"/>
          <w:sz w:val="30"/>
          <w:szCs w:val="30"/>
        </w:rPr>
      </w:pPr>
      <w:r>
        <w:rPr>
          <w:rFonts w:hint="eastAsia" w:ascii="仿宋" w:hAnsi="仿宋" w:eastAsia="仿宋" w:cs="仿宋"/>
          <w:sz w:val="30"/>
          <w:szCs w:val="30"/>
        </w:rPr>
        <w:t>（三）公务用车购置及运行维护费支出  0 万元，其中公务用车购置年初预算数为 0  万元，决算数为 0 万元，完成年初预算的0 %，决算数较2018年增加（减少）0  万元，增长（下降）  %。决算数较年初预算数增加（减少）的主要原因是：……；公务用车运行维护费支出年初预算数为 0  万元，决算数为 0 万元，完成年初预算的0 %，决算数较2018年增加（减少）0  万元，增长（下降）0  %。单位没有公车。</w:t>
      </w:r>
    </w:p>
    <w:p>
      <w:pPr>
        <w:ind w:firstLine="630"/>
        <w:jc w:val="left"/>
        <w:rPr>
          <w:rFonts w:hint="eastAsia" w:ascii="仿宋" w:hAnsi="仿宋" w:eastAsia="仿宋" w:cs="仿宋"/>
          <w:sz w:val="30"/>
          <w:szCs w:val="30"/>
        </w:rPr>
      </w:pPr>
      <w:r>
        <w:rPr>
          <w:rFonts w:hint="eastAsia" w:ascii="仿宋" w:hAnsi="仿宋" w:eastAsia="仿宋" w:cs="仿宋"/>
          <w:sz w:val="30"/>
          <w:szCs w:val="30"/>
        </w:rPr>
        <w:t>六、机关运行经费支出情况说明</w:t>
      </w:r>
    </w:p>
    <w:p>
      <w:pPr>
        <w:ind w:firstLine="630"/>
        <w:jc w:val="left"/>
        <w:rPr>
          <w:rFonts w:hint="eastAsia" w:ascii="仿宋" w:hAnsi="仿宋" w:eastAsia="仿宋" w:cs="仿宋"/>
          <w:sz w:val="30"/>
          <w:szCs w:val="30"/>
        </w:rPr>
      </w:pPr>
      <w:r>
        <w:rPr>
          <w:rFonts w:hint="eastAsia" w:ascii="仿宋" w:hAnsi="仿宋" w:eastAsia="仿宋" w:cs="仿宋"/>
          <w:sz w:val="30"/>
          <w:szCs w:val="30"/>
        </w:rPr>
        <w:t>本部门2018年度机关运行经费支出 172.6万元（与部门决算中行政单位和参照公务员法管理事业单位一般公共预算财政拨款基本支出中公用经费之和保持一致），较年初预算数增加55.9 万元，增长47.9  %，主要原因是：</w:t>
      </w:r>
      <w:r>
        <w:rPr>
          <w:rFonts w:hint="eastAsia" w:ascii="仿宋" w:hAnsi="仿宋" w:eastAsia="仿宋" w:cs="仿宋"/>
          <w:color w:val="000000"/>
          <w:sz w:val="30"/>
          <w:szCs w:val="30"/>
        </w:rPr>
        <w:t>2018年度新增了经济普查开支，购置了设备。</w:t>
      </w:r>
      <w:r>
        <w:rPr>
          <w:rFonts w:hint="eastAsia" w:ascii="仿宋" w:hAnsi="仿宋" w:eastAsia="仿宋" w:cs="仿宋"/>
          <w:sz w:val="30"/>
          <w:szCs w:val="30"/>
        </w:rPr>
        <w:t xml:space="preserve"> </w:t>
      </w:r>
    </w:p>
    <w:p>
      <w:pPr>
        <w:ind w:firstLine="630"/>
        <w:jc w:val="left"/>
        <w:rPr>
          <w:rFonts w:hint="eastAsia" w:ascii="仿宋" w:hAnsi="仿宋" w:eastAsia="仿宋" w:cs="仿宋"/>
          <w:sz w:val="30"/>
          <w:szCs w:val="30"/>
        </w:rPr>
      </w:pPr>
      <w:r>
        <w:rPr>
          <w:rFonts w:hint="eastAsia" w:ascii="仿宋" w:hAnsi="仿宋" w:eastAsia="仿宋" w:cs="仿宋"/>
          <w:sz w:val="30"/>
          <w:szCs w:val="30"/>
        </w:rPr>
        <w:t>七、政府采购支出情况说明</w:t>
      </w:r>
    </w:p>
    <w:p>
      <w:pPr>
        <w:pStyle w:val="9"/>
        <w:spacing w:line="600" w:lineRule="atLeast"/>
        <w:ind w:firstLine="600"/>
        <w:rPr>
          <w:rFonts w:hint="eastAsia" w:ascii="仿宋" w:hAnsi="仿宋" w:eastAsia="仿宋" w:cs="仿宋"/>
          <w:sz w:val="30"/>
          <w:szCs w:val="30"/>
        </w:rPr>
      </w:pPr>
      <w:r>
        <w:rPr>
          <w:rFonts w:hint="eastAsia" w:ascii="仿宋" w:hAnsi="仿宋" w:eastAsia="仿宋" w:cs="仿宋"/>
          <w:sz w:val="30"/>
          <w:szCs w:val="30"/>
        </w:rPr>
        <w:t>本部门2018年度政府采购支出总额 3</w:t>
      </w:r>
      <w:r>
        <w:rPr>
          <w:rFonts w:hint="eastAsia" w:ascii="仿宋" w:hAnsi="仿宋" w:eastAsia="仿宋" w:cs="仿宋"/>
          <w:sz w:val="30"/>
          <w:szCs w:val="30"/>
          <w:lang w:val="en-US" w:eastAsia="zh-CN"/>
        </w:rPr>
        <w:t>4.6</w:t>
      </w:r>
      <w:r>
        <w:rPr>
          <w:rFonts w:hint="eastAsia" w:ascii="仿宋" w:hAnsi="仿宋" w:eastAsia="仿宋" w:cs="仿宋"/>
          <w:sz w:val="30"/>
          <w:szCs w:val="30"/>
        </w:rPr>
        <w:t>万元，其中：政府采购货物支出 3</w:t>
      </w:r>
      <w:r>
        <w:rPr>
          <w:rFonts w:hint="eastAsia" w:ascii="仿宋" w:hAnsi="仿宋" w:eastAsia="仿宋" w:cs="仿宋"/>
          <w:sz w:val="30"/>
          <w:szCs w:val="30"/>
          <w:lang w:val="en-US" w:eastAsia="zh-CN"/>
        </w:rPr>
        <w:t>4</w:t>
      </w:r>
      <w:r>
        <w:rPr>
          <w:rFonts w:hint="eastAsia" w:ascii="仿宋" w:hAnsi="仿宋" w:eastAsia="仿宋" w:cs="仿宋"/>
          <w:sz w:val="30"/>
          <w:szCs w:val="30"/>
        </w:rPr>
        <w:t>万元、政府采购工程支出 0 万元、政府采购服务支出  0</w:t>
      </w:r>
      <w:r>
        <w:rPr>
          <w:rFonts w:hint="eastAsia" w:ascii="仿宋" w:hAnsi="仿宋" w:eastAsia="仿宋" w:cs="仿宋"/>
          <w:sz w:val="30"/>
          <w:szCs w:val="30"/>
          <w:lang w:val="en-US" w:eastAsia="zh-CN"/>
        </w:rPr>
        <w:t>.6</w:t>
      </w:r>
      <w:r>
        <w:rPr>
          <w:rFonts w:hint="eastAsia" w:ascii="仿宋" w:hAnsi="仿宋" w:eastAsia="仿宋" w:cs="仿宋"/>
          <w:sz w:val="30"/>
          <w:szCs w:val="30"/>
        </w:rPr>
        <w:t xml:space="preserve">万元。授予中小企业合同金额 </w:t>
      </w:r>
      <w:r>
        <w:rPr>
          <w:rFonts w:hint="eastAsia" w:ascii="仿宋" w:hAnsi="仿宋" w:eastAsia="仿宋" w:cs="仿宋"/>
          <w:sz w:val="30"/>
          <w:szCs w:val="30"/>
          <w:lang w:val="en-US" w:eastAsia="zh-CN"/>
        </w:rPr>
        <w:t>0</w:t>
      </w:r>
      <w:r>
        <w:rPr>
          <w:rFonts w:hint="eastAsia" w:ascii="仿宋" w:hAnsi="仿宋" w:eastAsia="仿宋" w:cs="仿宋"/>
          <w:sz w:val="30"/>
          <w:szCs w:val="30"/>
        </w:rPr>
        <w:t>万元，占政府采购支出总额的</w:t>
      </w:r>
      <w:r>
        <w:rPr>
          <w:rFonts w:hint="eastAsia" w:ascii="仿宋" w:hAnsi="仿宋" w:eastAsia="仿宋" w:cs="仿宋"/>
          <w:sz w:val="30"/>
          <w:szCs w:val="30"/>
          <w:lang w:val="en-US" w:eastAsia="zh-CN"/>
        </w:rPr>
        <w:t>0</w:t>
      </w:r>
      <w:r>
        <w:rPr>
          <w:rFonts w:hint="eastAsia" w:ascii="仿宋" w:hAnsi="仿宋" w:eastAsia="仿宋" w:cs="仿宋"/>
          <w:sz w:val="30"/>
          <w:szCs w:val="30"/>
        </w:rPr>
        <w:t xml:space="preserve"> %，其中：授予小微企业合同金额 </w:t>
      </w:r>
      <w:r>
        <w:rPr>
          <w:rFonts w:hint="eastAsia" w:ascii="仿宋" w:hAnsi="仿宋" w:eastAsia="仿宋" w:cs="仿宋"/>
          <w:sz w:val="30"/>
          <w:szCs w:val="30"/>
          <w:lang w:val="en-US" w:eastAsia="zh-CN"/>
        </w:rPr>
        <w:t>34.6</w:t>
      </w:r>
      <w:r>
        <w:rPr>
          <w:rFonts w:hint="eastAsia" w:ascii="仿宋" w:hAnsi="仿宋" w:eastAsia="仿宋" w:cs="仿宋"/>
          <w:sz w:val="30"/>
          <w:szCs w:val="30"/>
        </w:rPr>
        <w:t xml:space="preserve"> 万元，占政府采购支出总额的</w:t>
      </w:r>
      <w:r>
        <w:rPr>
          <w:rFonts w:hint="eastAsia" w:ascii="仿宋" w:hAnsi="仿宋" w:eastAsia="仿宋" w:cs="仿宋"/>
          <w:sz w:val="30"/>
          <w:szCs w:val="30"/>
          <w:lang w:val="en-US" w:eastAsia="zh-CN"/>
        </w:rPr>
        <w:t>1</w:t>
      </w:r>
      <w:r>
        <w:rPr>
          <w:rFonts w:hint="eastAsia" w:ascii="仿宋" w:hAnsi="仿宋" w:eastAsia="仿宋" w:cs="仿宋"/>
          <w:sz w:val="30"/>
          <w:szCs w:val="30"/>
        </w:rPr>
        <w:t>0</w:t>
      </w:r>
      <w:r>
        <w:rPr>
          <w:rFonts w:hint="eastAsia" w:ascii="仿宋" w:hAnsi="仿宋" w:eastAsia="仿宋" w:cs="仿宋"/>
          <w:sz w:val="30"/>
          <w:szCs w:val="30"/>
          <w:lang w:val="en-US" w:eastAsia="zh-CN"/>
        </w:rPr>
        <w:t>0</w:t>
      </w:r>
      <w:r>
        <w:rPr>
          <w:rFonts w:hint="eastAsia" w:ascii="仿宋" w:hAnsi="仿宋" w:eastAsia="仿宋" w:cs="仿宋"/>
          <w:sz w:val="30"/>
          <w:szCs w:val="30"/>
        </w:rPr>
        <w:t xml:space="preserve">  %。（市级部门公开的政府采购金额的计算口径为：本部门纳入2018年部门预算范围的各项政府采购支出金额之和，不包括涉密采购项目的支出金额。）</w:t>
      </w:r>
    </w:p>
    <w:p>
      <w:pPr>
        <w:ind w:firstLine="630"/>
        <w:jc w:val="left"/>
        <w:rPr>
          <w:rFonts w:hint="eastAsia" w:ascii="仿宋" w:hAnsi="仿宋" w:eastAsia="仿宋" w:cs="仿宋"/>
          <w:sz w:val="30"/>
          <w:szCs w:val="30"/>
        </w:rPr>
      </w:pPr>
      <w:r>
        <w:rPr>
          <w:rFonts w:hint="eastAsia" w:ascii="仿宋" w:hAnsi="仿宋" w:eastAsia="仿宋" w:cs="仿宋"/>
          <w:sz w:val="30"/>
          <w:szCs w:val="30"/>
        </w:rPr>
        <w:t>八、国有资产占用情况说明。</w:t>
      </w:r>
    </w:p>
    <w:p>
      <w:pPr>
        <w:ind w:firstLine="630"/>
        <w:jc w:val="left"/>
        <w:rPr>
          <w:rFonts w:hint="eastAsia" w:ascii="仿宋" w:hAnsi="仿宋" w:eastAsia="仿宋" w:cs="仿宋"/>
          <w:kern w:val="0"/>
          <w:sz w:val="30"/>
          <w:szCs w:val="30"/>
        </w:rPr>
      </w:pPr>
      <w:r>
        <w:rPr>
          <w:rFonts w:hint="eastAsia" w:ascii="仿宋" w:hAnsi="仿宋" w:eastAsia="仿宋" w:cs="仿宋"/>
          <w:kern w:val="0"/>
          <w:sz w:val="30"/>
          <w:szCs w:val="30"/>
        </w:rPr>
        <w:t>截止2019年12月31日，本部门国有资产占用情况见公开09表《国有资产占用情况表》。</w:t>
      </w:r>
    </w:p>
    <w:p>
      <w:pPr>
        <w:ind w:firstLine="630"/>
        <w:jc w:val="left"/>
        <w:rPr>
          <w:rFonts w:hint="eastAsia" w:ascii="仿宋" w:hAnsi="仿宋" w:eastAsia="仿宋" w:cs="仿宋"/>
          <w:sz w:val="30"/>
          <w:szCs w:val="30"/>
        </w:rPr>
      </w:pPr>
      <w:r>
        <w:rPr>
          <w:rFonts w:hint="eastAsia" w:ascii="仿宋" w:hAnsi="仿宋" w:eastAsia="仿宋" w:cs="仿宋"/>
          <w:sz w:val="30"/>
          <w:szCs w:val="30"/>
        </w:rPr>
        <w:t>九、预算绩效情况说明</w:t>
      </w:r>
    </w:p>
    <w:p>
      <w:pPr>
        <w:autoSpaceDE w:val="0"/>
        <w:autoSpaceDN w:val="0"/>
        <w:adjustRightInd w:val="0"/>
        <w:spacing w:line="360" w:lineRule="auto"/>
        <w:jc w:val="left"/>
        <w:rPr>
          <w:rFonts w:hint="eastAsia" w:ascii="仿宋" w:hAnsi="仿宋" w:eastAsia="仿宋" w:cs="仿宋"/>
          <w:kern w:val="0"/>
          <w:sz w:val="30"/>
          <w:szCs w:val="30"/>
        </w:rPr>
      </w:pPr>
      <w:r>
        <w:rPr>
          <w:rFonts w:hint="eastAsia" w:ascii="仿宋" w:hAnsi="仿宋" w:eastAsia="仿宋" w:cs="仿宋"/>
          <w:kern w:val="0"/>
          <w:sz w:val="30"/>
          <w:szCs w:val="30"/>
        </w:rPr>
        <w:t>绩效管理工作开展情况。</w:t>
      </w:r>
    </w:p>
    <w:p>
      <w:pPr>
        <w:autoSpaceDE w:val="0"/>
        <w:autoSpaceDN w:val="0"/>
        <w:adjustRightInd w:val="0"/>
        <w:spacing w:line="360" w:lineRule="auto"/>
        <w:ind w:firstLine="600"/>
        <w:jc w:val="left"/>
        <w:rPr>
          <w:rFonts w:hint="eastAsia" w:ascii="仿宋" w:hAnsi="仿宋" w:eastAsia="仿宋" w:cs="仿宋"/>
          <w:sz w:val="30"/>
          <w:szCs w:val="30"/>
        </w:rPr>
      </w:pPr>
      <w:r>
        <w:rPr>
          <w:rFonts w:hint="eastAsia" w:ascii="仿宋" w:hAnsi="仿宋" w:eastAsia="仿宋" w:cs="仿宋"/>
          <w:kern w:val="0"/>
          <w:sz w:val="30"/>
          <w:szCs w:val="30"/>
        </w:rPr>
        <w:t>根据预算绩效管理要求，我部门组织对2018年度一般公共预算项目支出全面开展绩效自评，其中，一级项目 1 个，共涉及资金 50 万元，占一般公共预算项目支出总额的100 %。</w:t>
      </w:r>
      <w:bookmarkStart w:id="0" w:name="_GoBack"/>
      <w:bookmarkEnd w:id="0"/>
      <w:r>
        <w:rPr>
          <w:rFonts w:hint="eastAsia" w:ascii="仿宋" w:hAnsi="仿宋" w:eastAsia="仿宋" w:cs="仿宋"/>
          <w:b w:val="0"/>
          <w:bCs/>
          <w:sz w:val="30"/>
          <w:szCs w:val="30"/>
        </w:rPr>
        <w:t>组织对统计基础建设项目开展了部门评价，涉及一般公共预算支出 50 万元。</w:t>
      </w:r>
    </w:p>
    <w:p>
      <w:pPr>
        <w:widowControl/>
        <w:spacing w:line="600" w:lineRule="exact"/>
        <w:ind w:firstLine="640"/>
        <w:jc w:val="center"/>
        <w:rPr>
          <w:rFonts w:hint="eastAsia" w:ascii="仿宋" w:hAnsi="仿宋" w:eastAsia="仿宋" w:cs="仿宋"/>
          <w:b/>
          <w:sz w:val="30"/>
          <w:szCs w:val="30"/>
        </w:rPr>
      </w:pPr>
      <w:r>
        <w:rPr>
          <w:rFonts w:hint="eastAsia" w:ascii="仿宋" w:hAnsi="仿宋" w:eastAsia="仿宋" w:cs="仿宋"/>
          <w:b/>
          <w:sz w:val="30"/>
          <w:szCs w:val="30"/>
          <w:lang w:val="en-US" w:eastAsia="zh-CN"/>
        </w:rPr>
        <w:t>第四</w:t>
      </w:r>
      <w:r>
        <w:rPr>
          <w:rFonts w:hint="eastAsia" w:ascii="仿宋" w:hAnsi="仿宋" w:eastAsia="仿宋" w:cs="仿宋"/>
          <w:b/>
          <w:sz w:val="30"/>
          <w:szCs w:val="30"/>
        </w:rPr>
        <w:t>部分  名词解释</w:t>
      </w:r>
    </w:p>
    <w:p>
      <w:pPr>
        <w:widowControl/>
        <w:spacing w:line="580" w:lineRule="exact"/>
        <w:ind w:firstLine="600"/>
        <w:jc w:val="left"/>
        <w:rPr>
          <w:rFonts w:hint="eastAsia" w:ascii="仿宋" w:hAnsi="仿宋" w:eastAsia="仿宋" w:cs="仿宋"/>
          <w:kern w:val="0"/>
          <w:sz w:val="30"/>
          <w:szCs w:val="30"/>
        </w:rPr>
      </w:pPr>
      <w:r>
        <w:rPr>
          <w:rFonts w:hint="eastAsia" w:ascii="仿宋" w:hAnsi="仿宋" w:eastAsia="仿宋" w:cs="仿宋"/>
          <w:kern w:val="0"/>
          <w:sz w:val="30"/>
          <w:szCs w:val="30"/>
        </w:rPr>
        <w:t>名词解释应以财务会计制度、政府收支分类科目以及部门预算管理等规定为基本说明，可在此基础上结合部门实际情况适当细化。“三公”经费支出和机关运行经费支出口径必需予以说明。</w:t>
      </w:r>
    </w:p>
    <w:p>
      <w:pPr>
        <w:widowControl/>
        <w:spacing w:line="600" w:lineRule="exact"/>
        <w:ind w:firstLine="640"/>
        <w:jc w:val="left"/>
        <w:rPr>
          <w:rFonts w:hint="eastAsia" w:ascii="仿宋" w:hAnsi="仿宋" w:eastAsia="仿宋" w:cs="仿宋"/>
          <w:sz w:val="30"/>
          <w:szCs w:val="30"/>
        </w:rPr>
      </w:pPr>
      <w:r>
        <w:rPr>
          <w:rFonts w:hint="eastAsia" w:ascii="仿宋" w:hAnsi="仿宋" w:eastAsia="仿宋" w:cs="仿宋"/>
          <w:sz w:val="30"/>
          <w:szCs w:val="30"/>
        </w:rPr>
        <w:t>1、一般公共服务支出反映政府提供一般公共服务的支出。2、社会保障和就业支出反映政府在社会保障与就业方面的支出。3、住房保障支出集中反映政府用于住房方面的支出。4、资源勘探信息等支出反映用于资源勘探、制造业、建筑业、工业信息等方面支出。5、工资福利支出反映单位开支的在职职工和编制外长期聘用人员的各类劳动报酬，以及为上述人员缴纳的各项社会保险费等。6、商品和服务支出反映单位购买商品和服务支出。（不包括用于购置固定资产的支出、战略性和应急储备支出，但军事方面的耐用消费品和设备的购置费、军事性建设费以及军事建筑物的购置费等在本科目中反映）。7、对个人和家庭的补助反映政府用于对个人和家庭的补助支出8、“三公”经费：指使用一般公共预算财政拨款安排的因公出国(境)费、公务用车购置及运行维护费和公务接待费。其中，因公出国(境)费用反映单位公务出国(境)的国际旅费、国外城市间交通费、住宿费、伙食费、培训费、公杂费等支出；公务用车购置及运行维护费反映单位公务用车车辆购置支出(含车辆购置税)及租用费、燃料费、维修费、过桥过路费、保险费、安全奖励费用等支出；公务接待费反映单位按规定开支的各类公务接待(含外宾接待)费用。9、机关运行经费：行政单位和参照公务员法管理的事业单位为保障单位运行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pPr>
        <w:widowControl/>
        <w:spacing w:line="580" w:lineRule="exact"/>
        <w:ind w:firstLine="600"/>
        <w:jc w:val="left"/>
        <w:rPr>
          <w:rFonts w:hint="eastAsia" w:ascii="仿宋" w:hAnsi="仿宋" w:eastAsia="仿宋" w:cs="仿宋"/>
          <w:kern w:val="0"/>
          <w:sz w:val="30"/>
          <w:szCs w:val="30"/>
        </w:rPr>
      </w:pPr>
    </w:p>
    <w:p>
      <w:pPr>
        <w:rPr>
          <w:rFonts w:hint="eastAsia" w:ascii="仿宋" w:hAnsi="仿宋" w:eastAsia="仿宋" w:cs="仿宋"/>
          <w:sz w:val="30"/>
          <w:szCs w:val="30"/>
        </w:rPr>
      </w:pPr>
    </w:p>
    <w:p>
      <w:pPr>
        <w:ind w:firstLine="630"/>
        <w:jc w:val="left"/>
        <w:rPr>
          <w:rFonts w:hint="eastAsia" w:ascii="仿宋" w:hAnsi="仿宋" w:eastAsia="仿宋" w:cs="仿宋"/>
          <w:sz w:val="30"/>
          <w:szCs w:val="30"/>
        </w:rPr>
      </w:pPr>
    </w:p>
    <w:p>
      <w:pPr>
        <w:jc w:val="center"/>
        <w:rPr>
          <w:rFonts w:hint="eastAsia" w:ascii="仿宋" w:hAnsi="仿宋" w:eastAsia="仿宋" w:cs="仿宋"/>
          <w:b/>
          <w:bCs/>
          <w:sz w:val="30"/>
          <w:szCs w:val="30"/>
          <w:lang w:eastAsia="zh-CN"/>
        </w:rPr>
      </w:pPr>
    </w:p>
    <w:p>
      <w:pPr>
        <w:jc w:val="center"/>
        <w:rPr>
          <w:rFonts w:hint="eastAsia" w:ascii="仿宋" w:hAnsi="仿宋" w:eastAsia="仿宋" w:cs="仿宋"/>
          <w:b/>
          <w:bCs/>
          <w:sz w:val="30"/>
          <w:szCs w:val="30"/>
          <w:lang w:eastAsia="zh-CN"/>
        </w:rPr>
      </w:pPr>
    </w:p>
    <w:p>
      <w:pPr>
        <w:jc w:val="center"/>
        <w:rPr>
          <w:rFonts w:hint="eastAsia" w:ascii="仿宋" w:hAnsi="仿宋" w:eastAsia="仿宋" w:cs="仿宋"/>
          <w:b/>
          <w:bCs/>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jaVu Sans">
    <w:altName w:val="Times New Roman"/>
    <w:panose1 w:val="02020603050405020304"/>
    <w:charset w:val="00"/>
    <w:family w:val="roman"/>
    <w:pitch w:val="default"/>
    <w:sig w:usb0="00000000" w:usb1="00000000" w:usb2="00000008" w:usb3="00000000" w:csb0="0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802DDA"/>
    <w:rsid w:val="00BC3D67"/>
    <w:rsid w:val="031B649F"/>
    <w:rsid w:val="06762F7E"/>
    <w:rsid w:val="07FD50EE"/>
    <w:rsid w:val="08A73130"/>
    <w:rsid w:val="0A0745D7"/>
    <w:rsid w:val="0A4A7CDE"/>
    <w:rsid w:val="0D721EB7"/>
    <w:rsid w:val="0DFB0702"/>
    <w:rsid w:val="0E802DDA"/>
    <w:rsid w:val="0ED45887"/>
    <w:rsid w:val="0FB272AA"/>
    <w:rsid w:val="0FC61487"/>
    <w:rsid w:val="10CD1592"/>
    <w:rsid w:val="12A50F4F"/>
    <w:rsid w:val="131B2E23"/>
    <w:rsid w:val="14CD1DD7"/>
    <w:rsid w:val="157E7EE9"/>
    <w:rsid w:val="15944ECB"/>
    <w:rsid w:val="17A93A72"/>
    <w:rsid w:val="19ED03CA"/>
    <w:rsid w:val="1A0162AF"/>
    <w:rsid w:val="1AA72658"/>
    <w:rsid w:val="1C94225C"/>
    <w:rsid w:val="1DC102A4"/>
    <w:rsid w:val="23443FC0"/>
    <w:rsid w:val="263703E3"/>
    <w:rsid w:val="26696016"/>
    <w:rsid w:val="271D072B"/>
    <w:rsid w:val="28DB71F2"/>
    <w:rsid w:val="29AF5FF1"/>
    <w:rsid w:val="2A101C36"/>
    <w:rsid w:val="2B771BB0"/>
    <w:rsid w:val="2C14317C"/>
    <w:rsid w:val="2C857C31"/>
    <w:rsid w:val="2E8E53ED"/>
    <w:rsid w:val="2E9E36C0"/>
    <w:rsid w:val="2F5531E2"/>
    <w:rsid w:val="2F9A52CE"/>
    <w:rsid w:val="2FDD392C"/>
    <w:rsid w:val="302D594D"/>
    <w:rsid w:val="32D77FFE"/>
    <w:rsid w:val="3376159A"/>
    <w:rsid w:val="33A3107C"/>
    <w:rsid w:val="36734669"/>
    <w:rsid w:val="36FA2B1E"/>
    <w:rsid w:val="37E50781"/>
    <w:rsid w:val="389E1B21"/>
    <w:rsid w:val="390D6DC2"/>
    <w:rsid w:val="39BC0A66"/>
    <w:rsid w:val="3BC6060D"/>
    <w:rsid w:val="40327E92"/>
    <w:rsid w:val="43E0303B"/>
    <w:rsid w:val="44F31923"/>
    <w:rsid w:val="46D82BD2"/>
    <w:rsid w:val="48D534E1"/>
    <w:rsid w:val="498F6EE2"/>
    <w:rsid w:val="49B5695B"/>
    <w:rsid w:val="4A59286B"/>
    <w:rsid w:val="4ACE667E"/>
    <w:rsid w:val="4C676B14"/>
    <w:rsid w:val="4E1C5859"/>
    <w:rsid w:val="4F6C750B"/>
    <w:rsid w:val="509A5FE5"/>
    <w:rsid w:val="50FD1AA1"/>
    <w:rsid w:val="514F57F3"/>
    <w:rsid w:val="516C4A19"/>
    <w:rsid w:val="53A938B6"/>
    <w:rsid w:val="54135448"/>
    <w:rsid w:val="54A11119"/>
    <w:rsid w:val="575F5101"/>
    <w:rsid w:val="57C37D01"/>
    <w:rsid w:val="57DC0045"/>
    <w:rsid w:val="5EF67C49"/>
    <w:rsid w:val="5F2836FC"/>
    <w:rsid w:val="5F7D1F86"/>
    <w:rsid w:val="613A396E"/>
    <w:rsid w:val="63184335"/>
    <w:rsid w:val="63B71F8A"/>
    <w:rsid w:val="65E634A2"/>
    <w:rsid w:val="66AE7846"/>
    <w:rsid w:val="675D38F1"/>
    <w:rsid w:val="68DC0327"/>
    <w:rsid w:val="697956AA"/>
    <w:rsid w:val="6A58307D"/>
    <w:rsid w:val="6B4F78CB"/>
    <w:rsid w:val="6FEC35BD"/>
    <w:rsid w:val="707C6D9E"/>
    <w:rsid w:val="71916C6D"/>
    <w:rsid w:val="71AB1942"/>
    <w:rsid w:val="737F7726"/>
    <w:rsid w:val="78713A1C"/>
    <w:rsid w:val="798A5A5B"/>
    <w:rsid w:val="7BB436C2"/>
    <w:rsid w:val="7DAC7AC1"/>
    <w:rsid w:val="7EBE4025"/>
    <w:rsid w:val="7F213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Lines="0" w:beforeAutospacing="0" w:afterLines="0" w:afterAutospacing="0" w:line="360" w:lineRule="auto"/>
      <w:ind w:left="0" w:leftChars="0"/>
      <w:jc w:val="left"/>
      <w:outlineLvl w:val="1"/>
    </w:pPr>
    <w:rPr>
      <w:rFonts w:ascii="DejaVu Sans" w:hAnsi="DejaVu Sans" w:eastAsia="宋体"/>
      <w:b/>
      <w:kern w:val="0"/>
      <w:sz w:val="32"/>
      <w:szCs w:val="32"/>
    </w:rPr>
  </w:style>
  <w:style w:type="paragraph" w:styleId="3">
    <w:name w:val="heading 3"/>
    <w:basedOn w:val="1"/>
    <w:next w:val="1"/>
    <w:link w:val="11"/>
    <w:qFormat/>
    <w:uiPriority w:val="0"/>
    <w:pPr>
      <w:keepNext/>
      <w:keepLines/>
      <w:spacing w:beforeLines="0" w:beforeAutospacing="0" w:afterLines="0" w:afterAutospacing="0" w:line="360" w:lineRule="auto"/>
      <w:jc w:val="left"/>
      <w:outlineLvl w:val="2"/>
    </w:pPr>
    <w:rPr>
      <w:rFonts w:eastAsia="宋体"/>
      <w:b/>
      <w:sz w:val="30"/>
      <w:szCs w:val="3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8">
    <w:name w:val="page number"/>
    <w:basedOn w:val="7"/>
    <w:qFormat/>
    <w:uiPriority w:val="0"/>
  </w:style>
  <w:style w:type="paragraph" w:customStyle="1" w:styleId="9">
    <w:name w:val="p0"/>
    <w:basedOn w:val="1"/>
    <w:qFormat/>
    <w:uiPriority w:val="0"/>
    <w:pPr>
      <w:widowControl/>
    </w:pPr>
    <w:rPr>
      <w:kern w:val="0"/>
      <w:szCs w:val="21"/>
    </w:rPr>
  </w:style>
  <w:style w:type="paragraph" w:customStyle="1" w:styleId="10">
    <w:name w:val="正文缩进 + 首行缩进:  2 字符"/>
    <w:basedOn w:val="1"/>
    <w:qFormat/>
    <w:uiPriority w:val="0"/>
    <w:pPr>
      <w:ind w:firstLine="640"/>
    </w:pPr>
    <w:rPr>
      <w:rFonts w:cs="宋体"/>
      <w:szCs w:val="20"/>
    </w:rPr>
  </w:style>
  <w:style w:type="character" w:customStyle="1" w:styleId="11">
    <w:name w:val="标题 3 Char"/>
    <w:link w:val="3"/>
    <w:qFormat/>
    <w:uiPriority w:val="0"/>
    <w:rPr>
      <w:rFonts w:eastAsia="宋体"/>
      <w:b/>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2020-09-04T02:16:00Z</dcterms:created>
  <dc:creator>小霸子</dc:creator>
  <cp:lastModifiedBy>万美君</cp:lastModifiedBy>
  <dcterms:modified xsi:type="dcterms:W3CDTF">2021-05-24T06:22:18Z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D8ABC211CA2245BF9E0CEDBC164F8487</vt:lpwstr>
  </property>
</Properties>
</file>