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600" w:lineRule="exact"/>
        <w:jc w:val="center"/>
        <w:rPr>
          <w:rFonts w:hint="eastAsia" w:ascii="黑体" w:hAnsi="黑体" w:eastAsia="黑体"/>
          <w:sz w:val="44"/>
        </w:rPr>
      </w:pPr>
    </w:p>
    <w:p>
      <w:pPr>
        <w:spacing w:beforeLines="0" w:afterLines="0" w:line="600" w:lineRule="exact"/>
        <w:jc w:val="center"/>
        <w:rPr>
          <w:rFonts w:hint="eastAsia" w:ascii="黑体" w:hAnsi="黑体" w:eastAsia="黑体"/>
          <w:sz w:val="44"/>
        </w:rPr>
      </w:pPr>
      <w:r>
        <w:rPr>
          <w:rFonts w:hint="eastAsia" w:ascii="黑体" w:hAnsi="黑体" w:eastAsia="黑体"/>
          <w:sz w:val="44"/>
        </w:rPr>
        <w:t>青云谱区科学技术协会</w:t>
      </w:r>
    </w:p>
    <w:p>
      <w:pPr>
        <w:spacing w:beforeLines="0" w:afterLines="0" w:line="600" w:lineRule="exact"/>
        <w:jc w:val="center"/>
        <w:rPr>
          <w:rFonts w:hint="eastAsia" w:ascii="黑体" w:hAnsi="Times New Roman" w:eastAsia="黑体"/>
          <w:sz w:val="44"/>
        </w:rPr>
      </w:pPr>
      <w:r>
        <w:rPr>
          <w:rFonts w:hint="eastAsia" w:ascii="黑体" w:hAnsi="黑体" w:eastAsia="黑体"/>
          <w:sz w:val="44"/>
        </w:rPr>
        <w:t>2019年</w:t>
      </w:r>
      <w:r>
        <w:rPr>
          <w:rFonts w:hint="eastAsia" w:ascii="黑体" w:hAnsi="Times New Roman" w:eastAsia="黑体"/>
          <w:sz w:val="44"/>
        </w:rPr>
        <w:t>度部门决算</w:t>
      </w:r>
    </w:p>
    <w:p>
      <w:pPr>
        <w:spacing w:beforeLines="0" w:afterLines="0" w:line="600" w:lineRule="exact"/>
        <w:jc w:val="center"/>
        <w:rPr>
          <w:rFonts w:hint="eastAsia" w:ascii="黑体" w:hAnsi="Times New Roman" w:eastAsia="黑体"/>
          <w:sz w:val="44"/>
        </w:rPr>
      </w:pPr>
    </w:p>
    <w:p>
      <w:pPr>
        <w:spacing w:beforeLines="0" w:afterLines="0" w:line="600" w:lineRule="exact"/>
        <w:jc w:val="center"/>
        <w:rPr>
          <w:rFonts w:hint="eastAsia" w:ascii="黑体" w:hAnsi="Times New Roman" w:eastAsia="黑体"/>
          <w:sz w:val="40"/>
        </w:rPr>
      </w:pPr>
      <w:r>
        <w:rPr>
          <w:rFonts w:hint="eastAsia" w:ascii="黑体" w:hAnsi="Times New Roman" w:eastAsia="黑体"/>
          <w:sz w:val="40"/>
        </w:rPr>
        <w:t>目    录</w:t>
      </w:r>
    </w:p>
    <w:p>
      <w:pPr>
        <w:widowControl/>
        <w:spacing w:beforeLines="0" w:afterLines="0" w:line="600" w:lineRule="exact"/>
        <w:ind w:firstLine="640"/>
        <w:jc w:val="left"/>
        <w:rPr>
          <w:rFonts w:hint="eastAsia" w:ascii="仿宋_GB2312" w:hAnsi="Times New Roman" w:eastAsia="仿宋_GB2312"/>
          <w:sz w:val="32"/>
        </w:rPr>
      </w:pPr>
    </w:p>
    <w:p>
      <w:pPr>
        <w:widowControl/>
        <w:spacing w:beforeLines="0" w:afterLines="0" w:line="600" w:lineRule="exact"/>
        <w:ind w:firstLine="640"/>
        <w:jc w:val="left"/>
        <w:rPr>
          <w:rFonts w:hint="eastAsia" w:ascii="黑体" w:hAnsi="黑体" w:eastAsia="黑体"/>
          <w:b/>
          <w:sz w:val="32"/>
        </w:rPr>
      </w:pPr>
      <w:r>
        <w:rPr>
          <w:rFonts w:hint="eastAsia" w:ascii="黑体" w:hAnsi="黑体" w:eastAsia="黑体"/>
          <w:b/>
          <w:sz w:val="32"/>
        </w:rPr>
        <w:t xml:space="preserve">第一部分  </w:t>
      </w:r>
      <w:r>
        <w:rPr>
          <w:rFonts w:hint="eastAsia" w:ascii="黑体" w:hAnsi="黑体" w:eastAsia="黑体"/>
          <w:sz w:val="32"/>
        </w:rPr>
        <w:t>区科协部门</w:t>
      </w:r>
      <w:r>
        <w:rPr>
          <w:rFonts w:hint="eastAsia" w:ascii="黑体" w:hAnsi="黑体" w:eastAsia="黑体"/>
          <w:b/>
          <w:sz w:val="32"/>
        </w:rPr>
        <w:t>概况</w:t>
      </w:r>
    </w:p>
    <w:p>
      <w:pPr>
        <w:widowControl/>
        <w:spacing w:beforeLines="0" w:afterLines="0" w:line="600" w:lineRule="exact"/>
        <w:ind w:firstLine="640"/>
        <w:jc w:val="left"/>
        <w:rPr>
          <w:rFonts w:hint="eastAsia" w:ascii="仿宋" w:hAnsi="仿宋" w:eastAsia="仿宋"/>
          <w:sz w:val="32"/>
        </w:rPr>
      </w:pPr>
      <w:r>
        <w:rPr>
          <w:rFonts w:hint="eastAsia" w:ascii="仿宋_GB2312" w:hAnsi="Times New Roman" w:eastAsia="仿宋_GB2312"/>
          <w:b/>
          <w:sz w:val="32"/>
        </w:rPr>
        <w:t xml:space="preserve">    </w:t>
      </w:r>
      <w:r>
        <w:rPr>
          <w:rFonts w:hint="eastAsia" w:ascii="仿宋" w:hAnsi="仿宋" w:eastAsia="仿宋"/>
          <w:sz w:val="32"/>
        </w:rPr>
        <w:t>一、部门主要职责</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二、部门基本情况</w:t>
      </w:r>
    </w:p>
    <w:p>
      <w:pPr>
        <w:widowControl/>
        <w:spacing w:beforeLines="0" w:afterLines="0" w:line="600" w:lineRule="exact"/>
        <w:ind w:firstLine="640"/>
        <w:jc w:val="left"/>
        <w:rPr>
          <w:rFonts w:hint="eastAsia" w:ascii="黑体" w:hAnsi="黑体" w:eastAsia="黑体"/>
          <w:sz w:val="32"/>
        </w:rPr>
      </w:pPr>
      <w:r>
        <w:rPr>
          <w:rFonts w:hint="eastAsia" w:ascii="黑体" w:hAnsi="黑体" w:eastAsia="黑体"/>
          <w:sz w:val="32"/>
        </w:rPr>
        <w:t>第二部分  2019年度部门决算表</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一、收入支出决算总表</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二、收入决算表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三、支出决算表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四、财政拨款收入支出决算总表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五、一般公共预算财政拨款支出决算表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六、一般公共预算财政拨款基本支出决算表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七、一般公共预算财政拨款“三公”经费支出决算</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八、政府性基金预算财政拨款收入支出决算表</w:t>
      </w:r>
    </w:p>
    <w:p>
      <w:pPr>
        <w:widowControl/>
        <w:spacing w:beforeLines="0" w:afterLines="0" w:line="600" w:lineRule="exact"/>
        <w:ind w:firstLine="640"/>
        <w:jc w:val="left"/>
        <w:rPr>
          <w:rFonts w:hint="eastAsia" w:ascii="仿宋" w:hAnsi="仿宋" w:eastAsia="仿宋"/>
          <w:kern w:val="0"/>
          <w:sz w:val="32"/>
        </w:rPr>
      </w:pPr>
      <w:r>
        <w:rPr>
          <w:rFonts w:hint="eastAsia" w:ascii="仿宋" w:hAnsi="仿宋" w:eastAsia="仿宋"/>
          <w:kern w:val="0"/>
          <w:sz w:val="32"/>
        </w:rPr>
        <w:t xml:space="preserve">    九、国有资产占用情况表</w:t>
      </w:r>
    </w:p>
    <w:p>
      <w:pPr>
        <w:widowControl/>
        <w:spacing w:beforeLines="0" w:afterLines="0" w:line="600" w:lineRule="exact"/>
        <w:jc w:val="left"/>
        <w:rPr>
          <w:rFonts w:hint="eastAsia" w:ascii="黑体" w:hAnsi="黑体" w:eastAsia="黑体"/>
          <w:sz w:val="32"/>
        </w:rPr>
      </w:pPr>
      <w:r>
        <w:rPr>
          <w:rFonts w:hint="eastAsia" w:ascii="仿宋" w:hAnsi="仿宋" w:eastAsia="仿宋"/>
          <w:kern w:val="0"/>
          <w:sz w:val="32"/>
        </w:rPr>
        <w:t xml:space="preserve">    </w:t>
      </w:r>
      <w:r>
        <w:rPr>
          <w:rFonts w:hint="eastAsia" w:ascii="黑体" w:hAnsi="黑体" w:eastAsia="黑体"/>
          <w:sz w:val="32"/>
        </w:rPr>
        <w:t>第三部分  2019年度部门决算情况说明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一、收入决算情况说明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二、支出决算情况说明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三、财政拨款支出决算情况说明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四、一般公共预算财政拨款基本支出决算情况说明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五、一般公共预算财政拨款“三公”经费支出决算</w:t>
      </w:r>
    </w:p>
    <w:p>
      <w:pPr>
        <w:widowControl/>
        <w:spacing w:beforeLines="0" w:afterLines="0" w:line="600" w:lineRule="exact"/>
        <w:jc w:val="left"/>
        <w:rPr>
          <w:rFonts w:hint="eastAsia" w:ascii="仿宋" w:hAnsi="仿宋" w:eastAsia="仿宋"/>
          <w:sz w:val="32"/>
        </w:rPr>
      </w:pPr>
      <w:r>
        <w:rPr>
          <w:rFonts w:hint="eastAsia" w:ascii="仿宋" w:hAnsi="仿宋" w:eastAsia="仿宋"/>
          <w:sz w:val="32"/>
        </w:rPr>
        <w:t xml:space="preserve">    情况说明</w:t>
      </w:r>
    </w:p>
    <w:p>
      <w:pPr>
        <w:widowControl/>
        <w:spacing w:beforeLines="0" w:afterLines="0" w:line="600" w:lineRule="exact"/>
        <w:ind w:firstLine="1280" w:firstLineChars="400"/>
        <w:jc w:val="left"/>
        <w:rPr>
          <w:rFonts w:hint="eastAsia" w:ascii="仿宋" w:hAnsi="仿宋" w:eastAsia="仿宋"/>
          <w:sz w:val="32"/>
        </w:rPr>
      </w:pPr>
      <w:r>
        <w:rPr>
          <w:rFonts w:hint="eastAsia" w:ascii="仿宋" w:hAnsi="仿宋" w:eastAsia="仿宋"/>
          <w:sz w:val="32"/>
        </w:rPr>
        <w:t>六、机关运行经费支出情况说明</w:t>
      </w:r>
    </w:p>
    <w:p>
      <w:pPr>
        <w:widowControl/>
        <w:spacing w:beforeLines="0" w:afterLines="0" w:line="600" w:lineRule="exact"/>
        <w:ind w:firstLine="640"/>
        <w:jc w:val="left"/>
        <w:rPr>
          <w:rFonts w:hint="eastAsia" w:ascii="仿宋" w:hAnsi="仿宋" w:eastAsia="仿宋"/>
          <w:sz w:val="32"/>
        </w:rPr>
      </w:pPr>
      <w:r>
        <w:rPr>
          <w:rFonts w:hint="eastAsia" w:ascii="仿宋" w:hAnsi="仿宋" w:eastAsia="仿宋"/>
          <w:sz w:val="32"/>
        </w:rPr>
        <w:t xml:space="preserve">    七、政府采购支出情况说明</w:t>
      </w:r>
    </w:p>
    <w:p>
      <w:pPr>
        <w:widowControl/>
        <w:spacing w:beforeLines="0" w:afterLines="0" w:line="600" w:lineRule="exact"/>
        <w:ind w:firstLine="640"/>
        <w:jc w:val="left"/>
        <w:rPr>
          <w:rFonts w:hint="eastAsia" w:ascii="仿宋" w:hAnsi="仿宋" w:eastAsia="仿宋"/>
          <w:sz w:val="32"/>
        </w:rPr>
      </w:pPr>
      <w:r>
        <w:rPr>
          <w:rFonts w:hint="eastAsia" w:ascii="仿宋" w:hAnsi="仿宋" w:eastAsia="仿宋"/>
          <w:sz w:val="32"/>
        </w:rPr>
        <w:t xml:space="preserve">    八、国有资产占用情况说明</w:t>
      </w:r>
    </w:p>
    <w:p>
      <w:pPr>
        <w:widowControl/>
        <w:spacing w:beforeLines="0" w:afterLines="0" w:line="600" w:lineRule="exact"/>
        <w:ind w:firstLine="640"/>
        <w:jc w:val="left"/>
        <w:rPr>
          <w:rFonts w:hint="eastAsia" w:ascii="仿宋" w:hAnsi="仿宋" w:eastAsia="仿宋"/>
          <w:sz w:val="32"/>
        </w:rPr>
      </w:pPr>
      <w:r>
        <w:rPr>
          <w:rFonts w:hint="eastAsia" w:ascii="仿宋" w:hAnsi="仿宋" w:eastAsia="仿宋"/>
          <w:sz w:val="32"/>
        </w:rPr>
        <w:t xml:space="preserve">    九、预算绩效情况说明</w:t>
      </w:r>
    </w:p>
    <w:p>
      <w:pPr>
        <w:widowControl/>
        <w:spacing w:beforeLines="0" w:afterLines="0" w:line="600" w:lineRule="exact"/>
        <w:ind w:firstLine="640"/>
        <w:jc w:val="left"/>
        <w:rPr>
          <w:rFonts w:hint="eastAsia" w:ascii="仿宋" w:hAnsi="仿宋" w:eastAsia="仿宋"/>
          <w:sz w:val="32"/>
        </w:rPr>
      </w:pPr>
      <w:r>
        <w:rPr>
          <w:rFonts w:hint="eastAsia" w:ascii="黑体" w:hAnsi="黑体" w:eastAsia="黑体"/>
          <w:sz w:val="32"/>
        </w:rPr>
        <w:t>第四部分  名词解释</w:t>
      </w: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spacing w:beforeLines="0" w:afterLines="0"/>
        <w:ind w:firstLine="630"/>
        <w:jc w:val="center"/>
        <w:rPr>
          <w:rFonts w:hint="eastAsia" w:ascii="宋体" w:hAnsi="宋体" w:eastAsia="宋体"/>
          <w:b/>
          <w:sz w:val="36"/>
        </w:rPr>
      </w:pPr>
    </w:p>
    <w:p>
      <w:pPr>
        <w:widowControl/>
        <w:spacing w:beforeLines="0" w:afterLines="0" w:line="580" w:lineRule="exact"/>
        <w:jc w:val="center"/>
        <w:rPr>
          <w:rFonts w:hint="eastAsia" w:ascii="宋体" w:hAnsi="宋体" w:eastAsia="宋体"/>
          <w:b/>
          <w:sz w:val="32"/>
        </w:rPr>
      </w:pPr>
    </w:p>
    <w:p>
      <w:pPr>
        <w:widowControl/>
        <w:spacing w:beforeLines="0" w:afterLines="0" w:line="580" w:lineRule="exact"/>
        <w:jc w:val="center"/>
        <w:rPr>
          <w:rFonts w:hint="eastAsia" w:ascii="宋体" w:hAnsi="宋体" w:eastAsia="宋体"/>
          <w:b/>
          <w:sz w:val="32"/>
        </w:rPr>
      </w:pPr>
      <w:r>
        <w:rPr>
          <w:rFonts w:hint="eastAsia" w:ascii="宋体" w:hAnsi="宋体" w:eastAsia="宋体"/>
          <w:b/>
          <w:sz w:val="32"/>
        </w:rPr>
        <w:t>第一部分  区科协部门概况</w:t>
      </w:r>
    </w:p>
    <w:p>
      <w:pPr>
        <w:spacing w:beforeLines="0" w:afterLines="0"/>
        <w:ind w:firstLine="630"/>
        <w:jc w:val="center"/>
        <w:rPr>
          <w:rFonts w:hint="default"/>
          <w:sz w:val="32"/>
        </w:rPr>
      </w:pPr>
    </w:p>
    <w:p>
      <w:pPr>
        <w:spacing w:beforeLines="0" w:afterLines="0"/>
        <w:ind w:firstLine="630"/>
        <w:jc w:val="left"/>
        <w:rPr>
          <w:rFonts w:hint="eastAsia" w:ascii="黑体" w:hAnsi="黑体" w:eastAsia="黑体"/>
          <w:sz w:val="30"/>
        </w:rPr>
      </w:pPr>
      <w:r>
        <w:rPr>
          <w:rFonts w:hint="eastAsia" w:ascii="黑体" w:hAnsi="黑体" w:eastAsia="黑体"/>
          <w:sz w:val="30"/>
        </w:rPr>
        <w:t>一、部门主要职能</w:t>
      </w:r>
    </w:p>
    <w:p>
      <w:pPr>
        <w:numPr>
          <w:ilvl w:val="0"/>
          <w:numId w:val="0"/>
        </w:numPr>
        <w:spacing w:beforeLines="0" w:afterLines="0" w:line="540" w:lineRule="exact"/>
        <w:ind w:firstLine="640" w:firstLineChars="200"/>
        <w:rPr>
          <w:rFonts w:hint="eastAsia" w:ascii="黑体" w:hAnsi="Times New Roman" w:eastAsia="黑体"/>
          <w:b/>
          <w:sz w:val="34"/>
        </w:rPr>
      </w:pPr>
      <w:r>
        <w:rPr>
          <w:rFonts w:hint="eastAsia" w:ascii="仿宋_GB2312" w:hAnsi="Times New Roman" w:eastAsia="仿宋_GB2312"/>
          <w:sz w:val="32"/>
        </w:rPr>
        <w:t>区科协是主管科普工作的区委组成部门，主要职责是：</w:t>
      </w:r>
    </w:p>
    <w:p>
      <w:pPr>
        <w:spacing w:beforeLines="0" w:afterLines="0" w:line="580" w:lineRule="exact"/>
        <w:rPr>
          <w:rFonts w:hint="eastAsia" w:ascii="仿宋" w:hAnsi="仿宋" w:eastAsia="仿宋"/>
          <w:sz w:val="32"/>
        </w:rPr>
      </w:pPr>
      <w:r>
        <w:rPr>
          <w:rFonts w:hint="eastAsia" w:ascii="仿宋" w:hAnsi="仿宋" w:eastAsia="仿宋"/>
          <w:sz w:val="32"/>
        </w:rPr>
        <w:t xml:space="preserve">    1、团结和动员科学技术工作者以经济建设为中心，坚持科学技术是第一生产力和人才资源是第一资源的思想。反映科学技术工作者的意见，维护科学技术工作者的合法权益。</w:t>
      </w:r>
    </w:p>
    <w:p>
      <w:pPr>
        <w:spacing w:beforeLines="0" w:afterLines="0" w:line="580" w:lineRule="exact"/>
        <w:ind w:firstLine="320" w:firstLineChars="100"/>
        <w:rPr>
          <w:rFonts w:hint="eastAsia" w:ascii="仿宋" w:hAnsi="仿宋" w:eastAsia="仿宋"/>
          <w:sz w:val="32"/>
        </w:rPr>
      </w:pPr>
      <w:r>
        <w:rPr>
          <w:rFonts w:hint="eastAsia" w:ascii="仿宋" w:hAnsi="仿宋" w:eastAsia="仿宋"/>
          <w:sz w:val="32"/>
        </w:rPr>
        <w:t xml:space="preserve">  2、负责对街道、镇、园科技协会进行组织管理，指导基层科协的工作。</w:t>
      </w:r>
    </w:p>
    <w:p>
      <w:pPr>
        <w:spacing w:beforeLines="0" w:afterLines="0" w:line="580" w:lineRule="exact"/>
        <w:rPr>
          <w:rFonts w:hint="eastAsia" w:ascii="仿宋" w:hAnsi="仿宋" w:eastAsia="仿宋"/>
          <w:sz w:val="32"/>
        </w:rPr>
      </w:pPr>
      <w:r>
        <w:rPr>
          <w:rFonts w:hint="eastAsia" w:ascii="仿宋" w:hAnsi="仿宋" w:eastAsia="仿宋"/>
          <w:sz w:val="32"/>
        </w:rPr>
        <w:t xml:space="preserve">    3、开展青少年科技教育活动，提高民族科学文化素质，充分发挥科普工作主力军作用。</w:t>
      </w:r>
    </w:p>
    <w:p>
      <w:pPr>
        <w:spacing w:beforeLines="0" w:afterLines="0" w:line="580" w:lineRule="exact"/>
        <w:rPr>
          <w:rFonts w:hint="eastAsia" w:ascii="仿宋" w:hAnsi="仿宋" w:eastAsia="仿宋"/>
          <w:sz w:val="32"/>
        </w:rPr>
      </w:pPr>
      <w:r>
        <w:rPr>
          <w:rFonts w:hint="eastAsia" w:ascii="仿宋" w:hAnsi="仿宋" w:eastAsia="仿宋"/>
          <w:sz w:val="32"/>
        </w:rPr>
        <w:t xml:space="preserve">    4、反映科技工作者的意见和要求，维护科技工作者合法权益；组织科技工作者参与区委、区政府科学技术政策制定和青云谱区的政治协商、科学决策、民主监督工作。</w:t>
      </w:r>
    </w:p>
    <w:p>
      <w:pPr>
        <w:spacing w:beforeLines="0" w:afterLines="0" w:line="580" w:lineRule="exact"/>
        <w:rPr>
          <w:rFonts w:hint="eastAsia" w:ascii="仿宋" w:hAnsi="仿宋" w:eastAsia="仿宋"/>
          <w:sz w:val="32"/>
        </w:rPr>
      </w:pPr>
      <w:r>
        <w:rPr>
          <w:rFonts w:hint="eastAsia" w:ascii="仿宋" w:hAnsi="仿宋" w:eastAsia="仿宋"/>
          <w:sz w:val="32"/>
        </w:rPr>
        <w:t xml:space="preserve">    5、负责宣传党的科技政策、科技团体的性质、任务和作用；负责推荐和表彰奖励优秀科技工作者和科协、学会工作者，举荐科技人才。</w:t>
      </w:r>
    </w:p>
    <w:p>
      <w:pPr>
        <w:spacing w:beforeLines="0" w:afterLines="0" w:line="580" w:lineRule="exact"/>
        <w:rPr>
          <w:rFonts w:hint="eastAsia" w:ascii="仿宋" w:hAnsi="仿宋" w:eastAsia="仿宋"/>
          <w:sz w:val="32"/>
        </w:rPr>
      </w:pPr>
      <w:r>
        <w:rPr>
          <w:rFonts w:hint="eastAsia" w:ascii="仿宋" w:hAnsi="仿宋" w:eastAsia="仿宋"/>
          <w:sz w:val="32"/>
        </w:rPr>
        <w:t xml:space="preserve">    6、组织开展科技培训、科学论证、咨询服务，提出政策建议，促进技术成果的转化，接受委托承担项目评估、成果鉴定、专业技术职务资格评审等任务。</w:t>
      </w:r>
    </w:p>
    <w:p>
      <w:pPr>
        <w:spacing w:beforeLines="0" w:afterLines="0" w:line="580" w:lineRule="exact"/>
        <w:rPr>
          <w:rFonts w:hint="eastAsia" w:ascii="仿宋" w:hAnsi="仿宋" w:eastAsia="仿宋"/>
          <w:sz w:val="32"/>
        </w:rPr>
      </w:pPr>
      <w:r>
        <w:rPr>
          <w:rFonts w:hint="eastAsia" w:ascii="仿宋" w:hAnsi="仿宋" w:eastAsia="仿宋"/>
          <w:sz w:val="32"/>
        </w:rPr>
        <w:t xml:space="preserve">    7、开展国内外民间科技交流与合作，促进青云谱区对外开放和经济发展。</w:t>
      </w:r>
    </w:p>
    <w:p>
      <w:pPr>
        <w:spacing w:beforeLines="0" w:afterLines="0" w:line="580" w:lineRule="exact"/>
        <w:rPr>
          <w:rFonts w:hint="eastAsia" w:ascii="仿宋" w:hAnsi="仿宋" w:eastAsia="仿宋"/>
          <w:sz w:val="32"/>
        </w:rPr>
      </w:pPr>
      <w:r>
        <w:rPr>
          <w:rFonts w:hint="eastAsia" w:ascii="仿宋" w:hAnsi="仿宋" w:eastAsia="仿宋"/>
          <w:sz w:val="32"/>
        </w:rPr>
        <w:t xml:space="preserve">    8、承办区委、区政府和省、市科协交办的其他事项。</w:t>
      </w:r>
    </w:p>
    <w:p>
      <w:pPr>
        <w:spacing w:beforeLines="0" w:afterLines="0"/>
        <w:ind w:firstLine="630"/>
        <w:jc w:val="left"/>
        <w:rPr>
          <w:rFonts w:hint="eastAsia" w:ascii="黑体" w:hAnsi="黑体" w:eastAsia="黑体"/>
          <w:sz w:val="30"/>
        </w:rPr>
      </w:pPr>
      <w:r>
        <w:rPr>
          <w:rFonts w:hint="eastAsia" w:ascii="黑体" w:hAnsi="黑体" w:eastAsia="黑体"/>
          <w:sz w:val="30"/>
        </w:rPr>
        <w:t>二、部门基本情况</w:t>
      </w:r>
    </w:p>
    <w:p>
      <w:pPr>
        <w:spacing w:beforeLines="0" w:afterLines="0"/>
        <w:ind w:firstLine="630"/>
        <w:jc w:val="left"/>
        <w:rPr>
          <w:rFonts w:hint="eastAsia" w:ascii="仿宋" w:hAnsi="仿宋" w:eastAsia="仿宋"/>
          <w:sz w:val="30"/>
        </w:rPr>
      </w:pPr>
      <w:r>
        <w:rPr>
          <w:rFonts w:hint="eastAsia" w:ascii="仿宋" w:hAnsi="仿宋" w:eastAsia="仿宋"/>
          <w:sz w:val="30"/>
        </w:rPr>
        <w:t>纳入本套部门决算汇编范围的单位共1个，包括：南昌市青云谱区科学技术协会。</w:t>
      </w:r>
    </w:p>
    <w:p>
      <w:pPr>
        <w:spacing w:beforeLines="0" w:afterLines="0"/>
        <w:ind w:firstLine="630"/>
        <w:jc w:val="left"/>
        <w:rPr>
          <w:rFonts w:hint="eastAsia" w:ascii="仿宋" w:hAnsi="仿宋" w:eastAsia="仿宋"/>
          <w:sz w:val="30"/>
        </w:rPr>
      </w:pPr>
      <w:r>
        <w:rPr>
          <w:rFonts w:hint="eastAsia" w:ascii="仿宋" w:hAnsi="仿宋" w:eastAsia="仿宋"/>
          <w:sz w:val="30"/>
        </w:rPr>
        <w:t>本部门2019年年末实有人数4人，其中在职人员3人，离休人员0人，退休人员</w:t>
      </w:r>
      <w:r>
        <w:rPr>
          <w:rFonts w:hint="eastAsia" w:ascii="仿宋" w:hAnsi="仿宋" w:eastAsia="仿宋"/>
          <w:sz w:val="30"/>
          <w:lang w:val="en-US" w:eastAsia="zh-CN"/>
        </w:rPr>
        <w:t>2</w:t>
      </w:r>
      <w:r>
        <w:rPr>
          <w:rFonts w:hint="eastAsia" w:ascii="仿宋" w:hAnsi="仿宋" w:eastAsia="仿宋"/>
          <w:sz w:val="30"/>
        </w:rPr>
        <w:t>人；年末其他人员</w:t>
      </w:r>
      <w:r>
        <w:rPr>
          <w:rFonts w:hint="eastAsia" w:ascii="仿宋" w:hAnsi="仿宋" w:eastAsia="仿宋"/>
          <w:sz w:val="30"/>
          <w:lang w:val="en-US" w:eastAsia="zh-CN"/>
        </w:rPr>
        <w:t>0</w:t>
      </w:r>
      <w:r>
        <w:rPr>
          <w:rFonts w:hint="eastAsia" w:ascii="仿宋" w:hAnsi="仿宋" w:eastAsia="仿宋"/>
          <w:sz w:val="30"/>
        </w:rPr>
        <w:t>人；年末学生人数0  人。</w:t>
      </w:r>
    </w:p>
    <w:p>
      <w:pPr>
        <w:spacing w:beforeLines="0" w:afterLines="0"/>
        <w:ind w:firstLine="630"/>
        <w:jc w:val="left"/>
        <w:rPr>
          <w:rFonts w:hint="eastAsia" w:ascii="仿宋" w:hAnsi="仿宋" w:eastAsia="仿宋"/>
          <w:sz w:val="30"/>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r>
        <w:rPr>
          <w:rFonts w:hint="eastAsia" w:ascii="宋体" w:hAnsi="宋体" w:eastAsia="宋体"/>
          <w:b/>
          <w:sz w:val="32"/>
        </w:rPr>
        <w:t>第二部分  2019年度部门决算表</w:t>
      </w:r>
    </w:p>
    <w:p>
      <w:pPr>
        <w:widowControl/>
        <w:spacing w:beforeLines="0" w:afterLines="0" w:line="600" w:lineRule="exact"/>
        <w:ind w:firstLine="640"/>
        <w:jc w:val="center"/>
        <w:rPr>
          <w:rFonts w:hint="eastAsia" w:ascii="宋体" w:hAnsi="宋体" w:eastAsia="宋体"/>
          <w:b/>
          <w:sz w:val="32"/>
        </w:rPr>
      </w:pP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r>
        <w:rPr>
          <w:rFonts w:hint="default"/>
          <w:sz w:val="21"/>
        </w:rPr>
        <w:drawing>
          <wp:inline distT="0" distB="0" distL="114300" distR="114300">
            <wp:extent cx="5269230" cy="4885690"/>
            <wp:effectExtent l="0" t="0" r="7620" b="10160"/>
            <wp:docPr id="1" name="图片 12" descr="F:\3.财务\预算\2019年决算公开表\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F:\3.财务\预算\2019年决算公开表\1.png1"/>
                    <pic:cNvPicPr>
                      <a:picLocks noChangeAspect="1"/>
                    </pic:cNvPicPr>
                  </pic:nvPicPr>
                  <pic:blipFill>
                    <a:blip r:embed="rId6"/>
                    <a:stretch>
                      <a:fillRect/>
                    </a:stretch>
                  </pic:blipFill>
                  <pic:spPr>
                    <a:xfrm>
                      <a:off x="0" y="0"/>
                      <a:ext cx="5269230" cy="4885690"/>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eastAsia" w:ascii="仿宋" w:hAnsi="仿宋" w:eastAsia="仿宋"/>
          <w:kern w:val="0"/>
          <w:sz w:val="30"/>
        </w:rPr>
      </w:pPr>
    </w:p>
    <w:p>
      <w:pPr>
        <w:autoSpaceDE w:val="0"/>
        <w:autoSpaceDN w:val="0"/>
        <w:adjustRightInd w:val="0"/>
        <w:spacing w:beforeLines="0" w:afterLines="0" w:line="360" w:lineRule="auto"/>
        <w:jc w:val="left"/>
        <w:rPr>
          <w:rFonts w:hint="default"/>
          <w:sz w:val="21"/>
        </w:rPr>
      </w:pPr>
      <w:r>
        <w:rPr>
          <w:rFonts w:hint="eastAsia" w:ascii="仿宋" w:hAnsi="仿宋" w:eastAsia="仿宋"/>
          <w:kern w:val="0"/>
          <w:sz w:val="30"/>
        </w:rPr>
        <w:t xml:space="preserve"> </w:t>
      </w:r>
      <w:r>
        <w:rPr>
          <w:rFonts w:hint="default"/>
          <w:sz w:val="21"/>
        </w:rPr>
        <w:drawing>
          <wp:inline distT="0" distB="0" distL="114300" distR="114300">
            <wp:extent cx="5240655" cy="1773555"/>
            <wp:effectExtent l="0" t="0" r="17145" b="17145"/>
            <wp:docPr id="2" name="图片 13" descr="F:\3.财务\预算公开\区科协2019年部门决算公开\收入决算表1.png收入决算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F:\3.财务\预算公开\区科协2019年部门决算公开\收入决算表1.png收入决算表1"/>
                    <pic:cNvPicPr>
                      <a:picLocks noChangeAspect="1"/>
                    </pic:cNvPicPr>
                  </pic:nvPicPr>
                  <pic:blipFill>
                    <a:blip r:embed="rId7"/>
                    <a:srcRect/>
                    <a:stretch>
                      <a:fillRect/>
                    </a:stretch>
                  </pic:blipFill>
                  <pic:spPr>
                    <a:xfrm>
                      <a:off x="0" y="0"/>
                      <a:ext cx="5240655" cy="1773555"/>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eastAsia" w:ascii="仿宋" w:hAnsi="仿宋" w:eastAsia="仿宋"/>
          <w:kern w:val="0"/>
          <w:sz w:val="30"/>
        </w:rPr>
      </w:pPr>
      <w:bookmarkStart w:id="0" w:name="_GoBack"/>
      <w:r>
        <w:rPr>
          <w:rFonts w:hint="default"/>
          <w:sz w:val="21"/>
        </w:rPr>
        <w:drawing>
          <wp:inline distT="0" distB="0" distL="114300" distR="114300">
            <wp:extent cx="5104130" cy="2157730"/>
            <wp:effectExtent l="0" t="0" r="1270" b="13970"/>
            <wp:docPr id="3" name="图片 15" descr="F:\3.财务\预算公开\区科协2019年部门决算公开\支出决算表.png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descr="F:\3.财务\预算公开\区科协2019年部门决算公开\支出决算表.png支出决算表"/>
                    <pic:cNvPicPr>
                      <a:picLocks noChangeAspect="1"/>
                    </pic:cNvPicPr>
                  </pic:nvPicPr>
                  <pic:blipFill>
                    <a:blip r:embed="rId8"/>
                    <a:srcRect/>
                    <a:stretch>
                      <a:fillRect/>
                    </a:stretch>
                  </pic:blipFill>
                  <pic:spPr>
                    <a:xfrm>
                      <a:off x="0" y="0"/>
                      <a:ext cx="5104130" cy="2157730"/>
                    </a:xfrm>
                    <a:prstGeom prst="rect">
                      <a:avLst/>
                    </a:prstGeom>
                    <a:noFill/>
                    <a:ln>
                      <a:noFill/>
                    </a:ln>
                  </pic:spPr>
                </pic:pic>
              </a:graphicData>
            </a:graphic>
          </wp:inline>
        </w:drawing>
      </w:r>
      <w:bookmarkEnd w:id="0"/>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r>
        <w:rPr>
          <w:rFonts w:hint="default"/>
          <w:sz w:val="21"/>
        </w:rPr>
        <w:drawing>
          <wp:inline distT="0" distB="0" distL="114300" distR="114300">
            <wp:extent cx="5249545" cy="4141470"/>
            <wp:effectExtent l="0" t="0" r="8255" b="11430"/>
            <wp:docPr id="4" name="图片 22" descr="F:\3.财务\预算\2019年决算公开表\财政拨款收入支出决算总表.png财政拨款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F:\3.财务\预算\2019年决算公开表\财政拨款收入支出决算总表.png财政拨款收入支出决算总表"/>
                    <pic:cNvPicPr>
                      <a:picLocks noChangeAspect="1"/>
                    </pic:cNvPicPr>
                  </pic:nvPicPr>
                  <pic:blipFill>
                    <a:blip r:embed="rId9"/>
                    <a:stretch>
                      <a:fillRect/>
                    </a:stretch>
                  </pic:blipFill>
                  <pic:spPr>
                    <a:xfrm>
                      <a:off x="0" y="0"/>
                      <a:ext cx="5249545" cy="4141470"/>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eastAsia" w:ascii="仿宋" w:hAnsi="仿宋" w:eastAsia="仿宋"/>
          <w:kern w:val="0"/>
          <w:sz w:val="30"/>
        </w:rPr>
      </w:pPr>
    </w:p>
    <w:p>
      <w:pPr>
        <w:autoSpaceDE w:val="0"/>
        <w:autoSpaceDN w:val="0"/>
        <w:adjustRightInd w:val="0"/>
        <w:spacing w:beforeLines="0" w:afterLines="0" w:line="360" w:lineRule="auto"/>
        <w:jc w:val="left"/>
        <w:rPr>
          <w:rFonts w:hint="eastAsia" w:ascii="仿宋" w:hAnsi="仿宋" w:eastAsia="仿宋"/>
          <w:kern w:val="0"/>
          <w:sz w:val="30"/>
        </w:rPr>
      </w:pPr>
      <w:r>
        <w:rPr>
          <w:rFonts w:hint="default"/>
          <w:sz w:val="21"/>
        </w:rPr>
        <w:drawing>
          <wp:inline distT="0" distB="0" distL="114300" distR="114300">
            <wp:extent cx="5283200" cy="3232150"/>
            <wp:effectExtent l="0" t="0" r="12700" b="6350"/>
            <wp:docPr id="5" name="图片 17" descr="F:\3.财务\预算\2019年决算公开表\一般公共预算财政拨款支出决算表.png一般公共预算财政拨款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descr="F:\3.财务\预算\2019年决算公开表\一般公共预算财政拨款支出决算表.png一般公共预算财政拨款支出决算表"/>
                    <pic:cNvPicPr>
                      <a:picLocks noChangeAspect="1"/>
                    </pic:cNvPicPr>
                  </pic:nvPicPr>
                  <pic:blipFill>
                    <a:blip r:embed="rId10"/>
                    <a:stretch>
                      <a:fillRect/>
                    </a:stretch>
                  </pic:blipFill>
                  <pic:spPr>
                    <a:xfrm>
                      <a:off x="0" y="0"/>
                      <a:ext cx="5283200" cy="3232150"/>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r>
        <w:rPr>
          <w:rFonts w:hint="default"/>
          <w:sz w:val="21"/>
        </w:rPr>
        <w:drawing>
          <wp:inline distT="0" distB="0" distL="114300" distR="114300">
            <wp:extent cx="4781550" cy="7680960"/>
            <wp:effectExtent l="0" t="0" r="0" b="15240"/>
            <wp:docPr id="6" name="图片 18" descr="F:\3.财务\预算\2019年决算公开表\一般公共预算财政拨款基本支出决算表.png一般公共预算财政拨款基本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8" descr="F:\3.财务\预算\2019年决算公开表\一般公共预算财政拨款基本支出决算表.png一般公共预算财政拨款基本支出决算表"/>
                    <pic:cNvPicPr>
                      <a:picLocks noChangeAspect="1"/>
                    </pic:cNvPicPr>
                  </pic:nvPicPr>
                  <pic:blipFill>
                    <a:blip r:embed="rId11"/>
                    <a:stretch>
                      <a:fillRect/>
                    </a:stretch>
                  </pic:blipFill>
                  <pic:spPr>
                    <a:xfrm>
                      <a:off x="0" y="0"/>
                      <a:ext cx="4781550" cy="7680960"/>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r>
        <w:rPr>
          <w:rFonts w:hint="default"/>
          <w:sz w:val="21"/>
        </w:rPr>
        <w:drawing>
          <wp:inline distT="0" distB="0" distL="114300" distR="114300">
            <wp:extent cx="5187315" cy="5005705"/>
            <wp:effectExtent l="0" t="0" r="13335" b="4445"/>
            <wp:docPr id="7" name="图片 19" descr="F:\3.财务\预算\2019年决算公开表\一般公共预算财政拨款“三公”经费支出决算表.png一般公共预算财政拨款“三公”经费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F:\3.财务\预算\2019年决算公开表\一般公共预算财政拨款“三公”经费支出决算表.png一般公共预算财政拨款“三公”经费支出决算表"/>
                    <pic:cNvPicPr>
                      <a:picLocks noChangeAspect="1"/>
                    </pic:cNvPicPr>
                  </pic:nvPicPr>
                  <pic:blipFill>
                    <a:blip r:embed="rId12"/>
                    <a:stretch>
                      <a:fillRect/>
                    </a:stretch>
                  </pic:blipFill>
                  <pic:spPr>
                    <a:xfrm>
                      <a:off x="0" y="0"/>
                      <a:ext cx="5187315" cy="5005705"/>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default"/>
          <w:sz w:val="21"/>
        </w:rPr>
      </w:pPr>
      <w:r>
        <w:rPr>
          <w:rFonts w:hint="default"/>
          <w:sz w:val="21"/>
        </w:rPr>
        <w:drawing>
          <wp:inline distT="0" distB="0" distL="114300" distR="114300">
            <wp:extent cx="5257800" cy="1691640"/>
            <wp:effectExtent l="0" t="0" r="0" b="3810"/>
            <wp:docPr id="8" name="图片 20" descr="F:\3.财务\预算\2019年决算公开表\政府性基金预算财政拨款收入支出决算表.png政府性基金预算财政拨款收入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 descr="F:\3.财务\预算\2019年决算公开表\政府性基金预算财政拨款收入支出决算表.png政府性基金预算财政拨款收入支出决算表"/>
                    <pic:cNvPicPr>
                      <a:picLocks noChangeAspect="1"/>
                    </pic:cNvPicPr>
                  </pic:nvPicPr>
                  <pic:blipFill>
                    <a:blip r:embed="rId13"/>
                    <a:stretch>
                      <a:fillRect/>
                    </a:stretch>
                  </pic:blipFill>
                  <pic:spPr>
                    <a:xfrm>
                      <a:off x="0" y="0"/>
                      <a:ext cx="5257800" cy="1691640"/>
                    </a:xfrm>
                    <a:prstGeom prst="rect">
                      <a:avLst/>
                    </a:prstGeom>
                    <a:noFill/>
                    <a:ln>
                      <a:noFill/>
                    </a:ln>
                  </pic:spPr>
                </pic:pic>
              </a:graphicData>
            </a:graphic>
          </wp:inline>
        </w:drawing>
      </w:r>
    </w:p>
    <w:p>
      <w:pPr>
        <w:autoSpaceDE w:val="0"/>
        <w:autoSpaceDN w:val="0"/>
        <w:adjustRightInd w:val="0"/>
        <w:spacing w:beforeLines="0" w:afterLines="0" w:line="360" w:lineRule="auto"/>
        <w:jc w:val="left"/>
        <w:rPr>
          <w:rFonts w:hint="default"/>
          <w:sz w:val="21"/>
        </w:rPr>
      </w:pPr>
    </w:p>
    <w:p>
      <w:pPr>
        <w:autoSpaceDE w:val="0"/>
        <w:autoSpaceDN w:val="0"/>
        <w:adjustRightInd w:val="0"/>
        <w:spacing w:beforeLines="0" w:afterLines="0" w:line="360" w:lineRule="auto"/>
        <w:jc w:val="left"/>
        <w:rPr>
          <w:rFonts w:hint="eastAsia" w:ascii="仿宋" w:hAnsi="仿宋" w:eastAsia="仿宋"/>
          <w:kern w:val="0"/>
          <w:sz w:val="30"/>
        </w:rPr>
      </w:pPr>
      <w:r>
        <w:rPr>
          <w:rFonts w:hint="default"/>
          <w:sz w:val="21"/>
        </w:rPr>
        <w:drawing>
          <wp:inline distT="0" distB="0" distL="114300" distR="114300">
            <wp:extent cx="4584700" cy="2943225"/>
            <wp:effectExtent l="0" t="0" r="6350" b="9525"/>
            <wp:docPr id="9" name="图片 21" descr="F:\3.财务\预算\2019年决算公开表\国有资产占用情况表.png国有资产占用情况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F:\3.财务\预算\2019年决算公开表\国有资产占用情况表.png国有资产占用情况表"/>
                    <pic:cNvPicPr>
                      <a:picLocks noChangeAspect="1"/>
                    </pic:cNvPicPr>
                  </pic:nvPicPr>
                  <pic:blipFill>
                    <a:blip r:embed="rId14"/>
                    <a:stretch>
                      <a:fillRect/>
                    </a:stretch>
                  </pic:blipFill>
                  <pic:spPr>
                    <a:xfrm>
                      <a:off x="0" y="0"/>
                      <a:ext cx="4584700" cy="2943225"/>
                    </a:xfrm>
                    <a:prstGeom prst="rect">
                      <a:avLst/>
                    </a:prstGeom>
                    <a:noFill/>
                    <a:ln>
                      <a:noFill/>
                    </a:ln>
                  </pic:spPr>
                </pic:pic>
              </a:graphicData>
            </a:graphic>
          </wp:inline>
        </w:drawing>
      </w: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r>
        <w:rPr>
          <w:rFonts w:hint="eastAsia" w:ascii="宋体" w:hAnsi="宋体" w:eastAsia="宋体"/>
          <w:b/>
          <w:sz w:val="32"/>
        </w:rPr>
        <w:t>第三部分  2019年度部门决算情况说明</w:t>
      </w:r>
    </w:p>
    <w:p>
      <w:pPr>
        <w:spacing w:beforeLines="0" w:afterLines="0"/>
        <w:ind w:firstLine="630"/>
        <w:jc w:val="left"/>
        <w:rPr>
          <w:rFonts w:hint="eastAsia" w:ascii="仿宋" w:hAnsi="仿宋" w:eastAsia="仿宋"/>
          <w:sz w:val="30"/>
        </w:rPr>
      </w:pPr>
    </w:p>
    <w:p>
      <w:pPr>
        <w:spacing w:beforeLines="0" w:afterLines="0"/>
        <w:ind w:firstLine="630"/>
        <w:jc w:val="left"/>
        <w:rPr>
          <w:rFonts w:hint="eastAsia" w:ascii="黑体" w:hAnsi="黑体" w:eastAsia="黑体"/>
          <w:sz w:val="30"/>
        </w:rPr>
      </w:pPr>
      <w:r>
        <w:rPr>
          <w:rFonts w:hint="eastAsia" w:ascii="黑体" w:hAnsi="黑体" w:eastAsia="黑体"/>
          <w:sz w:val="30"/>
        </w:rPr>
        <w:t>一、收入决算情况说明</w:t>
      </w:r>
    </w:p>
    <w:p>
      <w:pPr>
        <w:spacing w:beforeLines="0" w:afterLines="0"/>
        <w:ind w:firstLine="630"/>
        <w:jc w:val="left"/>
        <w:rPr>
          <w:rFonts w:hint="eastAsia" w:ascii="仿宋" w:hAnsi="仿宋" w:eastAsia="仿宋"/>
          <w:sz w:val="30"/>
        </w:rPr>
      </w:pPr>
      <w:r>
        <w:rPr>
          <w:rFonts w:hint="eastAsia" w:ascii="仿宋" w:hAnsi="仿宋" w:eastAsia="仿宋"/>
          <w:sz w:val="30"/>
        </w:rPr>
        <w:t>本部门2019年度收入总计95.79万元，其中年初结转和结余33.06万元，较2018年减少28.57万元，下降22.97%；本年收入合计62.73万元，较2018年减少28.57万元，下降31.29%，主要原因是：财政拨款收入减少。</w:t>
      </w:r>
    </w:p>
    <w:p>
      <w:pPr>
        <w:spacing w:beforeLines="0" w:afterLines="0"/>
        <w:ind w:firstLine="630"/>
        <w:jc w:val="left"/>
        <w:rPr>
          <w:rFonts w:hint="eastAsia" w:ascii="仿宋" w:hAnsi="仿宋" w:eastAsia="仿宋"/>
          <w:sz w:val="30"/>
        </w:rPr>
      </w:pPr>
      <w:r>
        <w:rPr>
          <w:rFonts w:hint="eastAsia" w:ascii="仿宋" w:hAnsi="仿宋" w:eastAsia="仿宋"/>
          <w:sz w:val="30"/>
        </w:rPr>
        <w:t xml:space="preserve">本年收入的具体构成为：财政拨款收入62.73万元，占100%。  </w:t>
      </w:r>
    </w:p>
    <w:p>
      <w:pPr>
        <w:spacing w:beforeLines="0" w:afterLines="0"/>
        <w:ind w:firstLine="630"/>
        <w:jc w:val="left"/>
        <w:rPr>
          <w:rFonts w:hint="eastAsia" w:ascii="黑体" w:hAnsi="黑体" w:eastAsia="黑体"/>
          <w:sz w:val="30"/>
        </w:rPr>
      </w:pPr>
      <w:r>
        <w:rPr>
          <w:rFonts w:hint="eastAsia" w:ascii="黑体" w:hAnsi="黑体" w:eastAsia="黑体"/>
          <w:sz w:val="30"/>
        </w:rPr>
        <w:t>二、支出决算情况说明</w:t>
      </w:r>
    </w:p>
    <w:p>
      <w:pPr>
        <w:spacing w:beforeLines="0" w:afterLines="0"/>
        <w:ind w:firstLine="630"/>
        <w:jc w:val="left"/>
        <w:rPr>
          <w:rFonts w:hint="eastAsia" w:ascii="仿宋" w:hAnsi="仿宋" w:eastAsia="仿宋"/>
          <w:sz w:val="30"/>
        </w:rPr>
      </w:pPr>
      <w:r>
        <w:rPr>
          <w:rFonts w:hint="eastAsia" w:ascii="仿宋" w:hAnsi="仿宋" w:eastAsia="仿宋"/>
          <w:sz w:val="30"/>
        </w:rPr>
        <w:t>本部门2019年度支出总计95.79万元，其中本年支出合计   71.23万元，较2018年减少28.57万元，下降22.97%，主要原因是：基本支出减少；年末结转和结余 24.56万元，较2018年减少8.5万元，下降25.72%，主要原因是：基本支出结转减少。</w:t>
      </w:r>
    </w:p>
    <w:p>
      <w:pPr>
        <w:spacing w:beforeLines="0" w:afterLines="0"/>
        <w:ind w:firstLine="630"/>
        <w:jc w:val="left"/>
        <w:rPr>
          <w:rFonts w:hint="eastAsia" w:ascii="仿宋" w:hAnsi="仿宋" w:eastAsia="仿宋"/>
          <w:sz w:val="30"/>
        </w:rPr>
      </w:pPr>
      <w:r>
        <w:rPr>
          <w:rFonts w:hint="eastAsia" w:ascii="仿宋" w:hAnsi="仿宋" w:eastAsia="仿宋"/>
          <w:sz w:val="30"/>
        </w:rPr>
        <w:t>本年支出的具体构成为：基本支出31.71万元，占33.11%；项目支出39.52万元，占41.26%；经营支出0万元，占0%；其他支出（对附属单位补助支出、上缴上级支出） 0万元，占 0%。</w:t>
      </w:r>
    </w:p>
    <w:p>
      <w:pPr>
        <w:spacing w:beforeLines="0" w:afterLines="0"/>
        <w:ind w:firstLine="630"/>
        <w:jc w:val="left"/>
        <w:rPr>
          <w:rFonts w:hint="eastAsia" w:ascii="黑体" w:hAnsi="黑体" w:eastAsia="黑体"/>
          <w:sz w:val="30"/>
        </w:rPr>
      </w:pPr>
      <w:r>
        <w:rPr>
          <w:rFonts w:hint="eastAsia" w:ascii="黑体" w:hAnsi="黑体" w:eastAsia="黑体"/>
          <w:sz w:val="30"/>
        </w:rPr>
        <w:t>三、财政拨款支出决算情况说明</w:t>
      </w:r>
    </w:p>
    <w:p>
      <w:pPr>
        <w:spacing w:beforeLines="0" w:afterLines="0"/>
        <w:ind w:firstLine="630"/>
        <w:jc w:val="left"/>
        <w:rPr>
          <w:rFonts w:hint="eastAsia" w:ascii="仿宋" w:hAnsi="仿宋" w:eastAsia="仿宋"/>
          <w:sz w:val="30"/>
        </w:rPr>
      </w:pPr>
      <w:r>
        <w:rPr>
          <w:rFonts w:hint="eastAsia" w:ascii="仿宋" w:hAnsi="仿宋" w:eastAsia="仿宋"/>
          <w:sz w:val="30"/>
        </w:rPr>
        <w:t>本部门2019年度财政拨款本年支出年初预算数为47.58万元，决算数为62.73万元，完成年初预算的131.83%。其中：</w:t>
      </w:r>
    </w:p>
    <w:p>
      <w:pPr>
        <w:spacing w:beforeLines="0" w:afterLines="0"/>
        <w:ind w:firstLine="630"/>
        <w:jc w:val="left"/>
        <w:rPr>
          <w:rFonts w:hint="eastAsia" w:ascii="仿宋" w:hAnsi="仿宋" w:eastAsia="仿宋"/>
          <w:sz w:val="30"/>
        </w:rPr>
      </w:pPr>
      <w:r>
        <w:rPr>
          <w:rFonts w:hint="eastAsia" w:ascii="仿宋" w:hAnsi="仿宋" w:eastAsia="仿宋"/>
          <w:sz w:val="30"/>
        </w:rPr>
        <w:t>（一）一般公共服务支出年初预算数为47.58万元，决算数为62.73万元，完成年初预算的131.83%。</w:t>
      </w:r>
    </w:p>
    <w:p>
      <w:pPr>
        <w:spacing w:beforeLines="0" w:afterLines="0"/>
        <w:ind w:firstLine="585"/>
        <w:jc w:val="left"/>
        <w:rPr>
          <w:rFonts w:hint="eastAsia" w:ascii="黑体" w:hAnsi="黑体" w:eastAsia="黑体"/>
          <w:sz w:val="30"/>
        </w:rPr>
      </w:pPr>
      <w:r>
        <w:rPr>
          <w:rFonts w:hint="eastAsia" w:ascii="黑体" w:hAnsi="黑体" w:eastAsia="黑体"/>
          <w:sz w:val="30"/>
        </w:rPr>
        <w:t>四、一般公共预算财政拨款基本支出决算情况说明</w:t>
      </w:r>
    </w:p>
    <w:p>
      <w:pPr>
        <w:spacing w:beforeLines="0" w:afterLines="0"/>
        <w:ind w:firstLine="585"/>
        <w:jc w:val="left"/>
        <w:rPr>
          <w:rFonts w:hint="eastAsia" w:ascii="仿宋" w:hAnsi="仿宋" w:eastAsia="仿宋"/>
          <w:sz w:val="30"/>
        </w:rPr>
      </w:pPr>
      <w:r>
        <w:rPr>
          <w:rFonts w:hint="eastAsia" w:ascii="仿宋" w:hAnsi="仿宋" w:eastAsia="仿宋"/>
          <w:sz w:val="30"/>
        </w:rPr>
        <w:t>本部门2019年度一般公共预算财政拨款基本支出31.71万元，其中：</w:t>
      </w:r>
    </w:p>
    <w:p>
      <w:pPr>
        <w:spacing w:beforeLines="0" w:afterLines="0"/>
        <w:ind w:firstLine="585"/>
        <w:jc w:val="left"/>
        <w:rPr>
          <w:rFonts w:hint="eastAsia" w:ascii="仿宋" w:hAnsi="仿宋" w:eastAsia="仿宋"/>
          <w:sz w:val="30"/>
        </w:rPr>
      </w:pPr>
      <w:r>
        <w:rPr>
          <w:rFonts w:hint="eastAsia" w:ascii="仿宋" w:hAnsi="仿宋" w:eastAsia="仿宋"/>
          <w:sz w:val="30"/>
        </w:rPr>
        <w:t>（一）工资福利支出28.10万元，较2018年减少 28.01万元，下降49.94%，主要原因是：人员减少。</w:t>
      </w:r>
    </w:p>
    <w:p>
      <w:pPr>
        <w:spacing w:beforeLines="0" w:afterLines="0"/>
        <w:ind w:firstLine="585"/>
        <w:jc w:val="left"/>
        <w:rPr>
          <w:rFonts w:hint="eastAsia" w:ascii="仿宋" w:hAnsi="仿宋" w:eastAsia="仿宋"/>
          <w:sz w:val="30"/>
        </w:rPr>
      </w:pPr>
      <w:r>
        <w:rPr>
          <w:rFonts w:hint="eastAsia" w:ascii="仿宋" w:hAnsi="仿宋" w:eastAsia="仿宋"/>
          <w:sz w:val="30"/>
        </w:rPr>
        <w:t>（二）商品和服务支出3.31万元，较2018年增加1.18 万元，增长55.41 %，主要原因是：其他商品和服务支出增加。</w:t>
      </w:r>
    </w:p>
    <w:p>
      <w:pPr>
        <w:spacing w:beforeLines="0" w:afterLines="0"/>
        <w:ind w:firstLine="630"/>
        <w:jc w:val="left"/>
        <w:rPr>
          <w:rFonts w:hint="eastAsia" w:ascii="黑体" w:hAnsi="黑体" w:eastAsia="黑体"/>
          <w:sz w:val="30"/>
        </w:rPr>
      </w:pPr>
      <w:r>
        <w:rPr>
          <w:rFonts w:hint="eastAsia" w:ascii="黑体" w:hAnsi="黑体" w:eastAsia="黑体"/>
          <w:sz w:val="30"/>
        </w:rPr>
        <w:t>五、一般公共预算财政拨款“三公”经费支出决算情况说明</w:t>
      </w:r>
    </w:p>
    <w:p>
      <w:pPr>
        <w:spacing w:beforeLines="0" w:afterLines="0"/>
        <w:ind w:firstLine="630"/>
        <w:jc w:val="left"/>
        <w:rPr>
          <w:rFonts w:hint="eastAsia" w:ascii="仿宋" w:hAnsi="仿宋" w:eastAsia="仿宋"/>
          <w:sz w:val="30"/>
        </w:rPr>
      </w:pPr>
      <w:r>
        <w:rPr>
          <w:rFonts w:hint="eastAsia" w:ascii="仿宋" w:hAnsi="仿宋" w:eastAsia="仿宋"/>
          <w:sz w:val="30"/>
        </w:rPr>
        <w:t>本部门2019年度一般公共预算财政拨款“三公”经费支出年初预算数为1万元，决算数为0.15万元，完成年初预算的15%，决算数较2018年增加0.09万元，增长151.71%，其中：</w:t>
      </w:r>
    </w:p>
    <w:p>
      <w:pPr>
        <w:spacing w:beforeLines="0" w:afterLines="0"/>
        <w:ind w:firstLine="630"/>
        <w:jc w:val="left"/>
        <w:rPr>
          <w:rFonts w:hint="eastAsia" w:ascii="仿宋" w:hAnsi="仿宋" w:eastAsia="仿宋"/>
          <w:sz w:val="30"/>
        </w:rPr>
      </w:pPr>
      <w:r>
        <w:rPr>
          <w:rFonts w:hint="eastAsia" w:ascii="仿宋" w:hAnsi="仿宋" w:eastAsia="仿宋"/>
          <w:sz w:val="30"/>
        </w:rPr>
        <w:t>公务接待费支出年初预算数为1万元，决算数为0.15万元，完成年初预算的15%，决算数较2018年增加0.19万元，增长151.71%。</w:t>
      </w:r>
    </w:p>
    <w:p>
      <w:pPr>
        <w:spacing w:beforeLines="0" w:afterLines="0"/>
        <w:ind w:firstLine="630"/>
        <w:jc w:val="left"/>
        <w:rPr>
          <w:rFonts w:hint="eastAsia" w:ascii="黑体" w:hAnsi="黑体" w:eastAsia="黑体"/>
          <w:sz w:val="30"/>
        </w:rPr>
      </w:pPr>
      <w:r>
        <w:rPr>
          <w:rFonts w:hint="eastAsia" w:ascii="黑体" w:hAnsi="黑体" w:eastAsia="黑体"/>
          <w:sz w:val="30"/>
        </w:rPr>
        <w:t>六、机关运行经费支出情况说明</w:t>
      </w:r>
    </w:p>
    <w:p>
      <w:pPr>
        <w:spacing w:beforeLines="0" w:afterLines="0"/>
        <w:ind w:firstLine="630"/>
        <w:jc w:val="left"/>
        <w:rPr>
          <w:rFonts w:hint="eastAsia" w:ascii="仿宋" w:hAnsi="仿宋" w:eastAsia="仿宋"/>
          <w:sz w:val="30"/>
        </w:rPr>
      </w:pPr>
      <w:r>
        <w:rPr>
          <w:rFonts w:hint="eastAsia" w:ascii="仿宋" w:hAnsi="仿宋" w:eastAsia="仿宋"/>
          <w:sz w:val="30"/>
        </w:rPr>
        <w:t xml:space="preserve">本部门2019年度机关运行经费支出3.62万元（与部门决算中行政单位和参照公务员法管理事业单位一般公共预算财政拨款基本支出中公用经费之和保持一致），较年初预算数减少1.43万元，降低28.34%，主要原因是：办公经费支出减少、公务接待支出减少。 </w:t>
      </w:r>
    </w:p>
    <w:p>
      <w:pPr>
        <w:spacing w:beforeLines="0" w:afterLines="0"/>
        <w:ind w:firstLine="630"/>
        <w:jc w:val="left"/>
        <w:rPr>
          <w:rFonts w:hint="eastAsia" w:ascii="黑体" w:hAnsi="黑体" w:eastAsia="黑体"/>
          <w:sz w:val="30"/>
        </w:rPr>
      </w:pPr>
      <w:r>
        <w:rPr>
          <w:rFonts w:hint="eastAsia" w:ascii="黑体" w:hAnsi="黑体" w:eastAsia="黑体"/>
          <w:sz w:val="30"/>
        </w:rPr>
        <w:t>七、政府采购支出情况说明</w:t>
      </w:r>
    </w:p>
    <w:p>
      <w:pPr>
        <w:pStyle w:val="7"/>
        <w:spacing w:beforeLines="0" w:afterLines="0" w:line="600" w:lineRule="atLeast"/>
        <w:ind w:firstLine="600"/>
        <w:rPr>
          <w:rFonts w:hint="eastAsia" w:ascii="仿宋" w:hAnsi="仿宋" w:eastAsia="仿宋"/>
          <w:sz w:val="30"/>
          <w:lang w:val="en-US" w:eastAsia="zh-CN"/>
        </w:rPr>
      </w:pPr>
      <w:r>
        <w:rPr>
          <w:rFonts w:hint="eastAsia" w:ascii="仿宋" w:hAnsi="仿宋" w:eastAsia="仿宋"/>
          <w:sz w:val="30"/>
        </w:rPr>
        <w:t>本部门2019年度政府采购支出总额</w:t>
      </w:r>
      <w:r>
        <w:rPr>
          <w:rFonts w:hint="eastAsia" w:ascii="仿宋" w:hAnsi="仿宋" w:eastAsia="仿宋"/>
          <w:sz w:val="30"/>
          <w:lang w:val="en-US" w:eastAsia="zh-CN"/>
        </w:rPr>
        <w:t>0.31</w:t>
      </w:r>
      <w:r>
        <w:rPr>
          <w:rFonts w:hint="eastAsia" w:ascii="仿宋" w:hAnsi="仿宋" w:eastAsia="仿宋"/>
          <w:sz w:val="30"/>
        </w:rPr>
        <w:t>万元，其中：政府采购货物支出</w:t>
      </w:r>
      <w:r>
        <w:rPr>
          <w:rFonts w:hint="eastAsia" w:ascii="仿宋" w:hAnsi="仿宋" w:eastAsia="仿宋"/>
          <w:sz w:val="30"/>
          <w:lang w:val="en-US" w:eastAsia="zh-CN"/>
        </w:rPr>
        <w:t>0.31</w:t>
      </w:r>
      <w:r>
        <w:rPr>
          <w:rFonts w:hint="eastAsia" w:ascii="仿宋" w:hAnsi="仿宋" w:eastAsia="仿宋"/>
          <w:sz w:val="30"/>
        </w:rPr>
        <w:t>万元</w:t>
      </w:r>
      <w:r>
        <w:rPr>
          <w:rFonts w:hint="eastAsia" w:ascii="仿宋" w:hAnsi="仿宋" w:eastAsia="仿宋"/>
          <w:sz w:val="30"/>
          <w:lang w:val="en-US" w:eastAsia="zh-CN"/>
        </w:rPr>
        <w:t>.</w:t>
      </w:r>
    </w:p>
    <w:p>
      <w:pPr>
        <w:spacing w:beforeLines="0" w:afterLines="0"/>
        <w:ind w:firstLine="630"/>
        <w:jc w:val="left"/>
        <w:rPr>
          <w:rFonts w:hint="eastAsia" w:ascii="黑体" w:hAnsi="黑体" w:eastAsia="黑体"/>
          <w:sz w:val="30"/>
        </w:rPr>
      </w:pPr>
      <w:r>
        <w:rPr>
          <w:rFonts w:hint="eastAsia" w:ascii="黑体" w:hAnsi="黑体" w:eastAsia="黑体"/>
          <w:sz w:val="30"/>
        </w:rPr>
        <w:t>八、国有资产占用情况说明。</w:t>
      </w:r>
    </w:p>
    <w:p>
      <w:pPr>
        <w:snapToGrid w:val="0"/>
        <w:spacing w:beforeLines="0" w:afterLines="0" w:line="520" w:lineRule="exact"/>
        <w:ind w:firstLine="600" w:firstLineChars="200"/>
        <w:rPr>
          <w:rFonts w:hint="eastAsia" w:ascii="仿宋" w:hAnsi="仿宋" w:eastAsia="仿宋"/>
          <w:kern w:val="0"/>
          <w:sz w:val="30"/>
        </w:rPr>
      </w:pPr>
      <w:r>
        <w:rPr>
          <w:rFonts w:hint="eastAsia" w:ascii="仿宋" w:hAnsi="仿宋" w:eastAsia="仿宋"/>
          <w:kern w:val="0"/>
          <w:sz w:val="30"/>
        </w:rPr>
        <w:t>截止2019年12月31日，本部门国有资产占用情况见公开09表《国有资产占用情况表》。</w:t>
      </w:r>
    </w:p>
    <w:p>
      <w:pPr>
        <w:spacing w:beforeLines="0" w:afterLines="0"/>
        <w:ind w:firstLine="630"/>
        <w:jc w:val="left"/>
        <w:rPr>
          <w:rFonts w:hint="eastAsia" w:ascii="仿宋" w:hAnsi="仿宋" w:eastAsia="仿宋"/>
          <w:kern w:val="0"/>
          <w:sz w:val="30"/>
        </w:rPr>
      </w:pPr>
      <w:r>
        <w:rPr>
          <w:rFonts w:hint="eastAsia" w:ascii="黑体" w:hAnsi="黑体" w:eastAsia="黑体"/>
          <w:sz w:val="30"/>
        </w:rPr>
        <w:t>九、预算绩效情况说明</w:t>
      </w:r>
    </w:p>
    <w:p>
      <w:pPr>
        <w:spacing w:beforeLines="0" w:afterLines="0"/>
        <w:ind w:firstLine="630"/>
        <w:jc w:val="left"/>
        <w:rPr>
          <w:rFonts w:hint="eastAsia" w:ascii="仿宋" w:hAnsi="仿宋" w:eastAsia="仿宋"/>
          <w:kern w:val="0"/>
          <w:sz w:val="30"/>
        </w:rPr>
      </w:pPr>
      <w:r>
        <w:rPr>
          <w:rFonts w:hint="eastAsia" w:ascii="仿宋" w:hAnsi="仿宋" w:eastAsia="仿宋"/>
          <w:kern w:val="0"/>
          <w:sz w:val="30"/>
        </w:rPr>
        <w:t>根据预算绩效管理要求，我部门组织对2019年度一般公共预算项目支出全面开展绩效自评，形成评价结论，我部门无预算金额 200 万元以上的项目支出。 </w:t>
      </w:r>
    </w:p>
    <w:p>
      <w:pPr>
        <w:widowControl/>
        <w:spacing w:beforeLines="0" w:afterLines="0" w:line="600" w:lineRule="exact"/>
        <w:ind w:firstLine="640"/>
        <w:jc w:val="center"/>
        <w:rPr>
          <w:rFonts w:hint="eastAsia" w:ascii="宋体" w:hAnsi="宋体" w:eastAsia="宋体"/>
          <w:b/>
          <w:sz w:val="32"/>
        </w:rPr>
      </w:pPr>
    </w:p>
    <w:p>
      <w:pPr>
        <w:widowControl/>
        <w:spacing w:beforeLines="0" w:afterLines="0" w:line="600" w:lineRule="exact"/>
        <w:ind w:firstLine="640"/>
        <w:jc w:val="center"/>
        <w:rPr>
          <w:rFonts w:hint="eastAsia" w:ascii="宋体" w:hAnsi="宋体" w:eastAsia="宋体"/>
          <w:b/>
          <w:sz w:val="32"/>
        </w:rPr>
      </w:pPr>
      <w:r>
        <w:rPr>
          <w:rFonts w:hint="eastAsia" w:ascii="宋体" w:hAnsi="宋体" w:eastAsia="宋体"/>
          <w:b/>
          <w:sz w:val="32"/>
        </w:rPr>
        <w:t>第四部分  名词解释</w:t>
      </w:r>
    </w:p>
    <w:p>
      <w:pPr>
        <w:pStyle w:val="7"/>
        <w:spacing w:beforeLines="0" w:afterLines="0" w:line="600" w:lineRule="atLeast"/>
        <w:ind w:firstLine="600"/>
        <w:rPr>
          <w:rFonts w:hint="eastAsia" w:ascii="仿宋" w:hAnsi="仿宋" w:eastAsia="仿宋"/>
          <w:sz w:val="30"/>
        </w:rPr>
      </w:pPr>
    </w:p>
    <w:p>
      <w:pPr>
        <w:widowControl/>
        <w:spacing w:beforeLines="0" w:afterLines="0" w:line="580" w:lineRule="exact"/>
        <w:jc w:val="left"/>
        <w:rPr>
          <w:rFonts w:hint="eastAsia" w:ascii="仿宋" w:hAnsi="仿宋" w:eastAsia="仿宋"/>
          <w:kern w:val="0"/>
          <w:sz w:val="30"/>
        </w:rPr>
      </w:pPr>
      <w:r>
        <w:rPr>
          <w:rFonts w:hint="eastAsia" w:ascii="仿宋" w:hAnsi="仿宋" w:eastAsia="仿宋"/>
          <w:kern w:val="0"/>
          <w:sz w:val="30"/>
        </w:rPr>
        <w:t xml:space="preserve">    名词解释应以财务会计制度、政府收支分类科目以及部门预算管理等规定为基本说明，可在此基础上结合部门实际情况适当细化。“三公”经费支出和机关运行经费支出口径必需予以说明。</w:t>
      </w:r>
    </w:p>
    <w:p>
      <w:pPr>
        <w:spacing w:beforeLines="0" w:afterLines="0"/>
        <w:ind w:firstLine="630"/>
        <w:jc w:val="left"/>
        <w:rPr>
          <w:rFonts w:hint="eastAsia" w:ascii="仿宋" w:hAnsi="仿宋" w:eastAsia="仿宋"/>
          <w:sz w:val="30"/>
        </w:rPr>
      </w:pPr>
    </w:p>
    <w:p>
      <w:pPr>
        <w:spacing w:beforeLines="0" w:afterLines="0"/>
        <w:rPr>
          <w:rFonts w:hint="default"/>
          <w:sz w:val="21"/>
        </w:rPr>
      </w:pPr>
    </w:p>
    <w:p/>
    <w:sectPr>
      <w:headerReference r:id="rId3" w:type="default"/>
      <w:footerReference r:id="rId4" w:type="default"/>
      <w:pgSz w:w="11906" w:h="16838"/>
      <w:pgMar w:top="1440" w:right="1800" w:bottom="1440" w:left="1800" w:header="851" w:footer="992" w:gutter="0"/>
      <w:lnNumType w:countBy="0" w:distance="36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Align="top"/>
      <w:spacing w:beforeLines="0" w:afterLines="0"/>
      <w:rPr>
        <w:rFonts w:hint="default"/>
        <w:sz w:val="18"/>
      </w:rPr>
    </w:pPr>
    <w:r>
      <w:rPr>
        <w:rStyle w:val="6"/>
        <w:rFonts w:hint="default"/>
        <w:sz w:val="18"/>
      </w:rPr>
      <w:fldChar w:fldCharType="begin"/>
    </w:r>
    <w:r>
      <w:rPr>
        <w:rStyle w:val="6"/>
        <w:rFonts w:hint="default"/>
        <w:sz w:val="18"/>
      </w:rPr>
      <w:instrText xml:space="preserve"> PAGE  </w:instrText>
    </w:r>
    <w:r>
      <w:rPr>
        <w:rStyle w:val="6"/>
        <w:rFonts w:hint="default"/>
        <w:sz w:val="18"/>
      </w:rPr>
      <w:fldChar w:fldCharType="separate"/>
    </w:r>
    <w:r>
      <w:rPr>
        <w:rStyle w:val="6"/>
        <w:rFonts w:hint="default"/>
        <w:sz w:val="18"/>
      </w:rPr>
      <w:t>- 1 -</w:t>
    </w:r>
    <w:r>
      <w:rPr>
        <w:rStyle w:val="6"/>
        <w:rFonts w:hint="default"/>
        <w:sz w:val="18"/>
      </w:rPr>
      <w:fldChar w:fldCharType="end"/>
    </w:r>
  </w:p>
  <w:p>
    <w:pPr>
      <w:pStyle w:val="2"/>
      <w:spacing w:beforeLines="0" w:afterLines="0"/>
      <w:rPr>
        <w:rFonts w:hint="default"/>
        <w:sz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Lines="0" w:afterLines="0"/>
      <w:rPr>
        <w:rFonts w:hint="default"/>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E12384"/>
    <w:rsid w:val="0D361965"/>
    <w:rsid w:val="0EAB052A"/>
    <w:rsid w:val="10E5533B"/>
    <w:rsid w:val="2DF53803"/>
    <w:rsid w:val="595222E9"/>
    <w:rsid w:val="69807E12"/>
    <w:rsid w:val="77555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Theme="minorHAnsi" w:hAnsiTheme="minorHAnsi" w:eastAsiaTheme="minorEastAsia" w:cstheme="minorBidi"/>
      <w:kern w:val="2"/>
      <w:sz w:val="21"/>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0"/>
    <w:pPr>
      <w:tabs>
        <w:tab w:val="center" w:pos="4153"/>
        <w:tab w:val="right" w:pos="8306"/>
      </w:tabs>
      <w:snapToGrid w:val="0"/>
      <w:spacing w:beforeLines="0" w:afterLines="0"/>
      <w:jc w:val="left"/>
    </w:pPr>
    <w:rPr>
      <w:rFonts w:hint="default"/>
      <w:sz w:val="18"/>
    </w:rPr>
  </w:style>
  <w:style w:type="paragraph" w:styleId="3">
    <w:name w:val="header"/>
    <w:basedOn w:val="1"/>
    <w:unhideWhenUsed/>
    <w:qFormat/>
    <w:uiPriority w:val="0"/>
    <w:pPr>
      <w:tabs>
        <w:tab w:val="center" w:pos="4153"/>
        <w:tab w:val="right" w:pos="8306"/>
      </w:tabs>
      <w:snapToGrid w:val="0"/>
      <w:spacing w:beforeLines="0" w:afterLines="0"/>
    </w:pPr>
    <w:rPr>
      <w:rFonts w:hint="default" w:ascii="Times New Roman" w:hAnsi="Times New Roman" w:eastAsia="宋体"/>
      <w:sz w:val="18"/>
    </w:rPr>
  </w:style>
  <w:style w:type="character" w:styleId="6">
    <w:name w:val="page number"/>
    <w:basedOn w:val="5"/>
    <w:unhideWhenUsed/>
    <w:qFormat/>
    <w:uiPriority w:val="0"/>
    <w:rPr>
      <w:rFonts w:hint="default"/>
      <w:sz w:val="24"/>
    </w:rPr>
  </w:style>
  <w:style w:type="paragraph" w:customStyle="1" w:styleId="7">
    <w:name w:val="p0"/>
    <w:basedOn w:val="1"/>
    <w:unhideWhenUsed/>
    <w:qFormat/>
    <w:uiPriority w:val="0"/>
    <w:pPr>
      <w:widowControl/>
      <w:spacing w:beforeLines="0" w:afterLines="0"/>
    </w:pPr>
    <w:rPr>
      <w:rFonts w:hint="default"/>
      <w:kern w:val="0"/>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2020-10-22T02:06:00Z</dcterms:created>
  <dc:creator>娜娜</dc:creator>
  <cp:lastModifiedBy>娜娜</cp:lastModifiedBy>
  <dcterms:modified xsi:type="dcterms:W3CDTF">2020-10-22T03:24:16Z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