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napToGrid/>
        <w:spacing w:after="0"/>
        <w:jc w:val="center"/>
        <w:rPr>
          <w:rFonts w:ascii="Calibri" w:hAnsi="Calibri" w:eastAsia="宋体" w:cs="宋体"/>
          <w:color w:val="000000"/>
          <w:sz w:val="21"/>
          <w:szCs w:val="21"/>
        </w:rPr>
      </w:pPr>
      <w:bookmarkStart w:id="0" w:name="部门决算分析报告撰写提纲（基层单位版）"/>
      <w:r>
        <w:rPr>
          <w:rFonts w:hint="eastAsia" w:ascii="黑体" w:hAnsi="黑体" w:eastAsia="黑体" w:cs="宋体"/>
          <w:color w:val="000000"/>
          <w:sz w:val="24"/>
          <w:szCs w:val="24"/>
        </w:rPr>
        <w:t>201</w:t>
      </w:r>
      <w:bookmarkEnd w:id="0"/>
      <w:r>
        <w:rPr>
          <w:rFonts w:hint="eastAsia" w:ascii="黑体" w:hAnsi="黑体" w:eastAsia="黑体" w:cs="宋体"/>
          <w:color w:val="000000"/>
          <w:sz w:val="24"/>
          <w:szCs w:val="24"/>
          <w:lang w:val="en-US" w:eastAsia="zh-CN"/>
        </w:rPr>
        <w:t>9</w:t>
      </w:r>
      <w:r>
        <w:rPr>
          <w:rFonts w:hint="eastAsia" w:ascii="黑体" w:hAnsi="黑体" w:eastAsia="黑体" w:cs="宋体"/>
          <w:color w:val="000000"/>
          <w:sz w:val="24"/>
          <w:szCs w:val="24"/>
        </w:rPr>
        <w:t>年度南昌市青云谱公证处决算分析报告撰写提纲</w:t>
      </w:r>
    </w:p>
    <w:p>
      <w:pPr>
        <w:adjustRightInd/>
        <w:snapToGrid/>
        <w:spacing w:after="0"/>
        <w:ind w:firstLine="480"/>
        <w:jc w:val="both"/>
        <w:rPr>
          <w:rFonts w:ascii="Calibri" w:hAnsi="Calibri" w:eastAsia="宋体" w:cs="宋体"/>
          <w:color w:val="000000"/>
          <w:sz w:val="21"/>
          <w:szCs w:val="21"/>
        </w:rPr>
      </w:pPr>
      <w:r>
        <w:rPr>
          <w:rFonts w:hint="eastAsia" w:ascii="宋体" w:hAnsi="宋体" w:eastAsia="宋体" w:cs="宋体"/>
          <w:color w:val="000000"/>
          <w:sz w:val="24"/>
          <w:szCs w:val="24"/>
        </w:rPr>
        <w:t> </w:t>
      </w:r>
    </w:p>
    <w:p>
      <w:pPr>
        <w:adjustRightInd/>
        <w:snapToGrid/>
        <w:spacing w:after="0"/>
        <w:ind w:firstLine="480"/>
        <w:jc w:val="both"/>
        <w:rPr>
          <w:rFonts w:ascii="Calibri" w:hAnsi="Calibri" w:eastAsia="宋体" w:cs="宋体"/>
          <w:color w:val="000000"/>
          <w:sz w:val="21"/>
          <w:szCs w:val="21"/>
        </w:rPr>
      </w:pPr>
      <w:r>
        <w:rPr>
          <w:rFonts w:hint="eastAsia" w:ascii="黑体" w:hAnsi="黑体" w:eastAsia="黑体" w:cs="宋体"/>
          <w:color w:val="000000"/>
          <w:sz w:val="24"/>
          <w:szCs w:val="24"/>
        </w:rPr>
        <w:t>一、单位情况</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（一）基本情况。</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1．主要职能。</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南昌市青云谱区公证处为自收自支的事业单位，公证机构根据自然人、法人或者其他组织的申请，依照法定程序对民事法律行为、有法律意义的事实和文书的真实性、合法性予以证明的活动。</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2．机构情况。</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纳入本套部门决算汇编范围的单位共1 个，包括：青云谱公证处。</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3．人员情况，包括当年变动情况及原因。</w:t>
      </w:r>
    </w:p>
    <w:p>
      <w:pPr>
        <w:pStyle w:val="4"/>
        <w:spacing w:before="0" w:beforeAutospacing="0" w:after="0" w:afterAutospacing="0" w:line="300" w:lineRule="atLeast"/>
        <w:ind w:firstLine="480" w:firstLineChars="200"/>
        <w:jc w:val="both"/>
        <w:rPr>
          <w:rFonts w:ascii="仿宋" w:hAnsi="仿宋" w:eastAsia="仿宋"/>
          <w:color w:val="000000"/>
          <w:szCs w:val="24"/>
        </w:rPr>
      </w:pPr>
      <w:r>
        <w:rPr>
          <w:rFonts w:hint="eastAsia" w:ascii="仿宋" w:hAnsi="仿宋" w:eastAsia="仿宋"/>
          <w:color w:val="000000"/>
          <w:szCs w:val="24"/>
        </w:rPr>
        <w:t>本部门201</w:t>
      </w:r>
      <w:r>
        <w:rPr>
          <w:rFonts w:hint="eastAsia" w:ascii="仿宋" w:hAnsi="仿宋" w:eastAsia="仿宋"/>
          <w:color w:val="000000"/>
          <w:szCs w:val="24"/>
          <w:lang w:val="en-US" w:eastAsia="zh-CN"/>
        </w:rPr>
        <w:t>9</w:t>
      </w:r>
      <w:r>
        <w:rPr>
          <w:rFonts w:hint="eastAsia" w:ascii="仿宋" w:hAnsi="仿宋" w:eastAsia="仿宋"/>
          <w:color w:val="000000"/>
          <w:szCs w:val="24"/>
        </w:rPr>
        <w:t xml:space="preserve"> 年年末编制人数5 人，其中行政编制0 人，事业编制5 人；年末实有人数5 人，其中在职人员5 人，离休人员0 人，退休人员0 人；年末学生人数0 人。</w:t>
      </w:r>
    </w:p>
    <w:p>
      <w:pPr>
        <w:adjustRightInd/>
        <w:snapToGrid/>
        <w:spacing w:after="0"/>
        <w:ind w:firstLine="480" w:firstLineChars="200"/>
        <w:jc w:val="both"/>
        <w:rPr>
          <w:rFonts w:ascii="仿宋" w:hAnsi="仿宋" w:eastAsia="仿宋" w:cs="宋体"/>
          <w:color w:val="000000"/>
          <w:sz w:val="24"/>
          <w:szCs w:val="24"/>
        </w:rPr>
      </w:pPr>
      <w:r>
        <w:rPr>
          <w:rFonts w:hint="eastAsia" w:ascii="仿宋" w:hAnsi="仿宋" w:eastAsia="仿宋" w:cs="宋体"/>
          <w:color w:val="000000"/>
          <w:sz w:val="24"/>
          <w:szCs w:val="24"/>
        </w:rPr>
        <w:t>（二）当年取得的主要事业成效。</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我处围绕机关作风、优化服务环境、拓展公证业务。</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一、加强队伍建设，提升公证公信力。青云谱公证处大力加强公证员队伍质量意识教育，提高公证员队伍的政治素质、业务素质和职业道德素质，教育引导广大公证员坚持依法执业,严格依照法律法规办理公证事务。青云谱公证处积极组织公证员参加省、市举办的各类学习培训，并根据工作需要采取自学、集中学习、案卷互评、以案说法等方式学习相关法律法规和业务知识，提高业务素质和服务能力，提升公证公信力。</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二、严把公证质量关。我处把公证质量放在第一位，认真执行公证执业规定的要求，一切公证活动都遵循公平、公开、公正的原则，对当事人提供的材料严格审查，决不因为追求经济效益而放松审查标准,我处已拒绝办理数起弄虚做假及有疑问的公证事项。同时妥善处理当事人反映的问题，避免激化矛盾。</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三、关注群众需求，大力开展公证法律宣传活动。</w:t>
      </w:r>
    </w:p>
    <w:p>
      <w:pPr>
        <w:adjustRightInd/>
        <w:snapToGrid/>
        <w:spacing w:after="0"/>
        <w:ind w:firstLine="480"/>
        <w:jc w:val="both"/>
        <w:rPr>
          <w:rFonts w:hint="eastAsia" w:ascii="仿宋" w:hAnsi="仿宋" w:eastAsia="仿宋" w:cs="宋体"/>
          <w:color w:val="000000"/>
          <w:sz w:val="24"/>
          <w:szCs w:val="24"/>
        </w:rPr>
      </w:pPr>
      <w:r>
        <w:rPr>
          <w:rFonts w:hint="eastAsia" w:ascii="仿宋" w:hAnsi="仿宋" w:eastAsia="仿宋" w:cs="宋体"/>
          <w:color w:val="000000"/>
          <w:sz w:val="24"/>
          <w:szCs w:val="24"/>
        </w:rPr>
        <w:t>1、2019年4月8日，我处走进京山街道五粮电社区为社区居民开展了一次普法进社区百科讲坛活动。</w:t>
      </w:r>
    </w:p>
    <w:p>
      <w:pPr>
        <w:adjustRightInd/>
        <w:snapToGrid/>
        <w:spacing w:after="0"/>
        <w:ind w:firstLine="480"/>
        <w:jc w:val="both"/>
        <w:rPr>
          <w:rFonts w:hint="eastAsia" w:ascii="仿宋" w:hAnsi="仿宋" w:eastAsia="仿宋" w:cs="宋体"/>
          <w:color w:val="000000"/>
          <w:sz w:val="24"/>
          <w:szCs w:val="24"/>
        </w:rPr>
      </w:pPr>
      <w:r>
        <w:rPr>
          <w:rFonts w:hint="eastAsia" w:ascii="仿宋" w:hAnsi="仿宋" w:eastAsia="仿宋" w:cs="宋体"/>
          <w:color w:val="000000"/>
          <w:sz w:val="24"/>
          <w:szCs w:val="24"/>
        </w:rPr>
        <w:t>2、2019年4月17日，我处联合五粮电社区开展了以“扫黑除恶 净化社会 构建和谐 创建平安”为主题的扫黑除恶专项斗争宣传活动。</w:t>
      </w:r>
    </w:p>
    <w:p>
      <w:pPr>
        <w:adjustRightInd/>
        <w:snapToGrid/>
        <w:spacing w:after="0"/>
        <w:ind w:firstLine="480"/>
        <w:jc w:val="both"/>
        <w:rPr>
          <w:rFonts w:hint="eastAsia" w:ascii="仿宋" w:hAnsi="仿宋" w:eastAsia="仿宋" w:cs="宋体"/>
          <w:color w:val="000000"/>
          <w:sz w:val="24"/>
          <w:szCs w:val="24"/>
        </w:rPr>
      </w:pPr>
      <w:r>
        <w:rPr>
          <w:rFonts w:hint="eastAsia" w:ascii="仿宋" w:hAnsi="仿宋" w:eastAsia="仿宋" w:cs="宋体"/>
          <w:color w:val="000000"/>
          <w:sz w:val="24"/>
          <w:szCs w:val="24"/>
        </w:rPr>
        <w:t>3、2019年5月20 日，我处联合青云谱区法律援助中心、青云谱镇司法所开展主题为“法援惠民生，关爱妇女儿童”的法律咨询活动。</w:t>
      </w:r>
    </w:p>
    <w:p>
      <w:pPr>
        <w:adjustRightInd/>
        <w:snapToGrid/>
        <w:spacing w:after="0"/>
        <w:ind w:firstLine="480"/>
        <w:jc w:val="both"/>
        <w:rPr>
          <w:rFonts w:hint="eastAsia" w:ascii="仿宋" w:hAnsi="仿宋" w:eastAsia="仿宋" w:cs="宋体"/>
          <w:bCs/>
          <w:sz w:val="24"/>
          <w:szCs w:val="24"/>
        </w:rPr>
      </w:pPr>
      <w:r>
        <w:rPr>
          <w:rFonts w:hint="eastAsia" w:ascii="仿宋" w:hAnsi="仿宋" w:eastAsia="仿宋" w:cs="宋体"/>
          <w:color w:val="000000"/>
          <w:sz w:val="24"/>
          <w:szCs w:val="24"/>
        </w:rPr>
        <w:t>4、2019年8月6 日，青云谱公证处走进辖区岱山社区，联合岱山司法所、</w:t>
      </w:r>
      <w:r>
        <w:rPr>
          <w:rFonts w:hint="eastAsia" w:ascii="仿宋" w:hAnsi="仿宋" w:eastAsia="仿宋" w:cs="宋体"/>
          <w:bCs/>
          <w:sz w:val="24"/>
          <w:szCs w:val="24"/>
        </w:rPr>
        <w:t>岱山街道开展主题为“七夕情人节”婚姻法和“12348”法律服务手牵手，和谐社会心连心法律宣传活动。</w:t>
      </w:r>
    </w:p>
    <w:p>
      <w:pPr>
        <w:adjustRightInd/>
        <w:snapToGrid/>
        <w:spacing w:after="0"/>
        <w:ind w:firstLine="480"/>
        <w:jc w:val="both"/>
        <w:rPr>
          <w:rFonts w:hint="eastAsia" w:ascii="仿宋" w:hAnsi="仿宋" w:eastAsia="仿宋" w:cs="宋体"/>
          <w:color w:val="000000"/>
          <w:sz w:val="24"/>
          <w:szCs w:val="24"/>
        </w:rPr>
      </w:pPr>
      <w:r>
        <w:rPr>
          <w:rFonts w:hint="eastAsia" w:ascii="仿宋" w:hAnsi="仿宋" w:eastAsia="仿宋" w:cs="宋体"/>
          <w:color w:val="000000"/>
          <w:sz w:val="24"/>
          <w:szCs w:val="24"/>
        </w:rPr>
        <w:t>5、8月28日，为了让更多人了解公证，切实感受到公证机构“崇法、尚信、守正、求真”的风貌，青云谱公证处开展了“公证开放日”活动。</w:t>
      </w:r>
    </w:p>
    <w:p>
      <w:pPr>
        <w:adjustRightInd/>
        <w:snapToGrid/>
        <w:spacing w:after="0"/>
        <w:ind w:firstLine="480"/>
        <w:jc w:val="both"/>
        <w:rPr>
          <w:rFonts w:hint="eastAsia" w:ascii="仿宋" w:hAnsi="仿宋" w:eastAsia="仿宋" w:cs="宋体"/>
          <w:bCs/>
          <w:color w:val="333333"/>
          <w:sz w:val="24"/>
          <w:szCs w:val="24"/>
        </w:rPr>
      </w:pPr>
      <w:r>
        <w:rPr>
          <w:rFonts w:hint="eastAsia" w:ascii="仿宋" w:hAnsi="仿宋" w:eastAsia="仿宋" w:cs="宋体"/>
          <w:color w:val="000000"/>
          <w:sz w:val="24"/>
          <w:szCs w:val="24"/>
        </w:rPr>
        <w:t>6、2019年10月15日，青云谱公证处与京山司法所携手走进灌婴路社区，</w:t>
      </w:r>
      <w:r>
        <w:rPr>
          <w:rFonts w:hint="eastAsia" w:ascii="仿宋" w:hAnsi="仿宋" w:eastAsia="仿宋" w:cs="宋体"/>
          <w:bCs/>
          <w:color w:val="000000"/>
          <w:sz w:val="24"/>
          <w:szCs w:val="24"/>
        </w:rPr>
        <w:t>为社区居民开展了一次</w:t>
      </w:r>
      <w:r>
        <w:rPr>
          <w:rFonts w:hint="eastAsia" w:ascii="仿宋" w:hAnsi="仿宋" w:eastAsia="仿宋" w:cs="宋体"/>
          <w:bCs/>
          <w:sz w:val="24"/>
          <w:szCs w:val="24"/>
        </w:rPr>
        <w:t>“创建和谐社区，公证与您同行”</w:t>
      </w:r>
      <w:r>
        <w:rPr>
          <w:rFonts w:hint="eastAsia" w:ascii="仿宋" w:hAnsi="仿宋" w:eastAsia="仿宋" w:cs="宋体"/>
          <w:bCs/>
          <w:color w:val="000000"/>
          <w:sz w:val="24"/>
          <w:szCs w:val="24"/>
        </w:rPr>
        <w:t>普法进社区活动</w:t>
      </w:r>
      <w:r>
        <w:rPr>
          <w:rFonts w:hint="eastAsia" w:ascii="仿宋" w:hAnsi="仿宋" w:eastAsia="仿宋" w:cs="宋体"/>
          <w:bCs/>
          <w:sz w:val="24"/>
          <w:szCs w:val="24"/>
        </w:rPr>
        <w:t>。</w:t>
      </w:r>
    </w:p>
    <w:p>
      <w:pPr>
        <w:adjustRightInd/>
        <w:snapToGrid/>
        <w:spacing w:after="0"/>
        <w:ind w:firstLine="480"/>
        <w:jc w:val="both"/>
        <w:rPr>
          <w:rFonts w:ascii="宋体" w:hAnsi="宋体" w:eastAsia="宋体" w:cs="宋体"/>
          <w:b/>
          <w:sz w:val="32"/>
          <w:szCs w:val="32"/>
        </w:rPr>
      </w:pPr>
      <w:r>
        <w:rPr>
          <w:rFonts w:hint="eastAsia" w:ascii="仿宋" w:hAnsi="仿宋" w:eastAsia="仿宋" w:cs="宋体"/>
          <w:color w:val="000000"/>
          <w:sz w:val="24"/>
          <w:szCs w:val="24"/>
        </w:rPr>
        <w:t>四、切实完善网上公证业务办理工作流程和服务标准。为推进公证服务方式规范化、科学化，我处努力建设公证业务网络服务平台，提高公证受理、登记、审批、出证等环节信息化水平。对于具备网上申办条件的公证事项，要实行网上申请、网上受理、网上反馈。主动运用现有网络查询公共信息，核实各种申办事项，避免当事人耗时耗力的开具各种证明，减少当事人多跑路，在提高办证效率的同时，也方便了当事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 xml:space="preserve"> </w:t>
      </w:r>
      <w:r>
        <w:rPr>
          <w:rFonts w:hint="eastAsia" w:ascii="黑体" w:hAnsi="黑体" w:eastAsia="黑体" w:cs="宋体"/>
          <w:color w:val="000000"/>
          <w:sz w:val="24"/>
          <w:szCs w:val="24"/>
        </w:rPr>
        <w:t>二、收入支出预算执行情况分析</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（一）收入支出预算安排情况。</w:t>
      </w:r>
    </w:p>
    <w:p>
      <w:pPr>
        <w:ind w:firstLine="630"/>
        <w:rPr>
          <w:rFonts w:ascii="仿宋" w:hAnsi="仿宋" w:eastAsia="仿宋"/>
          <w:sz w:val="24"/>
          <w:szCs w:val="24"/>
        </w:rPr>
      </w:pPr>
      <w:r>
        <w:rPr>
          <w:rFonts w:hint="eastAsia" w:ascii="仿宋" w:hAnsi="仿宋" w:eastAsia="仿宋"/>
          <w:sz w:val="24"/>
          <w:szCs w:val="24"/>
        </w:rPr>
        <w:t>本部门2019年度收入年初预算总计160万元，年末收入总计：86万元。</w:t>
      </w:r>
    </w:p>
    <w:p>
      <w:pPr>
        <w:ind w:firstLine="630"/>
        <w:rPr>
          <w:rFonts w:ascii="仿宋" w:hAnsi="仿宋" w:eastAsia="仿宋"/>
          <w:sz w:val="24"/>
          <w:szCs w:val="24"/>
        </w:rPr>
      </w:pPr>
      <w:r>
        <w:rPr>
          <w:rFonts w:hint="eastAsia" w:ascii="仿宋" w:hAnsi="仿宋" w:eastAsia="仿宋"/>
          <w:sz w:val="24"/>
          <w:szCs w:val="24"/>
        </w:rPr>
        <w:t>本部门2019年度支出年初预算总计160万元，年末支出总计：151万元。</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（二）收入支出预算执行情况。</w:t>
      </w:r>
    </w:p>
    <w:p>
      <w:pPr>
        <w:ind w:firstLine="630"/>
        <w:rPr>
          <w:rFonts w:ascii="仿宋" w:hAnsi="仿宋" w:eastAsia="仿宋"/>
          <w:sz w:val="24"/>
          <w:szCs w:val="24"/>
        </w:rPr>
      </w:pPr>
      <w:r>
        <w:rPr>
          <w:rFonts w:hint="eastAsia" w:ascii="仿宋" w:hAnsi="仿宋" w:eastAsia="仿宋"/>
          <w:sz w:val="24"/>
          <w:szCs w:val="24"/>
        </w:rPr>
        <w:t>本部门201</w:t>
      </w:r>
      <w:r>
        <w:rPr>
          <w:rFonts w:hint="eastAsia" w:ascii="仿宋" w:hAnsi="仿宋" w:eastAsia="仿宋"/>
          <w:sz w:val="24"/>
          <w:szCs w:val="24"/>
          <w:lang w:val="en-US" w:eastAsia="zh-CN"/>
        </w:rPr>
        <w:t>9</w:t>
      </w:r>
      <w:r>
        <w:rPr>
          <w:rFonts w:hint="eastAsia" w:ascii="仿宋" w:hAnsi="仿宋" w:eastAsia="仿宋"/>
          <w:sz w:val="24"/>
          <w:szCs w:val="24"/>
        </w:rPr>
        <w:t>年度收入总计86万元，其中年初结转和结余65.193436万元；本年收入合计86万元，较2017年增加了24 万元，增长了38.7%，主要原因是：201</w:t>
      </w:r>
      <w:r>
        <w:rPr>
          <w:rFonts w:hint="eastAsia" w:ascii="仿宋" w:hAnsi="仿宋" w:eastAsia="仿宋"/>
          <w:sz w:val="24"/>
          <w:szCs w:val="24"/>
          <w:lang w:val="en-US" w:eastAsia="zh-CN"/>
        </w:rPr>
        <w:t>9</w:t>
      </w:r>
      <w:r>
        <w:rPr>
          <w:rFonts w:hint="eastAsia" w:ascii="仿宋" w:hAnsi="仿宋" w:eastAsia="仿宋"/>
          <w:sz w:val="24"/>
          <w:szCs w:val="24"/>
        </w:rPr>
        <w:t>年财政拨款较2017年增加。本年收入的具体构成为：财政拨款收入86 万元，占56%；事业收入0 万元，占0%；经营收入0 万元，占0 %；其他收入0 万元，占0 %。</w:t>
      </w:r>
    </w:p>
    <w:p>
      <w:pPr>
        <w:ind w:firstLine="480" w:firstLineChars="200"/>
        <w:rPr>
          <w:rFonts w:ascii="仿宋" w:hAnsi="仿宋" w:eastAsia="仿宋" w:cs="宋体"/>
          <w:color w:val="000000"/>
          <w:sz w:val="24"/>
          <w:szCs w:val="24"/>
        </w:rPr>
      </w:pPr>
      <w:bookmarkStart w:id="3" w:name="_GoBack"/>
      <w:bookmarkEnd w:id="3"/>
      <w:r>
        <w:rPr>
          <w:rFonts w:hint="eastAsia" w:ascii="仿宋" w:hAnsi="仿宋" w:eastAsia="仿宋"/>
          <w:sz w:val="24"/>
          <w:szCs w:val="24"/>
        </w:rPr>
        <w:t>本部门201</w:t>
      </w:r>
      <w:r>
        <w:rPr>
          <w:rFonts w:hint="eastAsia" w:ascii="仿宋" w:hAnsi="仿宋" w:eastAsia="仿宋"/>
          <w:sz w:val="24"/>
          <w:szCs w:val="24"/>
          <w:lang w:val="en-US" w:eastAsia="zh-CN"/>
        </w:rPr>
        <w:t>9</w:t>
      </w:r>
      <w:r>
        <w:rPr>
          <w:rFonts w:hint="eastAsia" w:ascii="仿宋" w:hAnsi="仿宋" w:eastAsia="仿宋"/>
          <w:sz w:val="24"/>
          <w:szCs w:val="24"/>
        </w:rPr>
        <w:t xml:space="preserve"> 年度支出总计151.193436万元，其中本年支出合计151.193436 万元，较2017 年减少了12.639209万元，减少7.71%，主要原因是：节约开支；年末结转和结余0 万元，较2017年减少65.193436万元，下降100%，主要原因是：出去办公次数增多。</w:t>
      </w:r>
      <w:r>
        <w:rPr>
          <w:rFonts w:hint="eastAsia" w:ascii="仿宋" w:hAnsi="仿宋" w:eastAsia="仿宋"/>
          <w:sz w:val="24"/>
          <w:szCs w:val="24"/>
        </w:rPr>
        <w:br w:type="textWrapping"/>
      </w:r>
      <w:r>
        <w:rPr>
          <w:rFonts w:hint="eastAsia" w:ascii="仿宋" w:hAnsi="仿宋" w:eastAsia="仿宋"/>
          <w:sz w:val="24"/>
          <w:szCs w:val="24"/>
        </w:rPr>
        <w:t>本年支出的具体构成为：基本支出151.193436万元，占72%；项目支出0 万元，占0%；经营支出0 万元，占0 %；其他支出（对附属单位补助支出、上缴上级支出）0 万元，占0%。</w:t>
      </w:r>
      <w:r>
        <w:rPr>
          <w:rFonts w:hint="eastAsia" w:ascii="仿宋" w:hAnsi="仿宋" w:eastAsia="仿宋"/>
          <w:sz w:val="24"/>
          <w:szCs w:val="24"/>
        </w:rPr>
        <w:br w:type="textWrapping"/>
      </w:r>
      <w:r>
        <w:rPr>
          <w:rFonts w:hint="eastAsia" w:ascii="仿宋" w:hAnsi="仿宋" w:eastAsia="仿宋" w:cs="宋体"/>
          <w:color w:val="000000"/>
          <w:sz w:val="24"/>
          <w:szCs w:val="24"/>
        </w:rPr>
        <w:t>1．收入支出与预算对比分析。</w:t>
      </w:r>
    </w:p>
    <w:p>
      <w:pPr>
        <w:adjustRightInd/>
        <w:snapToGrid/>
        <w:spacing w:after="0"/>
        <w:ind w:firstLine="480" w:firstLineChars="200"/>
        <w:jc w:val="both"/>
        <w:rPr>
          <w:rFonts w:ascii="仿宋" w:hAnsi="仿宋" w:eastAsia="仿宋" w:cs="宋体"/>
          <w:color w:val="000000"/>
          <w:sz w:val="24"/>
          <w:szCs w:val="24"/>
        </w:rPr>
      </w:pPr>
      <w:r>
        <w:rPr>
          <w:rFonts w:hint="eastAsia" w:ascii="仿宋" w:hAnsi="仿宋" w:eastAsia="仿宋" w:cs="宋体"/>
          <w:color w:val="000000"/>
          <w:sz w:val="24"/>
          <w:szCs w:val="24"/>
        </w:rPr>
        <w:t>（1）预、决算差异情况。</w:t>
      </w:r>
    </w:p>
    <w:p>
      <w:pPr>
        <w:adjustRightInd/>
        <w:snapToGrid/>
        <w:spacing w:after="0"/>
        <w:ind w:firstLine="2846" w:firstLineChars="1350"/>
        <w:jc w:val="both"/>
        <w:rPr>
          <w:rFonts w:ascii="仿宋" w:hAnsi="仿宋" w:eastAsia="仿宋" w:cs="宋体"/>
          <w:b/>
          <w:color w:val="000000"/>
          <w:sz w:val="21"/>
          <w:szCs w:val="21"/>
        </w:rPr>
      </w:pPr>
      <w:r>
        <w:rPr>
          <w:rFonts w:hint="eastAsia" w:ascii="仿宋" w:hAnsi="仿宋" w:eastAsia="仿宋" w:cs="宋体"/>
          <w:b/>
          <w:color w:val="000000"/>
          <w:sz w:val="21"/>
          <w:szCs w:val="21"/>
        </w:rPr>
        <w:t>预决算差异情况表                   单位：万元</w:t>
      </w:r>
    </w:p>
    <w:tbl>
      <w:tblPr>
        <w:tblStyle w:val="6"/>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1388"/>
        <w:gridCol w:w="1389"/>
        <w:gridCol w:w="1388"/>
        <w:gridCol w:w="1388"/>
        <w:gridCol w:w="1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8" w:type="dxa"/>
          </w:tcPr>
          <w:p>
            <w:pPr>
              <w:adjustRightInd/>
              <w:snapToGrid/>
              <w:spacing w:after="0"/>
              <w:jc w:val="both"/>
              <w:rPr>
                <w:rFonts w:ascii="仿宋" w:hAnsi="仿宋" w:eastAsia="仿宋" w:cs="宋体"/>
                <w:color w:val="000000"/>
                <w:sz w:val="21"/>
                <w:szCs w:val="21"/>
              </w:rPr>
            </w:pPr>
          </w:p>
        </w:tc>
        <w:tc>
          <w:tcPr>
            <w:tcW w:w="1388" w:type="dxa"/>
          </w:tcPr>
          <w:p>
            <w:pPr>
              <w:adjustRightInd/>
              <w:snapToGrid/>
              <w:spacing w:after="0"/>
              <w:jc w:val="both"/>
              <w:rPr>
                <w:rFonts w:ascii="仿宋" w:hAnsi="仿宋" w:eastAsia="仿宋" w:cs="宋体"/>
                <w:b/>
                <w:color w:val="000000"/>
                <w:sz w:val="21"/>
                <w:szCs w:val="21"/>
              </w:rPr>
            </w:pPr>
            <w:r>
              <w:rPr>
                <w:rFonts w:hint="eastAsia" w:ascii="仿宋" w:hAnsi="仿宋" w:eastAsia="仿宋" w:cs="宋体"/>
                <w:b/>
                <w:color w:val="000000"/>
                <w:sz w:val="21"/>
                <w:szCs w:val="21"/>
              </w:rPr>
              <w:t>年初预算数</w:t>
            </w:r>
          </w:p>
        </w:tc>
        <w:tc>
          <w:tcPr>
            <w:tcW w:w="1389" w:type="dxa"/>
          </w:tcPr>
          <w:p>
            <w:pPr>
              <w:adjustRightInd/>
              <w:snapToGrid/>
              <w:spacing w:after="0"/>
              <w:jc w:val="both"/>
              <w:rPr>
                <w:rFonts w:ascii="仿宋" w:hAnsi="仿宋" w:eastAsia="仿宋" w:cs="宋体"/>
                <w:b/>
                <w:color w:val="000000"/>
                <w:sz w:val="21"/>
                <w:szCs w:val="21"/>
              </w:rPr>
            </w:pPr>
            <w:r>
              <w:rPr>
                <w:rFonts w:hint="eastAsia" w:ascii="仿宋" w:hAnsi="仿宋" w:eastAsia="仿宋" w:cs="宋体"/>
                <w:b/>
                <w:color w:val="000000"/>
                <w:sz w:val="21"/>
                <w:szCs w:val="21"/>
              </w:rPr>
              <w:t>调整预算数</w:t>
            </w:r>
          </w:p>
        </w:tc>
        <w:tc>
          <w:tcPr>
            <w:tcW w:w="1388" w:type="dxa"/>
          </w:tcPr>
          <w:p>
            <w:pPr>
              <w:adjustRightInd/>
              <w:snapToGrid/>
              <w:spacing w:after="0"/>
              <w:jc w:val="both"/>
              <w:rPr>
                <w:rFonts w:ascii="仿宋" w:hAnsi="仿宋" w:eastAsia="仿宋" w:cs="宋体"/>
                <w:b/>
                <w:color w:val="000000"/>
                <w:sz w:val="21"/>
                <w:szCs w:val="21"/>
              </w:rPr>
            </w:pPr>
            <w:r>
              <w:rPr>
                <w:rFonts w:hint="eastAsia" w:ascii="仿宋" w:hAnsi="仿宋" w:eastAsia="仿宋" w:cs="宋体"/>
                <w:b/>
                <w:color w:val="000000"/>
                <w:sz w:val="21"/>
                <w:szCs w:val="21"/>
              </w:rPr>
              <w:t>决算数</w:t>
            </w:r>
          </w:p>
        </w:tc>
        <w:tc>
          <w:tcPr>
            <w:tcW w:w="1388" w:type="dxa"/>
          </w:tcPr>
          <w:p>
            <w:pPr>
              <w:adjustRightInd/>
              <w:snapToGrid/>
              <w:spacing w:after="0"/>
              <w:jc w:val="both"/>
              <w:rPr>
                <w:rFonts w:ascii="仿宋" w:hAnsi="仿宋" w:eastAsia="仿宋" w:cs="宋体"/>
                <w:b/>
                <w:color w:val="000000"/>
                <w:sz w:val="21"/>
                <w:szCs w:val="21"/>
              </w:rPr>
            </w:pPr>
            <w:r>
              <w:rPr>
                <w:rFonts w:hint="eastAsia" w:ascii="仿宋" w:hAnsi="仿宋" w:eastAsia="仿宋" w:cs="宋体"/>
                <w:b/>
                <w:color w:val="000000"/>
                <w:sz w:val="21"/>
                <w:szCs w:val="21"/>
              </w:rPr>
              <w:t>调整预算数-年初预算数</w:t>
            </w:r>
            <w:r>
              <w:rPr>
                <w:rFonts w:ascii="仿宋" w:hAnsi="仿宋" w:eastAsia="仿宋" w:cs="宋体"/>
                <w:b/>
                <w:color w:val="000000"/>
                <w:sz w:val="21"/>
                <w:szCs w:val="21"/>
              </w:rPr>
              <w:t xml:space="preserve"> </w:t>
            </w:r>
          </w:p>
        </w:tc>
        <w:tc>
          <w:tcPr>
            <w:tcW w:w="1389" w:type="dxa"/>
          </w:tcPr>
          <w:p>
            <w:pPr>
              <w:adjustRightInd/>
              <w:snapToGrid/>
              <w:spacing w:after="0"/>
              <w:jc w:val="both"/>
              <w:rPr>
                <w:rFonts w:ascii="仿宋" w:hAnsi="仿宋" w:eastAsia="仿宋" w:cs="宋体"/>
                <w:b/>
                <w:color w:val="000000"/>
                <w:sz w:val="21"/>
                <w:szCs w:val="21"/>
              </w:rPr>
            </w:pPr>
            <w:r>
              <w:rPr>
                <w:rFonts w:hint="eastAsia" w:ascii="仿宋" w:hAnsi="仿宋" w:eastAsia="仿宋" w:cs="宋体"/>
                <w:b/>
                <w:color w:val="000000"/>
                <w:sz w:val="21"/>
                <w:szCs w:val="21"/>
              </w:rPr>
              <w:t>决算数-年初预算数</w:t>
            </w:r>
            <w:r>
              <w:rPr>
                <w:rFonts w:ascii="仿宋" w:hAnsi="仿宋" w:eastAsia="仿宋" w:cs="宋体"/>
                <w:b/>
                <w:color w:val="000000"/>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8" w:type="dxa"/>
          </w:tcPr>
          <w:p>
            <w:pPr>
              <w:adjustRightInd/>
              <w:snapToGrid/>
              <w:spacing w:after="0"/>
              <w:jc w:val="both"/>
              <w:rPr>
                <w:rFonts w:ascii="仿宋" w:hAnsi="仿宋" w:eastAsia="仿宋" w:cs="宋体"/>
                <w:b/>
                <w:color w:val="000000"/>
                <w:sz w:val="21"/>
                <w:szCs w:val="21"/>
              </w:rPr>
            </w:pPr>
            <w:r>
              <w:rPr>
                <w:rFonts w:hint="eastAsia" w:ascii="仿宋" w:hAnsi="仿宋" w:eastAsia="仿宋" w:cs="宋体"/>
                <w:b/>
                <w:color w:val="000000"/>
                <w:sz w:val="21"/>
                <w:szCs w:val="21"/>
              </w:rPr>
              <w:t>财政拨款收入</w:t>
            </w:r>
          </w:p>
        </w:tc>
        <w:tc>
          <w:tcPr>
            <w:tcW w:w="1388"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160</w:t>
            </w:r>
          </w:p>
        </w:tc>
        <w:tc>
          <w:tcPr>
            <w:tcW w:w="1389"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86</w:t>
            </w:r>
          </w:p>
        </w:tc>
        <w:tc>
          <w:tcPr>
            <w:tcW w:w="1388"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86</w:t>
            </w:r>
          </w:p>
        </w:tc>
        <w:tc>
          <w:tcPr>
            <w:tcW w:w="1388"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74</w:t>
            </w:r>
          </w:p>
        </w:tc>
        <w:tc>
          <w:tcPr>
            <w:tcW w:w="1389"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8" w:type="dxa"/>
          </w:tcPr>
          <w:p>
            <w:pPr>
              <w:adjustRightInd/>
              <w:snapToGrid/>
              <w:spacing w:after="0"/>
              <w:jc w:val="both"/>
              <w:rPr>
                <w:rFonts w:ascii="仿宋" w:hAnsi="仿宋" w:eastAsia="仿宋" w:cs="宋体"/>
                <w:b/>
                <w:color w:val="000000"/>
                <w:sz w:val="21"/>
                <w:szCs w:val="21"/>
              </w:rPr>
            </w:pPr>
            <w:r>
              <w:rPr>
                <w:rFonts w:hint="eastAsia" w:ascii="仿宋" w:hAnsi="仿宋" w:eastAsia="仿宋" w:cs="宋体"/>
                <w:b/>
                <w:color w:val="000000"/>
                <w:sz w:val="21"/>
                <w:szCs w:val="21"/>
              </w:rPr>
              <w:t>公共安全支出</w:t>
            </w:r>
          </w:p>
        </w:tc>
        <w:tc>
          <w:tcPr>
            <w:tcW w:w="1388"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160</w:t>
            </w:r>
          </w:p>
        </w:tc>
        <w:tc>
          <w:tcPr>
            <w:tcW w:w="1389"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151.19</w:t>
            </w:r>
          </w:p>
        </w:tc>
        <w:tc>
          <w:tcPr>
            <w:tcW w:w="1388"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151.19</w:t>
            </w:r>
          </w:p>
        </w:tc>
        <w:tc>
          <w:tcPr>
            <w:tcW w:w="1388"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8.81</w:t>
            </w:r>
          </w:p>
        </w:tc>
        <w:tc>
          <w:tcPr>
            <w:tcW w:w="1389" w:type="dxa"/>
          </w:tcPr>
          <w:p>
            <w:pPr>
              <w:adjustRightInd/>
              <w:snapToGrid/>
              <w:spacing w:after="0"/>
              <w:jc w:val="both"/>
              <w:rPr>
                <w:rFonts w:ascii="仿宋" w:hAnsi="仿宋" w:eastAsia="仿宋" w:cs="宋体"/>
                <w:color w:val="000000"/>
                <w:sz w:val="21"/>
                <w:szCs w:val="21"/>
              </w:rPr>
            </w:pPr>
            <w:r>
              <w:rPr>
                <w:rFonts w:hint="eastAsia" w:ascii="仿宋" w:hAnsi="仿宋" w:eastAsia="仿宋" w:cs="宋体"/>
                <w:color w:val="000000"/>
                <w:sz w:val="21"/>
                <w:szCs w:val="21"/>
              </w:rPr>
              <w:t>8.81</w:t>
            </w:r>
          </w:p>
        </w:tc>
      </w:tr>
    </w:tbl>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（2）差异原因分析。</w:t>
      </w:r>
    </w:p>
    <w:p>
      <w:pPr>
        <w:adjustRightInd/>
        <w:snapToGrid/>
        <w:spacing w:after="0"/>
        <w:ind w:firstLine="480"/>
        <w:jc w:val="both"/>
        <w:rPr>
          <w:rFonts w:ascii="仿宋" w:hAnsi="仿宋" w:eastAsia="仿宋"/>
          <w:sz w:val="24"/>
          <w:szCs w:val="24"/>
        </w:rPr>
      </w:pPr>
      <w:r>
        <w:rPr>
          <w:rFonts w:hint="eastAsia" w:ascii="仿宋" w:hAnsi="仿宋" w:eastAsia="仿宋" w:cs="宋体"/>
          <w:color w:val="000000"/>
          <w:sz w:val="24"/>
          <w:szCs w:val="24"/>
        </w:rPr>
        <w:t>①财政拨款收入差异原因是：</w:t>
      </w:r>
      <w:r>
        <w:rPr>
          <w:rFonts w:hint="eastAsia" w:ascii="仿宋" w:hAnsi="仿宋" w:eastAsia="仿宋"/>
          <w:sz w:val="24"/>
          <w:szCs w:val="24"/>
        </w:rPr>
        <w:t>案件数量减少。</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sz w:val="24"/>
          <w:szCs w:val="24"/>
        </w:rPr>
        <w:t>②公共安全支出差异原因是：案件数量减少。</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2．收入支出结构分析。</w:t>
      </w:r>
    </w:p>
    <w:p>
      <w:pPr>
        <w:ind w:firstLine="630"/>
        <w:rPr>
          <w:rFonts w:ascii="仿宋" w:hAnsi="仿宋" w:eastAsia="仿宋"/>
          <w:sz w:val="24"/>
          <w:szCs w:val="24"/>
        </w:rPr>
      </w:pPr>
      <w:r>
        <w:rPr>
          <w:rFonts w:hint="eastAsia" w:ascii="仿宋" w:hAnsi="仿宋" w:eastAsia="仿宋"/>
          <w:sz w:val="24"/>
          <w:szCs w:val="24"/>
        </w:rPr>
        <w:t>本年收入的具体构成为：财政拨款收入86 万元，占56%；事业收入0 万元，占0%；经营收入0 万元，占0 %；其他收入0 万元，占0 %。</w:t>
      </w:r>
      <w:r>
        <w:rPr>
          <w:rFonts w:hint="eastAsia" w:ascii="微软雅黑" w:hAnsi="微软雅黑" w:cs="微软雅黑"/>
          <w:color w:val="333333"/>
          <w:sz w:val="24"/>
          <w:szCs w:val="24"/>
          <w:shd w:val="clear" w:color="auto" w:fill="FFFFFF"/>
        </w:rPr>
        <w:br w:type="textWrapping"/>
      </w:r>
      <w:r>
        <w:rPr>
          <w:rFonts w:hint="eastAsia" w:ascii="微软雅黑" w:hAnsi="微软雅黑" w:cs="微软雅黑"/>
          <w:color w:val="333333"/>
          <w:sz w:val="24"/>
          <w:szCs w:val="24"/>
          <w:shd w:val="clear" w:color="auto" w:fill="FFFFFF"/>
        </w:rPr>
        <w:t xml:space="preserve">         </w:t>
      </w:r>
      <w:r>
        <w:rPr>
          <w:rFonts w:hint="eastAsia" w:ascii="仿宋" w:hAnsi="仿宋" w:eastAsia="仿宋" w:cs="宋体"/>
          <w:color w:val="000000"/>
          <w:sz w:val="24"/>
          <w:szCs w:val="24"/>
        </w:rPr>
        <w:t>本年支出的具体构成为：基本支出151.193436万元，占72%；项目支出0 万元，占0%；经营支出0 万元，占0 %；其他支出（对附属单位补助支出、上缴上级支出）0 万元，占0%。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3．支出按经济分类科目分析。</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（1）“三公”经费支出情况：无</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（2）会议费支出情况：无。</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（3）培训费支出情况：本部门201</w:t>
      </w:r>
      <w:r>
        <w:rPr>
          <w:rFonts w:hint="eastAsia" w:ascii="仿宋" w:hAnsi="仿宋" w:eastAsia="仿宋" w:cs="宋体"/>
          <w:color w:val="000000"/>
          <w:sz w:val="24"/>
          <w:szCs w:val="24"/>
          <w:lang w:val="en-US" w:eastAsia="zh-CN"/>
        </w:rPr>
        <w:t>9</w:t>
      </w:r>
      <w:r>
        <w:rPr>
          <w:rFonts w:hint="eastAsia" w:ascii="仿宋" w:hAnsi="仿宋" w:eastAsia="仿宋" w:cs="宋体"/>
          <w:color w:val="000000"/>
          <w:sz w:val="24"/>
          <w:szCs w:val="24"/>
        </w:rPr>
        <w:t>年度培训费支出年初预算数为0.1373万元，决算数为0.186万元，较201</w:t>
      </w:r>
      <w:r>
        <w:rPr>
          <w:rFonts w:hint="eastAsia" w:ascii="仿宋" w:hAnsi="仿宋" w:eastAsia="仿宋" w:cs="宋体"/>
          <w:color w:val="000000"/>
          <w:sz w:val="24"/>
          <w:szCs w:val="24"/>
          <w:lang w:val="en-US" w:eastAsia="zh-CN"/>
        </w:rPr>
        <w:t>8</w:t>
      </w:r>
      <w:r>
        <w:rPr>
          <w:rFonts w:hint="eastAsia" w:ascii="仿宋" w:hAnsi="仿宋" w:eastAsia="仿宋" w:cs="宋体"/>
          <w:color w:val="000000"/>
          <w:sz w:val="24"/>
          <w:szCs w:val="24"/>
        </w:rPr>
        <w:t>年度增加0.0487万元，增加了35.47%。主要原因是：费用增加。</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（4）其他对单位影响较大的支出情况：无。</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（5）重点经济分类支出中存在的问题及改进措施：无。</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4．财政拨款收入、支出分析。</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本部门201</w:t>
      </w:r>
      <w:r>
        <w:rPr>
          <w:rFonts w:hint="eastAsia" w:ascii="仿宋" w:hAnsi="仿宋" w:eastAsia="仿宋" w:cs="宋体"/>
          <w:color w:val="000000"/>
          <w:sz w:val="24"/>
          <w:szCs w:val="24"/>
          <w:lang w:val="en-US" w:eastAsia="zh-CN"/>
        </w:rPr>
        <w:t>9</w:t>
      </w:r>
      <w:r>
        <w:rPr>
          <w:rFonts w:hint="eastAsia" w:ascii="仿宋" w:hAnsi="仿宋" w:eastAsia="仿宋" w:cs="宋体"/>
          <w:color w:val="000000"/>
          <w:sz w:val="24"/>
          <w:szCs w:val="24"/>
        </w:rPr>
        <w:t xml:space="preserve"> 年度财政拨款本年支出年初预算数为160 万元，决算数为151.193436 万元，完成年初预算的94.5%。其中：</w:t>
      </w:r>
      <w:r>
        <w:rPr>
          <w:rFonts w:hint="eastAsia" w:ascii="微软雅黑" w:hAnsi="微软雅黑" w:cs="微软雅黑"/>
          <w:color w:val="333333"/>
          <w:sz w:val="24"/>
          <w:szCs w:val="24"/>
          <w:shd w:val="clear" w:color="auto" w:fill="FFFFFF"/>
        </w:rPr>
        <w:br w:type="textWrapping"/>
      </w:r>
      <w:r>
        <w:rPr>
          <w:rFonts w:hint="eastAsia" w:ascii="微软雅黑" w:hAnsi="微软雅黑" w:cs="微软雅黑"/>
          <w:color w:val="333333"/>
          <w:sz w:val="24"/>
          <w:szCs w:val="24"/>
          <w:shd w:val="clear" w:color="auto" w:fill="FFFFFF"/>
        </w:rPr>
        <w:t xml:space="preserve">       </w:t>
      </w:r>
      <w:r>
        <w:rPr>
          <w:rFonts w:hint="eastAsia" w:ascii="仿宋" w:hAnsi="仿宋" w:eastAsia="仿宋" w:cs="宋体"/>
          <w:color w:val="000000"/>
          <w:sz w:val="24"/>
          <w:szCs w:val="24"/>
        </w:rPr>
        <w:t>（一）一般公共服务支出年初预算数为0 万元，决算数为0万元，完成年初预算的0%，主要原因是：无。</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（二）公共安全支出年初预算数为160万元，决算数为151.193436万元，完成年初预算的95%，主要原因是：节约开支。</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（三）年末结转和结余情况。</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1．我部门201</w:t>
      </w:r>
      <w:r>
        <w:rPr>
          <w:rFonts w:hint="eastAsia" w:ascii="仿宋" w:hAnsi="仿宋" w:eastAsia="仿宋" w:cs="宋体"/>
          <w:color w:val="000000"/>
          <w:sz w:val="24"/>
          <w:szCs w:val="24"/>
          <w:lang w:val="en-US" w:eastAsia="zh-CN"/>
        </w:rPr>
        <w:t>9</w:t>
      </w:r>
      <w:r>
        <w:rPr>
          <w:rFonts w:hint="eastAsia" w:ascii="仿宋" w:hAnsi="仿宋" w:eastAsia="仿宋" w:cs="宋体"/>
          <w:color w:val="000000"/>
          <w:sz w:val="24"/>
          <w:szCs w:val="24"/>
        </w:rPr>
        <w:t>年度年末结转和结余0万元。</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2．结转和结余规模较大的原因分析及消化结转和结余的对策。</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无</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（四）绩效目标完成情况。</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1．概述项目绩效目标完成情况。</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无项目绩效目标</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2．概述本单位整体支出绩效目标实现情况（如有）。</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无。</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（五）当年预算执行及绩效管理中存在问题、原因及改进措施。</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无。</w:t>
      </w:r>
    </w:p>
    <w:p>
      <w:pPr>
        <w:adjustRightInd/>
        <w:snapToGrid/>
        <w:spacing w:after="0"/>
        <w:ind w:firstLine="480"/>
        <w:jc w:val="both"/>
        <w:rPr>
          <w:rFonts w:ascii="Calibri" w:hAnsi="Calibri" w:eastAsia="宋体" w:cs="宋体"/>
          <w:color w:val="000000"/>
          <w:sz w:val="21"/>
          <w:szCs w:val="21"/>
        </w:rPr>
      </w:pPr>
      <w:r>
        <w:rPr>
          <w:rFonts w:hint="eastAsia" w:ascii="宋体" w:hAnsi="宋体" w:eastAsia="宋体" w:cs="宋体"/>
          <w:color w:val="000000"/>
          <w:sz w:val="24"/>
          <w:szCs w:val="24"/>
        </w:rPr>
        <w:t> </w:t>
      </w:r>
    </w:p>
    <w:p>
      <w:pPr>
        <w:adjustRightInd/>
        <w:snapToGrid/>
        <w:spacing w:after="0"/>
        <w:ind w:firstLine="480"/>
        <w:jc w:val="both"/>
        <w:rPr>
          <w:rFonts w:ascii="Calibri" w:hAnsi="Calibri" w:eastAsia="宋体" w:cs="宋体"/>
          <w:color w:val="000000"/>
          <w:sz w:val="21"/>
          <w:szCs w:val="21"/>
        </w:rPr>
      </w:pPr>
      <w:r>
        <w:rPr>
          <w:rFonts w:hint="eastAsia" w:ascii="黑体" w:hAnsi="黑体" w:eastAsia="黑体" w:cs="宋体"/>
          <w:color w:val="000000"/>
          <w:sz w:val="24"/>
          <w:szCs w:val="24"/>
        </w:rPr>
        <w:t>三、资产负债情况分析</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我部门201</w:t>
      </w:r>
      <w:r>
        <w:rPr>
          <w:rFonts w:hint="eastAsia" w:ascii="仿宋" w:hAnsi="仿宋" w:eastAsia="仿宋" w:cs="宋体"/>
          <w:color w:val="000000"/>
          <w:sz w:val="24"/>
          <w:szCs w:val="24"/>
          <w:lang w:val="en-US" w:eastAsia="zh-CN"/>
        </w:rPr>
        <w:t>9</w:t>
      </w:r>
      <w:r>
        <w:rPr>
          <w:rFonts w:hint="eastAsia" w:ascii="仿宋" w:hAnsi="仿宋" w:eastAsia="仿宋" w:cs="宋体"/>
          <w:color w:val="000000"/>
          <w:sz w:val="24"/>
          <w:szCs w:val="24"/>
        </w:rPr>
        <w:t>年末单位资产合计406.238636万元，比上年度增加53.132584万元，增加15.05%，主要原因是：本年度采购了固定资产。</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负债合计349.405376万元，比上年度增加90.864471万元，主要原因是：支出大于收入。</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（一）资产负债结构情况。</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资产包括：流动资产374.333948万元，比上年度增加50.599607万元，增加13.5%，主要原因是：业务量增加；固定资产31.904688万元，比上年度增加2.532977万元，增长7.9%，主要原因是：本年度采购了固定资产；</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负债包括：流动负债349.405376万元，比上年度增加90.864471万元，主要原因是：支出大于收入。</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（二）资产负债对比分析。</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资产负债率为86。</w:t>
      </w:r>
    </w:p>
    <w:p>
      <w:pPr>
        <w:adjustRightInd/>
        <w:snapToGrid/>
        <w:spacing w:after="0"/>
        <w:ind w:firstLine="480"/>
        <w:jc w:val="both"/>
        <w:rPr>
          <w:rFonts w:ascii="Calibri" w:hAnsi="Calibri" w:eastAsia="宋体" w:cs="宋体"/>
          <w:color w:val="000000"/>
          <w:sz w:val="21"/>
          <w:szCs w:val="21"/>
        </w:rPr>
      </w:pPr>
      <w:r>
        <w:rPr>
          <w:rFonts w:hint="eastAsia" w:ascii="宋体" w:hAnsi="宋体" w:eastAsia="宋体" w:cs="宋体"/>
          <w:color w:val="000000"/>
          <w:sz w:val="24"/>
          <w:szCs w:val="24"/>
        </w:rPr>
        <w:t> </w:t>
      </w:r>
    </w:p>
    <w:p>
      <w:pPr>
        <w:adjustRightInd/>
        <w:snapToGrid/>
        <w:spacing w:after="0"/>
        <w:ind w:firstLine="480"/>
        <w:jc w:val="both"/>
        <w:rPr>
          <w:rFonts w:ascii="Calibri" w:hAnsi="Calibri" w:eastAsia="宋体" w:cs="宋体"/>
          <w:color w:val="000000"/>
          <w:sz w:val="21"/>
          <w:szCs w:val="21"/>
        </w:rPr>
      </w:pPr>
      <w:r>
        <w:rPr>
          <w:rFonts w:hint="eastAsia" w:ascii="黑体" w:hAnsi="黑体" w:eastAsia="黑体" w:cs="宋体"/>
          <w:color w:val="000000"/>
          <w:sz w:val="24"/>
          <w:szCs w:val="24"/>
        </w:rPr>
        <w:t>四、本年度部门决算等财务工作开展情况</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（一）本单位财务管理、绩效管理、决算组织、编报、审核情况。</w:t>
      </w:r>
    </w:p>
    <w:p>
      <w:pPr>
        <w:spacing w:after="0"/>
        <w:ind w:firstLine="480" w:firstLineChars="200"/>
        <w:rPr>
          <w:rFonts w:ascii="仿宋" w:hAnsi="仿宋" w:eastAsia="仿宋" w:cs="宋体"/>
          <w:color w:val="000000"/>
          <w:sz w:val="24"/>
          <w:szCs w:val="24"/>
        </w:rPr>
      </w:pPr>
      <w:r>
        <w:rPr>
          <w:rFonts w:hint="eastAsia" w:ascii="仿宋" w:hAnsi="仿宋" w:eastAsia="仿宋" w:cs="宋体"/>
          <w:color w:val="000000"/>
          <w:sz w:val="24"/>
          <w:szCs w:val="24"/>
        </w:rPr>
        <w:t>我单位根据《会计法》等有关法律法规，结合自身特点，制定《南昌市青云谱区法院经费管理办法》等相关财务管理规定。领导充分重视资金安全管理工作，经费支出严格按照审批权限，实行”一支笔“签字审批，有效控制乱开支现象；单位重大经济事项必须经院长办公会议研究同意，方能批报，各项支出均根据财务管理规定严格执行，从源头上防止出现多付错支、虚假支出等现象，对每一笔经费支出，财务部门都要认真核对资金用途、数额和开支的真实性、合法性，严格资金支付方式的管理，规避资金支出风险。</w:t>
      </w:r>
    </w:p>
    <w:p>
      <w:pPr>
        <w:spacing w:after="0"/>
        <w:ind w:firstLine="480" w:firstLineChars="200"/>
        <w:jc w:val="both"/>
        <w:rPr>
          <w:rFonts w:ascii="仿宋" w:hAnsi="仿宋" w:eastAsia="仿宋" w:cs="宋体"/>
          <w:color w:val="000000"/>
          <w:sz w:val="24"/>
          <w:szCs w:val="24"/>
        </w:rPr>
      </w:pPr>
      <w:r>
        <w:rPr>
          <w:rFonts w:hint="eastAsia" w:ascii="仿宋" w:hAnsi="仿宋" w:eastAsia="仿宋" w:cs="宋体"/>
          <w:color w:val="000000"/>
          <w:sz w:val="24"/>
          <w:szCs w:val="24"/>
        </w:rPr>
        <w:t>明确岗位分工和岗位职责，不相容岗位相分离，会计与出纳、管账与管钱、审核与付款、审批与经办分管，实现管事与管钱分离，达到相互监督、相互制约的目的，防止出现内部人员做假账等问题。财政授权支付凭证和非税收入等票据由专人负责购买、保管、开具，并做好相关登记工作；银行预留印鉴包括单位负责人印章和单位财务专用章，由会计和财务负责人分开保管。严格执行相关现金管理规定，限额存放，妥善保管，并及时做好记账工作，做到日清月结，出纳和会计及时做好现金余额和现金日记记账余额的核对工作，无私设“小金库”和用“白条”抵库现象；每月和银行、财政部门做好对账工作、核对银行存款日记账账面余额与银行对账单和财政部门额度余额是否相符。</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（二）本单位决算公开工作、主管部门对所属单位按规定批复决算工作开展情况。</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我院决算严格按财政要求，做到了公开内容完整、细化，及时公开，在批复后20日内进行了公开。</w:t>
      </w:r>
    </w:p>
    <w:p>
      <w:pPr>
        <w:adjustRightInd/>
        <w:snapToGrid/>
        <w:spacing w:after="0"/>
        <w:ind w:firstLine="480"/>
        <w:jc w:val="both"/>
        <w:rPr>
          <w:rFonts w:ascii="仿宋" w:hAnsi="仿宋" w:eastAsia="仿宋" w:cs="宋体"/>
          <w:color w:val="000000"/>
          <w:sz w:val="24"/>
          <w:szCs w:val="24"/>
        </w:rPr>
      </w:pPr>
      <w:r>
        <w:rPr>
          <w:rFonts w:hint="eastAsia" w:ascii="仿宋" w:hAnsi="仿宋" w:eastAsia="仿宋" w:cs="宋体"/>
          <w:color w:val="000000"/>
          <w:sz w:val="24"/>
          <w:szCs w:val="24"/>
        </w:rPr>
        <w:t>（三）对单位决算管理及报表设计的意见建议。</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无。</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（四）对加强部门决算数据分析利用工作的建议。</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无。</w:t>
      </w:r>
    </w:p>
    <w:p>
      <w:pPr>
        <w:adjustRightInd/>
        <w:snapToGrid/>
        <w:spacing w:after="0"/>
        <w:jc w:val="right"/>
        <w:rPr>
          <w:rFonts w:ascii="Calibri" w:hAnsi="Calibri" w:eastAsia="宋体" w:cs="宋体"/>
          <w:color w:val="000000"/>
          <w:sz w:val="21"/>
          <w:szCs w:val="21"/>
        </w:rPr>
      </w:pPr>
      <w:r>
        <w:fldChar w:fldCharType="begin"/>
      </w:r>
      <w:r>
        <w:instrText xml:space="preserve"> HYPERLINK "file:///C:\\RepTasks2018\\2018%E5%B9%B4%E5%BA%A6%E9%83%A8%E9%97%A8%E5%86%B3%E7%AE%97%E6%8A%A5%E8%A1%A8.TSK\\PARA\\2018%E5%B9%B4%E5%BA%A6%E9%83%A8%E9%97%A8%E5%86%B3%E7%AE%97%E6%8A%A5%E8%A1%A8.htm" \l "返回6" </w:instrText>
      </w:r>
      <w:r>
        <w:fldChar w:fldCharType="separate"/>
      </w:r>
      <w:r>
        <w:rPr>
          <w:rFonts w:hint="eastAsia" w:ascii="黑体" w:hAnsi="黑体" w:eastAsia="黑体" w:cs="宋体"/>
          <w:color w:val="800080"/>
          <w:sz w:val="24"/>
          <w:szCs w:val="24"/>
          <w:u w:val="single"/>
        </w:rPr>
        <w:t>返回</w:t>
      </w:r>
      <w:r>
        <w:rPr>
          <w:rFonts w:hint="eastAsia" w:ascii="黑体" w:hAnsi="黑体" w:eastAsia="黑体" w:cs="宋体"/>
          <w:color w:val="800080"/>
          <w:sz w:val="24"/>
          <w:szCs w:val="24"/>
          <w:u w:val="single"/>
        </w:rPr>
        <w:fldChar w:fldCharType="end"/>
      </w:r>
    </w:p>
    <w:p>
      <w:pPr>
        <w:adjustRightInd/>
        <w:snapToGrid/>
        <w:spacing w:after="0"/>
        <w:ind w:firstLine="480"/>
        <w:jc w:val="both"/>
        <w:rPr>
          <w:rFonts w:ascii="Calibri" w:hAnsi="Calibri" w:eastAsia="宋体" w:cs="宋体"/>
          <w:color w:val="000000"/>
          <w:sz w:val="21"/>
          <w:szCs w:val="21"/>
        </w:rPr>
      </w:pPr>
      <w:bookmarkStart w:id="1" w:name="附1：行政事业单位财务分析指标"/>
      <w:r>
        <w:rPr>
          <w:rFonts w:hint="eastAsia" w:ascii="黑体" w:hAnsi="黑体" w:eastAsia="黑体" w:cs="宋体"/>
          <w:color w:val="000000"/>
          <w:sz w:val="24"/>
          <w:szCs w:val="24"/>
        </w:rPr>
        <w:t>附：行政事业单位财务分析指标</w:t>
      </w:r>
      <w:bookmarkEnd w:id="1"/>
    </w:p>
    <w:p>
      <w:pPr>
        <w:adjustRightInd/>
        <w:snapToGrid/>
        <w:spacing w:after="0"/>
        <w:ind w:firstLine="480"/>
        <w:jc w:val="both"/>
        <w:rPr>
          <w:rFonts w:ascii="Calibri" w:hAnsi="Calibri" w:eastAsia="宋体" w:cs="宋体"/>
          <w:color w:val="000000"/>
          <w:sz w:val="21"/>
          <w:szCs w:val="21"/>
        </w:rPr>
      </w:pPr>
      <w:r>
        <w:rPr>
          <w:rFonts w:hint="eastAsia" w:ascii="黑体" w:hAnsi="黑体" w:eastAsia="黑体" w:cs="宋体"/>
          <w:color w:val="000000"/>
          <w:sz w:val="24"/>
          <w:szCs w:val="24"/>
        </w:rPr>
        <w:t>一、行政单位财务分析指标</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1．支出增长率，衡量行政单位支出的增长水平。计算公式为：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支出增长率＝(本期支出总额÷上期支出总额-1)×100%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2．当年预算支出完成率，衡量行政单位当年支出总预算及分项预算完成的程度。计算公式为：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当年预算支出完成率＝年终执行数÷（年初预算数±年中预算调整数）×100%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年终执行数不含上年结转和结余支出数。</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3．人均开支，衡量行政单位人均年消耗经费水平。计算公式为：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人均开支＝本期支出数÷本期平均在职人员数×100%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4．项目支出占总支出的比率，衡量行政单位的支出结构。计算公式为：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项目支出比率=本期项目支出数÷本期支出总数×100%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5．人员支出、公用支出占总支出的比率，衡量行政单位的支出结构。计算公式为：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人员支出比率=本期人员支出数÷本期支出总数×100%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公用支出比率=本期公用支出数÷本期支出总数×100%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6．人均办公使用面积，衡量行政单位办公用房配备情况。计算公式为：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人均办公使用面积=本期末单位办公用房使用面积÷本期末在职人员数</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7．人车比例，衡量行政单位公务用车配备情况。计算公式为：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人车比例=本期末在职人员数÷本期末公务用车实有数:1</w:t>
      </w:r>
    </w:p>
    <w:p>
      <w:pPr>
        <w:adjustRightInd/>
        <w:snapToGrid/>
        <w:spacing w:after="0"/>
        <w:ind w:firstLine="480"/>
        <w:jc w:val="both"/>
        <w:rPr>
          <w:rFonts w:ascii="Calibri" w:hAnsi="Calibri" w:eastAsia="宋体" w:cs="宋体"/>
          <w:color w:val="000000"/>
          <w:sz w:val="21"/>
          <w:szCs w:val="21"/>
        </w:rPr>
      </w:pPr>
      <w:r>
        <w:rPr>
          <w:rFonts w:hint="eastAsia" w:ascii="宋体" w:hAnsi="宋体" w:eastAsia="宋体" w:cs="宋体"/>
          <w:color w:val="000000"/>
          <w:sz w:val="24"/>
          <w:szCs w:val="24"/>
        </w:rPr>
        <w:t> </w:t>
      </w:r>
    </w:p>
    <w:p>
      <w:pPr>
        <w:adjustRightInd/>
        <w:snapToGrid/>
        <w:spacing w:after="0"/>
        <w:ind w:firstLine="480"/>
        <w:jc w:val="both"/>
        <w:rPr>
          <w:rFonts w:ascii="Calibri" w:hAnsi="Calibri" w:eastAsia="宋体" w:cs="宋体"/>
          <w:color w:val="000000"/>
          <w:sz w:val="21"/>
          <w:szCs w:val="21"/>
        </w:rPr>
      </w:pPr>
      <w:r>
        <w:rPr>
          <w:rFonts w:hint="eastAsia" w:ascii="黑体" w:hAnsi="黑体" w:eastAsia="黑体" w:cs="宋体"/>
          <w:color w:val="000000"/>
          <w:sz w:val="24"/>
          <w:szCs w:val="24"/>
        </w:rPr>
        <w:t>二、事业单位财务分析指标</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1．预算收入和支出完成率，衡量事业单位收入和支出总预算及分项预算完成的程度。计算公式为：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预算收入完成率＝年终执行数÷（年初预算数±年中预算调整数）×100%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年终执行数不含上年结转和结余收入数</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预算支出完成率＝年终执行数÷（年初预算数±年中预算调整数）×100%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年终执行数不含上年结转和结余支出数</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2．人员支出、公用支出占事业支出的比率，衡量事业单位事业支出结构。计算公式为：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人员支出比率＝人员支出÷事业支出×100%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公用支出比率＝公用支出÷事业支出×100%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3．人均基本支出，衡量事业单位按照实际在编人数平均的基本支出水平。计算公式为：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人均基本支出＝（基本支出-离退休人员支出）÷实际在编人数</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4．资产负债率，衡量事业单位利用债权人提供资金开展业务活动的能力，以及反映债权人提供资金的安全保障程度。计算公式为：</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资产负债率＝负债总额÷资产总额×100%</w:t>
      </w:r>
      <w:r>
        <w:rPr>
          <w:rFonts w:hint="eastAsia" w:ascii="宋体" w:hAnsi="宋体" w:eastAsia="宋体" w:cs="宋体"/>
          <w:color w:val="000000"/>
          <w:sz w:val="24"/>
          <w:szCs w:val="24"/>
        </w:rPr>
        <w:t> </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此外，行业事业单位还可根据相关财务制度规定和分析需要增加相关分析指标，如：</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1．财政拨款依存度,</w:t>
      </w:r>
      <w:r>
        <w:rPr>
          <w:rFonts w:hint="eastAsia" w:ascii="宋体" w:hAnsi="宋体" w:eastAsia="宋体" w:cs="宋体"/>
          <w:color w:val="000000"/>
          <w:sz w:val="24"/>
          <w:szCs w:val="24"/>
        </w:rPr>
        <w:t> </w:t>
      </w:r>
      <w:r>
        <w:rPr>
          <w:rFonts w:hint="eastAsia" w:ascii="仿宋" w:hAnsi="仿宋" w:eastAsia="仿宋" w:cs="宋体"/>
          <w:color w:val="000000"/>
          <w:sz w:val="24"/>
          <w:szCs w:val="24"/>
        </w:rPr>
        <w:t>衡量部门（单位）对财政拨款的依赖程度。</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财政拨款依存度＝财政拨款收入÷收入总额×100%</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2．固定资产成新率，反映部门（单位）固定资产的新旧程度。</w:t>
      </w:r>
    </w:p>
    <w:p>
      <w:pPr>
        <w:adjustRightInd/>
        <w:snapToGrid/>
        <w:spacing w:after="0"/>
        <w:ind w:firstLine="480"/>
        <w:jc w:val="both"/>
        <w:rPr>
          <w:rFonts w:ascii="Calibri" w:hAnsi="Calibri" w:eastAsia="宋体" w:cs="宋体"/>
          <w:color w:val="000000"/>
          <w:sz w:val="21"/>
          <w:szCs w:val="21"/>
        </w:rPr>
      </w:pPr>
      <w:r>
        <w:rPr>
          <w:rFonts w:hint="eastAsia" w:ascii="仿宋" w:hAnsi="仿宋" w:eastAsia="仿宋" w:cs="宋体"/>
          <w:color w:val="000000"/>
          <w:sz w:val="24"/>
          <w:szCs w:val="24"/>
        </w:rPr>
        <w:t>固定资产成新率=固定资产净值÷固定资产原值×100%</w:t>
      </w:r>
    </w:p>
    <w:p>
      <w:pPr>
        <w:adjustRightInd/>
        <w:snapToGrid/>
        <w:spacing w:after="0"/>
        <w:jc w:val="right"/>
        <w:rPr>
          <w:rFonts w:ascii="Calibri" w:hAnsi="Calibri" w:eastAsia="宋体" w:cs="宋体"/>
          <w:color w:val="000000"/>
          <w:sz w:val="21"/>
          <w:szCs w:val="21"/>
        </w:rPr>
      </w:pPr>
      <w:bookmarkStart w:id="2" w:name="部门决算分析报告撰写提纲（部门汇总版）"/>
      <w:bookmarkEnd w:id="2"/>
      <w:r>
        <w:rPr>
          <w:rFonts w:ascii="Calibri" w:hAnsi="Calibri" w:eastAsia="宋体" w:cs="宋体"/>
          <w:color w:val="000000"/>
          <w:sz w:val="21"/>
          <w:szCs w:val="21"/>
        </w:rPr>
        <w:fldChar w:fldCharType="begin"/>
      </w:r>
      <w:r>
        <w:rPr>
          <w:rFonts w:ascii="Calibri" w:hAnsi="Calibri" w:eastAsia="宋体" w:cs="宋体"/>
          <w:color w:val="000000"/>
          <w:sz w:val="21"/>
          <w:szCs w:val="21"/>
        </w:rPr>
        <w:instrText xml:space="preserve"> </w:instrText>
      </w:r>
      <w:r>
        <w:rPr>
          <w:rFonts w:hint="eastAsia" w:ascii="Calibri" w:hAnsi="Calibri" w:eastAsia="宋体" w:cs="宋体"/>
          <w:color w:val="000000"/>
          <w:sz w:val="21"/>
          <w:szCs w:val="21"/>
        </w:rPr>
        <w:instrText xml:space="preserve">HYPERLINK "file:///C:\\RepTasks2018\\2018%E5%B9%B4%E5%BA%A6%E9%83%A8%E9%97%A8%E5%86%B3%E7%AE%97%E6%8A%A5%E8%A1%A8.TSK\\PARA\\2018%E5%B9%B4%E5%BA%A6%E9%83%A8%E9%97%A8%E5%86%B3%E7%AE%97%E6%8A%A5%E8%A1%A8.htm" \l "返回6"</w:instrText>
      </w:r>
      <w:r>
        <w:rPr>
          <w:rFonts w:ascii="Calibri" w:hAnsi="Calibri" w:eastAsia="宋体" w:cs="宋体"/>
          <w:color w:val="000000"/>
          <w:sz w:val="21"/>
          <w:szCs w:val="21"/>
        </w:rPr>
        <w:instrText xml:space="preserve"> </w:instrText>
      </w:r>
      <w:r>
        <w:rPr>
          <w:rFonts w:ascii="Calibri" w:hAnsi="Calibri" w:eastAsia="宋体" w:cs="宋体"/>
          <w:color w:val="000000"/>
          <w:sz w:val="21"/>
          <w:szCs w:val="21"/>
        </w:rPr>
        <w:fldChar w:fldCharType="separate"/>
      </w:r>
      <w:r>
        <w:rPr>
          <w:rFonts w:hint="eastAsia" w:ascii="黑体" w:hAnsi="黑体" w:eastAsia="黑体" w:cs="宋体"/>
          <w:color w:val="800080"/>
          <w:sz w:val="24"/>
          <w:szCs w:val="24"/>
          <w:u w:val="single"/>
        </w:rPr>
        <w:t>返回</w:t>
      </w:r>
      <w:r>
        <w:rPr>
          <w:rFonts w:ascii="Calibri" w:hAnsi="Calibri" w:eastAsia="宋体" w:cs="宋体"/>
          <w:color w:val="000000"/>
          <w:sz w:val="21"/>
          <w:szCs w:val="21"/>
        </w:rPr>
        <w:fldChar w:fldCharType="end"/>
      </w:r>
    </w:p>
    <w:p/>
    <w:sectPr>
      <w:pgSz w:w="11906" w:h="16838"/>
      <w:pgMar w:top="1440" w:right="1800" w:bottom="1440" w:left="1800" w:header="708" w:footer="708" w:gutter="0"/>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2"/>
  </w:compat>
  <w:rsids>
    <w:rsidRoot w:val="007C455A"/>
    <w:rsid w:val="00054EFC"/>
    <w:rsid w:val="0010300A"/>
    <w:rsid w:val="00183E09"/>
    <w:rsid w:val="001D50AE"/>
    <w:rsid w:val="00206441"/>
    <w:rsid w:val="00313350"/>
    <w:rsid w:val="00323B43"/>
    <w:rsid w:val="003C41C9"/>
    <w:rsid w:val="003D35FB"/>
    <w:rsid w:val="003D37D8"/>
    <w:rsid w:val="00427E95"/>
    <w:rsid w:val="004358AB"/>
    <w:rsid w:val="004625CD"/>
    <w:rsid w:val="0047693A"/>
    <w:rsid w:val="00552D69"/>
    <w:rsid w:val="005C42C4"/>
    <w:rsid w:val="007C455A"/>
    <w:rsid w:val="00822873"/>
    <w:rsid w:val="008B7726"/>
    <w:rsid w:val="0091507C"/>
    <w:rsid w:val="009307D0"/>
    <w:rsid w:val="00935216"/>
    <w:rsid w:val="00952D66"/>
    <w:rsid w:val="00A1752B"/>
    <w:rsid w:val="00AE71FF"/>
    <w:rsid w:val="00B67F11"/>
    <w:rsid w:val="00C039D0"/>
    <w:rsid w:val="00CF5BF5"/>
    <w:rsid w:val="00D0294C"/>
    <w:rsid w:val="00F72C48"/>
    <w:rsid w:val="4E8602C6"/>
    <w:rsid w:val="55A46FA0"/>
    <w:rsid w:val="79E62F8B"/>
    <w:rsid w:val="7B0023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semiHidden/>
    <w:unhideWhenUsed/>
    <w:qFormat/>
    <w:uiPriority w:val="99"/>
    <w:pPr>
      <w:tabs>
        <w:tab w:val="center" w:pos="4153"/>
        <w:tab w:val="right" w:pos="8306"/>
      </w:tabs>
    </w:pPr>
    <w:rPr>
      <w:sz w:val="18"/>
      <w:szCs w:val="18"/>
    </w:rPr>
  </w:style>
  <w:style w:type="paragraph" w:styleId="3">
    <w:name w:val="header"/>
    <w:basedOn w:val="1"/>
    <w:link w:val="11"/>
    <w:semiHidden/>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unhideWhenUsed/>
    <w:qFormat/>
    <w:uiPriority w:val="99"/>
    <w:pPr>
      <w:spacing w:before="100" w:beforeAutospacing="1" w:after="100" w:afterAutospacing="1"/>
    </w:pPr>
    <w:rPr>
      <w:rFonts w:ascii="宋体" w:hAnsi="宋体" w:cs="宋体"/>
      <w:sz w:val="24"/>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qFormat/>
    <w:uiPriority w:val="22"/>
    <w:rPr>
      <w:b/>
    </w:rPr>
  </w:style>
  <w:style w:type="character" w:styleId="9">
    <w:name w:val="Hyperlink"/>
    <w:basedOn w:val="7"/>
    <w:semiHidden/>
    <w:unhideWhenUsed/>
    <w:qFormat/>
    <w:uiPriority w:val="99"/>
    <w:rPr>
      <w:color w:val="0000FF"/>
      <w:u w:val="single"/>
    </w:rPr>
  </w:style>
  <w:style w:type="character" w:customStyle="1" w:styleId="10">
    <w:name w:val="apple-converted-space"/>
    <w:basedOn w:val="7"/>
    <w:qFormat/>
    <w:uiPriority w:val="0"/>
  </w:style>
  <w:style w:type="character" w:customStyle="1" w:styleId="11">
    <w:name w:val="页眉 Char"/>
    <w:basedOn w:val="7"/>
    <w:link w:val="3"/>
    <w:semiHidden/>
    <w:qFormat/>
    <w:uiPriority w:val="99"/>
    <w:rPr>
      <w:rFonts w:ascii="Tahoma" w:hAnsi="Tahoma"/>
      <w:sz w:val="18"/>
      <w:szCs w:val="18"/>
    </w:rPr>
  </w:style>
  <w:style w:type="character" w:customStyle="1" w:styleId="12">
    <w:name w:val="页脚 Char"/>
    <w:basedOn w:val="7"/>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789</Words>
  <Characters>4502</Characters>
  <Lines>37</Lines>
  <Paragraphs>10</Paragraphs>
  <TotalTime>9</TotalTime>
  <ScaleCrop>false</ScaleCrop>
  <LinksUpToDate>false</LinksUpToDate>
  <CharactersWithSpaces>5281</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2020-02-16T03:19:00Z</dcterms:created>
  <dc:creator>user</dc:creator>
  <cp:lastModifiedBy>被熊痴的鱼</cp:lastModifiedBy>
  <dcterms:modified xsi:type="dcterms:W3CDTF">2021-05-07T07:45:24Z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E83070C8BBC54DD8B340BD13742588D0</vt:lpwstr>
  </property>
</Properties>
</file>