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jc w:val="center"/>
        <w:textAlignment w:val="auto"/>
        <w:rPr>
          <w:rFonts w:ascii="方正小标宋简体" w:hAnsi="方正小标宋简体" w:eastAsia="方正小标宋简体" w:cs="方正小标宋简体"/>
          <w:b/>
          <w:bCs/>
          <w:snapToGrid/>
          <w:kern w:val="2"/>
          <w:sz w:val="44"/>
          <w:szCs w:val="44"/>
        </w:rPr>
      </w:pPr>
      <w:r>
        <w:rPr>
          <w:rFonts w:hint="eastAsia" w:ascii="方正小标宋简体" w:hAnsi="方正小标宋简体" w:eastAsia="方正小标宋简体" w:cs="方正小标宋简体"/>
          <w:b/>
          <w:bCs/>
          <w:snapToGrid/>
          <w:kern w:val="2"/>
          <w:sz w:val="44"/>
          <w:szCs w:val="44"/>
        </w:rPr>
        <w:t>南昌市青云谱区司法局2021年度决算</w:t>
      </w:r>
    </w:p>
    <w:p>
      <w:pPr>
        <w:rPr>
          <w:rFonts w:ascii="方正小标宋简体" w:hAnsi="方正小标宋简体" w:eastAsia="方正小标宋简体" w:cs="方正小标宋简体"/>
          <w:b/>
          <w:bCs/>
          <w:sz w:val="44"/>
          <w:szCs w:val="44"/>
        </w:rPr>
      </w:pPr>
    </w:p>
    <w:p/>
    <w:p>
      <w:pPr>
        <w:widowControl w:val="0"/>
        <w:kinsoku/>
        <w:autoSpaceDE/>
        <w:autoSpaceDN/>
        <w:adjustRightInd/>
        <w:snapToGrid/>
        <w:jc w:val="center"/>
        <w:textAlignment w:val="auto"/>
        <w:rPr>
          <w:rFonts w:ascii="黑体" w:hAnsi="Times New Roman" w:eastAsia="黑体" w:cs="Times New Roman"/>
          <w:b/>
          <w:bCs/>
          <w:snapToGrid/>
          <w:kern w:val="2"/>
          <w:sz w:val="40"/>
          <w:szCs w:val="36"/>
        </w:rPr>
      </w:pPr>
      <w:r>
        <w:rPr>
          <w:rFonts w:hint="eastAsia" w:ascii="黑体" w:hAnsi="Times New Roman" w:eastAsia="黑体" w:cs="Times New Roman"/>
          <w:b/>
          <w:bCs/>
          <w:snapToGrid/>
          <w:kern w:val="2"/>
          <w:sz w:val="40"/>
          <w:szCs w:val="36"/>
        </w:rPr>
        <w:t>目     录</w:t>
      </w:r>
    </w:p>
    <w:p>
      <w:pPr>
        <w:widowControl w:val="0"/>
        <w:kinsoku/>
        <w:autoSpaceDE/>
        <w:autoSpaceDN/>
        <w:adjustRightInd/>
        <w:snapToGrid/>
        <w:jc w:val="center"/>
        <w:textAlignment w:val="auto"/>
        <w:rPr>
          <w:rFonts w:ascii="黑体" w:hAnsi="Times New Roman" w:eastAsia="黑体" w:cs="Times New Roman"/>
          <w:snapToGrid/>
          <w:kern w:val="2"/>
          <w:sz w:val="40"/>
          <w:szCs w:val="36"/>
        </w:rPr>
      </w:pPr>
    </w:p>
    <w:p>
      <w:pPr>
        <w:widowControl w:val="0"/>
        <w:autoSpaceDE/>
        <w:autoSpaceDN/>
        <w:adjustRightInd/>
        <w:snapToGrid/>
        <w:spacing w:line="580" w:lineRule="exact"/>
        <w:ind w:firstLine="640"/>
        <w:textAlignment w:val="center"/>
        <w:rPr>
          <w:rFonts w:ascii="黑体" w:hAnsi="黑体" w:eastAsia="黑体" w:cs="Times New Roman"/>
          <w:b/>
          <w:snapToGrid/>
          <w:kern w:val="2"/>
          <w:sz w:val="32"/>
          <w:szCs w:val="32"/>
        </w:rPr>
      </w:pPr>
      <w:r>
        <w:rPr>
          <w:rFonts w:hint="eastAsia" w:ascii="黑体" w:hAnsi="黑体" w:eastAsia="黑体" w:cs="Times New Roman"/>
          <w:b/>
          <w:snapToGrid/>
          <w:kern w:val="2"/>
          <w:sz w:val="32"/>
          <w:szCs w:val="32"/>
        </w:rPr>
        <w:t>第一部分   南昌市青云谱区司法局单位概况</w:t>
      </w:r>
    </w:p>
    <w:p>
      <w:pPr>
        <w:widowControl w:val="0"/>
        <w:autoSpaceDE/>
        <w:autoSpaceDN/>
        <w:adjustRightInd/>
        <w:snapToGrid/>
        <w:spacing w:line="580" w:lineRule="exact"/>
        <w:ind w:firstLine="604"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pacing w:val="11"/>
          <w:sz w:val="28"/>
          <w:szCs w:val="28"/>
        </w:rPr>
        <w:t>一、</w:t>
      </w:r>
      <w:r>
        <w:rPr>
          <w:rFonts w:hint="eastAsia" w:ascii="仿宋_GB2312" w:hAnsi="仿宋_GB2312" w:eastAsia="仿宋_GB2312" w:cs="仿宋_GB2312"/>
          <w:snapToGrid/>
          <w:kern w:val="2"/>
          <w:sz w:val="32"/>
          <w:szCs w:val="30"/>
        </w:rPr>
        <w:t>单位主要职责</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二、单位基本情况</w:t>
      </w:r>
    </w:p>
    <w:p>
      <w:pPr>
        <w:widowControl w:val="0"/>
        <w:autoSpaceDE/>
        <w:autoSpaceDN/>
        <w:adjustRightInd/>
        <w:snapToGrid/>
        <w:spacing w:line="580" w:lineRule="exact"/>
        <w:ind w:firstLine="640"/>
        <w:textAlignment w:val="center"/>
        <w:rPr>
          <w:rFonts w:ascii="黑体" w:hAnsi="黑体" w:eastAsia="黑体" w:cs="Times New Roman"/>
          <w:b/>
          <w:snapToGrid/>
          <w:kern w:val="2"/>
          <w:sz w:val="32"/>
          <w:szCs w:val="32"/>
        </w:rPr>
      </w:pPr>
      <w:r>
        <w:rPr>
          <w:rFonts w:hint="eastAsia" w:ascii="黑体" w:hAnsi="黑体" w:eastAsia="黑体" w:cs="Times New Roman"/>
          <w:b/>
          <w:snapToGrid/>
          <w:kern w:val="2"/>
          <w:sz w:val="32"/>
          <w:szCs w:val="32"/>
        </w:rPr>
        <w:t>第二部分  2021年度单位决算表</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一、收入支出决算总表</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二、收入决算表</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三、支出决算表</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四、财政拨款收入支出决算总表</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五、一般公共预算财政拨款支出决算表</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六、一般公共预算财政拨款基本支出决算表</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七、一般公共预算财政拨款“三公”经费支出决算表</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八、政府性基金预算财政拨款收入支出决算表</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九、国有资本经营预算财政拨款收入支出决算表</w:t>
      </w:r>
    </w:p>
    <w:p>
      <w:pPr>
        <w:widowControl w:val="0"/>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十、国有资产占用情况表</w:t>
      </w:r>
    </w:p>
    <w:p>
      <w:pPr>
        <w:widowControl w:val="0"/>
        <w:spacing w:line="580" w:lineRule="exact"/>
        <w:ind w:firstLine="643" w:firstLineChars="200"/>
        <w:textAlignment w:val="center"/>
        <w:rPr>
          <w:rFonts w:ascii="黑体" w:hAnsi="黑体" w:eastAsia="黑体" w:cs="Times New Roman"/>
          <w:b/>
          <w:snapToGrid/>
          <w:kern w:val="2"/>
          <w:sz w:val="32"/>
          <w:szCs w:val="32"/>
        </w:rPr>
      </w:pPr>
      <w:r>
        <w:rPr>
          <w:rFonts w:hint="eastAsia" w:ascii="黑体" w:hAnsi="黑体" w:eastAsia="黑体" w:cs="Times New Roman"/>
          <w:b/>
          <w:snapToGrid/>
          <w:kern w:val="2"/>
          <w:sz w:val="32"/>
          <w:szCs w:val="32"/>
        </w:rPr>
        <w:t>第三部分  2021年度单位决算情况说明</w:t>
      </w:r>
    </w:p>
    <w:p>
      <w:pPr>
        <w:widowControl w:val="0"/>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一、收入决算情况说明</w:t>
      </w:r>
    </w:p>
    <w:p>
      <w:pPr>
        <w:widowControl w:val="0"/>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二、支出决算情况说明</w:t>
      </w:r>
    </w:p>
    <w:p>
      <w:pPr>
        <w:widowControl w:val="0"/>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三、财政拨款支出决算情况说明</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四、一般公共预算财政拨款基本支出决算情况说明</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五、一般公共预算财政拨款“三公”经费支出决算 情况说明</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六、机关运行经费支出情况说明</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七、政府采购支出情况说明</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八、国有资产占用情况说明</w:t>
      </w:r>
    </w:p>
    <w:p>
      <w:pPr>
        <w:widowControl w:val="0"/>
        <w:autoSpaceDE/>
        <w:autoSpaceDN/>
        <w:adjustRightInd/>
        <w:snapToGrid/>
        <w:spacing w:line="580" w:lineRule="exact"/>
        <w:ind w:firstLine="640" w:firstLineChars="200"/>
        <w:textAlignment w:val="center"/>
        <w:rPr>
          <w:rFonts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九、预算绩效情况说明</w:t>
      </w:r>
    </w:p>
    <w:p>
      <w:pPr>
        <w:widowControl w:val="0"/>
        <w:autoSpaceDE/>
        <w:autoSpaceDN/>
        <w:adjustRightInd/>
        <w:snapToGrid/>
        <w:spacing w:line="580" w:lineRule="exact"/>
        <w:ind w:firstLine="640"/>
        <w:textAlignment w:val="center"/>
        <w:rPr>
          <w:rFonts w:ascii="黑体" w:hAnsi="黑体" w:eastAsia="黑体" w:cs="Times New Roman"/>
          <w:b/>
          <w:snapToGrid/>
          <w:kern w:val="2"/>
          <w:sz w:val="32"/>
          <w:szCs w:val="32"/>
        </w:rPr>
        <w:sectPr>
          <w:footerReference r:id="rId3" w:type="default"/>
          <w:pgSz w:w="11940" w:h="16870"/>
          <w:pgMar w:top="1984" w:right="1417" w:bottom="1984" w:left="1417" w:header="0" w:footer="1377" w:gutter="0"/>
          <w:cols w:space="720" w:num="1"/>
        </w:sectPr>
      </w:pPr>
      <w:r>
        <w:rPr>
          <w:rFonts w:hint="eastAsia" w:ascii="黑体" w:hAnsi="黑体" w:eastAsia="黑体" w:cs="Times New Roman"/>
          <w:b/>
          <w:snapToGrid/>
          <w:kern w:val="2"/>
          <w:sz w:val="32"/>
          <w:szCs w:val="32"/>
        </w:rPr>
        <w:t>第四部分 名词解释</w:t>
      </w:r>
    </w:p>
    <w:p>
      <w:pPr>
        <w:jc w:val="center"/>
        <w:rPr>
          <w:rFonts w:ascii="宋体" w:hAnsi="宋体" w:eastAsia="宋体" w:cs="Times New Roman"/>
          <w:b/>
          <w:snapToGrid/>
          <w:kern w:val="2"/>
          <w:sz w:val="44"/>
          <w:szCs w:val="44"/>
        </w:rPr>
      </w:pPr>
      <w:r>
        <w:rPr>
          <w:rFonts w:hint="eastAsia" w:ascii="宋体" w:hAnsi="宋体" w:eastAsia="宋体" w:cs="Times New Roman"/>
          <w:b/>
          <w:snapToGrid/>
          <w:kern w:val="2"/>
          <w:sz w:val="44"/>
          <w:szCs w:val="44"/>
        </w:rPr>
        <w:t>第一部分  南昌市青云谱区司法局单位概况</w:t>
      </w:r>
    </w:p>
    <w:p>
      <w:pPr>
        <w:spacing w:line="580" w:lineRule="exact"/>
        <w:rPr>
          <w:rFonts w:ascii="仿宋_GB2312" w:hAnsi="仿宋_GB2312" w:eastAsia="仿宋_GB2312" w:cs="仿宋_GB2312"/>
          <w:sz w:val="32"/>
          <w:szCs w:val="32"/>
        </w:rPr>
      </w:pPr>
    </w:p>
    <w:p>
      <w:pPr>
        <w:widowControl w:val="0"/>
        <w:kinsoku/>
        <w:autoSpaceDE/>
        <w:autoSpaceDN/>
        <w:adjustRightInd/>
        <w:snapToGrid/>
        <w:spacing w:line="580" w:lineRule="exact"/>
        <w:ind w:firstLine="630"/>
        <w:textAlignment w:val="auto"/>
        <w:rPr>
          <w:rFonts w:ascii="黑体" w:hAnsi="黑体" w:eastAsia="黑体" w:cs="Times New Roman"/>
          <w:b/>
          <w:bCs/>
          <w:snapToGrid/>
          <w:kern w:val="2"/>
          <w:sz w:val="32"/>
          <w:szCs w:val="32"/>
        </w:rPr>
      </w:pPr>
      <w:r>
        <w:rPr>
          <w:rFonts w:hint="eastAsia" w:ascii="黑体" w:hAnsi="黑体" w:eastAsia="黑体" w:cs="Times New Roman"/>
          <w:b/>
          <w:bCs/>
          <w:snapToGrid/>
          <w:kern w:val="2"/>
          <w:sz w:val="32"/>
          <w:szCs w:val="32"/>
        </w:rPr>
        <w:t>一、单位主要职能</w:t>
      </w:r>
    </w:p>
    <w:p>
      <w:pPr>
        <w:kinsoku/>
        <w:autoSpaceDE/>
        <w:autoSpaceDN/>
        <w:adjustRightInd/>
        <w:snapToGrid/>
        <w:spacing w:line="580" w:lineRule="exact"/>
        <w:ind w:firstLine="640" w:firstLineChars="200"/>
        <w:textAlignment w:val="auto"/>
        <w:rPr>
          <w:rFonts w:ascii="仿宋" w:hAnsi="仿宋" w:eastAsia="仿宋"/>
          <w:sz w:val="32"/>
          <w:szCs w:val="32"/>
        </w:rPr>
      </w:pPr>
      <w:r>
        <w:rPr>
          <w:rFonts w:hint="eastAsia" w:ascii="仿宋_GB2312" w:hAnsi="仿宋_GB2312" w:eastAsia="仿宋_GB2312" w:cs="仿宋_GB2312"/>
          <w:sz w:val="32"/>
          <w:szCs w:val="32"/>
        </w:rPr>
        <w:t>青云谱区司法局是主管司法行政工作的区政府组成部门，主要职责是：</w:t>
      </w:r>
      <w:r>
        <w:rPr>
          <w:rFonts w:hint="eastAsia" w:ascii="仿宋" w:hAnsi="仿宋" w:eastAsia="仿宋"/>
          <w:sz w:val="32"/>
          <w:szCs w:val="32"/>
        </w:rPr>
        <w:t xml:space="preserve"> </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承担全面依法治区重大问题的政策研究，开展全面依法治区理论与实践调查研究，并提出政策建议。协调有关方面提出全面依法治区长期规划建设、组织起草全面依法治区有关重要文件。负责全面依法治区重大决策部署和政策措施的督促、检查，拟定全面依法治区决策部署的年度督查工作计划，组织开展重大专项督查，提出督查意见、问责建议，指导、监督各部门、各街道、镇、园法治督查工作。</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承担统筹推进法治政府建设的责任。指导、监督区政府各部门，各街道、镇、园依法行政工作。负责综合协调行政执法，负责推进行政执法体制改革等相关工作，推进严格规范公正文明执法。负责行政复议和应诉案件办理工作，指导、监督全区行政复议和行政应诉工作。</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承担统筹规划法治社会建设的责任。负责拟订法治宣传教育规划，组织实施普法宣传工作，组织对外法治宣传。推动人民参与和促进法治建设，指导依法治理和法治创建工作。指导调解工作和人民陪审员、人民监督员选任管理工作，推进司法所建设。</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（四）指导、管理社区矫正工作，指导刑满释放人员帮教安置工作。</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（五）负责拟定公共法律服务体系建设规划并指导实施，统筹和布局城乡、区域法律服务资源。指导、监督律师、法律援助、公证和基层法律服务管理工作。组织开展法治对外合作交流。</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（六）负责本系统的警车管理工作，指导、监督本系统财务、装备、设施、场所等保障工作。</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（七）规划、协调、指导法治人才队伍建设相关工作，指导、监督本系统队伍建设。</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（八）承担青云谱区人民政府行政复议委员会办公室职责。</w:t>
      </w:r>
    </w:p>
    <w:p>
      <w:pPr>
        <w:spacing w:line="580" w:lineRule="exact"/>
        <w:ind w:firstLine="64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2"/>
          <w:szCs w:val="32"/>
        </w:rPr>
        <w:t>（九）完成区委和区政府交办的其他任务。</w:t>
      </w:r>
    </w:p>
    <w:p>
      <w:pPr>
        <w:widowControl w:val="0"/>
        <w:kinsoku/>
        <w:autoSpaceDE/>
        <w:autoSpaceDN/>
        <w:adjustRightInd/>
        <w:snapToGrid/>
        <w:spacing w:line="580" w:lineRule="exact"/>
        <w:ind w:firstLine="630"/>
        <w:textAlignment w:val="auto"/>
        <w:rPr>
          <w:rFonts w:ascii="黑体" w:hAnsi="黑体" w:eastAsia="黑体" w:cs="Times New Roman"/>
          <w:b/>
          <w:bCs/>
          <w:snapToGrid/>
          <w:kern w:val="2"/>
          <w:sz w:val="32"/>
          <w:szCs w:val="32"/>
        </w:rPr>
      </w:pPr>
      <w:r>
        <w:rPr>
          <w:rFonts w:hint="eastAsia" w:ascii="黑体" w:hAnsi="黑体" w:eastAsia="黑体" w:cs="Times New Roman"/>
          <w:b/>
          <w:bCs/>
          <w:snapToGrid/>
          <w:kern w:val="2"/>
          <w:sz w:val="32"/>
          <w:szCs w:val="32"/>
        </w:rPr>
        <w:t>二、单位基本情况</w:t>
      </w:r>
    </w:p>
    <w:p>
      <w:pPr>
        <w:spacing w:line="58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本单位设立</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个内设机构，分别是</w:t>
      </w:r>
      <w:r>
        <w:rPr>
          <w:rFonts w:hint="eastAsia" w:ascii="仿宋_GB2312" w:hAnsi="仿宋_GB2312" w:eastAsia="仿宋_GB2312" w:cs="仿宋_GB2312"/>
          <w:color w:val="auto"/>
          <w:sz w:val="32"/>
          <w:szCs w:val="32"/>
          <w:lang w:eastAsia="zh-CN"/>
        </w:rPr>
        <w:t>办公室、普法与依法治理科（区普法教育工作领导办公室）、人民参与和促进法治科、社区矫正股、法制科。</w:t>
      </w:r>
    </w:p>
    <w:p>
      <w:pPr>
        <w:spacing w:line="580" w:lineRule="exact"/>
        <w:ind w:firstLine="630"/>
        <w:rPr>
          <w:rFonts w:ascii="仿宋_GB2312" w:hAnsi="仿宋_GB2312" w:eastAsia="仿宋_GB2312" w:cs="仿宋_GB2312"/>
          <w:snapToGrid/>
          <w:kern w:val="2"/>
          <w:sz w:val="32"/>
          <w:szCs w:val="32"/>
        </w:rPr>
        <w:sectPr>
          <w:footerReference r:id="rId4" w:type="default"/>
          <w:pgSz w:w="11910" w:h="16850"/>
          <w:pgMar w:top="1984" w:right="1417" w:bottom="1984" w:left="1417" w:header="0" w:footer="1313" w:gutter="0"/>
          <w:cols w:space="720" w:num="1"/>
        </w:sectPr>
      </w:pPr>
      <w:r>
        <w:rPr>
          <w:rFonts w:hint="eastAsia" w:ascii="仿宋_GB2312" w:hAnsi="仿宋_GB2312" w:eastAsia="仿宋_GB2312" w:cs="仿宋_GB2312"/>
          <w:sz w:val="32"/>
          <w:szCs w:val="32"/>
        </w:rPr>
        <w:t>本部门2021年年末实有人数21人，其中在编人员21人，离休人员0人，退休人员8人。</w:t>
      </w:r>
      <w:bookmarkStart w:id="8" w:name="_GoBack"/>
      <w:bookmarkEnd w:id="8"/>
    </w:p>
    <w:p>
      <w:pPr>
        <w:numPr>
          <w:ilvl w:val="0"/>
          <w:numId w:val="1"/>
        </w:numPr>
        <w:jc w:val="center"/>
        <w:rPr>
          <w:rFonts w:ascii="宋体" w:hAnsi="宋体" w:eastAsia="宋体" w:cs="Times New Roman"/>
          <w:b/>
          <w:snapToGrid/>
          <w:kern w:val="2"/>
          <w:sz w:val="44"/>
          <w:szCs w:val="44"/>
        </w:rPr>
      </w:pPr>
      <w:r>
        <w:rPr>
          <w:sz w:val="44"/>
          <w:szCs w:val="44"/>
        </w:rPr>
        <w:pict>
          <v:shape id="_x0000_s2070" o:spid="_x0000_s2070" o:spt="100" style="position:absolute;left:0pt;margin-left:94.5pt;margin-top:616.95pt;height:5.55pt;width:1pt;mso-position-horizontal-relative:page;mso-position-vertical-relative:page;z-index:-251656192;mso-width-relative:page;mso-height-relative:page;" filled="f" coordsize="20,111" o:allowincell="f" o:gfxdata="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D86TzfXAAAADQEAAA8A&#10;AAAAAAAAAQAgAAAAIgAAAGRycy9kb3ducmV2LnhtbFBLAQIUABQAAAAIAIdO4kCDJjFgUQIAAMsE&#10;AAAOAAAAAAAAAAEAIAAAACYBAABkcnMvZTJvRG9jLnhtbFBLBQYAAAAABgAGAFkBAADpBQAAAAA=&#10;" adj=",," path="m10,0l10,110e">
            <v:path o:connecttype="segments"/>
            <v:fill on="f" focussize="0,0"/>
            <v:stroke weight="1pt" miterlimit="10" joinstyle="miter"/>
            <v:imagedata o:title=""/>
            <o:lock v:ext="edit"/>
          </v:shape>
        </w:pict>
      </w:r>
      <w:r>
        <w:rPr>
          <w:sz w:val="44"/>
          <w:szCs w:val="44"/>
        </w:rPr>
        <w:pict>
          <v:shape id="_x0000_s2069" o:spid="_x0000_s2069" o:spt="100" style="position:absolute;left:0pt;margin-left:95pt;margin-top:621.95pt;height:1pt;width:395.05pt;mso-position-horizontal-relative:page;mso-position-vertical-relative:page;z-index:251669504;mso-width-relative:page;mso-height-relative:page;" filled="f" coordsize="7900,20" o:allowincell="f" o:gfxdata="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BTAcbB2gAAAA0BAAAPAAAAAAAAAAEAIAAAACIA&#10;AABkcnMvZG93bnJldi54bWxQSwECFAAUAAAACACHTuJAimWDzLICAABtBwAADgAAAAAAAAABACAA&#10;AAApAQAAZHJzL2Uyb0RvYy54bWxQSwUGAAAAAAYABgBZAQAATQYAAAAA&#10;" adj=",," path="m0,10l590,10m590,10l1980,10m1980,10l2879,10m2879,10l3729,10m3729,10l4600,10m4600,10l5420,10m5420,10l6230,10m6230,10l7019,10m7019,10l7900,10e">
            <v:path o:connecttype="segments"/>
            <v:fill on="f" focussize="0,0"/>
            <v:stroke weight="1pt" miterlimit="10" joinstyle="miter"/>
            <v:imagedata o:title=""/>
            <o:lock v:ext="edit"/>
          </v:shape>
        </w:pict>
      </w:r>
      <w:r>
        <w:rPr>
          <w:sz w:val="44"/>
          <w:szCs w:val="44"/>
        </w:rPr>
        <w:pict>
          <v:shape id="_x0000_s2068" o:spid="_x0000_s2068" o:spt="100" style="position:absolute;left:0pt;margin-left:124pt;margin-top:616.95pt;height:5.55pt;width:1pt;mso-position-horizontal-relative:page;mso-position-vertical-relative:page;z-index:251676672;mso-width-relative:page;mso-height-relative:page;" filled="f" coordsize="20,111" o:allowincell="f" o:gfxdata="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Kq+AwPaAAAADQEA&#10;AA8AAAAAAAAAAQAgAAAAIgAAAGRycy9kb3ducmV2LnhtbFBLAQIUABQAAAAIAIdO4kBAhzw4UQIA&#10;AMsEAAAOAAAAAAAAAAEAIAAAACkBAABkcnMvZTJvRG9jLnhtbFBLBQYAAAAABgAGAFkBAADsBQAA&#10;AAA=&#10;" adj=",," path="m10,0l10,110e">
            <v:path o:connecttype="segments"/>
            <v:fill on="f" focussize="0,0"/>
            <v:stroke weight="1pt" miterlimit="10" joinstyle="miter"/>
            <v:imagedata o:title=""/>
            <o:lock v:ext="edit"/>
          </v:shape>
        </w:pict>
      </w:r>
      <w:r>
        <w:rPr>
          <w:sz w:val="44"/>
          <w:szCs w:val="44"/>
        </w:rPr>
        <w:pict>
          <v:shape id="_x0000_s2067" o:spid="_x0000_s2067" o:spt="100" style="position:absolute;left:0pt;margin-left:124pt;margin-top:616.95pt;height:5.55pt;width:1pt;mso-position-horizontal-relative:page;mso-position-vertical-relative:page;z-index:251664384;mso-width-relative:page;mso-height-relative:page;" filled="f" coordsize="20,111" o:allowincell="f" o:gfxdata="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Kq+AwPaAAAADQEA&#10;AA8AAAAAAAAAAQAgAAAAIgAAAGRycy9kb3ducmV2LnhtbFBLAQIUABQAAAAIAIdO4kAEnPOcUQIA&#10;AMsEAAAOAAAAAAAAAAEAIAAAACkBAABkcnMvZTJvRG9jLnhtbFBLBQYAAAAABgAGAFkBAADsBQAA&#10;AAA=&#10;" adj=",," path="m10,0l10,110e">
            <v:path o:connecttype="segments"/>
            <v:fill on="f" focussize="0,0"/>
            <v:stroke weight="1pt" miterlimit="10" joinstyle="miter"/>
            <v:imagedata o:title=""/>
            <o:lock v:ext="edit"/>
          </v:shape>
        </w:pict>
      </w:r>
      <w:r>
        <w:rPr>
          <w:sz w:val="44"/>
          <w:szCs w:val="44"/>
        </w:rPr>
        <w:pict>
          <v:shape id="_x0000_s2066" o:spid="_x0000_s2066" o:spt="100" style="position:absolute;left:0pt;margin-left:193.5pt;margin-top:616.95pt;height:5.55pt;width:1pt;mso-position-horizontal-relative:page;mso-position-vertical-relative:page;z-index:251674624;mso-width-relative:page;mso-height-relative:page;" filled="f" coordsize="20,111" o:allowincell="f" o:gfxdata="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GujwkLaAAAADQEA&#10;AA8AAAAAAAAAAQAgAAAAIgAAAGRycy9kb3ducmV2LnhtbFBLAQIUABQAAAAIAIdO4kDENpQRUQIA&#10;AMsEAAAOAAAAAAAAAAEAIAAAACkBAABkcnMvZTJvRG9jLnhtbFBLBQYAAAAABgAGAFkBAADsBQAA&#10;AAA=&#10;" adj=",," path="m10,0l10,110e">
            <v:path o:connecttype="segments"/>
            <v:fill on="f" focussize="0,0"/>
            <v:stroke weight="1pt" miterlimit="10" joinstyle="miter"/>
            <v:imagedata o:title=""/>
            <o:lock v:ext="edit"/>
          </v:shape>
        </w:pict>
      </w:r>
      <w:r>
        <w:rPr>
          <w:sz w:val="44"/>
          <w:szCs w:val="44"/>
        </w:rPr>
        <w:pict>
          <v:shape id="_x0000_s2065" o:spid="_x0000_s2065" o:spt="100" style="position:absolute;left:0pt;margin-left:238.45pt;margin-top:616.95pt;height:5.55pt;width:1pt;mso-position-horizontal-relative:page;mso-position-vertical-relative:page;z-index:251663360;mso-width-relative:page;mso-height-relative:page;" filled="f" coordsize="20,111" o:allowincell="f" o:gfxdata="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wHqDG9oAAAANAQAA&#10;DwAAAAAAAAABACAAAAAiAAAAZHJzL2Rvd25yZXYueG1sUEsBAhQAFAAAAAgAh07iQEOMVu1QAgAA&#10;ywQAAA4AAAAAAAAAAQAgAAAAKQEAAGRycy9lMm9Eb2MueG1sUEsFBgAAAAAGAAYAWQEAAOsFAAAA&#10;AA==&#10;" adj=",," path="m10,0l10,110e">
            <v:path o:connecttype="segments"/>
            <v:fill on="f" focussize="0,0"/>
            <v:stroke weight="1pt" miterlimit="10" joinstyle="miter"/>
            <v:imagedata o:title=""/>
            <o:lock v:ext="edit"/>
          </v:shape>
        </w:pict>
      </w:r>
      <w:r>
        <w:rPr>
          <w:sz w:val="44"/>
          <w:szCs w:val="44"/>
        </w:rPr>
        <w:pict>
          <v:shape id="_x0000_s2064" o:spid="_x0000_s2064" o:spt="100" style="position:absolute;left:0pt;margin-left:238.45pt;margin-top:616.95pt;height:5.55pt;width:1pt;mso-position-horizontal-relative:page;mso-position-vertical-relative:page;z-index:251673600;mso-width-relative:page;mso-height-relative:page;" filled="f" coordsize="20,111" o:allowincell="f" o:gfxdata="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MB6gxvaAAAADQEA&#10;AA8AAAAAAAAAAQAgAAAAIgAAAGRycy9kb3ducmV2LnhtbFBLAQIUABQAAAAIAIdO4kCB1IL5UQIA&#10;AMsEAAAOAAAAAAAAAAEAIAAAACkBAABkcnMvZTJvRG9jLnhtbFBLBQYAAAAABgAGAFkBAADsBQAA&#10;AAA=&#10;" adj=",," path="m10,0l10,110e">
            <v:path o:connecttype="segments"/>
            <v:fill on="f" focussize="0,0"/>
            <v:stroke weight="1pt" miterlimit="10" joinstyle="miter"/>
            <v:imagedata o:title=""/>
            <o:lock v:ext="edit"/>
          </v:shape>
        </w:pict>
      </w:r>
      <w:r>
        <w:rPr>
          <w:sz w:val="44"/>
          <w:szCs w:val="44"/>
        </w:rPr>
        <w:pict>
          <v:shape id="_x0000_s2063" o:spid="_x0000_s2063" o:spt="100" style="position:absolute;left:0pt;margin-left:280.95pt;margin-top:616.95pt;height:5.55pt;width:1pt;mso-position-horizontal-relative:page;mso-position-vertical-relative:page;z-index:251667456;mso-width-relative:page;mso-height-relative:page;" filled="f" coordsize="20,111" o:allowincell="f" o:gfxdata="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uHDMzZAAAADQEA&#10;AA8AAAAAAAAAAQAgAAAAIgAAAGRycy9kb3ducmV2LnhtbFBLAQIUABQAAAAIAIdO4kCALVu1UgIA&#10;AMsEAAAOAAAAAAAAAAEAIAAAACgBAABkcnMvZTJvRG9jLnhtbFBLBQYAAAAABgAGAFkBAADsBQAA&#10;AAA=&#10;" adj=",," path="m10,0l10,110e">
            <v:path o:connecttype="segments"/>
            <v:fill on="f" focussize="0,0"/>
            <v:stroke weight="1pt" miterlimit="10" joinstyle="miter"/>
            <v:imagedata o:title=""/>
            <o:lock v:ext="edit"/>
          </v:shape>
        </w:pict>
      </w:r>
      <w:r>
        <w:rPr>
          <w:sz w:val="44"/>
          <w:szCs w:val="44"/>
        </w:rPr>
        <w:pict>
          <v:shape id="_x0000_s2062" o:spid="_x0000_s2062" o:spt="100" style="position:absolute;left:0pt;margin-left:280.95pt;margin-top:616.95pt;height:5.55pt;width:1pt;mso-position-horizontal-relative:page;mso-position-vertical-relative:page;z-index:251672576;mso-width-relative:page;mso-height-relative:page;" filled="f" coordsize="20,111" o:allowincell="f" o:gfxdata="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7hwzM2QAAAA0BAAAP&#10;AAAAAAAAAAEAIAAAACIAAABkcnMvZG93bnJldi54bWxQSwECFAAUAAAACACHTuJATbJApVACAADN&#10;BAAADgAAAAAAAAABACAAAAAoAQAAZHJzL2Uyb0RvYy54bWxQSwUGAAAAAAYABgBZAQAA6gUAAAAA&#10;" adj=",," path="m10,0l10,110e">
            <v:path o:connecttype="segments"/>
            <v:fill on="f" focussize="0,0"/>
            <v:stroke weight="1pt" miterlimit="10" joinstyle="miter"/>
            <v:imagedata o:title=""/>
            <o:lock v:ext="edit"/>
          </v:shape>
        </w:pict>
      </w:r>
      <w:r>
        <w:rPr>
          <w:sz w:val="44"/>
          <w:szCs w:val="44"/>
        </w:rPr>
        <w:pict>
          <v:shape id="_x0000_s2061" o:spid="_x0000_s2061" o:spt="100" style="position:absolute;left:0pt;margin-left:324.5pt;margin-top:616.95pt;height:5.55pt;width:1pt;mso-position-horizontal-relative:page;mso-position-vertical-relative:page;z-index:251662336;mso-width-relative:page;mso-height-relative:page;" filled="f" coordsize="20,111" o:allowincell="f" o:gfxdata="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Vqqhf2QAAAA0BAAAP&#10;AAAAAAAAAAEAIAAAACIAAABkcnMvZG93bnJldi54bWxQSwECFAAUAAAACACHTuJArtHTaVACAADN&#10;BAAADgAAAAAAAAABACAAAAAoAQAAZHJzL2Uyb0RvYy54bWxQSwUGAAAAAAYABgBZAQAA6gUAAAAA&#10;" adj=",," path="m10,0l10,110e">
            <v:path o:connecttype="segments"/>
            <v:fill on="f" focussize="0,0"/>
            <v:stroke weight="1pt" miterlimit="10" joinstyle="miter"/>
            <v:imagedata o:title=""/>
            <o:lock v:ext="edit"/>
          </v:shape>
        </w:pict>
      </w:r>
      <w:r>
        <w:rPr>
          <w:sz w:val="44"/>
          <w:szCs w:val="44"/>
        </w:rPr>
        <w:pict>
          <v:shape id="_x0000_s2060" o:spid="_x0000_s2060" o:spt="100" style="position:absolute;left:0pt;margin-left:324.5pt;margin-top:616.95pt;height:5.55pt;width:1pt;mso-position-horizontal-relative:page;mso-position-vertical-relative:page;z-index:251677696;mso-width-relative:page;mso-height-relative:page;" filled="f" coordsize="20,111" o:allowincell="f" o:gfxdata="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VaqoX9kAAAANAQAA&#10;DwAAAAAAAAABACAAAAAiAAAAZHJzL2Rvd25yZXYueG1sUEsBAhQAFAAAAAgAh07iQMpzF+dRAgAA&#10;zQQAAA4AAAAAAAAAAQAgAAAAKAEAAGRycy9lMm9Eb2MueG1sUEsFBgAAAAAGAAYAWQEAAOsFAAAA&#10;AA==&#10;" adj=",," path="m10,0l10,110e">
            <v:path o:connecttype="segments"/>
            <v:fill on="f" focussize="0,0"/>
            <v:stroke weight="1pt" miterlimit="10" joinstyle="miter"/>
            <v:imagedata o:title=""/>
            <o:lock v:ext="edit"/>
          </v:shape>
        </w:pict>
      </w:r>
      <w:r>
        <w:rPr>
          <w:sz w:val="44"/>
          <w:szCs w:val="44"/>
        </w:rPr>
        <w:pict>
          <v:shape id="_x0000_s2059" o:spid="_x0000_s2059" o:spt="100" style="position:absolute;left:0pt;margin-left:365.5pt;margin-top:616.95pt;height:5.55pt;width:1pt;mso-position-horizontal-relative:page;mso-position-vertical-relative:page;z-index:251668480;mso-width-relative:page;mso-height-relative:page;" filled="f" coordsize="20,111" o:allowincell="f" o:gfxdata="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0cRPsdkAAAANAQAA&#10;DwAAAAAAAAABACAAAAAiAAAAZHJzL2Rvd25yZXYueG1sUEsBAhQAFAAAAAgAh07iQCkQhCtRAgAA&#10;zQQAAA4AAAAAAAAAAQAgAAAAKAEAAGRycy9lMm9Eb2MueG1sUEsFBgAAAAAGAAYAWQEAAOsFAAAA&#10;AA==&#10;" adj=",," path="m10,0l10,110e">
            <v:path o:connecttype="segments"/>
            <v:fill on="f" focussize="0,0"/>
            <v:stroke weight="1pt" miterlimit="10" joinstyle="miter"/>
            <v:imagedata o:title=""/>
            <o:lock v:ext="edit"/>
          </v:shape>
        </w:pict>
      </w:r>
      <w:r>
        <w:rPr>
          <w:sz w:val="44"/>
          <w:szCs w:val="44"/>
        </w:rPr>
        <w:pict>
          <v:shape id="_x0000_s2058" o:spid="_x0000_s2058" o:spt="100" style="position:absolute;left:0pt;margin-left:365.5pt;margin-top:616.95pt;height:5.55pt;width:1pt;mso-position-horizontal-relative:page;mso-position-vertical-relative:page;z-index:251671552;mso-width-relative:page;mso-height-relative:page;" filled="f" coordsize="20,111" o:allowincell="f" o:gfxdata="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0cRPsdkAAAANAQAA&#10;DwAAAAAAAAABACAAAAAiAAAAZHJzL2Rvd25yZXYueG1sUEsBAhQAFAAAAAgAh07iQEMx7yFRAgAA&#10;zQQAAA4AAAAAAAAAAQAgAAAAKAEAAGRycy9lMm9Eb2MueG1sUEsFBgAAAAAGAAYAWQEAAOsFAAAA&#10;AA==&#10;" adj=",," path="m10,0l10,110e">
            <v:path o:connecttype="segments"/>
            <v:fill on="f" focussize="0,0"/>
            <v:stroke weight="1pt" miterlimit="10" joinstyle="miter"/>
            <v:imagedata o:title=""/>
            <o:lock v:ext="edit"/>
          </v:shape>
        </w:pict>
      </w:r>
      <w:r>
        <w:rPr>
          <w:sz w:val="44"/>
          <w:szCs w:val="44"/>
        </w:rPr>
        <w:pict>
          <v:shape id="_x0000_s2057" o:spid="_x0000_s2057" o:spt="100" style="position:absolute;left:0pt;margin-left:406pt;margin-top:616.95pt;height:5.55pt;width:1pt;mso-position-horizontal-relative:page;mso-position-vertical-relative:page;z-index:251661312;mso-width-relative:page;mso-height-relative:page;" filled="f" coordsize="20,111" o:allowincell="f" o:gfxdata="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ovAJ9oAAAANAQAA&#10;DwAAAAAAAAABACAAAAAiAAAAZHJzL2Rvd25yZXYueG1sUEsBAhQAFAAAAAgAh07iQKBSfO1QAgAA&#10;zQQAAA4AAAAAAAAAAQAgAAAAKQEAAGRycy9lMm9Eb2MueG1sUEsFBgAAAAAGAAYAWQEAAOsFAAAA&#10;AA==&#10;" adj=",," path="m10,0l10,110e">
            <v:path o:connecttype="segments"/>
            <v:fill on="f" focussize="0,0"/>
            <v:stroke weight="1pt" miterlimit="10" joinstyle="miter"/>
            <v:imagedata o:title=""/>
            <o:lock v:ext="edit"/>
          </v:shape>
        </w:pict>
      </w:r>
      <w:r>
        <w:rPr>
          <w:sz w:val="44"/>
          <w:szCs w:val="44"/>
        </w:rPr>
        <w:pict>
          <v:shape id="_x0000_s2056" o:spid="_x0000_s2056" o:spt="100" style="position:absolute;left:0pt;margin-left:406pt;margin-top:616.95pt;height:5.55pt;width:1pt;mso-position-horizontal-relative:page;mso-position-vertical-relative:page;z-index:251675648;mso-width-relative:page;mso-height-relative:page;" filled="f" coordsize="20,111" o:allowincell="f" o:gfxdata="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qLwCfaAAAADQEA&#10;AA8AAAAAAAAAAQAgAAAAIgAAAGRycy9kb3ducmV2LnhtbFBLAQIUABQAAAAIAIdO4kDE8LhjUQIA&#10;AM0EAAAOAAAAAAAAAAEAIAAAACkBAABkcnMvZTJvRG9jLnhtbFBLBQYAAAAABgAGAFkBAADsBQAA&#10;AAA=&#10;" adj=",," path="m10,0l10,110e">
            <v:path o:connecttype="segments"/>
            <v:fill on="f" focussize="0,0"/>
            <v:stroke weight="1pt" miterlimit="10" joinstyle="miter"/>
            <v:imagedata o:title=""/>
            <o:lock v:ext="edit"/>
          </v:shape>
        </w:pict>
      </w:r>
      <w:r>
        <w:rPr>
          <w:sz w:val="44"/>
          <w:szCs w:val="44"/>
        </w:rPr>
        <w:pict>
          <v:shape id="_x0000_s2055" o:spid="_x0000_s2055" o:spt="100" style="position:absolute;left:0pt;margin-left:445.5pt;margin-top:616.95pt;height:5.55pt;width:1pt;mso-position-horizontal-relative:page;mso-position-vertical-relative:page;z-index:251666432;mso-width-relative:page;mso-height-relative:page;" filled="f" coordsize="20,111" o:allowincell="f" o:gfxdata="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cMnqVdkAAAANAQAA&#10;DwAAAAAAAAABACAAAAAiAAAAZHJzL2Rvd25yZXYueG1sUEsBAhQAFAAAAAgAh07iQCeTK69RAgAA&#10;zQQAAA4AAAAAAAAAAQAgAAAAKAEAAGRycy9lMm9Eb2MueG1sUEsFBgAAAAAGAAYAWQEAAOsFAAAA&#10;AA==&#10;" adj=",," path="m10,0l10,110e">
            <v:path o:connecttype="segments"/>
            <v:fill on="f" focussize="0,0"/>
            <v:stroke weight="1pt" miterlimit="10" joinstyle="miter"/>
            <v:imagedata o:title=""/>
            <o:lock v:ext="edit"/>
          </v:shape>
        </w:pict>
      </w:r>
      <w:r>
        <w:rPr>
          <w:sz w:val="44"/>
          <w:szCs w:val="44"/>
        </w:rPr>
        <w:pict>
          <v:shape id="_x0000_s2054" o:spid="_x0000_s2054" o:spt="100" style="position:absolute;left:0pt;margin-left:445.5pt;margin-top:616.95pt;height:5.55pt;width:1pt;mso-position-horizontal-relative:page;mso-position-vertical-relative:page;z-index:251670528;mso-width-relative:page;mso-height-relative:page;" filled="f" coordsize="20,111" o:allowincell="f" o:gfxdata="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wyepV2QAAAA0BAAAP&#10;AAAAAAAAAAEAIAAAACIAAABkcnMvZG93bnJldi54bWxQSwECFAAUAAAACACHTuJAELJud1ACAADN&#10;BAAADgAAAAAAAAABACAAAAAoAQAAZHJzL2Uyb0RvYy54bWxQSwUGAAAAAAYABgBZAQAA6gUAAAAA&#10;" adj=",," path="m10,0l10,110e">
            <v:path o:connecttype="segments"/>
            <v:fill on="f" focussize="0,0"/>
            <v:stroke weight="1pt" miterlimit="10" joinstyle="miter"/>
            <v:imagedata o:title=""/>
            <o:lock v:ext="edit"/>
          </v:shape>
        </w:pict>
      </w:r>
      <w:r>
        <w:rPr>
          <w:sz w:val="44"/>
          <w:szCs w:val="44"/>
        </w:rPr>
        <w:pict>
          <v:shape id="_x0000_s2053" o:spid="_x0000_s2053" o:spt="100" style="position:absolute;left:0pt;margin-left:489.5pt;margin-top:616.95pt;height:5.55pt;width:1pt;mso-position-horizontal-relative:page;mso-position-vertical-relative:page;z-index:251665408;mso-width-relative:page;mso-height-relative:page;" filled="f" coordsize="20,111" o:allowincell="f" o:gfxdata="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z+Je3aAAAADQEA&#10;AA8AAAAAAAAAAQAgAAAAIgAAAGRycy9kb3ducmV2LnhtbFBLAQIUABQAAAAIAIdO4kDz0f27UQIA&#10;AM0EAAAOAAAAAAAAAAEAIAAAACkBAABkcnMvZTJvRG9jLnhtbFBLBQYAAAAABgAGAFkBAADsBQAA&#10;AAA=&#10;" adj=",," path="m10,0l10,110e">
            <v:path o:connecttype="segments"/>
            <v:fill on="f" focussize="0,0"/>
            <v:stroke weight="1pt" miterlimit="10" joinstyle="miter"/>
            <v:imagedata o:title=""/>
            <o:lock v:ext="edit"/>
          </v:shape>
        </w:pict>
      </w:r>
      <w:r>
        <w:rPr>
          <w:rFonts w:hint="eastAsia" w:ascii="宋体" w:hAnsi="宋体" w:eastAsia="宋体" w:cs="Times New Roman"/>
          <w:b/>
          <w:snapToGrid/>
          <w:kern w:val="2"/>
          <w:sz w:val="44"/>
          <w:szCs w:val="44"/>
        </w:rPr>
        <w:t xml:space="preserve"> 2021年度单位决算表</w:t>
      </w:r>
    </w:p>
    <w:tbl>
      <w:tblPr>
        <w:tblStyle w:val="7"/>
        <w:tblpPr w:leftFromText="180" w:rightFromText="180" w:vertAnchor="text" w:horzAnchor="page" w:tblpX="1077" w:tblpY="357"/>
        <w:tblOverlap w:val="never"/>
        <w:tblW w:w="10037" w:type="dxa"/>
        <w:tblInd w:w="0" w:type="dxa"/>
        <w:tblLayout w:type="autofit"/>
        <w:tblCellMar>
          <w:top w:w="0" w:type="dxa"/>
          <w:left w:w="108" w:type="dxa"/>
          <w:bottom w:w="0" w:type="dxa"/>
          <w:right w:w="108" w:type="dxa"/>
        </w:tblCellMar>
      </w:tblPr>
      <w:tblGrid>
        <w:gridCol w:w="3216"/>
        <w:gridCol w:w="679"/>
        <w:gridCol w:w="1627"/>
        <w:gridCol w:w="2323"/>
        <w:gridCol w:w="656"/>
        <w:gridCol w:w="1536"/>
      </w:tblGrid>
      <w:tr>
        <w:tblPrEx>
          <w:tblCellMar>
            <w:top w:w="0" w:type="dxa"/>
            <w:left w:w="108" w:type="dxa"/>
            <w:bottom w:w="0" w:type="dxa"/>
            <w:right w:w="108" w:type="dxa"/>
          </w:tblCellMar>
        </w:tblPrEx>
        <w:trPr>
          <w:trHeight w:val="564" w:hRule="atLeast"/>
        </w:trPr>
        <w:tc>
          <w:tcPr>
            <w:tcW w:w="10037" w:type="dxa"/>
            <w:gridSpan w:val="6"/>
            <w:tcBorders>
              <w:top w:val="nil"/>
              <w:left w:val="nil"/>
              <w:bottom w:val="nil"/>
              <w:right w:val="nil"/>
            </w:tcBorders>
            <w:shd w:val="clear" w:color="auto" w:fill="auto"/>
            <w:noWrap/>
            <w:vAlign w:val="bottom"/>
          </w:tcPr>
          <w:p>
            <w:pPr>
              <w:jc w:val="center"/>
              <w:textAlignment w:val="bottom"/>
              <w:rPr>
                <w:rFonts w:ascii="宋体" w:hAnsi="宋体" w:eastAsia="宋体" w:cs="宋体"/>
                <w:sz w:val="44"/>
                <w:szCs w:val="44"/>
              </w:rPr>
            </w:pPr>
            <w:r>
              <w:rPr>
                <w:rFonts w:hint="eastAsia" w:ascii="宋体" w:hAnsi="宋体" w:eastAsia="宋体" w:cs="宋体"/>
                <w:sz w:val="44"/>
                <w:szCs w:val="44"/>
              </w:rPr>
              <w:t>收入支出决算总表</w:t>
            </w:r>
          </w:p>
        </w:tc>
      </w:tr>
      <w:tr>
        <w:tblPrEx>
          <w:tblCellMar>
            <w:top w:w="0" w:type="dxa"/>
            <w:left w:w="108" w:type="dxa"/>
            <w:bottom w:w="0" w:type="dxa"/>
            <w:right w:w="108" w:type="dxa"/>
          </w:tblCellMar>
        </w:tblPrEx>
        <w:trPr>
          <w:trHeight w:val="264" w:hRule="atLeast"/>
        </w:trPr>
        <w:tc>
          <w:tcPr>
            <w:tcW w:w="3216" w:type="dxa"/>
            <w:tcBorders>
              <w:top w:val="nil"/>
              <w:left w:val="nil"/>
              <w:bottom w:val="nil"/>
              <w:right w:val="nil"/>
            </w:tcBorders>
            <w:shd w:val="clear" w:color="auto" w:fill="auto"/>
            <w:noWrap/>
            <w:vAlign w:val="bottom"/>
          </w:tcPr>
          <w:p>
            <w:pPr>
              <w:rPr>
                <w:sz w:val="20"/>
                <w:szCs w:val="20"/>
              </w:rPr>
            </w:pPr>
          </w:p>
        </w:tc>
        <w:tc>
          <w:tcPr>
            <w:tcW w:w="679" w:type="dxa"/>
            <w:tcBorders>
              <w:top w:val="nil"/>
              <w:left w:val="nil"/>
              <w:bottom w:val="nil"/>
              <w:right w:val="nil"/>
            </w:tcBorders>
            <w:shd w:val="clear" w:color="auto" w:fill="auto"/>
            <w:noWrap/>
            <w:vAlign w:val="bottom"/>
          </w:tcPr>
          <w:p>
            <w:pPr>
              <w:rPr>
                <w:sz w:val="20"/>
                <w:szCs w:val="20"/>
              </w:rPr>
            </w:pPr>
          </w:p>
        </w:tc>
        <w:tc>
          <w:tcPr>
            <w:tcW w:w="1627" w:type="dxa"/>
            <w:tcBorders>
              <w:top w:val="nil"/>
              <w:left w:val="nil"/>
              <w:bottom w:val="nil"/>
              <w:right w:val="nil"/>
            </w:tcBorders>
            <w:shd w:val="clear" w:color="auto" w:fill="auto"/>
            <w:noWrap/>
            <w:vAlign w:val="bottom"/>
          </w:tcPr>
          <w:p>
            <w:pPr>
              <w:rPr>
                <w:sz w:val="20"/>
                <w:szCs w:val="20"/>
              </w:rPr>
            </w:pPr>
          </w:p>
        </w:tc>
        <w:tc>
          <w:tcPr>
            <w:tcW w:w="2323" w:type="dxa"/>
            <w:tcBorders>
              <w:top w:val="nil"/>
              <w:left w:val="nil"/>
              <w:bottom w:val="nil"/>
              <w:right w:val="nil"/>
            </w:tcBorders>
            <w:shd w:val="clear" w:color="auto" w:fill="auto"/>
            <w:noWrap/>
            <w:vAlign w:val="bottom"/>
          </w:tcPr>
          <w:p>
            <w:pPr>
              <w:rPr>
                <w:sz w:val="20"/>
                <w:szCs w:val="20"/>
              </w:rPr>
            </w:pPr>
          </w:p>
        </w:tc>
        <w:tc>
          <w:tcPr>
            <w:tcW w:w="656" w:type="dxa"/>
            <w:tcBorders>
              <w:top w:val="nil"/>
              <w:left w:val="nil"/>
              <w:bottom w:val="nil"/>
              <w:right w:val="nil"/>
            </w:tcBorders>
            <w:shd w:val="clear" w:color="auto" w:fill="auto"/>
            <w:noWrap/>
            <w:vAlign w:val="bottom"/>
          </w:tcPr>
          <w:p>
            <w:pPr>
              <w:rPr>
                <w:sz w:val="20"/>
                <w:szCs w:val="20"/>
              </w:rPr>
            </w:pPr>
          </w:p>
        </w:tc>
        <w:tc>
          <w:tcPr>
            <w:tcW w:w="1536" w:type="dxa"/>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公开01表</w:t>
            </w:r>
          </w:p>
        </w:tc>
      </w:tr>
      <w:tr>
        <w:tblPrEx>
          <w:tblCellMar>
            <w:top w:w="0" w:type="dxa"/>
            <w:left w:w="108" w:type="dxa"/>
            <w:bottom w:w="0" w:type="dxa"/>
            <w:right w:w="108" w:type="dxa"/>
          </w:tblCellMar>
        </w:tblPrEx>
        <w:trPr>
          <w:trHeight w:val="264" w:hRule="atLeast"/>
        </w:trPr>
        <w:tc>
          <w:tcPr>
            <w:tcW w:w="3216" w:type="dxa"/>
            <w:tcBorders>
              <w:top w:val="nil"/>
              <w:left w:val="nil"/>
              <w:bottom w:val="nil"/>
              <w:right w:val="nil"/>
            </w:tcBorders>
            <w:shd w:val="clear" w:color="auto" w:fill="auto"/>
            <w:noWrap/>
            <w:vAlign w:val="bottom"/>
          </w:tcPr>
          <w:p>
            <w:pPr>
              <w:textAlignment w:val="bottom"/>
              <w:rPr>
                <w:rFonts w:ascii="宋体" w:hAnsi="宋体" w:eastAsia="宋体" w:cs="宋体"/>
                <w:sz w:val="20"/>
                <w:szCs w:val="20"/>
              </w:rPr>
            </w:pPr>
            <w:r>
              <w:rPr>
                <w:rFonts w:hint="eastAsia" w:ascii="宋体" w:hAnsi="宋体" w:eastAsia="宋体" w:cs="宋体"/>
                <w:sz w:val="20"/>
                <w:szCs w:val="20"/>
              </w:rPr>
              <w:t>编制单位：南昌市青云谱区司法局</w:t>
            </w:r>
          </w:p>
        </w:tc>
        <w:tc>
          <w:tcPr>
            <w:tcW w:w="679" w:type="dxa"/>
            <w:tcBorders>
              <w:top w:val="nil"/>
              <w:left w:val="nil"/>
              <w:bottom w:val="nil"/>
              <w:right w:val="nil"/>
            </w:tcBorders>
            <w:shd w:val="clear" w:color="auto" w:fill="auto"/>
            <w:noWrap/>
            <w:vAlign w:val="bottom"/>
          </w:tcPr>
          <w:p>
            <w:pPr>
              <w:rPr>
                <w:sz w:val="20"/>
                <w:szCs w:val="20"/>
              </w:rPr>
            </w:pPr>
          </w:p>
        </w:tc>
        <w:tc>
          <w:tcPr>
            <w:tcW w:w="1627" w:type="dxa"/>
            <w:tcBorders>
              <w:top w:val="nil"/>
              <w:left w:val="nil"/>
              <w:bottom w:val="nil"/>
              <w:right w:val="nil"/>
            </w:tcBorders>
            <w:shd w:val="clear" w:color="auto" w:fill="auto"/>
            <w:noWrap/>
            <w:vAlign w:val="bottom"/>
          </w:tcPr>
          <w:p>
            <w:pPr>
              <w:jc w:val="center"/>
              <w:textAlignment w:val="bottom"/>
              <w:rPr>
                <w:rFonts w:ascii="宋体" w:hAnsi="宋体" w:eastAsia="宋体" w:cs="宋体"/>
                <w:sz w:val="20"/>
                <w:szCs w:val="20"/>
              </w:rPr>
            </w:pPr>
            <w:r>
              <w:rPr>
                <w:rFonts w:hint="eastAsia" w:ascii="宋体" w:hAnsi="宋体" w:eastAsia="宋体" w:cs="宋体"/>
                <w:sz w:val="20"/>
                <w:szCs w:val="20"/>
              </w:rPr>
              <w:t>2021年度</w:t>
            </w:r>
          </w:p>
        </w:tc>
        <w:tc>
          <w:tcPr>
            <w:tcW w:w="2323" w:type="dxa"/>
            <w:tcBorders>
              <w:top w:val="nil"/>
              <w:left w:val="nil"/>
              <w:bottom w:val="nil"/>
              <w:right w:val="nil"/>
            </w:tcBorders>
            <w:shd w:val="clear" w:color="auto" w:fill="auto"/>
            <w:noWrap/>
            <w:vAlign w:val="bottom"/>
          </w:tcPr>
          <w:p>
            <w:pPr>
              <w:rPr>
                <w:sz w:val="20"/>
                <w:szCs w:val="20"/>
              </w:rPr>
            </w:pPr>
          </w:p>
        </w:tc>
        <w:tc>
          <w:tcPr>
            <w:tcW w:w="656" w:type="dxa"/>
            <w:tcBorders>
              <w:top w:val="nil"/>
              <w:left w:val="nil"/>
              <w:bottom w:val="nil"/>
              <w:right w:val="nil"/>
            </w:tcBorders>
            <w:shd w:val="clear" w:color="auto" w:fill="auto"/>
            <w:noWrap/>
            <w:vAlign w:val="bottom"/>
          </w:tcPr>
          <w:p>
            <w:pPr>
              <w:rPr>
                <w:sz w:val="20"/>
                <w:szCs w:val="20"/>
              </w:rPr>
            </w:pPr>
          </w:p>
        </w:tc>
        <w:tc>
          <w:tcPr>
            <w:tcW w:w="1536" w:type="dxa"/>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金额单位：元</w:t>
            </w:r>
          </w:p>
        </w:tc>
      </w:tr>
      <w:tr>
        <w:tblPrEx>
          <w:tblCellMar>
            <w:top w:w="0" w:type="dxa"/>
            <w:left w:w="108" w:type="dxa"/>
            <w:bottom w:w="0" w:type="dxa"/>
            <w:right w:w="108" w:type="dxa"/>
          </w:tblCellMar>
        </w:tblPrEx>
        <w:trPr>
          <w:trHeight w:val="288" w:hRule="atLeast"/>
        </w:trPr>
        <w:tc>
          <w:tcPr>
            <w:tcW w:w="5522"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收     入</w:t>
            </w:r>
          </w:p>
        </w:tc>
        <w:tc>
          <w:tcPr>
            <w:tcW w:w="4515" w:type="dxa"/>
            <w:gridSpan w:val="3"/>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支     出</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    目</w:t>
            </w:r>
          </w:p>
        </w:tc>
        <w:tc>
          <w:tcPr>
            <w:tcW w:w="679"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行次</w:t>
            </w:r>
          </w:p>
        </w:tc>
        <w:tc>
          <w:tcPr>
            <w:tcW w:w="1627"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决算数</w:t>
            </w:r>
          </w:p>
        </w:tc>
        <w:tc>
          <w:tcPr>
            <w:tcW w:w="2323"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项目（按功能分类）</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行次</w:t>
            </w:r>
          </w:p>
        </w:tc>
        <w:tc>
          <w:tcPr>
            <w:tcW w:w="153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决算数</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栏    次</w:t>
            </w:r>
          </w:p>
        </w:tc>
        <w:tc>
          <w:tcPr>
            <w:tcW w:w="679" w:type="dxa"/>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627"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w:t>
            </w:r>
          </w:p>
        </w:tc>
        <w:tc>
          <w:tcPr>
            <w:tcW w:w="2323"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栏    次</w:t>
            </w:r>
          </w:p>
        </w:tc>
        <w:tc>
          <w:tcPr>
            <w:tcW w:w="656" w:type="dxa"/>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53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w:t>
            </w:r>
          </w:p>
        </w:tc>
      </w:tr>
      <w:tr>
        <w:tblPrEx>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一、一般公共预算财政拨款收入</w:t>
            </w: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w:t>
            </w:r>
          </w:p>
        </w:tc>
        <w:tc>
          <w:tcPr>
            <w:tcW w:w="1627" w:type="dxa"/>
            <w:tcBorders>
              <w:top w:val="nil"/>
              <w:left w:val="nil"/>
              <w:bottom w:val="single" w:color="000000" w:sz="4" w:space="0"/>
              <w:right w:val="single" w:color="000000" w:sz="4" w:space="0"/>
            </w:tcBorders>
            <w:shd w:val="clear" w:color="auto" w:fill="auto"/>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8,159,842.98</w:t>
            </w: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一、一般公共服务支出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32</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二、政府性基金预算财政拨款收入</w:t>
            </w: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w:t>
            </w:r>
          </w:p>
        </w:tc>
        <w:tc>
          <w:tcPr>
            <w:tcW w:w="1627" w:type="dxa"/>
            <w:tcBorders>
              <w:top w:val="nil"/>
              <w:left w:val="nil"/>
              <w:bottom w:val="single" w:color="000000" w:sz="4" w:space="0"/>
              <w:right w:val="single" w:color="000000" w:sz="4" w:space="0"/>
            </w:tcBorders>
            <w:shd w:val="clear" w:color="auto" w:fill="auto"/>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二、外交支出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33</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三、国有资本经营预算财政拨款收入</w:t>
            </w: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w:t>
            </w:r>
          </w:p>
        </w:tc>
        <w:tc>
          <w:tcPr>
            <w:tcW w:w="1627" w:type="dxa"/>
            <w:tcBorders>
              <w:top w:val="nil"/>
              <w:left w:val="nil"/>
              <w:bottom w:val="single" w:color="000000" w:sz="4" w:space="0"/>
              <w:right w:val="single" w:color="000000" w:sz="4" w:space="0"/>
            </w:tcBorders>
            <w:shd w:val="clear" w:color="auto" w:fill="auto"/>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三、国防支出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34</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四、上级补助收入</w:t>
            </w: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w:t>
            </w:r>
          </w:p>
        </w:tc>
        <w:tc>
          <w:tcPr>
            <w:tcW w:w="1627" w:type="dxa"/>
            <w:tcBorders>
              <w:top w:val="nil"/>
              <w:left w:val="nil"/>
              <w:bottom w:val="single" w:color="000000" w:sz="4" w:space="0"/>
              <w:right w:val="single" w:color="000000" w:sz="4" w:space="0"/>
            </w:tcBorders>
            <w:shd w:val="clear" w:color="auto" w:fill="auto"/>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四、公共安全支出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35</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8,022,090.55</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五、事业收入</w:t>
            </w: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w:t>
            </w:r>
          </w:p>
        </w:tc>
        <w:tc>
          <w:tcPr>
            <w:tcW w:w="1627" w:type="dxa"/>
            <w:tcBorders>
              <w:top w:val="nil"/>
              <w:left w:val="nil"/>
              <w:bottom w:val="single" w:color="000000" w:sz="4" w:space="0"/>
              <w:right w:val="single" w:color="000000" w:sz="4" w:space="0"/>
            </w:tcBorders>
            <w:shd w:val="clear" w:color="auto" w:fill="auto"/>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五、教育支出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36</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六、经营收入</w:t>
            </w: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6</w:t>
            </w:r>
          </w:p>
        </w:tc>
        <w:tc>
          <w:tcPr>
            <w:tcW w:w="1627" w:type="dxa"/>
            <w:tcBorders>
              <w:top w:val="nil"/>
              <w:left w:val="nil"/>
              <w:bottom w:val="single" w:color="000000" w:sz="4" w:space="0"/>
              <w:right w:val="single" w:color="000000" w:sz="4" w:space="0"/>
            </w:tcBorders>
            <w:shd w:val="clear" w:color="auto" w:fill="auto"/>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六、科学技术支出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37</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七、附属单位上缴收入</w:t>
            </w: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7</w:t>
            </w:r>
          </w:p>
        </w:tc>
        <w:tc>
          <w:tcPr>
            <w:tcW w:w="1627" w:type="dxa"/>
            <w:tcBorders>
              <w:top w:val="nil"/>
              <w:left w:val="nil"/>
              <w:bottom w:val="single" w:color="000000" w:sz="4" w:space="0"/>
              <w:right w:val="single" w:color="000000" w:sz="4" w:space="0"/>
            </w:tcBorders>
            <w:shd w:val="clear" w:color="auto" w:fill="auto"/>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七、文化旅游体育与传媒支出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38</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八、其他收入</w:t>
            </w: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8</w:t>
            </w:r>
          </w:p>
        </w:tc>
        <w:tc>
          <w:tcPr>
            <w:tcW w:w="1627" w:type="dxa"/>
            <w:tcBorders>
              <w:top w:val="nil"/>
              <w:left w:val="nil"/>
              <w:bottom w:val="single" w:color="000000" w:sz="4" w:space="0"/>
              <w:right w:val="single" w:color="000000" w:sz="4" w:space="0"/>
            </w:tcBorders>
            <w:shd w:val="clear" w:color="auto" w:fill="auto"/>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八、社会保障和就业支出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39</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137,752.43</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9</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九、卫生健康支出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40</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10</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十、节能环保支出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41</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11</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十一、城乡社区支出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42</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12</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十二、农林水支出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43</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13</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十三、交通运输支出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44</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14</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十四、资源勘探工业信息等支出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45</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15</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十五、商业服务业等支出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46</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16</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十六、金融支出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47</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17</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十七、援助其他地区支出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48</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18</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十八、自然资源海洋气象等支出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49</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19</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十九、住房保障支出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50</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20</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二十、粮油物资储备支出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51</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21</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二十一、国有资本经营预算支出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52</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22</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二十二、灾害防治及应急管理支出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53</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23</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二十三、其他支出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54</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24</w:t>
            </w:r>
          </w:p>
        </w:tc>
        <w:tc>
          <w:tcPr>
            <w:tcW w:w="1627"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二十四、债务还本支出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55</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jc w:val="center"/>
              <w:rPr>
                <w:rFonts w:ascii="宋体" w:hAnsi="宋体" w:eastAsia="宋体" w:cs="宋体"/>
                <w:b/>
                <w:bCs/>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25</w:t>
            </w:r>
          </w:p>
        </w:tc>
        <w:tc>
          <w:tcPr>
            <w:tcW w:w="1627" w:type="dxa"/>
            <w:tcBorders>
              <w:top w:val="nil"/>
              <w:left w:val="nil"/>
              <w:bottom w:val="single" w:color="000000" w:sz="4" w:space="0"/>
              <w:right w:val="single" w:color="000000" w:sz="4" w:space="0"/>
            </w:tcBorders>
            <w:shd w:val="clear" w:color="auto" w:fill="auto"/>
            <w:vAlign w:val="center"/>
          </w:tcPr>
          <w:p>
            <w:pPr>
              <w:jc w:val="right"/>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二十五、债务付息支出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56</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679"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26</w:t>
            </w:r>
          </w:p>
        </w:tc>
        <w:tc>
          <w:tcPr>
            <w:tcW w:w="1627" w:type="dxa"/>
            <w:tcBorders>
              <w:top w:val="nil"/>
              <w:left w:val="nil"/>
              <w:bottom w:val="single" w:color="000000" w:sz="4" w:space="0"/>
              <w:right w:val="single" w:color="000000" w:sz="4" w:space="0"/>
            </w:tcBorders>
            <w:shd w:val="clear" w:color="auto" w:fill="auto"/>
            <w:vAlign w:val="center"/>
          </w:tcPr>
          <w:p>
            <w:pPr>
              <w:jc w:val="right"/>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二十六、抗疫特别国债安排的支出</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57</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本年收入合计</w:t>
            </w:r>
          </w:p>
        </w:tc>
        <w:tc>
          <w:tcPr>
            <w:tcW w:w="679"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27</w:t>
            </w:r>
          </w:p>
        </w:tc>
        <w:tc>
          <w:tcPr>
            <w:tcW w:w="16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8,159,842.98</w:t>
            </w:r>
          </w:p>
        </w:tc>
        <w:tc>
          <w:tcPr>
            <w:tcW w:w="2323" w:type="dxa"/>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本年支出合计</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58</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8,159,842.98</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使用非财政拨款结余</w:t>
            </w:r>
          </w:p>
        </w:tc>
        <w:tc>
          <w:tcPr>
            <w:tcW w:w="679"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28</w:t>
            </w:r>
          </w:p>
        </w:tc>
        <w:tc>
          <w:tcPr>
            <w:tcW w:w="16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2323" w:type="dxa"/>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结余分配                 </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59</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年初结转和结余</w:t>
            </w:r>
          </w:p>
        </w:tc>
        <w:tc>
          <w:tcPr>
            <w:tcW w:w="679"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29</w:t>
            </w:r>
          </w:p>
        </w:tc>
        <w:tc>
          <w:tcPr>
            <w:tcW w:w="16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2323" w:type="dxa"/>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年末结转和结余                                </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60</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pPr>
              <w:jc w:val="center"/>
              <w:rPr>
                <w:rFonts w:ascii="宋体" w:hAnsi="宋体" w:eastAsia="宋体" w:cs="宋体"/>
                <w:b/>
                <w:bCs/>
                <w:sz w:val="22"/>
                <w:szCs w:val="22"/>
              </w:rPr>
            </w:pPr>
          </w:p>
        </w:tc>
        <w:tc>
          <w:tcPr>
            <w:tcW w:w="679"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30</w:t>
            </w:r>
          </w:p>
        </w:tc>
        <w:tc>
          <w:tcPr>
            <w:tcW w:w="1627"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2323" w:type="dxa"/>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b/>
                <w:bCs/>
                <w:sz w:val="22"/>
                <w:szCs w:val="22"/>
              </w:rPr>
            </w:pP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61</w:t>
            </w:r>
          </w:p>
        </w:tc>
        <w:tc>
          <w:tcPr>
            <w:tcW w:w="1536"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r>
      <w:tr>
        <w:tblPrEx>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b/>
                <w:bCs/>
                <w:sz w:val="22"/>
                <w:szCs w:val="22"/>
              </w:rPr>
            </w:pPr>
            <w:r>
              <w:rPr>
                <w:rFonts w:hint="eastAsia" w:ascii="宋体" w:hAnsi="宋体" w:eastAsia="宋体" w:cs="宋体"/>
                <w:b/>
                <w:bCs/>
                <w:sz w:val="22"/>
                <w:szCs w:val="22"/>
              </w:rPr>
              <w:t>总计</w:t>
            </w:r>
          </w:p>
        </w:tc>
        <w:tc>
          <w:tcPr>
            <w:tcW w:w="679"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31</w:t>
            </w:r>
          </w:p>
        </w:tc>
        <w:tc>
          <w:tcPr>
            <w:tcW w:w="16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8,159,842.98</w:t>
            </w:r>
          </w:p>
        </w:tc>
        <w:tc>
          <w:tcPr>
            <w:tcW w:w="2323"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b/>
                <w:bCs/>
                <w:sz w:val="22"/>
                <w:szCs w:val="22"/>
              </w:rPr>
            </w:pPr>
            <w:r>
              <w:rPr>
                <w:rFonts w:hint="eastAsia" w:ascii="宋体" w:hAnsi="宋体" w:eastAsia="宋体" w:cs="宋体"/>
                <w:b/>
                <w:bCs/>
                <w:sz w:val="22"/>
                <w:szCs w:val="22"/>
              </w:rPr>
              <w:t>总计</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62</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8,159,842.98</w:t>
            </w:r>
          </w:p>
        </w:tc>
      </w:tr>
      <w:tr>
        <w:tblPrEx>
          <w:tblCellMar>
            <w:top w:w="0" w:type="dxa"/>
            <w:left w:w="108" w:type="dxa"/>
            <w:bottom w:w="0" w:type="dxa"/>
            <w:right w:w="108" w:type="dxa"/>
          </w:tblCellMar>
        </w:tblPrEx>
        <w:trPr>
          <w:trHeight w:val="288" w:hRule="atLeast"/>
        </w:trPr>
        <w:tc>
          <w:tcPr>
            <w:tcW w:w="10037" w:type="dxa"/>
            <w:gridSpan w:val="6"/>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注：1.本表反映部门本年度的总收支和年末结转结余情况。</w:t>
            </w:r>
          </w:p>
        </w:tc>
      </w:tr>
      <w:tr>
        <w:tblPrEx>
          <w:tblCellMar>
            <w:top w:w="0" w:type="dxa"/>
            <w:left w:w="108" w:type="dxa"/>
            <w:bottom w:w="0" w:type="dxa"/>
            <w:right w:w="108" w:type="dxa"/>
          </w:tblCellMar>
        </w:tblPrEx>
        <w:trPr>
          <w:trHeight w:val="288" w:hRule="atLeast"/>
        </w:trPr>
        <w:tc>
          <w:tcPr>
            <w:tcW w:w="10037" w:type="dxa"/>
            <w:gridSpan w:val="6"/>
            <w:tcBorders>
              <w:top w:val="nil"/>
              <w:left w:val="nil"/>
              <w:bottom w:val="nil"/>
              <w:right w:val="nil"/>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2.本套报表金额单位转换时可能存在尾数误差。</w:t>
            </w:r>
          </w:p>
        </w:tc>
      </w:tr>
    </w:tbl>
    <w:p>
      <w:pPr>
        <w:jc w:val="both"/>
        <w:rPr>
          <w:rFonts w:ascii="宋体" w:hAnsi="宋体" w:eastAsia="宋体" w:cs="Times New Roman"/>
          <w:b/>
          <w:snapToGrid/>
          <w:kern w:val="2"/>
          <w:sz w:val="32"/>
          <w:szCs w:val="30"/>
        </w:rPr>
      </w:pPr>
    </w:p>
    <w:p/>
    <w:p/>
    <w:p/>
    <w:p/>
    <w:p/>
    <w:p/>
    <w:p/>
    <w:p/>
    <w:p/>
    <w:p/>
    <w:p/>
    <w:p/>
    <w:p/>
    <w:p/>
    <w:p/>
    <w:p/>
    <w:p/>
    <w:p/>
    <w:p/>
    <w:p/>
    <w:p/>
    <w:p/>
    <w:p/>
    <w:p/>
    <w:p/>
    <w:p/>
    <w:p/>
    <w:p/>
    <w:p/>
    <w:p/>
    <w:p/>
    <w:p/>
    <w:p/>
    <w:p/>
    <w:p/>
    <w:p/>
    <w:p>
      <w:pPr>
        <w:sectPr>
          <w:pgSz w:w="11906" w:h="16838"/>
          <w:pgMar w:top="1440" w:right="1800" w:bottom="1440" w:left="1800" w:header="851" w:footer="992" w:gutter="0"/>
          <w:cols w:space="425" w:num="1"/>
          <w:docGrid w:type="lines" w:linePitch="312" w:charSpace="0"/>
        </w:sectPr>
      </w:pPr>
    </w:p>
    <w:tbl>
      <w:tblPr>
        <w:tblStyle w:val="7"/>
        <w:tblpPr w:leftFromText="180" w:rightFromText="180" w:vertAnchor="text" w:horzAnchor="page" w:tblpX="1648" w:tblpY="561"/>
        <w:tblOverlap w:val="never"/>
        <w:tblW w:w="13491" w:type="dxa"/>
        <w:tblInd w:w="0" w:type="dxa"/>
        <w:tblLayout w:type="fixed"/>
        <w:tblCellMar>
          <w:top w:w="0" w:type="dxa"/>
          <w:left w:w="108" w:type="dxa"/>
          <w:bottom w:w="0" w:type="dxa"/>
          <w:right w:w="108" w:type="dxa"/>
        </w:tblCellMar>
      </w:tblPr>
      <w:tblGrid>
        <w:gridCol w:w="780"/>
        <w:gridCol w:w="407"/>
        <w:gridCol w:w="436"/>
        <w:gridCol w:w="3516"/>
        <w:gridCol w:w="1536"/>
        <w:gridCol w:w="1536"/>
        <w:gridCol w:w="1016"/>
        <w:gridCol w:w="1096"/>
        <w:gridCol w:w="1096"/>
        <w:gridCol w:w="656"/>
        <w:gridCol w:w="1416"/>
      </w:tblGrid>
      <w:tr>
        <w:tblPrEx>
          <w:tblCellMar>
            <w:top w:w="0" w:type="dxa"/>
            <w:left w:w="108" w:type="dxa"/>
            <w:bottom w:w="0" w:type="dxa"/>
            <w:right w:w="108" w:type="dxa"/>
          </w:tblCellMar>
        </w:tblPrEx>
        <w:trPr>
          <w:trHeight w:val="564" w:hRule="atLeast"/>
        </w:trPr>
        <w:tc>
          <w:tcPr>
            <w:tcW w:w="13491" w:type="dxa"/>
            <w:gridSpan w:val="11"/>
            <w:tcBorders>
              <w:top w:val="nil"/>
              <w:left w:val="nil"/>
              <w:bottom w:val="nil"/>
              <w:right w:val="nil"/>
            </w:tcBorders>
            <w:shd w:val="clear" w:color="auto" w:fill="auto"/>
            <w:noWrap/>
            <w:vAlign w:val="bottom"/>
          </w:tcPr>
          <w:p>
            <w:pPr>
              <w:jc w:val="center"/>
              <w:textAlignment w:val="bottom"/>
              <w:rPr>
                <w:rFonts w:ascii="宋体" w:hAnsi="宋体" w:eastAsia="宋体" w:cs="宋体"/>
                <w:sz w:val="44"/>
                <w:szCs w:val="44"/>
              </w:rPr>
            </w:pPr>
            <w:r>
              <w:rPr>
                <w:rFonts w:hint="eastAsia" w:ascii="宋体" w:hAnsi="宋体" w:eastAsia="宋体" w:cs="宋体"/>
                <w:sz w:val="44"/>
                <w:szCs w:val="44"/>
              </w:rPr>
              <w:t>收入决算表</w:t>
            </w:r>
          </w:p>
        </w:tc>
      </w:tr>
      <w:tr>
        <w:tblPrEx>
          <w:tblCellMar>
            <w:top w:w="0" w:type="dxa"/>
            <w:left w:w="108" w:type="dxa"/>
            <w:bottom w:w="0" w:type="dxa"/>
            <w:right w:w="108" w:type="dxa"/>
          </w:tblCellMar>
        </w:tblPrEx>
        <w:trPr>
          <w:trHeight w:val="264" w:hRule="atLeast"/>
        </w:trPr>
        <w:tc>
          <w:tcPr>
            <w:tcW w:w="780" w:type="dxa"/>
            <w:tcBorders>
              <w:top w:val="nil"/>
              <w:left w:val="nil"/>
              <w:bottom w:val="nil"/>
              <w:right w:val="nil"/>
            </w:tcBorders>
            <w:shd w:val="clear" w:color="auto" w:fill="auto"/>
            <w:noWrap/>
            <w:vAlign w:val="bottom"/>
          </w:tcPr>
          <w:p>
            <w:pPr>
              <w:rPr>
                <w:sz w:val="20"/>
                <w:szCs w:val="20"/>
              </w:rPr>
            </w:pPr>
          </w:p>
        </w:tc>
        <w:tc>
          <w:tcPr>
            <w:tcW w:w="407" w:type="dxa"/>
            <w:tcBorders>
              <w:top w:val="nil"/>
              <w:left w:val="nil"/>
              <w:bottom w:val="nil"/>
              <w:right w:val="nil"/>
            </w:tcBorders>
            <w:shd w:val="clear" w:color="auto" w:fill="auto"/>
            <w:noWrap/>
            <w:vAlign w:val="bottom"/>
          </w:tcPr>
          <w:p>
            <w:pPr>
              <w:rPr>
                <w:sz w:val="20"/>
                <w:szCs w:val="20"/>
              </w:rPr>
            </w:pPr>
          </w:p>
        </w:tc>
        <w:tc>
          <w:tcPr>
            <w:tcW w:w="436" w:type="dxa"/>
            <w:tcBorders>
              <w:top w:val="nil"/>
              <w:left w:val="nil"/>
              <w:bottom w:val="nil"/>
              <w:right w:val="nil"/>
            </w:tcBorders>
            <w:shd w:val="clear" w:color="auto" w:fill="auto"/>
            <w:noWrap/>
            <w:vAlign w:val="bottom"/>
          </w:tcPr>
          <w:p>
            <w:pPr>
              <w:rPr>
                <w:sz w:val="20"/>
                <w:szCs w:val="20"/>
              </w:rPr>
            </w:pPr>
          </w:p>
        </w:tc>
        <w:tc>
          <w:tcPr>
            <w:tcW w:w="3516" w:type="dxa"/>
            <w:tcBorders>
              <w:top w:val="nil"/>
              <w:left w:val="nil"/>
              <w:bottom w:val="nil"/>
              <w:right w:val="nil"/>
            </w:tcBorders>
            <w:shd w:val="clear" w:color="auto" w:fill="auto"/>
            <w:noWrap/>
            <w:vAlign w:val="bottom"/>
          </w:tcPr>
          <w:p>
            <w:pPr>
              <w:rPr>
                <w:sz w:val="20"/>
                <w:szCs w:val="20"/>
              </w:rPr>
            </w:pPr>
          </w:p>
        </w:tc>
        <w:tc>
          <w:tcPr>
            <w:tcW w:w="1536" w:type="dxa"/>
            <w:tcBorders>
              <w:top w:val="nil"/>
              <w:left w:val="nil"/>
              <w:bottom w:val="nil"/>
              <w:right w:val="nil"/>
            </w:tcBorders>
            <w:shd w:val="clear" w:color="auto" w:fill="auto"/>
            <w:noWrap/>
            <w:vAlign w:val="bottom"/>
          </w:tcPr>
          <w:p>
            <w:pPr>
              <w:rPr>
                <w:sz w:val="20"/>
                <w:szCs w:val="20"/>
              </w:rPr>
            </w:pPr>
          </w:p>
        </w:tc>
        <w:tc>
          <w:tcPr>
            <w:tcW w:w="1536" w:type="dxa"/>
            <w:tcBorders>
              <w:top w:val="nil"/>
              <w:left w:val="nil"/>
              <w:bottom w:val="nil"/>
              <w:right w:val="nil"/>
            </w:tcBorders>
            <w:shd w:val="clear" w:color="auto" w:fill="auto"/>
            <w:noWrap/>
            <w:vAlign w:val="bottom"/>
          </w:tcPr>
          <w:p>
            <w:pPr>
              <w:rPr>
                <w:sz w:val="20"/>
                <w:szCs w:val="20"/>
              </w:rPr>
            </w:pPr>
          </w:p>
        </w:tc>
        <w:tc>
          <w:tcPr>
            <w:tcW w:w="1016" w:type="dxa"/>
            <w:tcBorders>
              <w:top w:val="nil"/>
              <w:left w:val="nil"/>
              <w:bottom w:val="nil"/>
              <w:right w:val="nil"/>
            </w:tcBorders>
            <w:shd w:val="clear" w:color="auto" w:fill="auto"/>
            <w:noWrap/>
            <w:vAlign w:val="bottom"/>
          </w:tcPr>
          <w:p>
            <w:pPr>
              <w:rPr>
                <w:sz w:val="20"/>
                <w:szCs w:val="20"/>
              </w:rPr>
            </w:pPr>
          </w:p>
        </w:tc>
        <w:tc>
          <w:tcPr>
            <w:tcW w:w="1096" w:type="dxa"/>
            <w:tcBorders>
              <w:top w:val="nil"/>
              <w:left w:val="nil"/>
              <w:bottom w:val="nil"/>
              <w:right w:val="nil"/>
            </w:tcBorders>
            <w:shd w:val="clear" w:color="auto" w:fill="auto"/>
            <w:noWrap/>
            <w:vAlign w:val="bottom"/>
          </w:tcPr>
          <w:p>
            <w:pPr>
              <w:rPr>
                <w:sz w:val="20"/>
                <w:szCs w:val="20"/>
              </w:rPr>
            </w:pPr>
          </w:p>
        </w:tc>
        <w:tc>
          <w:tcPr>
            <w:tcW w:w="1096" w:type="dxa"/>
            <w:tcBorders>
              <w:top w:val="nil"/>
              <w:left w:val="nil"/>
              <w:bottom w:val="nil"/>
              <w:right w:val="nil"/>
            </w:tcBorders>
            <w:shd w:val="clear" w:color="auto" w:fill="auto"/>
            <w:noWrap/>
            <w:vAlign w:val="bottom"/>
          </w:tcPr>
          <w:p>
            <w:pPr>
              <w:rPr>
                <w:sz w:val="20"/>
                <w:szCs w:val="20"/>
              </w:rPr>
            </w:pPr>
          </w:p>
        </w:tc>
        <w:tc>
          <w:tcPr>
            <w:tcW w:w="656" w:type="dxa"/>
            <w:tcBorders>
              <w:top w:val="nil"/>
              <w:left w:val="nil"/>
              <w:bottom w:val="nil"/>
              <w:right w:val="nil"/>
            </w:tcBorders>
            <w:shd w:val="clear" w:color="auto" w:fill="auto"/>
            <w:noWrap/>
            <w:vAlign w:val="bottom"/>
          </w:tcPr>
          <w:p>
            <w:pPr>
              <w:rPr>
                <w:sz w:val="20"/>
                <w:szCs w:val="20"/>
              </w:rPr>
            </w:pPr>
          </w:p>
        </w:tc>
        <w:tc>
          <w:tcPr>
            <w:tcW w:w="1416" w:type="dxa"/>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公开02表</w:t>
            </w:r>
          </w:p>
        </w:tc>
      </w:tr>
      <w:tr>
        <w:tblPrEx>
          <w:tblCellMar>
            <w:top w:w="0" w:type="dxa"/>
            <w:left w:w="108" w:type="dxa"/>
            <w:bottom w:w="0" w:type="dxa"/>
            <w:right w:w="108" w:type="dxa"/>
          </w:tblCellMar>
        </w:tblPrEx>
        <w:trPr>
          <w:trHeight w:val="264" w:hRule="atLeast"/>
        </w:trPr>
        <w:tc>
          <w:tcPr>
            <w:tcW w:w="5139" w:type="dxa"/>
            <w:gridSpan w:val="4"/>
            <w:tcBorders>
              <w:top w:val="nil"/>
              <w:left w:val="nil"/>
              <w:bottom w:val="nil"/>
              <w:right w:val="nil"/>
            </w:tcBorders>
            <w:shd w:val="clear" w:color="auto" w:fill="auto"/>
            <w:noWrap/>
            <w:vAlign w:val="bottom"/>
          </w:tcPr>
          <w:p>
            <w:pPr>
              <w:rPr>
                <w:sz w:val="20"/>
                <w:szCs w:val="20"/>
              </w:rPr>
            </w:pPr>
            <w:r>
              <w:rPr>
                <w:rFonts w:hint="eastAsia" w:ascii="宋体" w:hAnsi="宋体" w:eastAsia="宋体" w:cs="宋体"/>
                <w:sz w:val="20"/>
                <w:szCs w:val="20"/>
              </w:rPr>
              <w:t>编制单位：南昌市青云谱区司法局</w:t>
            </w:r>
          </w:p>
        </w:tc>
        <w:tc>
          <w:tcPr>
            <w:tcW w:w="1536" w:type="dxa"/>
            <w:tcBorders>
              <w:top w:val="nil"/>
              <w:left w:val="nil"/>
              <w:bottom w:val="nil"/>
              <w:right w:val="nil"/>
            </w:tcBorders>
            <w:shd w:val="clear" w:color="auto" w:fill="auto"/>
            <w:noWrap/>
            <w:vAlign w:val="bottom"/>
          </w:tcPr>
          <w:p>
            <w:pPr>
              <w:rPr>
                <w:sz w:val="20"/>
                <w:szCs w:val="20"/>
              </w:rPr>
            </w:pPr>
          </w:p>
        </w:tc>
        <w:tc>
          <w:tcPr>
            <w:tcW w:w="1536" w:type="dxa"/>
            <w:tcBorders>
              <w:top w:val="nil"/>
              <w:left w:val="nil"/>
              <w:bottom w:val="nil"/>
              <w:right w:val="nil"/>
            </w:tcBorders>
            <w:shd w:val="clear" w:color="auto" w:fill="auto"/>
            <w:noWrap/>
            <w:vAlign w:val="bottom"/>
          </w:tcPr>
          <w:p>
            <w:pPr>
              <w:rPr>
                <w:sz w:val="20"/>
                <w:szCs w:val="20"/>
              </w:rPr>
            </w:pPr>
          </w:p>
        </w:tc>
        <w:tc>
          <w:tcPr>
            <w:tcW w:w="1016" w:type="dxa"/>
            <w:tcBorders>
              <w:top w:val="nil"/>
              <w:left w:val="nil"/>
              <w:bottom w:val="nil"/>
              <w:right w:val="nil"/>
            </w:tcBorders>
            <w:shd w:val="clear" w:color="auto" w:fill="auto"/>
            <w:noWrap/>
            <w:vAlign w:val="bottom"/>
          </w:tcPr>
          <w:p>
            <w:pPr>
              <w:jc w:val="center"/>
              <w:textAlignment w:val="bottom"/>
              <w:rPr>
                <w:rFonts w:ascii="宋体" w:hAnsi="宋体" w:eastAsia="宋体" w:cs="宋体"/>
                <w:sz w:val="20"/>
                <w:szCs w:val="20"/>
              </w:rPr>
            </w:pPr>
            <w:r>
              <w:rPr>
                <w:rFonts w:hint="eastAsia" w:ascii="宋体" w:hAnsi="宋体" w:eastAsia="宋体" w:cs="宋体"/>
                <w:sz w:val="20"/>
                <w:szCs w:val="20"/>
              </w:rPr>
              <w:t>2021年度</w:t>
            </w:r>
          </w:p>
        </w:tc>
        <w:tc>
          <w:tcPr>
            <w:tcW w:w="1096" w:type="dxa"/>
            <w:tcBorders>
              <w:top w:val="nil"/>
              <w:left w:val="nil"/>
              <w:bottom w:val="nil"/>
              <w:right w:val="nil"/>
            </w:tcBorders>
            <w:shd w:val="clear" w:color="auto" w:fill="auto"/>
            <w:noWrap/>
            <w:vAlign w:val="bottom"/>
          </w:tcPr>
          <w:p>
            <w:pPr>
              <w:rPr>
                <w:sz w:val="20"/>
                <w:szCs w:val="20"/>
              </w:rPr>
            </w:pPr>
          </w:p>
        </w:tc>
        <w:tc>
          <w:tcPr>
            <w:tcW w:w="1096" w:type="dxa"/>
            <w:tcBorders>
              <w:top w:val="nil"/>
              <w:left w:val="nil"/>
              <w:bottom w:val="nil"/>
              <w:right w:val="nil"/>
            </w:tcBorders>
            <w:shd w:val="clear" w:color="auto" w:fill="auto"/>
            <w:noWrap/>
            <w:vAlign w:val="bottom"/>
          </w:tcPr>
          <w:p>
            <w:pPr>
              <w:rPr>
                <w:sz w:val="20"/>
                <w:szCs w:val="20"/>
              </w:rPr>
            </w:pPr>
          </w:p>
        </w:tc>
        <w:tc>
          <w:tcPr>
            <w:tcW w:w="656" w:type="dxa"/>
            <w:tcBorders>
              <w:top w:val="nil"/>
              <w:left w:val="nil"/>
              <w:bottom w:val="nil"/>
              <w:right w:val="nil"/>
            </w:tcBorders>
            <w:shd w:val="clear" w:color="auto" w:fill="auto"/>
            <w:noWrap/>
            <w:vAlign w:val="bottom"/>
          </w:tcPr>
          <w:p>
            <w:pPr>
              <w:rPr>
                <w:sz w:val="20"/>
                <w:szCs w:val="20"/>
              </w:rPr>
            </w:pPr>
          </w:p>
        </w:tc>
        <w:tc>
          <w:tcPr>
            <w:tcW w:w="1416" w:type="dxa"/>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金额单位：元</w:t>
            </w:r>
          </w:p>
        </w:tc>
      </w:tr>
      <w:tr>
        <w:tblPrEx>
          <w:tblCellMar>
            <w:top w:w="0" w:type="dxa"/>
            <w:left w:w="108" w:type="dxa"/>
            <w:bottom w:w="0" w:type="dxa"/>
            <w:right w:w="108" w:type="dxa"/>
          </w:tblCellMar>
        </w:tblPrEx>
        <w:trPr>
          <w:trHeight w:val="308" w:hRule="atLeast"/>
        </w:trPr>
        <w:tc>
          <w:tcPr>
            <w:tcW w:w="5139"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    目</w:t>
            </w:r>
          </w:p>
        </w:tc>
        <w:tc>
          <w:tcPr>
            <w:tcW w:w="1536" w:type="dxa"/>
            <w:vMerge w:val="restart"/>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本年收入合计</w:t>
            </w:r>
          </w:p>
        </w:tc>
        <w:tc>
          <w:tcPr>
            <w:tcW w:w="1536" w:type="dxa"/>
            <w:vMerge w:val="restart"/>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财政拨款收入</w:t>
            </w:r>
          </w:p>
        </w:tc>
        <w:tc>
          <w:tcPr>
            <w:tcW w:w="1016" w:type="dxa"/>
            <w:vMerge w:val="restart"/>
            <w:tcBorders>
              <w:top w:val="single" w:color="000000" w:sz="4" w:space="0"/>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上级补助收入</w:t>
            </w:r>
          </w:p>
        </w:tc>
        <w:tc>
          <w:tcPr>
            <w:tcW w:w="1096" w:type="dxa"/>
            <w:vMerge w:val="restart"/>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事业收入</w:t>
            </w:r>
          </w:p>
        </w:tc>
        <w:tc>
          <w:tcPr>
            <w:tcW w:w="1096" w:type="dxa"/>
            <w:vMerge w:val="restart"/>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经营收入</w:t>
            </w:r>
          </w:p>
        </w:tc>
        <w:tc>
          <w:tcPr>
            <w:tcW w:w="656" w:type="dxa"/>
            <w:vMerge w:val="restart"/>
            <w:tcBorders>
              <w:top w:val="single" w:color="000000" w:sz="4" w:space="0"/>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附属单位上缴收入</w:t>
            </w:r>
          </w:p>
        </w:tc>
        <w:tc>
          <w:tcPr>
            <w:tcW w:w="1416" w:type="dxa"/>
            <w:vMerge w:val="restart"/>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其他收入</w:t>
            </w:r>
          </w:p>
        </w:tc>
      </w:tr>
      <w:tr>
        <w:tblPrEx>
          <w:tblCellMar>
            <w:top w:w="0" w:type="dxa"/>
            <w:left w:w="108" w:type="dxa"/>
            <w:bottom w:w="0" w:type="dxa"/>
            <w:right w:w="108" w:type="dxa"/>
          </w:tblCellMar>
        </w:tblPrEx>
        <w:trPr>
          <w:trHeight w:val="308" w:hRule="atLeast"/>
        </w:trPr>
        <w:tc>
          <w:tcPr>
            <w:tcW w:w="1623"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支出功能分类科目编码</w:t>
            </w:r>
          </w:p>
        </w:tc>
        <w:tc>
          <w:tcPr>
            <w:tcW w:w="3516" w:type="dxa"/>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科目名称</w:t>
            </w: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016"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109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09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656"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141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308" w:hRule="atLeast"/>
        </w:trPr>
        <w:tc>
          <w:tcPr>
            <w:tcW w:w="1623"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3516"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016"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109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09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656"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141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308" w:hRule="atLeast"/>
        </w:trPr>
        <w:tc>
          <w:tcPr>
            <w:tcW w:w="1623"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3516"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016"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109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09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656"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141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308" w:hRule="atLeast"/>
        </w:trPr>
        <w:tc>
          <w:tcPr>
            <w:tcW w:w="780" w:type="dxa"/>
            <w:vMerge w:val="restart"/>
            <w:tcBorders>
              <w:top w:val="nil"/>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类</w:t>
            </w:r>
          </w:p>
        </w:tc>
        <w:tc>
          <w:tcPr>
            <w:tcW w:w="407" w:type="dxa"/>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款</w:t>
            </w:r>
          </w:p>
        </w:tc>
        <w:tc>
          <w:tcPr>
            <w:tcW w:w="436" w:type="dxa"/>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w:t>
            </w:r>
          </w:p>
        </w:tc>
        <w:tc>
          <w:tcPr>
            <w:tcW w:w="351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栏次</w:t>
            </w:r>
          </w:p>
        </w:tc>
        <w:tc>
          <w:tcPr>
            <w:tcW w:w="153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w:t>
            </w:r>
          </w:p>
        </w:tc>
        <w:tc>
          <w:tcPr>
            <w:tcW w:w="153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w:t>
            </w:r>
          </w:p>
        </w:tc>
        <w:tc>
          <w:tcPr>
            <w:tcW w:w="101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w:t>
            </w:r>
          </w:p>
        </w:tc>
        <w:tc>
          <w:tcPr>
            <w:tcW w:w="109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w:t>
            </w:r>
          </w:p>
        </w:tc>
        <w:tc>
          <w:tcPr>
            <w:tcW w:w="109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w:t>
            </w:r>
          </w:p>
        </w:tc>
        <w:tc>
          <w:tcPr>
            <w:tcW w:w="65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6</w:t>
            </w:r>
          </w:p>
        </w:tc>
        <w:tc>
          <w:tcPr>
            <w:tcW w:w="141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 xml:space="preserve">7 </w:t>
            </w:r>
          </w:p>
        </w:tc>
      </w:tr>
      <w:tr>
        <w:tblPrEx>
          <w:tblCellMar>
            <w:top w:w="0" w:type="dxa"/>
            <w:left w:w="108" w:type="dxa"/>
            <w:bottom w:w="0" w:type="dxa"/>
            <w:right w:w="108" w:type="dxa"/>
          </w:tblCellMar>
        </w:tblPrEx>
        <w:trPr>
          <w:trHeight w:val="308" w:hRule="atLeast"/>
        </w:trPr>
        <w:tc>
          <w:tcPr>
            <w:tcW w:w="780" w:type="dxa"/>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407"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436"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351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合计</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8,159,842.98</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8,159,842.98</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公共安全支出</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8,022,090.55</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8,022,090.55</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司法</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8,022,090.55</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8,022,090.55</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2040601</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行政运行</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4,985,476.51</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4,985,476.51</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2040604</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基层司法业务</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60,034.38</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60,034.38</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2040605</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普法宣传</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82,955.92</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82,955.92</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2040607</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公共法律服务</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78,739.28</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78,739.28</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2040610</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社区矫正</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181,516.91</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181,516.91</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2040650</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事业运行</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390,157.60</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390,157.60</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2040699</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其他司法支出</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2,243,209.95</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2,243,209.95</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208</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社会保障和就业支出</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137,752.43</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137,752.43</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20805</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行政事业单位养老支出</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137,752.43</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137,752.43</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2080501</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行政单位离退休</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106,319.66</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106,319.66</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2080506</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机关事业单位职业年金缴费支出</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31,432.77</w:t>
            </w:r>
          </w:p>
        </w:tc>
        <w:tc>
          <w:tcPr>
            <w:tcW w:w="153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31,432.77</w:t>
            </w:r>
          </w:p>
        </w:tc>
        <w:tc>
          <w:tcPr>
            <w:tcW w:w="10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9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65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416"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85" w:hRule="atLeast"/>
        </w:trPr>
        <w:tc>
          <w:tcPr>
            <w:tcW w:w="13491" w:type="dxa"/>
            <w:gridSpan w:val="11"/>
            <w:tcBorders>
              <w:top w:val="nil"/>
              <w:left w:val="nil"/>
              <w:bottom w:val="nil"/>
              <w:right w:val="nil"/>
            </w:tcBorders>
            <w:shd w:val="clear" w:color="auto" w:fill="auto"/>
            <w:vAlign w:val="center"/>
          </w:tcPr>
          <w:p>
            <w:pPr>
              <w:textAlignment w:val="center"/>
              <w:rPr>
                <w:rFonts w:ascii="宋体" w:hAnsi="宋体" w:eastAsia="宋体" w:cs="宋体"/>
                <w:sz w:val="22"/>
                <w:szCs w:val="22"/>
              </w:rPr>
            </w:pPr>
            <w:r>
              <w:rPr>
                <w:rFonts w:hint="eastAsia" w:ascii="宋体" w:hAnsi="宋体" w:eastAsia="宋体" w:cs="宋体"/>
                <w:sz w:val="22"/>
                <w:szCs w:val="22"/>
              </w:rPr>
              <w:t>注：本表反映部门本年度取得的各项收入情况。</w:t>
            </w:r>
          </w:p>
        </w:tc>
      </w:tr>
    </w:tbl>
    <w:p/>
    <w:p>
      <w:r>
        <w:br w:type="page"/>
      </w:r>
    </w:p>
    <w:tbl>
      <w:tblPr>
        <w:tblStyle w:val="7"/>
        <w:tblW w:w="14078" w:type="dxa"/>
        <w:tblInd w:w="96" w:type="dxa"/>
        <w:tblLayout w:type="fixed"/>
        <w:tblCellMar>
          <w:top w:w="0" w:type="dxa"/>
          <w:left w:w="108" w:type="dxa"/>
          <w:bottom w:w="0" w:type="dxa"/>
          <w:right w:w="108" w:type="dxa"/>
        </w:tblCellMar>
      </w:tblPr>
      <w:tblGrid>
        <w:gridCol w:w="472"/>
        <w:gridCol w:w="472"/>
        <w:gridCol w:w="567"/>
        <w:gridCol w:w="3827"/>
        <w:gridCol w:w="2253"/>
        <w:gridCol w:w="2011"/>
        <w:gridCol w:w="1604"/>
        <w:gridCol w:w="885"/>
        <w:gridCol w:w="900"/>
        <w:gridCol w:w="1087"/>
      </w:tblGrid>
      <w:tr>
        <w:tblPrEx>
          <w:tblCellMar>
            <w:top w:w="0" w:type="dxa"/>
            <w:left w:w="108" w:type="dxa"/>
            <w:bottom w:w="0" w:type="dxa"/>
            <w:right w:w="108" w:type="dxa"/>
          </w:tblCellMar>
        </w:tblPrEx>
        <w:trPr>
          <w:trHeight w:val="564" w:hRule="atLeast"/>
        </w:trPr>
        <w:tc>
          <w:tcPr>
            <w:tcW w:w="14078" w:type="dxa"/>
            <w:gridSpan w:val="10"/>
            <w:tcBorders>
              <w:top w:val="nil"/>
              <w:left w:val="nil"/>
              <w:bottom w:val="nil"/>
              <w:right w:val="nil"/>
            </w:tcBorders>
            <w:shd w:val="clear" w:color="auto" w:fill="auto"/>
            <w:noWrap/>
            <w:vAlign w:val="bottom"/>
          </w:tcPr>
          <w:p>
            <w:pPr>
              <w:jc w:val="center"/>
              <w:textAlignment w:val="bottom"/>
              <w:rPr>
                <w:rFonts w:ascii="宋体" w:hAnsi="宋体" w:eastAsia="宋体" w:cs="宋体"/>
                <w:sz w:val="44"/>
                <w:szCs w:val="44"/>
              </w:rPr>
            </w:pPr>
            <w:r>
              <w:rPr>
                <w:rFonts w:hint="eastAsia" w:ascii="宋体" w:hAnsi="宋体" w:eastAsia="宋体" w:cs="宋体"/>
                <w:sz w:val="44"/>
                <w:szCs w:val="44"/>
              </w:rPr>
              <w:t>支出决算表</w:t>
            </w:r>
          </w:p>
        </w:tc>
      </w:tr>
      <w:tr>
        <w:tblPrEx>
          <w:tblCellMar>
            <w:top w:w="0" w:type="dxa"/>
            <w:left w:w="108" w:type="dxa"/>
            <w:bottom w:w="0" w:type="dxa"/>
            <w:right w:w="108" w:type="dxa"/>
          </w:tblCellMar>
        </w:tblPrEx>
        <w:trPr>
          <w:trHeight w:val="264" w:hRule="atLeast"/>
        </w:trPr>
        <w:tc>
          <w:tcPr>
            <w:tcW w:w="472" w:type="dxa"/>
            <w:tcBorders>
              <w:top w:val="nil"/>
              <w:left w:val="nil"/>
              <w:bottom w:val="nil"/>
              <w:right w:val="nil"/>
            </w:tcBorders>
            <w:shd w:val="clear" w:color="auto" w:fill="auto"/>
            <w:noWrap/>
            <w:vAlign w:val="bottom"/>
          </w:tcPr>
          <w:p>
            <w:pPr>
              <w:rPr>
                <w:sz w:val="20"/>
                <w:szCs w:val="20"/>
              </w:rPr>
            </w:pPr>
          </w:p>
        </w:tc>
        <w:tc>
          <w:tcPr>
            <w:tcW w:w="472" w:type="dxa"/>
            <w:tcBorders>
              <w:top w:val="nil"/>
              <w:left w:val="nil"/>
              <w:bottom w:val="nil"/>
              <w:right w:val="nil"/>
            </w:tcBorders>
            <w:shd w:val="clear" w:color="auto" w:fill="auto"/>
            <w:noWrap/>
            <w:vAlign w:val="bottom"/>
          </w:tcPr>
          <w:p>
            <w:pPr>
              <w:rPr>
                <w:sz w:val="20"/>
                <w:szCs w:val="20"/>
              </w:rPr>
            </w:pPr>
          </w:p>
        </w:tc>
        <w:tc>
          <w:tcPr>
            <w:tcW w:w="567" w:type="dxa"/>
            <w:tcBorders>
              <w:top w:val="nil"/>
              <w:left w:val="nil"/>
              <w:bottom w:val="nil"/>
              <w:right w:val="nil"/>
            </w:tcBorders>
            <w:shd w:val="clear" w:color="auto" w:fill="auto"/>
            <w:noWrap/>
            <w:vAlign w:val="bottom"/>
          </w:tcPr>
          <w:p>
            <w:pPr>
              <w:rPr>
                <w:sz w:val="20"/>
                <w:szCs w:val="20"/>
              </w:rPr>
            </w:pPr>
          </w:p>
        </w:tc>
        <w:tc>
          <w:tcPr>
            <w:tcW w:w="3827" w:type="dxa"/>
            <w:tcBorders>
              <w:top w:val="nil"/>
              <w:left w:val="nil"/>
              <w:bottom w:val="nil"/>
              <w:right w:val="nil"/>
            </w:tcBorders>
            <w:shd w:val="clear" w:color="auto" w:fill="auto"/>
            <w:noWrap/>
            <w:vAlign w:val="bottom"/>
          </w:tcPr>
          <w:p>
            <w:pPr>
              <w:rPr>
                <w:sz w:val="20"/>
                <w:szCs w:val="20"/>
              </w:rPr>
            </w:pPr>
          </w:p>
        </w:tc>
        <w:tc>
          <w:tcPr>
            <w:tcW w:w="2253" w:type="dxa"/>
            <w:tcBorders>
              <w:top w:val="nil"/>
              <w:left w:val="nil"/>
              <w:bottom w:val="nil"/>
              <w:right w:val="nil"/>
            </w:tcBorders>
            <w:shd w:val="clear" w:color="auto" w:fill="auto"/>
            <w:noWrap/>
            <w:vAlign w:val="bottom"/>
          </w:tcPr>
          <w:p>
            <w:pPr>
              <w:rPr>
                <w:sz w:val="20"/>
                <w:szCs w:val="20"/>
              </w:rPr>
            </w:pPr>
          </w:p>
        </w:tc>
        <w:tc>
          <w:tcPr>
            <w:tcW w:w="2011" w:type="dxa"/>
            <w:tcBorders>
              <w:top w:val="nil"/>
              <w:left w:val="nil"/>
              <w:bottom w:val="nil"/>
              <w:right w:val="nil"/>
            </w:tcBorders>
            <w:shd w:val="clear" w:color="auto" w:fill="auto"/>
            <w:noWrap/>
            <w:vAlign w:val="bottom"/>
          </w:tcPr>
          <w:p>
            <w:pPr>
              <w:rPr>
                <w:sz w:val="20"/>
                <w:szCs w:val="20"/>
              </w:rPr>
            </w:pPr>
          </w:p>
        </w:tc>
        <w:tc>
          <w:tcPr>
            <w:tcW w:w="1604" w:type="dxa"/>
            <w:tcBorders>
              <w:top w:val="nil"/>
              <w:left w:val="nil"/>
              <w:bottom w:val="nil"/>
              <w:right w:val="nil"/>
            </w:tcBorders>
            <w:shd w:val="clear" w:color="auto" w:fill="auto"/>
            <w:noWrap/>
            <w:vAlign w:val="bottom"/>
          </w:tcPr>
          <w:p>
            <w:pPr>
              <w:rPr>
                <w:sz w:val="20"/>
                <w:szCs w:val="20"/>
              </w:rPr>
            </w:pPr>
          </w:p>
        </w:tc>
        <w:tc>
          <w:tcPr>
            <w:tcW w:w="885" w:type="dxa"/>
            <w:tcBorders>
              <w:top w:val="nil"/>
              <w:left w:val="nil"/>
              <w:bottom w:val="nil"/>
              <w:right w:val="nil"/>
            </w:tcBorders>
            <w:shd w:val="clear" w:color="auto" w:fill="auto"/>
            <w:noWrap/>
            <w:vAlign w:val="bottom"/>
          </w:tcPr>
          <w:p>
            <w:pPr>
              <w:rPr>
                <w:sz w:val="20"/>
                <w:szCs w:val="20"/>
              </w:rPr>
            </w:pPr>
          </w:p>
        </w:tc>
        <w:tc>
          <w:tcPr>
            <w:tcW w:w="900" w:type="dxa"/>
            <w:tcBorders>
              <w:top w:val="nil"/>
              <w:left w:val="nil"/>
              <w:bottom w:val="nil"/>
              <w:right w:val="nil"/>
            </w:tcBorders>
            <w:shd w:val="clear" w:color="auto" w:fill="auto"/>
            <w:noWrap/>
            <w:vAlign w:val="bottom"/>
          </w:tcPr>
          <w:p>
            <w:pPr>
              <w:rPr>
                <w:sz w:val="20"/>
                <w:szCs w:val="20"/>
              </w:rPr>
            </w:pPr>
          </w:p>
        </w:tc>
        <w:tc>
          <w:tcPr>
            <w:tcW w:w="1087" w:type="dxa"/>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公开03表</w:t>
            </w:r>
          </w:p>
        </w:tc>
      </w:tr>
      <w:tr>
        <w:tblPrEx>
          <w:tblCellMar>
            <w:top w:w="0" w:type="dxa"/>
            <w:left w:w="108" w:type="dxa"/>
            <w:bottom w:w="0" w:type="dxa"/>
            <w:right w:w="108" w:type="dxa"/>
          </w:tblCellMar>
        </w:tblPrEx>
        <w:trPr>
          <w:trHeight w:val="264" w:hRule="atLeast"/>
        </w:trPr>
        <w:tc>
          <w:tcPr>
            <w:tcW w:w="5338" w:type="dxa"/>
            <w:gridSpan w:val="4"/>
            <w:tcBorders>
              <w:top w:val="nil"/>
              <w:left w:val="nil"/>
              <w:bottom w:val="nil"/>
              <w:right w:val="nil"/>
            </w:tcBorders>
            <w:shd w:val="clear" w:color="auto" w:fill="auto"/>
            <w:noWrap/>
            <w:vAlign w:val="bottom"/>
          </w:tcPr>
          <w:p>
            <w:pPr>
              <w:rPr>
                <w:sz w:val="20"/>
                <w:szCs w:val="20"/>
              </w:rPr>
            </w:pPr>
            <w:r>
              <w:rPr>
                <w:rFonts w:hint="eastAsia" w:ascii="宋体" w:hAnsi="宋体" w:eastAsia="宋体" w:cs="宋体"/>
                <w:sz w:val="20"/>
                <w:szCs w:val="20"/>
              </w:rPr>
              <w:t>编制单位：南昌市青云谱区司法局</w:t>
            </w:r>
          </w:p>
        </w:tc>
        <w:tc>
          <w:tcPr>
            <w:tcW w:w="2253" w:type="dxa"/>
            <w:tcBorders>
              <w:top w:val="nil"/>
              <w:left w:val="nil"/>
              <w:bottom w:val="nil"/>
              <w:right w:val="nil"/>
            </w:tcBorders>
            <w:shd w:val="clear" w:color="auto" w:fill="auto"/>
            <w:noWrap/>
            <w:vAlign w:val="bottom"/>
          </w:tcPr>
          <w:p>
            <w:pPr>
              <w:rPr>
                <w:sz w:val="20"/>
                <w:szCs w:val="20"/>
              </w:rPr>
            </w:pPr>
          </w:p>
        </w:tc>
        <w:tc>
          <w:tcPr>
            <w:tcW w:w="2011" w:type="dxa"/>
            <w:tcBorders>
              <w:top w:val="nil"/>
              <w:left w:val="nil"/>
              <w:bottom w:val="nil"/>
              <w:right w:val="nil"/>
            </w:tcBorders>
            <w:shd w:val="clear" w:color="auto" w:fill="auto"/>
            <w:noWrap/>
            <w:vAlign w:val="bottom"/>
          </w:tcPr>
          <w:p>
            <w:pPr>
              <w:jc w:val="center"/>
              <w:textAlignment w:val="bottom"/>
              <w:rPr>
                <w:rFonts w:ascii="宋体" w:hAnsi="宋体" w:eastAsia="宋体" w:cs="宋体"/>
                <w:sz w:val="20"/>
                <w:szCs w:val="20"/>
              </w:rPr>
            </w:pPr>
            <w:r>
              <w:rPr>
                <w:rFonts w:hint="eastAsia" w:ascii="宋体" w:hAnsi="宋体" w:eastAsia="宋体" w:cs="宋体"/>
                <w:sz w:val="20"/>
                <w:szCs w:val="20"/>
              </w:rPr>
              <w:t>2021年度</w:t>
            </w:r>
          </w:p>
        </w:tc>
        <w:tc>
          <w:tcPr>
            <w:tcW w:w="1604" w:type="dxa"/>
            <w:tcBorders>
              <w:top w:val="nil"/>
              <w:left w:val="nil"/>
              <w:bottom w:val="nil"/>
              <w:right w:val="nil"/>
            </w:tcBorders>
            <w:shd w:val="clear" w:color="auto" w:fill="auto"/>
            <w:noWrap/>
            <w:vAlign w:val="bottom"/>
          </w:tcPr>
          <w:p>
            <w:pPr>
              <w:rPr>
                <w:sz w:val="20"/>
                <w:szCs w:val="20"/>
              </w:rPr>
            </w:pPr>
          </w:p>
        </w:tc>
        <w:tc>
          <w:tcPr>
            <w:tcW w:w="885" w:type="dxa"/>
            <w:tcBorders>
              <w:top w:val="nil"/>
              <w:left w:val="nil"/>
              <w:bottom w:val="nil"/>
              <w:right w:val="nil"/>
            </w:tcBorders>
            <w:shd w:val="clear" w:color="auto" w:fill="auto"/>
            <w:noWrap/>
            <w:vAlign w:val="bottom"/>
          </w:tcPr>
          <w:p>
            <w:pPr>
              <w:rPr>
                <w:sz w:val="20"/>
                <w:szCs w:val="20"/>
              </w:rPr>
            </w:pPr>
          </w:p>
        </w:tc>
        <w:tc>
          <w:tcPr>
            <w:tcW w:w="900" w:type="dxa"/>
            <w:tcBorders>
              <w:top w:val="nil"/>
              <w:left w:val="nil"/>
              <w:bottom w:val="nil"/>
              <w:right w:val="nil"/>
            </w:tcBorders>
            <w:shd w:val="clear" w:color="auto" w:fill="auto"/>
            <w:noWrap/>
            <w:vAlign w:val="bottom"/>
          </w:tcPr>
          <w:p>
            <w:pPr>
              <w:rPr>
                <w:sz w:val="20"/>
                <w:szCs w:val="20"/>
              </w:rPr>
            </w:pPr>
          </w:p>
        </w:tc>
        <w:tc>
          <w:tcPr>
            <w:tcW w:w="1087" w:type="dxa"/>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金额单位：元</w:t>
            </w:r>
          </w:p>
        </w:tc>
      </w:tr>
      <w:tr>
        <w:tblPrEx>
          <w:tblCellMar>
            <w:top w:w="0" w:type="dxa"/>
            <w:left w:w="108" w:type="dxa"/>
            <w:bottom w:w="0" w:type="dxa"/>
            <w:right w:w="108" w:type="dxa"/>
          </w:tblCellMar>
        </w:tblPrEx>
        <w:trPr>
          <w:trHeight w:val="308" w:hRule="atLeast"/>
        </w:trPr>
        <w:tc>
          <w:tcPr>
            <w:tcW w:w="5338"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    目</w:t>
            </w:r>
          </w:p>
        </w:tc>
        <w:tc>
          <w:tcPr>
            <w:tcW w:w="2253" w:type="dxa"/>
            <w:vMerge w:val="restart"/>
            <w:tcBorders>
              <w:top w:val="single" w:color="000000" w:sz="4" w:space="0"/>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本年支出合计</w:t>
            </w:r>
          </w:p>
        </w:tc>
        <w:tc>
          <w:tcPr>
            <w:tcW w:w="2011" w:type="dxa"/>
            <w:vMerge w:val="restart"/>
            <w:tcBorders>
              <w:top w:val="single" w:color="000000" w:sz="4" w:space="0"/>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基本支出</w:t>
            </w:r>
          </w:p>
        </w:tc>
        <w:tc>
          <w:tcPr>
            <w:tcW w:w="1604" w:type="dxa"/>
            <w:vMerge w:val="restart"/>
            <w:tcBorders>
              <w:top w:val="single" w:color="000000" w:sz="4" w:space="0"/>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项目支出</w:t>
            </w:r>
          </w:p>
        </w:tc>
        <w:tc>
          <w:tcPr>
            <w:tcW w:w="885" w:type="dxa"/>
            <w:vMerge w:val="restart"/>
            <w:tcBorders>
              <w:top w:val="single" w:color="000000" w:sz="4" w:space="0"/>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上缴上级支出</w:t>
            </w:r>
          </w:p>
        </w:tc>
        <w:tc>
          <w:tcPr>
            <w:tcW w:w="900" w:type="dxa"/>
            <w:vMerge w:val="restart"/>
            <w:tcBorders>
              <w:top w:val="single" w:color="000000" w:sz="4" w:space="0"/>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经营支出</w:t>
            </w:r>
          </w:p>
        </w:tc>
        <w:tc>
          <w:tcPr>
            <w:tcW w:w="1087" w:type="dxa"/>
            <w:vMerge w:val="restart"/>
            <w:tcBorders>
              <w:top w:val="single" w:color="000000" w:sz="4" w:space="0"/>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对附属单位补助支出</w:t>
            </w:r>
          </w:p>
        </w:tc>
      </w:tr>
      <w:tr>
        <w:tblPrEx>
          <w:tblCellMar>
            <w:top w:w="0" w:type="dxa"/>
            <w:left w:w="108" w:type="dxa"/>
            <w:bottom w:w="0" w:type="dxa"/>
            <w:right w:w="108" w:type="dxa"/>
          </w:tblCellMar>
        </w:tblPrEx>
        <w:trPr>
          <w:trHeight w:val="308" w:hRule="atLeast"/>
        </w:trPr>
        <w:tc>
          <w:tcPr>
            <w:tcW w:w="1511"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支出功能分类科目编码</w:t>
            </w:r>
          </w:p>
        </w:tc>
        <w:tc>
          <w:tcPr>
            <w:tcW w:w="3827" w:type="dxa"/>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科目名称</w:t>
            </w:r>
          </w:p>
        </w:tc>
        <w:tc>
          <w:tcPr>
            <w:tcW w:w="2253"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2011"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160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88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90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1087"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308" w:hRule="atLeast"/>
        </w:trPr>
        <w:tc>
          <w:tcPr>
            <w:tcW w:w="1511"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3827"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2253"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2011"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160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88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90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1087"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308" w:hRule="atLeast"/>
        </w:trPr>
        <w:tc>
          <w:tcPr>
            <w:tcW w:w="1511"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3827"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2253"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2011"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160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88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90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1087"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308" w:hRule="atLeast"/>
        </w:trPr>
        <w:tc>
          <w:tcPr>
            <w:tcW w:w="472" w:type="dxa"/>
            <w:vMerge w:val="restart"/>
            <w:tcBorders>
              <w:top w:val="nil"/>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类</w:t>
            </w:r>
          </w:p>
        </w:tc>
        <w:tc>
          <w:tcPr>
            <w:tcW w:w="472" w:type="dxa"/>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款</w:t>
            </w:r>
          </w:p>
        </w:tc>
        <w:tc>
          <w:tcPr>
            <w:tcW w:w="567" w:type="dxa"/>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w:t>
            </w:r>
          </w:p>
        </w:tc>
        <w:tc>
          <w:tcPr>
            <w:tcW w:w="3827"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栏次</w:t>
            </w:r>
          </w:p>
        </w:tc>
        <w:tc>
          <w:tcPr>
            <w:tcW w:w="2253"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w:t>
            </w:r>
          </w:p>
        </w:tc>
        <w:tc>
          <w:tcPr>
            <w:tcW w:w="2011"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w:t>
            </w:r>
          </w:p>
        </w:tc>
        <w:tc>
          <w:tcPr>
            <w:tcW w:w="1604"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w:t>
            </w:r>
          </w:p>
        </w:tc>
        <w:tc>
          <w:tcPr>
            <w:tcW w:w="885"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w:t>
            </w:r>
          </w:p>
        </w:tc>
        <w:tc>
          <w:tcPr>
            <w:tcW w:w="900"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w:t>
            </w:r>
          </w:p>
        </w:tc>
        <w:tc>
          <w:tcPr>
            <w:tcW w:w="1087"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6</w:t>
            </w:r>
          </w:p>
        </w:tc>
      </w:tr>
      <w:tr>
        <w:tblPrEx>
          <w:tblCellMar>
            <w:top w:w="0" w:type="dxa"/>
            <w:left w:w="108" w:type="dxa"/>
            <w:bottom w:w="0" w:type="dxa"/>
            <w:right w:w="108" w:type="dxa"/>
          </w:tblCellMar>
        </w:tblPrEx>
        <w:trPr>
          <w:trHeight w:val="308" w:hRule="atLeast"/>
        </w:trPr>
        <w:tc>
          <w:tcPr>
            <w:tcW w:w="472" w:type="dxa"/>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472"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567"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3827"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合计</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8,159,842.98</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5,513,386.54</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2,646,456.44</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w:t>
            </w:r>
          </w:p>
        </w:tc>
        <w:tc>
          <w:tcPr>
            <w:tcW w:w="3827"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公共安全支出</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8,022,090.55</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5,375,634.11</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2,646,456.44</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w:t>
            </w:r>
          </w:p>
        </w:tc>
        <w:tc>
          <w:tcPr>
            <w:tcW w:w="3827"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司法</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8,022,090.55</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5,375,634.11</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2,646,456.44</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2040601</w:t>
            </w:r>
          </w:p>
        </w:tc>
        <w:tc>
          <w:tcPr>
            <w:tcW w:w="3827"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行政运行</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4,985,476.51</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4,985,476.51</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2040604</w:t>
            </w:r>
          </w:p>
        </w:tc>
        <w:tc>
          <w:tcPr>
            <w:tcW w:w="3827"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基层司法业务</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60,034.38</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60,034.38</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2040605</w:t>
            </w:r>
          </w:p>
        </w:tc>
        <w:tc>
          <w:tcPr>
            <w:tcW w:w="3827"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普法宣传</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82,955.92</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82,955.92</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2040607</w:t>
            </w:r>
          </w:p>
        </w:tc>
        <w:tc>
          <w:tcPr>
            <w:tcW w:w="3827"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公共法律服务</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78,739.28</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78,739.28</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2040610</w:t>
            </w:r>
          </w:p>
        </w:tc>
        <w:tc>
          <w:tcPr>
            <w:tcW w:w="3827"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社区矫正</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181,516.91</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181,516.91</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2040650</w:t>
            </w:r>
          </w:p>
        </w:tc>
        <w:tc>
          <w:tcPr>
            <w:tcW w:w="3827"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事业运行</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390,157.60</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390,157.60</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2040699</w:t>
            </w:r>
          </w:p>
        </w:tc>
        <w:tc>
          <w:tcPr>
            <w:tcW w:w="3827"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其他司法支出</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2,243,209.95</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2,243,209.95</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208</w:t>
            </w:r>
          </w:p>
        </w:tc>
        <w:tc>
          <w:tcPr>
            <w:tcW w:w="3827"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社会保障和就业支出</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137,752.43</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137,752.43</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20805</w:t>
            </w:r>
          </w:p>
        </w:tc>
        <w:tc>
          <w:tcPr>
            <w:tcW w:w="3827"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行政事业单位养老支出</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137,752.43</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137,752.43</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2080501</w:t>
            </w:r>
          </w:p>
        </w:tc>
        <w:tc>
          <w:tcPr>
            <w:tcW w:w="3827"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行政单位离退休</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106,319.66</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106,319.66</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2080506</w:t>
            </w:r>
          </w:p>
        </w:tc>
        <w:tc>
          <w:tcPr>
            <w:tcW w:w="3827"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机关事业单位职业年金缴费支出</w:t>
            </w:r>
          </w:p>
        </w:tc>
        <w:tc>
          <w:tcPr>
            <w:tcW w:w="2253"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31,432.77</w:t>
            </w:r>
          </w:p>
        </w:tc>
        <w:tc>
          <w:tcPr>
            <w:tcW w:w="2011"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31,432.77</w:t>
            </w:r>
          </w:p>
        </w:tc>
        <w:tc>
          <w:tcPr>
            <w:tcW w:w="1604"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885"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9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08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54" w:hRule="atLeast"/>
        </w:trPr>
        <w:tc>
          <w:tcPr>
            <w:tcW w:w="14078" w:type="dxa"/>
            <w:gridSpan w:val="10"/>
            <w:tcBorders>
              <w:top w:val="nil"/>
              <w:left w:val="nil"/>
              <w:bottom w:val="nil"/>
              <w:right w:val="nil"/>
            </w:tcBorders>
            <w:shd w:val="clear" w:color="auto" w:fill="auto"/>
            <w:vAlign w:val="center"/>
          </w:tcPr>
          <w:p>
            <w:pPr>
              <w:textAlignment w:val="center"/>
              <w:rPr>
                <w:rFonts w:ascii="宋体" w:hAnsi="宋体" w:eastAsia="宋体" w:cs="宋体"/>
                <w:sz w:val="22"/>
                <w:szCs w:val="22"/>
              </w:rPr>
            </w:pPr>
            <w:r>
              <w:rPr>
                <w:rFonts w:hint="eastAsia" w:ascii="宋体" w:hAnsi="宋体" w:eastAsia="宋体" w:cs="宋体"/>
                <w:sz w:val="22"/>
                <w:szCs w:val="22"/>
              </w:rPr>
              <w:t>注：本表反映部门本年度各项支出情况。</w:t>
            </w:r>
          </w:p>
        </w:tc>
      </w:tr>
    </w:tbl>
    <w:p>
      <w:pPr>
        <w:sectPr>
          <w:pgSz w:w="16838" w:h="11906" w:orient="landscape"/>
          <w:pgMar w:top="1800" w:right="1440" w:bottom="1800" w:left="1440" w:header="851" w:footer="992" w:gutter="0"/>
          <w:cols w:space="425" w:num="1"/>
          <w:docGrid w:type="lines" w:linePitch="312" w:charSpace="0"/>
        </w:sectPr>
      </w:pPr>
    </w:p>
    <w:tbl>
      <w:tblPr>
        <w:tblStyle w:val="7"/>
        <w:tblW w:w="10420" w:type="dxa"/>
        <w:jc w:val="center"/>
        <w:tblLayout w:type="autofit"/>
        <w:tblCellMar>
          <w:top w:w="0" w:type="dxa"/>
          <w:left w:w="108" w:type="dxa"/>
          <w:bottom w:w="0" w:type="dxa"/>
          <w:right w:w="108" w:type="dxa"/>
        </w:tblCellMar>
      </w:tblPr>
      <w:tblGrid>
        <w:gridCol w:w="1729"/>
        <w:gridCol w:w="562"/>
        <w:gridCol w:w="1233"/>
        <w:gridCol w:w="1729"/>
        <w:gridCol w:w="562"/>
        <w:gridCol w:w="1233"/>
        <w:gridCol w:w="1233"/>
        <w:gridCol w:w="1048"/>
        <w:gridCol w:w="1091"/>
      </w:tblGrid>
      <w:tr>
        <w:tblPrEx>
          <w:tblCellMar>
            <w:top w:w="0" w:type="dxa"/>
            <w:left w:w="108" w:type="dxa"/>
            <w:bottom w:w="0" w:type="dxa"/>
            <w:right w:w="108" w:type="dxa"/>
          </w:tblCellMar>
        </w:tblPrEx>
        <w:trPr>
          <w:trHeight w:val="604" w:hRule="atLeast"/>
          <w:jc w:val="center"/>
        </w:trPr>
        <w:tc>
          <w:tcPr>
            <w:tcW w:w="10420" w:type="dxa"/>
            <w:gridSpan w:val="9"/>
            <w:tcBorders>
              <w:top w:val="nil"/>
              <w:left w:val="nil"/>
              <w:bottom w:val="nil"/>
              <w:right w:val="nil"/>
            </w:tcBorders>
            <w:shd w:val="clear" w:color="auto" w:fill="auto"/>
          </w:tcPr>
          <w:p>
            <w:pPr>
              <w:jc w:val="center"/>
              <w:textAlignment w:val="bottom"/>
              <w:rPr>
                <w:rFonts w:ascii="宋体" w:hAnsi="宋体" w:eastAsia="宋体" w:cs="宋体"/>
                <w:sz w:val="44"/>
                <w:szCs w:val="44"/>
              </w:rPr>
            </w:pPr>
            <w:r>
              <w:rPr>
                <w:rFonts w:hint="eastAsia" w:ascii="宋体" w:hAnsi="宋体" w:eastAsia="宋体" w:cs="宋体"/>
                <w:sz w:val="44"/>
                <w:szCs w:val="44"/>
              </w:rPr>
              <w:t>财政拨款收入支出决算总表</w:t>
            </w:r>
          </w:p>
        </w:tc>
      </w:tr>
      <w:tr>
        <w:tblPrEx>
          <w:tblCellMar>
            <w:top w:w="0" w:type="dxa"/>
            <w:left w:w="108" w:type="dxa"/>
            <w:bottom w:w="0" w:type="dxa"/>
            <w:right w:w="108" w:type="dxa"/>
          </w:tblCellMar>
        </w:tblPrEx>
        <w:trPr>
          <w:trHeight w:val="330" w:hRule="atLeast"/>
          <w:jc w:val="center"/>
        </w:trPr>
        <w:tc>
          <w:tcPr>
            <w:tcW w:w="1729" w:type="dxa"/>
            <w:tcBorders>
              <w:top w:val="nil"/>
              <w:left w:val="nil"/>
              <w:bottom w:val="nil"/>
              <w:right w:val="nil"/>
            </w:tcBorders>
            <w:shd w:val="clear" w:color="auto" w:fill="auto"/>
          </w:tcPr>
          <w:p>
            <w:pPr>
              <w:jc w:val="center"/>
              <w:rPr>
                <w:sz w:val="20"/>
                <w:szCs w:val="20"/>
              </w:rPr>
            </w:pPr>
          </w:p>
        </w:tc>
        <w:tc>
          <w:tcPr>
            <w:tcW w:w="562" w:type="dxa"/>
            <w:tcBorders>
              <w:top w:val="nil"/>
              <w:left w:val="nil"/>
              <w:bottom w:val="nil"/>
              <w:right w:val="nil"/>
            </w:tcBorders>
            <w:shd w:val="clear" w:color="auto" w:fill="auto"/>
          </w:tcPr>
          <w:p>
            <w:pPr>
              <w:jc w:val="center"/>
              <w:rPr>
                <w:sz w:val="20"/>
                <w:szCs w:val="20"/>
              </w:rPr>
            </w:pPr>
          </w:p>
        </w:tc>
        <w:tc>
          <w:tcPr>
            <w:tcW w:w="1233" w:type="dxa"/>
            <w:tcBorders>
              <w:top w:val="nil"/>
              <w:left w:val="nil"/>
              <w:bottom w:val="nil"/>
              <w:right w:val="nil"/>
            </w:tcBorders>
            <w:shd w:val="clear" w:color="auto" w:fill="auto"/>
          </w:tcPr>
          <w:p>
            <w:pPr>
              <w:jc w:val="center"/>
              <w:rPr>
                <w:sz w:val="20"/>
                <w:szCs w:val="20"/>
              </w:rPr>
            </w:pPr>
          </w:p>
        </w:tc>
        <w:tc>
          <w:tcPr>
            <w:tcW w:w="1729" w:type="dxa"/>
            <w:tcBorders>
              <w:top w:val="nil"/>
              <w:left w:val="nil"/>
              <w:bottom w:val="nil"/>
              <w:right w:val="nil"/>
            </w:tcBorders>
            <w:shd w:val="clear" w:color="auto" w:fill="auto"/>
          </w:tcPr>
          <w:p>
            <w:pPr>
              <w:jc w:val="center"/>
              <w:rPr>
                <w:sz w:val="20"/>
                <w:szCs w:val="20"/>
              </w:rPr>
            </w:pPr>
          </w:p>
        </w:tc>
        <w:tc>
          <w:tcPr>
            <w:tcW w:w="562" w:type="dxa"/>
            <w:tcBorders>
              <w:top w:val="nil"/>
              <w:left w:val="nil"/>
              <w:bottom w:val="nil"/>
              <w:right w:val="nil"/>
            </w:tcBorders>
            <w:shd w:val="clear" w:color="auto" w:fill="auto"/>
          </w:tcPr>
          <w:p>
            <w:pPr>
              <w:jc w:val="center"/>
              <w:rPr>
                <w:sz w:val="20"/>
                <w:szCs w:val="20"/>
              </w:rPr>
            </w:pPr>
          </w:p>
        </w:tc>
        <w:tc>
          <w:tcPr>
            <w:tcW w:w="1233" w:type="dxa"/>
            <w:tcBorders>
              <w:top w:val="nil"/>
              <w:left w:val="nil"/>
              <w:bottom w:val="nil"/>
              <w:right w:val="nil"/>
            </w:tcBorders>
            <w:shd w:val="clear" w:color="auto" w:fill="auto"/>
          </w:tcPr>
          <w:p>
            <w:pPr>
              <w:jc w:val="center"/>
              <w:rPr>
                <w:sz w:val="20"/>
                <w:szCs w:val="20"/>
              </w:rPr>
            </w:pPr>
          </w:p>
        </w:tc>
        <w:tc>
          <w:tcPr>
            <w:tcW w:w="1233" w:type="dxa"/>
            <w:tcBorders>
              <w:top w:val="nil"/>
              <w:left w:val="nil"/>
              <w:bottom w:val="nil"/>
              <w:right w:val="nil"/>
            </w:tcBorders>
            <w:shd w:val="clear" w:color="auto" w:fill="auto"/>
          </w:tcPr>
          <w:p>
            <w:pPr>
              <w:jc w:val="center"/>
              <w:rPr>
                <w:sz w:val="20"/>
                <w:szCs w:val="20"/>
              </w:rPr>
            </w:pPr>
          </w:p>
        </w:tc>
        <w:tc>
          <w:tcPr>
            <w:tcW w:w="1048" w:type="dxa"/>
            <w:tcBorders>
              <w:top w:val="nil"/>
              <w:left w:val="nil"/>
              <w:bottom w:val="nil"/>
              <w:right w:val="nil"/>
            </w:tcBorders>
            <w:shd w:val="clear" w:color="auto" w:fill="auto"/>
          </w:tcPr>
          <w:p>
            <w:pPr>
              <w:jc w:val="center"/>
              <w:rPr>
                <w:sz w:val="20"/>
                <w:szCs w:val="20"/>
              </w:rPr>
            </w:pPr>
          </w:p>
        </w:tc>
        <w:tc>
          <w:tcPr>
            <w:tcW w:w="1091" w:type="dxa"/>
            <w:tcBorders>
              <w:top w:val="nil"/>
              <w:left w:val="nil"/>
              <w:bottom w:val="nil"/>
              <w:right w:val="nil"/>
            </w:tcBorders>
            <w:shd w:val="clear" w:color="auto" w:fill="auto"/>
          </w:tcPr>
          <w:p>
            <w:pPr>
              <w:jc w:val="center"/>
              <w:textAlignment w:val="bottom"/>
              <w:rPr>
                <w:rFonts w:ascii="宋体" w:hAnsi="宋体" w:eastAsia="宋体" w:cs="宋体"/>
                <w:sz w:val="20"/>
                <w:szCs w:val="20"/>
              </w:rPr>
            </w:pPr>
            <w:r>
              <w:rPr>
                <w:rFonts w:hint="eastAsia" w:ascii="宋体" w:hAnsi="宋体" w:eastAsia="宋体" w:cs="宋体"/>
                <w:sz w:val="20"/>
                <w:szCs w:val="20"/>
              </w:rPr>
              <w:t>公开04表</w:t>
            </w:r>
          </w:p>
        </w:tc>
      </w:tr>
      <w:tr>
        <w:tblPrEx>
          <w:tblCellMar>
            <w:top w:w="0" w:type="dxa"/>
            <w:left w:w="108" w:type="dxa"/>
            <w:bottom w:w="0" w:type="dxa"/>
            <w:right w:w="108" w:type="dxa"/>
          </w:tblCellMar>
        </w:tblPrEx>
        <w:trPr>
          <w:trHeight w:val="549" w:hRule="atLeast"/>
          <w:jc w:val="center"/>
        </w:trPr>
        <w:tc>
          <w:tcPr>
            <w:tcW w:w="3524" w:type="dxa"/>
            <w:gridSpan w:val="3"/>
            <w:tcBorders>
              <w:top w:val="nil"/>
              <w:left w:val="nil"/>
              <w:bottom w:val="nil"/>
              <w:right w:val="nil"/>
            </w:tcBorders>
            <w:shd w:val="clear" w:color="auto" w:fill="auto"/>
          </w:tcPr>
          <w:p>
            <w:pPr>
              <w:jc w:val="center"/>
              <w:textAlignment w:val="bottom"/>
              <w:rPr>
                <w:rFonts w:ascii="宋体" w:hAnsi="宋体" w:eastAsia="宋体" w:cs="宋体"/>
                <w:sz w:val="20"/>
                <w:szCs w:val="20"/>
              </w:rPr>
            </w:pPr>
            <w:r>
              <w:rPr>
                <w:rFonts w:hint="eastAsia" w:ascii="宋体" w:hAnsi="宋体" w:eastAsia="宋体" w:cs="宋体"/>
                <w:sz w:val="20"/>
                <w:szCs w:val="20"/>
              </w:rPr>
              <w:t>编制单位：南昌市青云谱区司法局</w:t>
            </w:r>
          </w:p>
        </w:tc>
        <w:tc>
          <w:tcPr>
            <w:tcW w:w="1729" w:type="dxa"/>
            <w:tcBorders>
              <w:top w:val="nil"/>
              <w:left w:val="nil"/>
              <w:bottom w:val="nil"/>
              <w:right w:val="nil"/>
            </w:tcBorders>
            <w:shd w:val="clear" w:color="auto" w:fill="auto"/>
          </w:tcPr>
          <w:p>
            <w:pPr>
              <w:jc w:val="center"/>
              <w:textAlignment w:val="bottom"/>
              <w:rPr>
                <w:rFonts w:ascii="宋体" w:hAnsi="宋体" w:eastAsia="宋体" w:cs="宋体"/>
                <w:sz w:val="20"/>
                <w:szCs w:val="20"/>
              </w:rPr>
            </w:pPr>
            <w:r>
              <w:rPr>
                <w:rFonts w:hint="eastAsia" w:ascii="宋体" w:hAnsi="宋体" w:eastAsia="宋体" w:cs="宋体"/>
                <w:sz w:val="20"/>
                <w:szCs w:val="20"/>
              </w:rPr>
              <w:t>2021年度</w:t>
            </w:r>
          </w:p>
        </w:tc>
        <w:tc>
          <w:tcPr>
            <w:tcW w:w="562" w:type="dxa"/>
            <w:tcBorders>
              <w:top w:val="nil"/>
              <w:left w:val="nil"/>
              <w:bottom w:val="nil"/>
              <w:right w:val="nil"/>
            </w:tcBorders>
            <w:shd w:val="clear" w:color="auto" w:fill="auto"/>
          </w:tcPr>
          <w:p>
            <w:pPr>
              <w:jc w:val="center"/>
              <w:rPr>
                <w:sz w:val="20"/>
                <w:szCs w:val="20"/>
              </w:rPr>
            </w:pPr>
          </w:p>
        </w:tc>
        <w:tc>
          <w:tcPr>
            <w:tcW w:w="1233" w:type="dxa"/>
            <w:tcBorders>
              <w:top w:val="nil"/>
              <w:left w:val="nil"/>
              <w:bottom w:val="nil"/>
              <w:right w:val="nil"/>
            </w:tcBorders>
            <w:shd w:val="clear" w:color="auto" w:fill="auto"/>
          </w:tcPr>
          <w:p>
            <w:pPr>
              <w:jc w:val="center"/>
              <w:rPr>
                <w:sz w:val="20"/>
                <w:szCs w:val="20"/>
              </w:rPr>
            </w:pPr>
          </w:p>
        </w:tc>
        <w:tc>
          <w:tcPr>
            <w:tcW w:w="1233" w:type="dxa"/>
            <w:tcBorders>
              <w:top w:val="nil"/>
              <w:left w:val="nil"/>
              <w:bottom w:val="nil"/>
              <w:right w:val="nil"/>
            </w:tcBorders>
            <w:shd w:val="clear" w:color="auto" w:fill="auto"/>
          </w:tcPr>
          <w:p>
            <w:pPr>
              <w:jc w:val="center"/>
              <w:rPr>
                <w:sz w:val="20"/>
                <w:szCs w:val="20"/>
              </w:rPr>
            </w:pPr>
          </w:p>
        </w:tc>
        <w:tc>
          <w:tcPr>
            <w:tcW w:w="1048" w:type="dxa"/>
            <w:tcBorders>
              <w:top w:val="nil"/>
              <w:left w:val="nil"/>
              <w:bottom w:val="nil"/>
              <w:right w:val="nil"/>
            </w:tcBorders>
            <w:shd w:val="clear" w:color="auto" w:fill="auto"/>
          </w:tcPr>
          <w:p>
            <w:pPr>
              <w:jc w:val="center"/>
              <w:rPr>
                <w:sz w:val="20"/>
                <w:szCs w:val="20"/>
              </w:rPr>
            </w:pPr>
          </w:p>
        </w:tc>
        <w:tc>
          <w:tcPr>
            <w:tcW w:w="1091" w:type="dxa"/>
            <w:tcBorders>
              <w:top w:val="nil"/>
              <w:left w:val="nil"/>
              <w:bottom w:val="nil"/>
              <w:right w:val="nil"/>
            </w:tcBorders>
            <w:shd w:val="clear" w:color="auto" w:fill="auto"/>
          </w:tcPr>
          <w:p>
            <w:pPr>
              <w:jc w:val="center"/>
              <w:textAlignment w:val="bottom"/>
              <w:rPr>
                <w:rFonts w:ascii="宋体" w:hAnsi="宋体" w:eastAsia="宋体" w:cs="宋体"/>
                <w:sz w:val="20"/>
                <w:szCs w:val="20"/>
              </w:rPr>
            </w:pPr>
            <w:r>
              <w:rPr>
                <w:rFonts w:hint="eastAsia" w:ascii="宋体" w:hAnsi="宋体" w:eastAsia="宋体" w:cs="宋体"/>
                <w:sz w:val="20"/>
                <w:szCs w:val="20"/>
              </w:rPr>
              <w:t>金额单位：元</w:t>
            </w:r>
          </w:p>
        </w:tc>
      </w:tr>
      <w:tr>
        <w:tblPrEx>
          <w:tblCellMar>
            <w:top w:w="0" w:type="dxa"/>
            <w:left w:w="108" w:type="dxa"/>
            <w:bottom w:w="0" w:type="dxa"/>
            <w:right w:w="108" w:type="dxa"/>
          </w:tblCellMar>
        </w:tblPrEx>
        <w:trPr>
          <w:trHeight w:val="316" w:hRule="atLeast"/>
          <w:jc w:val="center"/>
        </w:trPr>
        <w:tc>
          <w:tcPr>
            <w:tcW w:w="3524" w:type="dxa"/>
            <w:gridSpan w:val="3"/>
            <w:tcBorders>
              <w:top w:val="single" w:color="000000" w:sz="4" w:space="0"/>
              <w:left w:val="single" w:color="000000" w:sz="4" w:space="0"/>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收     入</w:t>
            </w:r>
          </w:p>
        </w:tc>
        <w:tc>
          <w:tcPr>
            <w:tcW w:w="6896" w:type="dxa"/>
            <w:gridSpan w:val="6"/>
            <w:tcBorders>
              <w:top w:val="single" w:color="000000" w:sz="4" w:space="0"/>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支     出</w:t>
            </w:r>
          </w:p>
        </w:tc>
      </w:tr>
      <w:tr>
        <w:tblPrEx>
          <w:tblCellMar>
            <w:top w:w="0" w:type="dxa"/>
            <w:left w:w="108" w:type="dxa"/>
            <w:bottom w:w="0" w:type="dxa"/>
            <w:right w:w="108" w:type="dxa"/>
          </w:tblCellMar>
        </w:tblPrEx>
        <w:trPr>
          <w:trHeight w:val="312" w:hRule="atLeast"/>
          <w:jc w:val="center"/>
        </w:trPr>
        <w:tc>
          <w:tcPr>
            <w:tcW w:w="1729" w:type="dxa"/>
            <w:vMerge w:val="restart"/>
            <w:tcBorders>
              <w:top w:val="nil"/>
              <w:left w:val="single" w:color="000000" w:sz="4" w:space="0"/>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项    目</w:t>
            </w:r>
          </w:p>
        </w:tc>
        <w:tc>
          <w:tcPr>
            <w:tcW w:w="562" w:type="dxa"/>
            <w:vMerge w:val="restart"/>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行次</w:t>
            </w:r>
          </w:p>
        </w:tc>
        <w:tc>
          <w:tcPr>
            <w:tcW w:w="1233" w:type="dxa"/>
            <w:vMerge w:val="restart"/>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金额</w:t>
            </w:r>
          </w:p>
        </w:tc>
        <w:tc>
          <w:tcPr>
            <w:tcW w:w="1729" w:type="dxa"/>
            <w:vMerge w:val="restart"/>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项目（按功能分类）</w:t>
            </w:r>
          </w:p>
        </w:tc>
        <w:tc>
          <w:tcPr>
            <w:tcW w:w="562" w:type="dxa"/>
            <w:vMerge w:val="restart"/>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行次</w:t>
            </w:r>
          </w:p>
        </w:tc>
        <w:tc>
          <w:tcPr>
            <w:tcW w:w="1233" w:type="dxa"/>
            <w:vMerge w:val="restart"/>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合计</w:t>
            </w:r>
          </w:p>
        </w:tc>
        <w:tc>
          <w:tcPr>
            <w:tcW w:w="1233" w:type="dxa"/>
            <w:vMerge w:val="restart"/>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一般公共预算财政拨款</w:t>
            </w:r>
          </w:p>
        </w:tc>
        <w:tc>
          <w:tcPr>
            <w:tcW w:w="1048" w:type="dxa"/>
            <w:vMerge w:val="restart"/>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政府性基金预算财政拨款</w:t>
            </w:r>
          </w:p>
        </w:tc>
        <w:tc>
          <w:tcPr>
            <w:tcW w:w="1091" w:type="dxa"/>
            <w:vMerge w:val="restart"/>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国有资本经营预算财政拨款</w:t>
            </w:r>
          </w:p>
        </w:tc>
      </w:tr>
      <w:tr>
        <w:tblPrEx>
          <w:tblCellMar>
            <w:top w:w="0" w:type="dxa"/>
            <w:left w:w="108" w:type="dxa"/>
            <w:bottom w:w="0" w:type="dxa"/>
            <w:right w:w="108" w:type="dxa"/>
          </w:tblCellMar>
        </w:tblPrEx>
        <w:trPr>
          <w:trHeight w:val="930" w:hRule="atLeast"/>
          <w:jc w:val="center"/>
        </w:trPr>
        <w:tc>
          <w:tcPr>
            <w:tcW w:w="1729" w:type="dxa"/>
            <w:vMerge w:val="continue"/>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vMerge w:val="continue"/>
            <w:tcBorders>
              <w:top w:val="nil"/>
              <w:left w:val="nil"/>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1233" w:type="dxa"/>
            <w:vMerge w:val="continue"/>
            <w:tcBorders>
              <w:top w:val="nil"/>
              <w:left w:val="nil"/>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1729" w:type="dxa"/>
            <w:vMerge w:val="continue"/>
            <w:tcBorders>
              <w:top w:val="nil"/>
              <w:left w:val="nil"/>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vMerge w:val="continue"/>
            <w:tcBorders>
              <w:top w:val="nil"/>
              <w:left w:val="nil"/>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1233" w:type="dxa"/>
            <w:vMerge w:val="continue"/>
            <w:tcBorders>
              <w:top w:val="nil"/>
              <w:left w:val="nil"/>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1233" w:type="dxa"/>
            <w:vMerge w:val="continue"/>
            <w:tcBorders>
              <w:top w:val="nil"/>
              <w:left w:val="nil"/>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1048" w:type="dxa"/>
            <w:vMerge w:val="continue"/>
            <w:tcBorders>
              <w:top w:val="nil"/>
              <w:left w:val="nil"/>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1091" w:type="dxa"/>
            <w:vMerge w:val="continue"/>
            <w:tcBorders>
              <w:top w:val="nil"/>
              <w:left w:val="nil"/>
              <w:bottom w:val="single" w:color="000000" w:sz="4" w:space="0"/>
              <w:right w:val="single" w:color="000000" w:sz="4" w:space="0"/>
            </w:tcBorders>
            <w:shd w:val="clear" w:color="FFFFFF" w:fill="C0C0C0"/>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34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栏    次</w:t>
            </w:r>
          </w:p>
        </w:tc>
        <w:tc>
          <w:tcPr>
            <w:tcW w:w="562" w:type="dxa"/>
            <w:tcBorders>
              <w:top w:val="nil"/>
              <w:left w:val="nil"/>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1233"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1</w:t>
            </w: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栏    次</w:t>
            </w:r>
          </w:p>
        </w:tc>
        <w:tc>
          <w:tcPr>
            <w:tcW w:w="562" w:type="dxa"/>
            <w:tcBorders>
              <w:top w:val="nil"/>
              <w:left w:val="nil"/>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1233"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2</w:t>
            </w:r>
          </w:p>
        </w:tc>
        <w:tc>
          <w:tcPr>
            <w:tcW w:w="1233"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3</w:t>
            </w:r>
          </w:p>
        </w:tc>
        <w:tc>
          <w:tcPr>
            <w:tcW w:w="1048"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4</w:t>
            </w:r>
          </w:p>
        </w:tc>
        <w:tc>
          <w:tcPr>
            <w:tcW w:w="1091"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5</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一、一般公共预算财政拨款</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1</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8,159,842.98</w:t>
            </w: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一、一般公共服务支出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33</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二、政府性基金预算财政拨款</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2</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二、外交支出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34</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917"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三、国有资本经营预算财政拨款</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3</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三、国防支出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35</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4</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四、公共安全支出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36</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8,022,090.55</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8,022,090.55</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34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5</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五、教育支出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37</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6</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六、科学技术支出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38</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7</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七、文化旅游体育与传媒支出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39</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8</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八、社会保障和就业支出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40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137,752.43</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137,752.43</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9</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九、卫生健康支出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41</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10</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十、节能环保支出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42</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11</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十一、城乡社区支出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43</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12</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十二、农林水支出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44</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13</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十三、交通运输支出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45</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917"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14</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十四、资源勘探工业信息等支出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46</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15</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十五、商业服务业等支出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47</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34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16</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十六、金融支出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48</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17</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十七、援助其他地区支出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49</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917"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18</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十八、自然资源海洋气象等支出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50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19</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十九、住房保障支出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51</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20</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二十、粮油物资储备支出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52</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917"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21</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二十一、国有资本经营预算支出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53</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927"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22</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二十二、灾害防治及应急管理支出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54</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23</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二十三、其他支出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55</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24</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二十四、债务还本支出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56</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b/>
                <w:bCs/>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25</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二十五、债务付息支出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57</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927"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26</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二十六、抗疫特别国债安排的支出</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58</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316"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textAlignment w:val="center"/>
              <w:rPr>
                <w:rFonts w:ascii="宋体" w:hAnsi="宋体" w:eastAsia="宋体" w:cs="宋体"/>
                <w:b/>
                <w:bCs/>
                <w:sz w:val="22"/>
                <w:szCs w:val="22"/>
              </w:rPr>
            </w:pPr>
            <w:r>
              <w:rPr>
                <w:rFonts w:hint="eastAsia" w:ascii="宋体" w:hAnsi="宋体" w:eastAsia="宋体" w:cs="宋体"/>
                <w:b/>
                <w:bCs/>
                <w:sz w:val="22"/>
                <w:szCs w:val="22"/>
              </w:rPr>
              <w:t>本年收入合计</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27</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8,159,842.98</w:t>
            </w: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b/>
                <w:bCs/>
                <w:sz w:val="22"/>
                <w:szCs w:val="22"/>
              </w:rPr>
            </w:pPr>
            <w:r>
              <w:rPr>
                <w:rFonts w:hint="eastAsia" w:ascii="宋体" w:hAnsi="宋体" w:eastAsia="宋体" w:cs="宋体"/>
                <w:b/>
                <w:bCs/>
                <w:sz w:val="22"/>
                <w:szCs w:val="22"/>
              </w:rPr>
              <w:t>本年支出合计</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59</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8,159,842.98</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8,159,842.98</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年初财政拨款结转和结余</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28</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年末财政拨款结转和结余</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60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一、一般公共预算财政拨款</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29</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729" w:type="dxa"/>
            <w:tcBorders>
              <w:top w:val="nil"/>
              <w:left w:val="nil"/>
              <w:bottom w:val="single" w:color="000000" w:sz="4" w:space="0"/>
              <w:right w:val="single" w:color="000000" w:sz="4" w:space="0"/>
            </w:tcBorders>
            <w:shd w:val="clear" w:color="FFFFFF" w:fill="C0C0C0"/>
          </w:tcPr>
          <w:p>
            <w:pPr>
              <w:jc w:val="center"/>
              <w:rPr>
                <w:rFonts w:ascii="宋体" w:hAnsi="宋体" w:eastAsia="宋体" w:cs="宋体"/>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61</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048"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091"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r>
      <w:tr>
        <w:tblPrEx>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二、政府性基金预算财政拨款</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30</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729" w:type="dxa"/>
            <w:tcBorders>
              <w:top w:val="nil"/>
              <w:left w:val="nil"/>
              <w:bottom w:val="single" w:color="000000" w:sz="4" w:space="0"/>
              <w:right w:val="single" w:color="000000" w:sz="4" w:space="0"/>
            </w:tcBorders>
            <w:shd w:val="clear" w:color="FFFFFF" w:fill="C0C0C0"/>
          </w:tcPr>
          <w:p>
            <w:pPr>
              <w:jc w:val="center"/>
              <w:rPr>
                <w:rFonts w:ascii="宋体" w:hAnsi="宋体" w:eastAsia="宋体" w:cs="宋体"/>
                <w:b/>
                <w:bCs/>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62</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048"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091"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r>
      <w:tr>
        <w:tblPrEx>
          <w:tblCellMar>
            <w:top w:w="0" w:type="dxa"/>
            <w:left w:w="108" w:type="dxa"/>
            <w:bottom w:w="0" w:type="dxa"/>
            <w:right w:w="108" w:type="dxa"/>
          </w:tblCellMar>
        </w:tblPrEx>
        <w:trPr>
          <w:trHeight w:val="917"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三、国有资本经营预算财政拨款</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31</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729" w:type="dxa"/>
            <w:tcBorders>
              <w:top w:val="nil"/>
              <w:left w:val="nil"/>
              <w:bottom w:val="single" w:color="000000" w:sz="4" w:space="0"/>
              <w:right w:val="single" w:color="000000" w:sz="4" w:space="0"/>
            </w:tcBorders>
            <w:shd w:val="clear" w:color="FFFFFF" w:fill="C0C0C0"/>
          </w:tcPr>
          <w:p>
            <w:pPr>
              <w:jc w:val="center"/>
              <w:rPr>
                <w:rFonts w:ascii="宋体" w:hAnsi="宋体" w:eastAsia="宋体" w:cs="宋体"/>
                <w:b/>
                <w:bCs/>
                <w:sz w:val="22"/>
                <w:szCs w:val="22"/>
              </w:rPr>
            </w:pP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63</w:t>
            </w: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233"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048"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c>
          <w:tcPr>
            <w:tcW w:w="1091" w:type="dxa"/>
            <w:tcBorders>
              <w:top w:val="nil"/>
              <w:left w:val="nil"/>
              <w:bottom w:val="single" w:color="000000" w:sz="4" w:space="0"/>
              <w:right w:val="single" w:color="000000" w:sz="4" w:space="0"/>
            </w:tcBorders>
            <w:shd w:val="clear" w:color="auto" w:fill="auto"/>
          </w:tcPr>
          <w:p>
            <w:pPr>
              <w:jc w:val="center"/>
              <w:rPr>
                <w:rFonts w:ascii="宋体" w:hAnsi="宋体" w:eastAsia="宋体" w:cs="宋体"/>
                <w:sz w:val="16"/>
                <w:szCs w:val="16"/>
              </w:rPr>
            </w:pPr>
          </w:p>
        </w:tc>
      </w:tr>
      <w:tr>
        <w:tblPrEx>
          <w:tblCellMar>
            <w:top w:w="0" w:type="dxa"/>
            <w:left w:w="108" w:type="dxa"/>
            <w:bottom w:w="0" w:type="dxa"/>
            <w:right w:w="108" w:type="dxa"/>
          </w:tblCellMar>
        </w:tblPrEx>
        <w:trPr>
          <w:trHeight w:val="316" w:hRule="atLeast"/>
          <w:jc w:val="center"/>
        </w:trPr>
        <w:tc>
          <w:tcPr>
            <w:tcW w:w="1729" w:type="dxa"/>
            <w:tcBorders>
              <w:top w:val="nil"/>
              <w:left w:val="single" w:color="000000" w:sz="4" w:space="0"/>
              <w:bottom w:val="single" w:color="000000" w:sz="4" w:space="0"/>
              <w:right w:val="single" w:color="000000" w:sz="4" w:space="0"/>
            </w:tcBorders>
            <w:shd w:val="clear" w:color="FFFFFF" w:fill="C0C0C0"/>
          </w:tcPr>
          <w:p>
            <w:pPr>
              <w:jc w:val="center"/>
              <w:textAlignment w:val="center"/>
              <w:rPr>
                <w:rFonts w:ascii="宋体" w:hAnsi="宋体" w:eastAsia="宋体" w:cs="宋体"/>
                <w:b/>
                <w:bCs/>
                <w:sz w:val="22"/>
                <w:szCs w:val="22"/>
              </w:rPr>
            </w:pPr>
            <w:r>
              <w:rPr>
                <w:rFonts w:hint="eastAsia" w:ascii="宋体" w:hAnsi="宋体" w:eastAsia="宋体" w:cs="宋体"/>
                <w:b/>
                <w:bCs/>
                <w:sz w:val="22"/>
                <w:szCs w:val="22"/>
              </w:rPr>
              <w:t>总计</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32</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8,159,842.98</w:t>
            </w:r>
          </w:p>
        </w:tc>
        <w:tc>
          <w:tcPr>
            <w:tcW w:w="1729"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b/>
                <w:bCs/>
                <w:sz w:val="22"/>
                <w:szCs w:val="22"/>
              </w:rPr>
            </w:pPr>
            <w:r>
              <w:rPr>
                <w:rFonts w:hint="eastAsia" w:ascii="宋体" w:hAnsi="宋体" w:eastAsia="宋体" w:cs="宋体"/>
                <w:b/>
                <w:bCs/>
                <w:sz w:val="22"/>
                <w:szCs w:val="22"/>
              </w:rPr>
              <w:t>总计</w:t>
            </w:r>
          </w:p>
        </w:tc>
        <w:tc>
          <w:tcPr>
            <w:tcW w:w="562" w:type="dxa"/>
            <w:tcBorders>
              <w:top w:val="nil"/>
              <w:left w:val="nil"/>
              <w:bottom w:val="single" w:color="000000" w:sz="4" w:space="0"/>
              <w:right w:val="single" w:color="000000" w:sz="4" w:space="0"/>
            </w:tcBorders>
            <w:shd w:val="clear" w:color="FFFFFF" w:fill="C0C0C0"/>
          </w:tcPr>
          <w:p>
            <w:pPr>
              <w:jc w:val="center"/>
              <w:textAlignment w:val="center"/>
              <w:rPr>
                <w:rFonts w:ascii="宋体" w:hAnsi="宋体" w:eastAsia="宋体" w:cs="宋体"/>
                <w:sz w:val="22"/>
                <w:szCs w:val="22"/>
              </w:rPr>
            </w:pPr>
            <w:r>
              <w:rPr>
                <w:rFonts w:hint="eastAsia" w:ascii="宋体" w:hAnsi="宋体" w:eastAsia="宋体" w:cs="宋体"/>
                <w:sz w:val="22"/>
                <w:szCs w:val="22"/>
              </w:rPr>
              <w:t>64</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8,159,842.98</w:t>
            </w:r>
          </w:p>
        </w:tc>
        <w:tc>
          <w:tcPr>
            <w:tcW w:w="1233"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8,159,842.98</w:t>
            </w:r>
          </w:p>
        </w:tc>
        <w:tc>
          <w:tcPr>
            <w:tcW w:w="1048"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c>
          <w:tcPr>
            <w:tcW w:w="1091" w:type="dxa"/>
            <w:tcBorders>
              <w:top w:val="nil"/>
              <w:left w:val="nil"/>
              <w:bottom w:val="single" w:color="000000" w:sz="4" w:space="0"/>
              <w:right w:val="single" w:color="000000" w:sz="4" w:space="0"/>
            </w:tcBorders>
            <w:shd w:val="clear" w:color="auto" w:fill="auto"/>
          </w:tcPr>
          <w:p>
            <w:pPr>
              <w:jc w:val="center"/>
              <w:textAlignment w:val="center"/>
              <w:rPr>
                <w:rFonts w:ascii="宋体" w:hAnsi="宋体" w:eastAsia="宋体" w:cs="宋体"/>
                <w:sz w:val="16"/>
                <w:szCs w:val="16"/>
              </w:rPr>
            </w:pPr>
            <w:r>
              <w:rPr>
                <w:rFonts w:hint="eastAsia" w:ascii="宋体" w:hAnsi="宋体" w:eastAsia="宋体" w:cs="宋体"/>
                <w:sz w:val="16"/>
                <w:szCs w:val="16"/>
              </w:rPr>
              <w:t>0.00</w:t>
            </w:r>
          </w:p>
        </w:tc>
      </w:tr>
      <w:tr>
        <w:tblPrEx>
          <w:tblCellMar>
            <w:top w:w="0" w:type="dxa"/>
            <w:left w:w="108" w:type="dxa"/>
            <w:bottom w:w="0" w:type="dxa"/>
            <w:right w:w="108" w:type="dxa"/>
          </w:tblCellMar>
        </w:tblPrEx>
        <w:trPr>
          <w:trHeight w:val="753" w:hRule="atLeast"/>
          <w:jc w:val="center"/>
        </w:trPr>
        <w:tc>
          <w:tcPr>
            <w:tcW w:w="10420" w:type="dxa"/>
            <w:gridSpan w:val="9"/>
            <w:tcBorders>
              <w:top w:val="nil"/>
              <w:left w:val="nil"/>
              <w:bottom w:val="nil"/>
              <w:right w:val="nil"/>
            </w:tcBorders>
            <w:shd w:val="clear" w:color="auto" w:fill="auto"/>
          </w:tcPr>
          <w:p>
            <w:pPr>
              <w:jc w:val="center"/>
              <w:textAlignment w:val="center"/>
              <w:rPr>
                <w:rFonts w:ascii="宋体" w:hAnsi="宋体" w:eastAsia="宋体" w:cs="宋体"/>
                <w:sz w:val="22"/>
                <w:szCs w:val="22"/>
              </w:rPr>
            </w:pPr>
            <w:r>
              <w:rPr>
                <w:rFonts w:hint="eastAsia" w:ascii="宋体" w:hAnsi="宋体" w:eastAsia="宋体" w:cs="宋体"/>
                <w:sz w:val="22"/>
                <w:szCs w:val="22"/>
              </w:rPr>
              <w:t>注：本表反映部门本年度一般公共预算财政拨款、政府性基金预算财政拨款和国有资本经营预算财政拨款的总收支和年末结转结余情况。</w:t>
            </w:r>
          </w:p>
        </w:tc>
      </w:tr>
    </w:tbl>
    <w:p/>
    <w:tbl>
      <w:tblPr>
        <w:tblStyle w:val="7"/>
        <w:tblW w:w="10011" w:type="dxa"/>
        <w:jc w:val="center"/>
        <w:tblLayout w:type="fixed"/>
        <w:tblCellMar>
          <w:top w:w="0" w:type="dxa"/>
          <w:left w:w="108" w:type="dxa"/>
          <w:bottom w:w="0" w:type="dxa"/>
          <w:right w:w="108" w:type="dxa"/>
        </w:tblCellMar>
      </w:tblPr>
      <w:tblGrid>
        <w:gridCol w:w="436"/>
        <w:gridCol w:w="436"/>
        <w:gridCol w:w="436"/>
        <w:gridCol w:w="3516"/>
        <w:gridCol w:w="1827"/>
        <w:gridCol w:w="1760"/>
        <w:gridCol w:w="1600"/>
      </w:tblGrid>
      <w:tr>
        <w:tblPrEx>
          <w:tblCellMar>
            <w:top w:w="0" w:type="dxa"/>
            <w:left w:w="108" w:type="dxa"/>
            <w:bottom w:w="0" w:type="dxa"/>
            <w:right w:w="108" w:type="dxa"/>
          </w:tblCellMar>
        </w:tblPrEx>
        <w:trPr>
          <w:trHeight w:val="564" w:hRule="atLeast"/>
          <w:jc w:val="center"/>
        </w:trPr>
        <w:tc>
          <w:tcPr>
            <w:tcW w:w="10011" w:type="dxa"/>
            <w:gridSpan w:val="7"/>
            <w:tcBorders>
              <w:top w:val="nil"/>
              <w:left w:val="nil"/>
              <w:bottom w:val="nil"/>
              <w:right w:val="nil"/>
            </w:tcBorders>
            <w:shd w:val="clear" w:color="auto" w:fill="auto"/>
            <w:noWrap/>
            <w:vAlign w:val="bottom"/>
          </w:tcPr>
          <w:p>
            <w:pPr>
              <w:jc w:val="center"/>
              <w:textAlignment w:val="bottom"/>
              <w:rPr>
                <w:rFonts w:ascii="宋体" w:hAnsi="宋体" w:eastAsia="宋体" w:cs="宋体"/>
                <w:sz w:val="44"/>
                <w:szCs w:val="44"/>
              </w:rPr>
            </w:pPr>
            <w:r>
              <w:rPr>
                <w:rFonts w:hint="eastAsia" w:ascii="宋体" w:hAnsi="宋体" w:eastAsia="宋体" w:cs="宋体"/>
                <w:sz w:val="44"/>
                <w:szCs w:val="44"/>
              </w:rPr>
              <w:t>一般公共预算财政拨款支出决算表</w:t>
            </w:r>
          </w:p>
        </w:tc>
      </w:tr>
      <w:tr>
        <w:tblPrEx>
          <w:tblCellMar>
            <w:top w:w="0" w:type="dxa"/>
            <w:left w:w="108" w:type="dxa"/>
            <w:bottom w:w="0" w:type="dxa"/>
            <w:right w:w="108" w:type="dxa"/>
          </w:tblCellMar>
        </w:tblPrEx>
        <w:trPr>
          <w:trHeight w:val="264" w:hRule="atLeast"/>
          <w:jc w:val="center"/>
        </w:trPr>
        <w:tc>
          <w:tcPr>
            <w:tcW w:w="436" w:type="dxa"/>
            <w:tcBorders>
              <w:top w:val="nil"/>
              <w:left w:val="nil"/>
              <w:bottom w:val="nil"/>
              <w:right w:val="nil"/>
            </w:tcBorders>
            <w:shd w:val="clear" w:color="auto" w:fill="auto"/>
            <w:noWrap/>
            <w:vAlign w:val="bottom"/>
          </w:tcPr>
          <w:p>
            <w:pPr>
              <w:rPr>
                <w:sz w:val="20"/>
                <w:szCs w:val="20"/>
              </w:rPr>
            </w:pPr>
          </w:p>
        </w:tc>
        <w:tc>
          <w:tcPr>
            <w:tcW w:w="436" w:type="dxa"/>
            <w:tcBorders>
              <w:top w:val="nil"/>
              <w:left w:val="nil"/>
              <w:bottom w:val="nil"/>
              <w:right w:val="nil"/>
            </w:tcBorders>
            <w:shd w:val="clear" w:color="auto" w:fill="auto"/>
            <w:noWrap/>
            <w:vAlign w:val="bottom"/>
          </w:tcPr>
          <w:p>
            <w:pPr>
              <w:rPr>
                <w:sz w:val="20"/>
                <w:szCs w:val="20"/>
              </w:rPr>
            </w:pPr>
          </w:p>
        </w:tc>
        <w:tc>
          <w:tcPr>
            <w:tcW w:w="436" w:type="dxa"/>
            <w:tcBorders>
              <w:top w:val="nil"/>
              <w:left w:val="nil"/>
              <w:bottom w:val="nil"/>
              <w:right w:val="nil"/>
            </w:tcBorders>
            <w:shd w:val="clear" w:color="auto" w:fill="auto"/>
            <w:noWrap/>
            <w:vAlign w:val="bottom"/>
          </w:tcPr>
          <w:p>
            <w:pPr>
              <w:rPr>
                <w:sz w:val="20"/>
                <w:szCs w:val="20"/>
              </w:rPr>
            </w:pPr>
          </w:p>
        </w:tc>
        <w:tc>
          <w:tcPr>
            <w:tcW w:w="3516" w:type="dxa"/>
            <w:tcBorders>
              <w:top w:val="nil"/>
              <w:left w:val="nil"/>
              <w:bottom w:val="nil"/>
              <w:right w:val="nil"/>
            </w:tcBorders>
            <w:shd w:val="clear" w:color="auto" w:fill="auto"/>
            <w:noWrap/>
            <w:vAlign w:val="bottom"/>
          </w:tcPr>
          <w:p>
            <w:pPr>
              <w:rPr>
                <w:sz w:val="20"/>
                <w:szCs w:val="20"/>
              </w:rPr>
            </w:pPr>
          </w:p>
        </w:tc>
        <w:tc>
          <w:tcPr>
            <w:tcW w:w="1827" w:type="dxa"/>
            <w:tcBorders>
              <w:top w:val="nil"/>
              <w:left w:val="nil"/>
              <w:bottom w:val="nil"/>
              <w:right w:val="nil"/>
            </w:tcBorders>
            <w:shd w:val="clear" w:color="auto" w:fill="auto"/>
            <w:noWrap/>
            <w:vAlign w:val="bottom"/>
          </w:tcPr>
          <w:p>
            <w:pPr>
              <w:rPr>
                <w:sz w:val="20"/>
                <w:szCs w:val="20"/>
              </w:rPr>
            </w:pPr>
          </w:p>
        </w:tc>
        <w:tc>
          <w:tcPr>
            <w:tcW w:w="1760" w:type="dxa"/>
            <w:tcBorders>
              <w:top w:val="nil"/>
              <w:left w:val="nil"/>
              <w:bottom w:val="nil"/>
              <w:right w:val="nil"/>
            </w:tcBorders>
            <w:shd w:val="clear" w:color="auto" w:fill="auto"/>
            <w:noWrap/>
            <w:vAlign w:val="bottom"/>
          </w:tcPr>
          <w:p>
            <w:pPr>
              <w:rPr>
                <w:sz w:val="20"/>
                <w:szCs w:val="20"/>
              </w:rPr>
            </w:pPr>
          </w:p>
        </w:tc>
        <w:tc>
          <w:tcPr>
            <w:tcW w:w="1600" w:type="dxa"/>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公开05表</w:t>
            </w:r>
          </w:p>
        </w:tc>
      </w:tr>
      <w:tr>
        <w:tblPrEx>
          <w:tblCellMar>
            <w:top w:w="0" w:type="dxa"/>
            <w:left w:w="108" w:type="dxa"/>
            <w:bottom w:w="0" w:type="dxa"/>
            <w:right w:w="108" w:type="dxa"/>
          </w:tblCellMar>
        </w:tblPrEx>
        <w:trPr>
          <w:trHeight w:val="264" w:hRule="atLeast"/>
          <w:jc w:val="center"/>
        </w:trPr>
        <w:tc>
          <w:tcPr>
            <w:tcW w:w="4824" w:type="dxa"/>
            <w:gridSpan w:val="4"/>
            <w:tcBorders>
              <w:top w:val="nil"/>
              <w:left w:val="nil"/>
              <w:bottom w:val="nil"/>
              <w:right w:val="nil"/>
            </w:tcBorders>
            <w:shd w:val="clear" w:color="auto" w:fill="auto"/>
            <w:noWrap/>
            <w:vAlign w:val="bottom"/>
          </w:tcPr>
          <w:p>
            <w:pPr>
              <w:textAlignment w:val="bottom"/>
              <w:rPr>
                <w:rFonts w:ascii="宋体" w:hAnsi="宋体" w:eastAsia="宋体" w:cs="宋体"/>
                <w:sz w:val="20"/>
                <w:szCs w:val="20"/>
              </w:rPr>
            </w:pPr>
            <w:r>
              <w:rPr>
                <w:rFonts w:hint="eastAsia" w:ascii="宋体" w:hAnsi="宋体" w:eastAsia="宋体" w:cs="宋体"/>
                <w:sz w:val="20"/>
                <w:szCs w:val="20"/>
              </w:rPr>
              <w:t>编制单位：南昌市青云谱区司法局</w:t>
            </w:r>
          </w:p>
        </w:tc>
        <w:tc>
          <w:tcPr>
            <w:tcW w:w="1827" w:type="dxa"/>
            <w:tcBorders>
              <w:top w:val="nil"/>
              <w:left w:val="nil"/>
              <w:bottom w:val="nil"/>
              <w:right w:val="nil"/>
            </w:tcBorders>
            <w:shd w:val="clear" w:color="auto" w:fill="auto"/>
            <w:noWrap/>
            <w:vAlign w:val="bottom"/>
          </w:tcPr>
          <w:p>
            <w:pPr>
              <w:jc w:val="center"/>
              <w:textAlignment w:val="bottom"/>
              <w:rPr>
                <w:rFonts w:ascii="宋体" w:hAnsi="宋体" w:eastAsia="宋体" w:cs="宋体"/>
                <w:sz w:val="20"/>
                <w:szCs w:val="20"/>
              </w:rPr>
            </w:pPr>
            <w:r>
              <w:rPr>
                <w:rFonts w:hint="eastAsia" w:ascii="宋体" w:hAnsi="宋体" w:eastAsia="宋体" w:cs="宋体"/>
                <w:sz w:val="20"/>
                <w:szCs w:val="20"/>
              </w:rPr>
              <w:t>2021年度</w:t>
            </w:r>
          </w:p>
        </w:tc>
        <w:tc>
          <w:tcPr>
            <w:tcW w:w="1760" w:type="dxa"/>
            <w:tcBorders>
              <w:top w:val="nil"/>
              <w:left w:val="nil"/>
              <w:bottom w:val="nil"/>
              <w:right w:val="nil"/>
            </w:tcBorders>
            <w:shd w:val="clear" w:color="auto" w:fill="auto"/>
            <w:noWrap/>
            <w:vAlign w:val="bottom"/>
          </w:tcPr>
          <w:p>
            <w:pPr>
              <w:rPr>
                <w:sz w:val="20"/>
                <w:szCs w:val="20"/>
              </w:rPr>
            </w:pPr>
          </w:p>
        </w:tc>
        <w:tc>
          <w:tcPr>
            <w:tcW w:w="1600" w:type="dxa"/>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金额单位：元</w:t>
            </w:r>
          </w:p>
        </w:tc>
      </w:tr>
      <w:tr>
        <w:tblPrEx>
          <w:tblCellMar>
            <w:top w:w="0" w:type="dxa"/>
            <w:left w:w="108" w:type="dxa"/>
            <w:bottom w:w="0" w:type="dxa"/>
            <w:right w:w="108" w:type="dxa"/>
          </w:tblCellMar>
        </w:tblPrEx>
        <w:trPr>
          <w:trHeight w:val="338" w:hRule="atLeast"/>
          <w:jc w:val="center"/>
        </w:trPr>
        <w:tc>
          <w:tcPr>
            <w:tcW w:w="4824"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    目</w:t>
            </w:r>
          </w:p>
        </w:tc>
        <w:tc>
          <w:tcPr>
            <w:tcW w:w="1827" w:type="dxa"/>
            <w:vMerge w:val="restart"/>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本年支出合计</w:t>
            </w:r>
          </w:p>
        </w:tc>
        <w:tc>
          <w:tcPr>
            <w:tcW w:w="1760" w:type="dxa"/>
            <w:vMerge w:val="restart"/>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基本支出</w:t>
            </w:r>
          </w:p>
        </w:tc>
        <w:tc>
          <w:tcPr>
            <w:tcW w:w="1600" w:type="dxa"/>
            <w:vMerge w:val="restart"/>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项目支出</w:t>
            </w:r>
          </w:p>
        </w:tc>
      </w:tr>
      <w:tr>
        <w:tblPrEx>
          <w:tblCellMar>
            <w:top w:w="0" w:type="dxa"/>
            <w:left w:w="108" w:type="dxa"/>
            <w:bottom w:w="0" w:type="dxa"/>
            <w:right w:w="108" w:type="dxa"/>
          </w:tblCellMar>
        </w:tblPrEx>
        <w:trPr>
          <w:trHeight w:val="308" w:hRule="atLeast"/>
          <w:jc w:val="center"/>
        </w:trPr>
        <w:tc>
          <w:tcPr>
            <w:tcW w:w="1308"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支出功能分类科目编码</w:t>
            </w:r>
          </w:p>
        </w:tc>
        <w:tc>
          <w:tcPr>
            <w:tcW w:w="3516" w:type="dxa"/>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科目名称</w:t>
            </w:r>
          </w:p>
        </w:tc>
        <w:tc>
          <w:tcPr>
            <w:tcW w:w="1827"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760"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600"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285" w:hRule="atLeast"/>
          <w:jc w:val="center"/>
        </w:trPr>
        <w:tc>
          <w:tcPr>
            <w:tcW w:w="1308"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3516"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827"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760"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600"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308" w:hRule="atLeast"/>
          <w:jc w:val="center"/>
        </w:trPr>
        <w:tc>
          <w:tcPr>
            <w:tcW w:w="1308"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3516"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827"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760"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600"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338" w:hRule="atLeast"/>
          <w:jc w:val="center"/>
        </w:trPr>
        <w:tc>
          <w:tcPr>
            <w:tcW w:w="436" w:type="dxa"/>
            <w:vMerge w:val="restart"/>
            <w:tcBorders>
              <w:top w:val="nil"/>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类</w:t>
            </w:r>
          </w:p>
        </w:tc>
        <w:tc>
          <w:tcPr>
            <w:tcW w:w="436" w:type="dxa"/>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款</w:t>
            </w:r>
          </w:p>
        </w:tc>
        <w:tc>
          <w:tcPr>
            <w:tcW w:w="436" w:type="dxa"/>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w:t>
            </w:r>
          </w:p>
        </w:tc>
        <w:tc>
          <w:tcPr>
            <w:tcW w:w="351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栏次</w:t>
            </w:r>
          </w:p>
        </w:tc>
        <w:tc>
          <w:tcPr>
            <w:tcW w:w="1827"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w:t>
            </w:r>
          </w:p>
        </w:tc>
        <w:tc>
          <w:tcPr>
            <w:tcW w:w="1760"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w:t>
            </w:r>
          </w:p>
        </w:tc>
        <w:tc>
          <w:tcPr>
            <w:tcW w:w="1600"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w:t>
            </w:r>
          </w:p>
        </w:tc>
      </w:tr>
      <w:tr>
        <w:tblPrEx>
          <w:tblCellMar>
            <w:top w:w="0" w:type="dxa"/>
            <w:left w:w="108" w:type="dxa"/>
            <w:bottom w:w="0" w:type="dxa"/>
            <w:right w:w="108" w:type="dxa"/>
          </w:tblCellMar>
        </w:tblPrEx>
        <w:trPr>
          <w:trHeight w:val="308" w:hRule="atLeast"/>
          <w:jc w:val="center"/>
        </w:trPr>
        <w:tc>
          <w:tcPr>
            <w:tcW w:w="436" w:type="dxa"/>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436"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436"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3516"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合计</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8,159,842.98</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5,513,386.54</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2,646,456.44</w:t>
            </w:r>
          </w:p>
        </w:tc>
      </w:tr>
      <w:tr>
        <w:tblPrEx>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公共安全支出</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8,022,090.55</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5,375,634.11</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2,646,456.44</w:t>
            </w:r>
          </w:p>
        </w:tc>
      </w:tr>
      <w:tr>
        <w:tblPrEx>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司法</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8,022,090.55</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5,375,634.11</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2,646,456.44</w:t>
            </w:r>
          </w:p>
        </w:tc>
      </w:tr>
      <w:tr>
        <w:tblPrEx>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2040601</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行政运行</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4,985,476.51</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4,985,476.51</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2040604</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基层司法业务</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60,034.38</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60,034.38</w:t>
            </w:r>
          </w:p>
        </w:tc>
      </w:tr>
      <w:tr>
        <w:tblPrEx>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2040605</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普法宣传</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82,955.92</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82,955.92</w:t>
            </w:r>
          </w:p>
        </w:tc>
      </w:tr>
      <w:tr>
        <w:tblPrEx>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2040607</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公共法律服务</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78,739.28</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78,739.28</w:t>
            </w:r>
          </w:p>
        </w:tc>
      </w:tr>
      <w:tr>
        <w:tblPrEx>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2040610</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社区矫正</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181,516.91</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181,516.91</w:t>
            </w:r>
          </w:p>
        </w:tc>
      </w:tr>
      <w:tr>
        <w:tblPrEx>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2040650</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事业运行</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390,157.60</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390,157.60</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2040699</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其他司法支出</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2,243,209.95</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2,243,209.95</w:t>
            </w:r>
          </w:p>
        </w:tc>
      </w:tr>
      <w:tr>
        <w:tblPrEx>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208</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社会保障和就业支出</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137,752.43</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137,752.43</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20805</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行政事业单位养老支出</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137,752.43</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137,752.43</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2080501</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行政单位离退休</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106,319.66</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106,319.66</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2080506</w:t>
            </w:r>
          </w:p>
        </w:tc>
        <w:tc>
          <w:tcPr>
            <w:tcW w:w="3516" w:type="dxa"/>
            <w:tcBorders>
              <w:top w:val="nil"/>
              <w:left w:val="nil"/>
              <w:bottom w:val="single" w:color="000000" w:sz="4" w:space="0"/>
              <w:right w:val="single" w:color="000000" w:sz="4" w:space="0"/>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机关事业单位职业年金缴费支出</w:t>
            </w:r>
          </w:p>
        </w:tc>
        <w:tc>
          <w:tcPr>
            <w:tcW w:w="1827"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31,432.77</w:t>
            </w:r>
          </w:p>
        </w:tc>
        <w:tc>
          <w:tcPr>
            <w:tcW w:w="17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31,432.77</w:t>
            </w:r>
          </w:p>
        </w:tc>
        <w:tc>
          <w:tcPr>
            <w:tcW w:w="160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38" w:hRule="atLeast"/>
          <w:jc w:val="center"/>
        </w:trPr>
        <w:tc>
          <w:tcPr>
            <w:tcW w:w="10011" w:type="dxa"/>
            <w:gridSpan w:val="7"/>
            <w:tcBorders>
              <w:top w:val="nil"/>
              <w:left w:val="nil"/>
              <w:bottom w:val="nil"/>
              <w:right w:val="nil"/>
            </w:tcBorders>
            <w:shd w:val="clear" w:color="auto" w:fill="auto"/>
            <w:vAlign w:val="center"/>
          </w:tcPr>
          <w:p>
            <w:pPr>
              <w:textAlignment w:val="center"/>
              <w:rPr>
                <w:rFonts w:ascii="宋体" w:hAnsi="宋体" w:eastAsia="宋体" w:cs="宋体"/>
                <w:sz w:val="22"/>
                <w:szCs w:val="22"/>
              </w:rPr>
            </w:pPr>
            <w:r>
              <w:rPr>
                <w:rFonts w:hint="eastAsia" w:ascii="宋体" w:hAnsi="宋体" w:eastAsia="宋体" w:cs="宋体"/>
                <w:sz w:val="22"/>
                <w:szCs w:val="22"/>
              </w:rPr>
              <w:t>注：本表反映部门本年度一般公共预算财政拨款支出情况。</w:t>
            </w:r>
          </w:p>
        </w:tc>
      </w:tr>
    </w:tbl>
    <w:p/>
    <w:p/>
    <w:p/>
    <w:p/>
    <w:p/>
    <w:p/>
    <w:p/>
    <w:p/>
    <w:p/>
    <w:p/>
    <w:p/>
    <w:p/>
    <w:p/>
    <w:p/>
    <w:p/>
    <w:p/>
    <w:p/>
    <w:p/>
    <w:p/>
    <w:p/>
    <w:p/>
    <w:tbl>
      <w:tblPr>
        <w:tblStyle w:val="7"/>
        <w:tblW w:w="9745" w:type="dxa"/>
        <w:jc w:val="center"/>
        <w:tblLayout w:type="autofit"/>
        <w:tblCellMar>
          <w:top w:w="0" w:type="dxa"/>
          <w:left w:w="108" w:type="dxa"/>
          <w:bottom w:w="0" w:type="dxa"/>
          <w:right w:w="108" w:type="dxa"/>
        </w:tblCellMar>
      </w:tblPr>
      <w:tblGrid>
        <w:gridCol w:w="766"/>
        <w:gridCol w:w="1096"/>
        <w:gridCol w:w="1536"/>
        <w:gridCol w:w="766"/>
        <w:gridCol w:w="1096"/>
        <w:gridCol w:w="1316"/>
        <w:gridCol w:w="876"/>
        <w:gridCol w:w="1096"/>
        <w:gridCol w:w="1416"/>
      </w:tblGrid>
      <w:tr>
        <w:tblPrEx>
          <w:tblCellMar>
            <w:top w:w="0" w:type="dxa"/>
            <w:left w:w="108" w:type="dxa"/>
            <w:bottom w:w="0" w:type="dxa"/>
            <w:right w:w="108" w:type="dxa"/>
          </w:tblCellMar>
        </w:tblPrEx>
        <w:trPr>
          <w:trHeight w:val="564" w:hRule="atLeast"/>
          <w:jc w:val="center"/>
        </w:trPr>
        <w:tc>
          <w:tcPr>
            <w:tcW w:w="9744" w:type="dxa"/>
            <w:gridSpan w:val="9"/>
            <w:tcBorders>
              <w:top w:val="nil"/>
              <w:left w:val="nil"/>
              <w:bottom w:val="nil"/>
              <w:right w:val="nil"/>
            </w:tcBorders>
            <w:shd w:val="clear" w:color="auto" w:fill="auto"/>
            <w:noWrap/>
            <w:vAlign w:val="bottom"/>
          </w:tcPr>
          <w:p>
            <w:pPr>
              <w:jc w:val="center"/>
              <w:textAlignment w:val="bottom"/>
              <w:rPr>
                <w:rFonts w:ascii="宋体" w:hAnsi="宋体" w:eastAsia="宋体" w:cs="宋体"/>
                <w:sz w:val="44"/>
                <w:szCs w:val="44"/>
              </w:rPr>
            </w:pPr>
            <w:r>
              <w:rPr>
                <w:rFonts w:hint="eastAsia" w:ascii="宋体" w:hAnsi="宋体" w:eastAsia="宋体" w:cs="宋体"/>
                <w:sz w:val="44"/>
                <w:szCs w:val="44"/>
              </w:rPr>
              <w:t>一般公共预算财政拨款基本支出决算表</w:t>
            </w:r>
          </w:p>
        </w:tc>
      </w:tr>
      <w:tr>
        <w:tblPrEx>
          <w:tblCellMar>
            <w:top w:w="0" w:type="dxa"/>
            <w:left w:w="108" w:type="dxa"/>
            <w:bottom w:w="0" w:type="dxa"/>
            <w:right w:w="108" w:type="dxa"/>
          </w:tblCellMar>
        </w:tblPrEx>
        <w:trPr>
          <w:trHeight w:val="264" w:hRule="atLeast"/>
          <w:jc w:val="center"/>
        </w:trPr>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公开06表</w:t>
            </w:r>
          </w:p>
        </w:tc>
      </w:tr>
      <w:tr>
        <w:tblPrEx>
          <w:tblCellMar>
            <w:top w:w="0" w:type="dxa"/>
            <w:left w:w="108" w:type="dxa"/>
            <w:bottom w:w="0" w:type="dxa"/>
            <w:right w:w="108" w:type="dxa"/>
          </w:tblCellMar>
        </w:tblPrEx>
        <w:trPr>
          <w:trHeight w:val="264" w:hRule="atLeast"/>
          <w:jc w:val="center"/>
        </w:trPr>
        <w:tc>
          <w:tcPr>
            <w:tcW w:w="0" w:type="auto"/>
            <w:gridSpan w:val="3"/>
            <w:tcBorders>
              <w:top w:val="nil"/>
              <w:left w:val="nil"/>
              <w:bottom w:val="nil"/>
              <w:right w:val="nil"/>
            </w:tcBorders>
            <w:shd w:val="clear" w:color="auto" w:fill="auto"/>
            <w:noWrap/>
            <w:vAlign w:val="bottom"/>
          </w:tcPr>
          <w:p>
            <w:pPr>
              <w:textAlignment w:val="bottom"/>
              <w:rPr>
                <w:rFonts w:ascii="宋体" w:hAnsi="宋体" w:eastAsia="宋体" w:cs="宋体"/>
                <w:sz w:val="20"/>
                <w:szCs w:val="20"/>
              </w:rPr>
            </w:pPr>
            <w:r>
              <w:rPr>
                <w:rFonts w:hint="eastAsia" w:ascii="宋体" w:hAnsi="宋体" w:eastAsia="宋体" w:cs="宋体"/>
                <w:sz w:val="20"/>
                <w:szCs w:val="20"/>
              </w:rPr>
              <w:t>编制单位：南昌市青云谱区司法局</w:t>
            </w: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jc w:val="center"/>
              <w:textAlignment w:val="bottom"/>
              <w:rPr>
                <w:rFonts w:ascii="宋体" w:hAnsi="宋体" w:eastAsia="宋体" w:cs="宋体"/>
                <w:sz w:val="20"/>
                <w:szCs w:val="20"/>
              </w:rPr>
            </w:pPr>
            <w:r>
              <w:rPr>
                <w:rFonts w:hint="eastAsia" w:ascii="宋体" w:hAnsi="宋体" w:eastAsia="宋体" w:cs="宋体"/>
                <w:sz w:val="20"/>
                <w:szCs w:val="20"/>
              </w:rPr>
              <w:t>2021年度</w:t>
            </w: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金额单位：元</w:t>
            </w:r>
          </w:p>
        </w:tc>
      </w:tr>
      <w:tr>
        <w:tblPrEx>
          <w:tblCellMar>
            <w:top w:w="0" w:type="dxa"/>
            <w:left w:w="108" w:type="dxa"/>
            <w:bottom w:w="0" w:type="dxa"/>
            <w:right w:w="108" w:type="dxa"/>
          </w:tblCellMar>
        </w:tblPrEx>
        <w:trPr>
          <w:trHeight w:val="308"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人员经费</w:t>
            </w:r>
          </w:p>
        </w:tc>
        <w:tc>
          <w:tcPr>
            <w:tcW w:w="0" w:type="auto"/>
            <w:gridSpan w:val="6"/>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公用经费</w:t>
            </w:r>
          </w:p>
        </w:tc>
      </w:tr>
      <w:tr>
        <w:tblPrEx>
          <w:tblCellMar>
            <w:top w:w="0" w:type="dxa"/>
            <w:left w:w="108" w:type="dxa"/>
            <w:bottom w:w="0" w:type="dxa"/>
            <w:right w:w="108" w:type="dxa"/>
          </w:tblCellMar>
        </w:tblPrEx>
        <w:trPr>
          <w:trHeight w:val="631" w:hRule="atLeast"/>
          <w:jc w:val="center"/>
        </w:trPr>
        <w:tc>
          <w:tcPr>
            <w:tcW w:w="912" w:type="dxa"/>
            <w:tcBorders>
              <w:top w:val="nil"/>
              <w:left w:val="single" w:color="000000" w:sz="4" w:space="0"/>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经济分类科目编码</w:t>
            </w: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科目名称</w:t>
            </w: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金额</w:t>
            </w:r>
          </w:p>
        </w:tc>
        <w:tc>
          <w:tcPr>
            <w:tcW w:w="876"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经济分类科目编码</w:t>
            </w: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科目名称</w:t>
            </w: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金额</w:t>
            </w:r>
          </w:p>
        </w:tc>
        <w:tc>
          <w:tcPr>
            <w:tcW w:w="1020" w:type="dxa"/>
            <w:tcBorders>
              <w:top w:val="nil"/>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经济分类科目编码</w:t>
            </w: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科目名称</w:t>
            </w: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金额</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301</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工资福利支出</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5,057,922.88</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302</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商品和服务支出</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349,144.00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307</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债务利息及费用支出</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30101</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基本工资</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618,884.80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30201</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办公费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30701</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国内债务付息</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30102</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津贴补贴</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1,155,741.82</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30202</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印刷费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30702</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国外债务付息</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30103</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奖金</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1,600,054.00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30203</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咨询费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30703</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国内债务发行费用</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30106</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伙食补助费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133,600.00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30204</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手续费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30704</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国外债务发行费用</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30107</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绩效工资</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30205</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水费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310</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资本性支出</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30108</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机关事业单位基本养老保险缴费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277,952.36</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30206</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电费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31001</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房屋建筑物购建</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30109</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职业年金缴费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35,100.84</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30207</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邮电费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31002</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办公设备购置</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30110</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职工基本医疗保险缴费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115,757.76</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30208</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取暖费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31003</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专用设备购置</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30111</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公务员医疗补助缴款</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94,763.80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30209</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物业管理费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31005</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基础设施建设</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30112</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其他社会保障缴费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18,094.99</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30211</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差旅费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31006</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大型修缮</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30113</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995,666.12</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30212</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因公出国（境）费用</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31007</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信息网络及软件购置更新</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30114</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医疗费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30213</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维修（护）费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31008</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物资储备</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30199</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其他工资福利支出</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12,306.39</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30214</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租赁费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31009</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土地补偿</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303</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对个人和家庭的补助</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106,319.66</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30215</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会议费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31010</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安置补助</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30301</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离休费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30216</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培训费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310111</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地上附着物和青苗补偿</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30302</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退休费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106,319.66</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30217</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公务接待费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31012</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拆迁补偿</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30303</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退职（役）费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30218</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专用材料费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31013</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公务用车购置</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30304</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抚恤金</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30224</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被装购置费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31019</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其他交通工具购置</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30305</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生活补贴</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30225</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专用燃料费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31021</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文物和陈列品购置</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30306</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救济费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30226</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劳务费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31022</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无形资产购置</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30307</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医疗费补助</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30227</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委托业务费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337,344.00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31099</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其他资本性支出</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30308</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助学金</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30228</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工会经费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312</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对企业补助</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30309</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奖励金</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30229</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福利费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31201</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资本金注入</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30310</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个人农业生产补贴</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30231</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公务用车运行维护费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11,800.00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31203</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政府投资基金股权投资</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30311</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代缴社会保险费</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30239</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其他交通费用</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31204</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费用补贴</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30399</w:t>
            </w:r>
          </w:p>
        </w:tc>
        <w:tc>
          <w:tcPr>
            <w:tcW w:w="117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其他对个人和家庭的补助支出</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30240</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税金及附加费用</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31205</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利息补贴</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rPr>
                <w:rFonts w:ascii="宋体" w:hAnsi="宋体" w:eastAsia="宋体" w:cs="宋体"/>
                <w:sz w:val="22"/>
                <w:szCs w:val="22"/>
              </w:rPr>
            </w:pPr>
          </w:p>
        </w:tc>
        <w:tc>
          <w:tcPr>
            <w:tcW w:w="1176" w:type="dxa"/>
            <w:tcBorders>
              <w:top w:val="nil"/>
              <w:left w:val="nil"/>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30299</w:t>
            </w:r>
          </w:p>
        </w:tc>
        <w:tc>
          <w:tcPr>
            <w:tcW w:w="1080"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其他商品和服务支出</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31299</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其他对企业补助</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rPr>
                <w:rFonts w:ascii="宋体" w:hAnsi="宋体" w:eastAsia="宋体" w:cs="宋体"/>
                <w:sz w:val="22"/>
                <w:szCs w:val="22"/>
              </w:rPr>
            </w:pPr>
          </w:p>
        </w:tc>
        <w:tc>
          <w:tcPr>
            <w:tcW w:w="1176" w:type="dxa"/>
            <w:tcBorders>
              <w:top w:val="nil"/>
              <w:left w:val="nil"/>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FFFFFF" w:fill="C0C0C0"/>
            <w:noWrap/>
            <w:vAlign w:val="bottom"/>
          </w:tcPr>
          <w:p>
            <w:pPr>
              <w:rPr>
                <w:sz w:val="20"/>
                <w:szCs w:val="20"/>
              </w:rPr>
            </w:pPr>
          </w:p>
        </w:tc>
        <w:tc>
          <w:tcPr>
            <w:tcW w:w="0" w:type="auto"/>
            <w:tcBorders>
              <w:top w:val="nil"/>
              <w:left w:val="nil"/>
              <w:bottom w:val="single" w:color="000000" w:sz="4" w:space="0"/>
              <w:right w:val="single" w:color="000000" w:sz="4" w:space="0"/>
            </w:tcBorders>
            <w:shd w:val="clear" w:color="FFFFFF" w:fill="C0C0C0"/>
            <w:noWrap/>
            <w:vAlign w:val="bottom"/>
          </w:tcPr>
          <w:p>
            <w:pPr>
              <w:rPr>
                <w:sz w:val="20"/>
                <w:szCs w:val="20"/>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399</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rPr>
              <w:t>其他支出</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rPr>
                <w:rFonts w:ascii="宋体" w:hAnsi="宋体" w:eastAsia="宋体" w:cs="宋体"/>
                <w:sz w:val="22"/>
                <w:szCs w:val="22"/>
              </w:rPr>
            </w:pPr>
          </w:p>
        </w:tc>
        <w:tc>
          <w:tcPr>
            <w:tcW w:w="1176" w:type="dxa"/>
            <w:tcBorders>
              <w:top w:val="nil"/>
              <w:left w:val="nil"/>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FFFFFF" w:fill="C0C0C0"/>
            <w:noWrap/>
            <w:vAlign w:val="bottom"/>
          </w:tcPr>
          <w:p>
            <w:pPr>
              <w:rPr>
                <w:sz w:val="20"/>
                <w:szCs w:val="20"/>
              </w:rPr>
            </w:pPr>
          </w:p>
        </w:tc>
        <w:tc>
          <w:tcPr>
            <w:tcW w:w="0" w:type="auto"/>
            <w:tcBorders>
              <w:top w:val="nil"/>
              <w:left w:val="nil"/>
              <w:bottom w:val="single" w:color="000000" w:sz="4" w:space="0"/>
              <w:right w:val="single" w:color="000000" w:sz="4" w:space="0"/>
            </w:tcBorders>
            <w:shd w:val="clear" w:color="FFFFFF" w:fill="C0C0C0"/>
            <w:noWrap/>
            <w:vAlign w:val="bottom"/>
          </w:tcPr>
          <w:p>
            <w:pPr>
              <w:rPr>
                <w:sz w:val="20"/>
                <w:szCs w:val="20"/>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39906</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赠与</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bottom"/>
          </w:tcPr>
          <w:p>
            <w:pPr>
              <w:rPr>
                <w:sz w:val="20"/>
                <w:szCs w:val="20"/>
              </w:rPr>
            </w:pPr>
          </w:p>
        </w:tc>
        <w:tc>
          <w:tcPr>
            <w:tcW w:w="0" w:type="auto"/>
            <w:tcBorders>
              <w:top w:val="nil"/>
              <w:left w:val="nil"/>
              <w:bottom w:val="single" w:color="000000" w:sz="4" w:space="0"/>
              <w:right w:val="single" w:color="000000" w:sz="4" w:space="0"/>
            </w:tcBorders>
            <w:shd w:val="clear" w:color="FFFFFF" w:fill="C0C0C0"/>
            <w:noWrap/>
            <w:vAlign w:val="bottom"/>
          </w:tcPr>
          <w:p>
            <w:pPr>
              <w:rPr>
                <w:sz w:val="20"/>
                <w:szCs w:val="20"/>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FFFFFF" w:fill="C0C0C0"/>
            <w:noWrap/>
            <w:vAlign w:val="bottom"/>
          </w:tcPr>
          <w:p>
            <w:pPr>
              <w:rPr>
                <w:sz w:val="20"/>
                <w:szCs w:val="20"/>
              </w:rPr>
            </w:pPr>
          </w:p>
        </w:tc>
        <w:tc>
          <w:tcPr>
            <w:tcW w:w="0" w:type="auto"/>
            <w:tcBorders>
              <w:top w:val="nil"/>
              <w:left w:val="nil"/>
              <w:bottom w:val="single" w:color="000000" w:sz="4" w:space="0"/>
              <w:right w:val="single" w:color="000000" w:sz="4" w:space="0"/>
            </w:tcBorders>
            <w:shd w:val="clear" w:color="FFFFFF" w:fill="C0C0C0"/>
            <w:noWrap/>
            <w:vAlign w:val="bottom"/>
          </w:tcPr>
          <w:p>
            <w:pPr>
              <w:rPr>
                <w:sz w:val="20"/>
                <w:szCs w:val="20"/>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39907</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国家赔偿费用支出</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rPr>
                <w:rFonts w:ascii="宋体" w:hAnsi="宋体" w:eastAsia="宋体" w:cs="宋体"/>
                <w:sz w:val="22"/>
                <w:szCs w:val="22"/>
              </w:rPr>
            </w:pPr>
          </w:p>
        </w:tc>
        <w:tc>
          <w:tcPr>
            <w:tcW w:w="1176" w:type="dxa"/>
            <w:tcBorders>
              <w:top w:val="nil"/>
              <w:left w:val="nil"/>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FFFFFF" w:fill="C0C0C0"/>
            <w:noWrap/>
            <w:vAlign w:val="bottom"/>
          </w:tcPr>
          <w:p>
            <w:pPr>
              <w:rPr>
                <w:sz w:val="20"/>
                <w:szCs w:val="20"/>
              </w:rPr>
            </w:pPr>
          </w:p>
        </w:tc>
        <w:tc>
          <w:tcPr>
            <w:tcW w:w="0" w:type="auto"/>
            <w:tcBorders>
              <w:top w:val="nil"/>
              <w:left w:val="nil"/>
              <w:bottom w:val="single" w:color="000000" w:sz="4" w:space="0"/>
              <w:right w:val="single" w:color="000000" w:sz="4" w:space="0"/>
            </w:tcBorders>
            <w:shd w:val="clear" w:color="FFFFFF" w:fill="C0C0C0"/>
            <w:noWrap/>
            <w:vAlign w:val="bottom"/>
          </w:tcPr>
          <w:p>
            <w:pPr>
              <w:rPr>
                <w:sz w:val="20"/>
                <w:szCs w:val="20"/>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39908</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对民间非营利组织和群众性自治组织补贴</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rPr>
                <w:rFonts w:ascii="宋体" w:hAnsi="宋体" w:eastAsia="宋体" w:cs="宋体"/>
                <w:sz w:val="22"/>
                <w:szCs w:val="22"/>
              </w:rPr>
            </w:pPr>
          </w:p>
        </w:tc>
        <w:tc>
          <w:tcPr>
            <w:tcW w:w="1176" w:type="dxa"/>
            <w:tcBorders>
              <w:top w:val="nil"/>
              <w:left w:val="nil"/>
              <w:bottom w:val="single" w:color="000000" w:sz="4" w:space="0"/>
              <w:right w:val="single" w:color="000000" w:sz="4" w:space="0"/>
            </w:tcBorders>
            <w:shd w:val="clear" w:color="FFFFFF" w:fill="C0C0C0"/>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FFFFFF" w:fill="C0C0C0"/>
            <w:noWrap/>
            <w:vAlign w:val="bottom"/>
          </w:tcPr>
          <w:p>
            <w:pPr>
              <w:rPr>
                <w:sz w:val="20"/>
                <w:szCs w:val="20"/>
              </w:rPr>
            </w:pPr>
          </w:p>
        </w:tc>
        <w:tc>
          <w:tcPr>
            <w:tcW w:w="0" w:type="auto"/>
            <w:tcBorders>
              <w:top w:val="nil"/>
              <w:left w:val="nil"/>
              <w:bottom w:val="single" w:color="000000" w:sz="4" w:space="0"/>
              <w:right w:val="single" w:color="000000" w:sz="4" w:space="0"/>
            </w:tcBorders>
            <w:shd w:val="clear" w:color="FFFFFF" w:fill="C0C0C0"/>
            <w:noWrap/>
            <w:vAlign w:val="bottom"/>
          </w:tcPr>
          <w:p>
            <w:pPr>
              <w:rPr>
                <w:sz w:val="20"/>
                <w:szCs w:val="20"/>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39999</w:t>
            </w:r>
          </w:p>
        </w:tc>
        <w:tc>
          <w:tcPr>
            <w:tcW w:w="1236" w:type="dxa"/>
            <w:tcBorders>
              <w:top w:val="nil"/>
              <w:left w:val="nil"/>
              <w:bottom w:val="single" w:color="000000" w:sz="4" w:space="0"/>
              <w:right w:val="single" w:color="000000" w:sz="4" w:space="0"/>
            </w:tcBorders>
            <w:shd w:val="clear" w:color="FFFFFF" w:fill="C0C0C0"/>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其他支出</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585" w:hRule="atLeast"/>
          <w:jc w:val="center"/>
        </w:trPr>
        <w:tc>
          <w:tcPr>
            <w:tcW w:w="0" w:type="auto"/>
            <w:gridSpan w:val="2"/>
            <w:tcBorders>
              <w:top w:val="nil"/>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人员经费合计</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5,164,242.54</w:t>
            </w:r>
          </w:p>
        </w:tc>
        <w:tc>
          <w:tcPr>
            <w:tcW w:w="0" w:type="auto"/>
            <w:gridSpan w:val="5"/>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公用支出合计</w:t>
            </w:r>
          </w:p>
        </w:tc>
        <w:tc>
          <w:tcPr>
            <w:tcW w:w="0" w:type="auto"/>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349,144.00</w:t>
            </w:r>
          </w:p>
        </w:tc>
      </w:tr>
      <w:tr>
        <w:tblPrEx>
          <w:tblCellMar>
            <w:top w:w="0" w:type="dxa"/>
            <w:left w:w="108" w:type="dxa"/>
            <w:bottom w:w="0" w:type="dxa"/>
            <w:right w:w="108" w:type="dxa"/>
          </w:tblCellMar>
        </w:tblPrEx>
        <w:trPr>
          <w:trHeight w:val="369" w:hRule="atLeast"/>
          <w:jc w:val="center"/>
        </w:trPr>
        <w:tc>
          <w:tcPr>
            <w:tcW w:w="0" w:type="auto"/>
            <w:gridSpan w:val="9"/>
            <w:tcBorders>
              <w:top w:val="nil"/>
              <w:left w:val="nil"/>
              <w:bottom w:val="nil"/>
              <w:right w:val="nil"/>
            </w:tcBorders>
            <w:shd w:val="clear" w:color="auto" w:fill="auto"/>
            <w:noWrap/>
            <w:vAlign w:val="center"/>
          </w:tcPr>
          <w:p>
            <w:pPr>
              <w:textAlignment w:val="center"/>
              <w:rPr>
                <w:rFonts w:ascii="宋体" w:hAnsi="宋体" w:eastAsia="宋体" w:cs="宋体"/>
                <w:sz w:val="24"/>
                <w:szCs w:val="24"/>
              </w:rPr>
            </w:pPr>
            <w:r>
              <w:rPr>
                <w:rFonts w:hint="eastAsia" w:ascii="宋体" w:hAnsi="宋体" w:eastAsia="宋体" w:cs="宋体"/>
                <w:sz w:val="24"/>
                <w:szCs w:val="24"/>
              </w:rPr>
              <w:t>注：本表反映部门本年度一般公共预算财政拨款基本支出明细情况。</w:t>
            </w:r>
          </w:p>
        </w:tc>
      </w:tr>
    </w:tbl>
    <w:p/>
    <w:p/>
    <w:p/>
    <w:p/>
    <w:p/>
    <w:p/>
    <w:p/>
    <w:p/>
    <w:p/>
    <w:p/>
    <w:p/>
    <w:p/>
    <w:p/>
    <w:p/>
    <w:p/>
    <w:p/>
    <w:p/>
    <w:p/>
    <w:p/>
    <w:p/>
    <w:p/>
    <w:p/>
    <w:p/>
    <w:p/>
    <w:p/>
    <w:p/>
    <w:p/>
    <w:p/>
    <w:p/>
    <w:p/>
    <w:p/>
    <w:p/>
    <w:p/>
    <w:p/>
    <w:p/>
    <w:p/>
    <w:p/>
    <w:p/>
    <w:p/>
    <w:p/>
    <w:tbl>
      <w:tblPr>
        <w:tblStyle w:val="7"/>
        <w:tblW w:w="10125" w:type="dxa"/>
        <w:jc w:val="center"/>
        <w:tblLayout w:type="fixed"/>
        <w:tblCellMar>
          <w:top w:w="0" w:type="dxa"/>
          <w:left w:w="108" w:type="dxa"/>
          <w:bottom w:w="0" w:type="dxa"/>
          <w:right w:w="108" w:type="dxa"/>
        </w:tblCellMar>
      </w:tblPr>
      <w:tblGrid>
        <w:gridCol w:w="3965"/>
        <w:gridCol w:w="1078"/>
        <w:gridCol w:w="2642"/>
        <w:gridCol w:w="2440"/>
      </w:tblGrid>
      <w:tr>
        <w:tblPrEx>
          <w:tblCellMar>
            <w:top w:w="0" w:type="dxa"/>
            <w:left w:w="108" w:type="dxa"/>
            <w:bottom w:w="0" w:type="dxa"/>
            <w:right w:w="108" w:type="dxa"/>
          </w:tblCellMar>
        </w:tblPrEx>
        <w:trPr>
          <w:trHeight w:val="564" w:hRule="atLeast"/>
          <w:jc w:val="center"/>
        </w:trPr>
        <w:tc>
          <w:tcPr>
            <w:tcW w:w="10125" w:type="dxa"/>
            <w:gridSpan w:val="4"/>
            <w:tcBorders>
              <w:top w:val="nil"/>
              <w:left w:val="nil"/>
              <w:bottom w:val="nil"/>
              <w:right w:val="nil"/>
            </w:tcBorders>
            <w:shd w:val="clear" w:color="auto" w:fill="auto"/>
            <w:noWrap/>
            <w:vAlign w:val="bottom"/>
          </w:tcPr>
          <w:p>
            <w:pPr>
              <w:jc w:val="center"/>
              <w:textAlignment w:val="bottom"/>
              <w:rPr>
                <w:rFonts w:ascii="宋体" w:hAnsi="宋体" w:eastAsia="宋体" w:cs="宋体"/>
                <w:sz w:val="44"/>
                <w:szCs w:val="44"/>
              </w:rPr>
            </w:pPr>
            <w:r>
              <w:rPr>
                <w:rFonts w:hint="eastAsia" w:ascii="宋体" w:hAnsi="宋体" w:eastAsia="宋体" w:cs="宋体"/>
                <w:sz w:val="44"/>
                <w:szCs w:val="44"/>
              </w:rPr>
              <w:t>一般公共预算财政拨款“三公”经费支出决算表</w:t>
            </w:r>
          </w:p>
        </w:tc>
      </w:tr>
      <w:tr>
        <w:tblPrEx>
          <w:tblCellMar>
            <w:top w:w="0" w:type="dxa"/>
            <w:left w:w="108" w:type="dxa"/>
            <w:bottom w:w="0" w:type="dxa"/>
            <w:right w:w="108" w:type="dxa"/>
          </w:tblCellMar>
        </w:tblPrEx>
        <w:trPr>
          <w:trHeight w:val="264" w:hRule="atLeast"/>
          <w:jc w:val="center"/>
        </w:trPr>
        <w:tc>
          <w:tcPr>
            <w:tcW w:w="3965" w:type="dxa"/>
            <w:tcBorders>
              <w:top w:val="nil"/>
              <w:left w:val="nil"/>
              <w:bottom w:val="nil"/>
              <w:right w:val="nil"/>
            </w:tcBorders>
            <w:shd w:val="clear" w:color="auto" w:fill="auto"/>
            <w:noWrap/>
            <w:vAlign w:val="bottom"/>
          </w:tcPr>
          <w:p>
            <w:pPr>
              <w:rPr>
                <w:sz w:val="20"/>
                <w:szCs w:val="20"/>
              </w:rPr>
            </w:pPr>
          </w:p>
        </w:tc>
        <w:tc>
          <w:tcPr>
            <w:tcW w:w="1078" w:type="dxa"/>
            <w:tcBorders>
              <w:top w:val="nil"/>
              <w:left w:val="nil"/>
              <w:bottom w:val="nil"/>
              <w:right w:val="nil"/>
            </w:tcBorders>
            <w:shd w:val="clear" w:color="auto" w:fill="auto"/>
            <w:noWrap/>
            <w:vAlign w:val="bottom"/>
          </w:tcPr>
          <w:p>
            <w:pPr>
              <w:rPr>
                <w:sz w:val="20"/>
                <w:szCs w:val="20"/>
              </w:rPr>
            </w:pPr>
          </w:p>
        </w:tc>
        <w:tc>
          <w:tcPr>
            <w:tcW w:w="2642" w:type="dxa"/>
            <w:tcBorders>
              <w:top w:val="nil"/>
              <w:left w:val="nil"/>
              <w:bottom w:val="nil"/>
              <w:right w:val="nil"/>
            </w:tcBorders>
            <w:shd w:val="clear" w:color="auto" w:fill="auto"/>
            <w:noWrap/>
            <w:vAlign w:val="bottom"/>
          </w:tcPr>
          <w:p>
            <w:pPr>
              <w:rPr>
                <w:sz w:val="20"/>
                <w:szCs w:val="20"/>
              </w:rPr>
            </w:pPr>
          </w:p>
        </w:tc>
        <w:tc>
          <w:tcPr>
            <w:tcW w:w="2440" w:type="dxa"/>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公开07表</w:t>
            </w:r>
          </w:p>
        </w:tc>
      </w:tr>
      <w:tr>
        <w:tblPrEx>
          <w:tblCellMar>
            <w:top w:w="0" w:type="dxa"/>
            <w:left w:w="108" w:type="dxa"/>
            <w:bottom w:w="0" w:type="dxa"/>
            <w:right w:w="108" w:type="dxa"/>
          </w:tblCellMar>
        </w:tblPrEx>
        <w:trPr>
          <w:trHeight w:val="264" w:hRule="atLeast"/>
          <w:jc w:val="center"/>
        </w:trPr>
        <w:tc>
          <w:tcPr>
            <w:tcW w:w="3965" w:type="dxa"/>
            <w:tcBorders>
              <w:top w:val="nil"/>
              <w:left w:val="nil"/>
              <w:bottom w:val="nil"/>
              <w:right w:val="nil"/>
            </w:tcBorders>
            <w:shd w:val="clear" w:color="auto" w:fill="auto"/>
            <w:noWrap/>
            <w:vAlign w:val="bottom"/>
          </w:tcPr>
          <w:p>
            <w:pPr>
              <w:textAlignment w:val="bottom"/>
              <w:rPr>
                <w:rFonts w:ascii="宋体" w:hAnsi="宋体" w:eastAsia="宋体" w:cs="宋体"/>
                <w:sz w:val="20"/>
                <w:szCs w:val="20"/>
              </w:rPr>
            </w:pPr>
            <w:r>
              <w:rPr>
                <w:rFonts w:hint="eastAsia" w:ascii="宋体" w:hAnsi="宋体" w:eastAsia="宋体" w:cs="宋体"/>
                <w:sz w:val="20"/>
                <w:szCs w:val="20"/>
              </w:rPr>
              <w:t>编制单位：南昌市青云谱区司法局</w:t>
            </w:r>
          </w:p>
        </w:tc>
        <w:tc>
          <w:tcPr>
            <w:tcW w:w="1078" w:type="dxa"/>
            <w:tcBorders>
              <w:top w:val="nil"/>
              <w:left w:val="nil"/>
              <w:bottom w:val="nil"/>
              <w:right w:val="nil"/>
            </w:tcBorders>
            <w:shd w:val="clear" w:color="auto" w:fill="auto"/>
            <w:noWrap/>
            <w:vAlign w:val="bottom"/>
          </w:tcPr>
          <w:p>
            <w:pPr>
              <w:jc w:val="center"/>
              <w:textAlignment w:val="bottom"/>
              <w:rPr>
                <w:rFonts w:ascii="宋体" w:hAnsi="宋体" w:eastAsia="宋体" w:cs="宋体"/>
                <w:sz w:val="20"/>
                <w:szCs w:val="20"/>
              </w:rPr>
            </w:pPr>
            <w:r>
              <w:rPr>
                <w:rFonts w:hint="eastAsia" w:ascii="宋体" w:hAnsi="宋体" w:eastAsia="宋体" w:cs="宋体"/>
                <w:sz w:val="20"/>
                <w:szCs w:val="20"/>
              </w:rPr>
              <w:t>2021年度</w:t>
            </w:r>
          </w:p>
        </w:tc>
        <w:tc>
          <w:tcPr>
            <w:tcW w:w="2642" w:type="dxa"/>
            <w:tcBorders>
              <w:top w:val="nil"/>
              <w:left w:val="nil"/>
              <w:bottom w:val="nil"/>
              <w:right w:val="nil"/>
            </w:tcBorders>
            <w:shd w:val="clear" w:color="auto" w:fill="auto"/>
            <w:noWrap/>
            <w:vAlign w:val="bottom"/>
          </w:tcPr>
          <w:p>
            <w:pPr>
              <w:rPr>
                <w:sz w:val="20"/>
                <w:szCs w:val="20"/>
              </w:rPr>
            </w:pPr>
          </w:p>
        </w:tc>
        <w:tc>
          <w:tcPr>
            <w:tcW w:w="2440" w:type="dxa"/>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金额单位：元</w:t>
            </w:r>
          </w:p>
        </w:tc>
      </w:tr>
      <w:tr>
        <w:tblPrEx>
          <w:tblCellMar>
            <w:top w:w="0" w:type="dxa"/>
            <w:left w:w="108" w:type="dxa"/>
            <w:bottom w:w="0" w:type="dxa"/>
            <w:right w:w="108" w:type="dxa"/>
          </w:tblCellMar>
        </w:tblPrEx>
        <w:trPr>
          <w:trHeight w:val="338" w:hRule="atLeast"/>
          <w:jc w:val="center"/>
        </w:trPr>
        <w:tc>
          <w:tcPr>
            <w:tcW w:w="3965"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项目</w:t>
            </w:r>
          </w:p>
        </w:tc>
        <w:tc>
          <w:tcPr>
            <w:tcW w:w="1078" w:type="dxa"/>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栏次</w:t>
            </w:r>
          </w:p>
        </w:tc>
        <w:tc>
          <w:tcPr>
            <w:tcW w:w="2642" w:type="dxa"/>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年初预算数</w:t>
            </w:r>
          </w:p>
        </w:tc>
        <w:tc>
          <w:tcPr>
            <w:tcW w:w="2440" w:type="dxa"/>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决算数</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行次</w:t>
            </w:r>
          </w:p>
        </w:tc>
        <w:tc>
          <w:tcPr>
            <w:tcW w:w="1078" w:type="dxa"/>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2642"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w:t>
            </w:r>
          </w:p>
        </w:tc>
        <w:tc>
          <w:tcPr>
            <w:tcW w:w="2440"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一、“三公”经费支出</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w:t>
            </w:r>
          </w:p>
        </w:tc>
        <w:tc>
          <w:tcPr>
            <w:tcW w:w="2642"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35,000.00</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11,800.00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1.因公出国（境）费</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w:t>
            </w:r>
          </w:p>
        </w:tc>
        <w:tc>
          <w:tcPr>
            <w:tcW w:w="2642"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2.公务用车购置及运行维护费</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w:t>
            </w:r>
          </w:p>
        </w:tc>
        <w:tc>
          <w:tcPr>
            <w:tcW w:w="2642"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25,000.00</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11,800.00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（1）公务用车购置费</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w:t>
            </w:r>
          </w:p>
        </w:tc>
        <w:tc>
          <w:tcPr>
            <w:tcW w:w="2642"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（2）公务用车运行维护费</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w:t>
            </w:r>
          </w:p>
        </w:tc>
        <w:tc>
          <w:tcPr>
            <w:tcW w:w="2642"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25,000.00</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11,800.00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3.公务接待费</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6</w:t>
            </w:r>
          </w:p>
        </w:tc>
        <w:tc>
          <w:tcPr>
            <w:tcW w:w="2642"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10,000.00</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（1）国内接待费</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7</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其中：外事接待费</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8</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（2）国（境）外接待费</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9</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二、相关统计数</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10</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1.因公出国（境）团组数（个）</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11</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2.因公出国（境）人次数（人）</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12</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3.公务用车购置数（辆）</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13</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4.公务用车保有量（辆）</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14</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5.国内公务接待批次（个）</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15</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其中：外事接待批次（个）</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16</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6.国内公务接待人次（人）</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17</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其中：外事接待人次（人）</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18</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7.国（境）外公务接待批次（个）</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19</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8.国（境）外公务接待人次（人）</w:t>
            </w:r>
          </w:p>
        </w:tc>
        <w:tc>
          <w:tcPr>
            <w:tcW w:w="1078"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20</w:t>
            </w:r>
          </w:p>
        </w:tc>
        <w:tc>
          <w:tcPr>
            <w:tcW w:w="2642" w:type="dxa"/>
            <w:tcBorders>
              <w:top w:val="nil"/>
              <w:left w:val="nil"/>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w:t>
            </w:r>
          </w:p>
        </w:tc>
        <w:tc>
          <w:tcPr>
            <w:tcW w:w="244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85" w:hRule="atLeast"/>
          <w:jc w:val="center"/>
        </w:trPr>
        <w:tc>
          <w:tcPr>
            <w:tcW w:w="10125" w:type="dxa"/>
            <w:gridSpan w:val="4"/>
            <w:vMerge w:val="restart"/>
            <w:tcBorders>
              <w:top w:val="nil"/>
              <w:left w:val="nil"/>
              <w:bottom w:val="nil"/>
              <w:right w:val="nil"/>
            </w:tcBorders>
            <w:shd w:val="clear" w:color="auto" w:fill="auto"/>
            <w:vAlign w:val="center"/>
          </w:tcPr>
          <w:p>
            <w:pPr>
              <w:textAlignment w:val="center"/>
              <w:rPr>
                <w:rFonts w:ascii="宋体" w:hAnsi="宋体" w:eastAsia="宋体" w:cs="宋体"/>
                <w:sz w:val="22"/>
                <w:szCs w:val="22"/>
              </w:rPr>
            </w:pPr>
            <w:r>
              <w:rPr>
                <w:rFonts w:hint="eastAsia" w:ascii="宋体" w:hAnsi="宋体" w:eastAsia="宋体" w:cs="宋体"/>
                <w:sz w:val="22"/>
                <w:szCs w:val="22"/>
              </w:rPr>
              <w:t>注：本表反映部门本年度“三公”经费支出预决算情况。其中，预算数为“三公”经费年初预算数，决算数是包括当年一般公共预算财政拨款和以前年度结转资金安排的实际支出。</w:t>
            </w:r>
          </w:p>
        </w:tc>
      </w:tr>
      <w:tr>
        <w:tblPrEx>
          <w:tblCellMar>
            <w:top w:w="0" w:type="dxa"/>
            <w:left w:w="108" w:type="dxa"/>
            <w:bottom w:w="0" w:type="dxa"/>
            <w:right w:w="108" w:type="dxa"/>
          </w:tblCellMar>
        </w:tblPrEx>
        <w:trPr>
          <w:trHeight w:val="354" w:hRule="atLeast"/>
          <w:jc w:val="center"/>
        </w:trPr>
        <w:tc>
          <w:tcPr>
            <w:tcW w:w="10125" w:type="dxa"/>
            <w:gridSpan w:val="4"/>
            <w:vMerge w:val="continue"/>
            <w:tcBorders>
              <w:top w:val="nil"/>
              <w:left w:val="nil"/>
              <w:bottom w:val="nil"/>
              <w:right w:val="nil"/>
            </w:tcBorders>
            <w:shd w:val="clear" w:color="auto" w:fill="auto"/>
            <w:vAlign w:val="center"/>
          </w:tcPr>
          <w:p>
            <w:pPr>
              <w:rPr>
                <w:rFonts w:ascii="宋体" w:hAnsi="宋体" w:eastAsia="宋体" w:cs="宋体"/>
                <w:sz w:val="22"/>
                <w:szCs w:val="22"/>
              </w:rPr>
            </w:pPr>
          </w:p>
        </w:tc>
      </w:tr>
    </w:tbl>
    <w:p/>
    <w:p/>
    <w:p/>
    <w:p/>
    <w:p/>
    <w:p/>
    <w:p/>
    <w:p/>
    <w:p/>
    <w:p/>
    <w:p/>
    <w:p/>
    <w:p/>
    <w:p/>
    <w:tbl>
      <w:tblPr>
        <w:tblStyle w:val="7"/>
        <w:tblW w:w="10440" w:type="dxa"/>
        <w:jc w:val="center"/>
        <w:tblLayout w:type="autofit"/>
        <w:tblCellMar>
          <w:top w:w="0" w:type="dxa"/>
          <w:left w:w="108" w:type="dxa"/>
          <w:bottom w:w="0" w:type="dxa"/>
          <w:right w:w="108" w:type="dxa"/>
        </w:tblCellMar>
      </w:tblPr>
      <w:tblGrid>
        <w:gridCol w:w="530"/>
        <w:gridCol w:w="530"/>
        <w:gridCol w:w="530"/>
        <w:gridCol w:w="1332"/>
        <w:gridCol w:w="1009"/>
        <w:gridCol w:w="1332"/>
        <w:gridCol w:w="798"/>
        <w:gridCol w:w="1332"/>
        <w:gridCol w:w="1332"/>
        <w:gridCol w:w="1723"/>
      </w:tblGrid>
      <w:tr>
        <w:tblPrEx>
          <w:tblCellMar>
            <w:top w:w="0" w:type="dxa"/>
            <w:left w:w="108" w:type="dxa"/>
            <w:bottom w:w="0" w:type="dxa"/>
            <w:right w:w="108" w:type="dxa"/>
          </w:tblCellMar>
        </w:tblPrEx>
        <w:trPr>
          <w:trHeight w:val="564" w:hRule="atLeast"/>
          <w:jc w:val="center"/>
        </w:trPr>
        <w:tc>
          <w:tcPr>
            <w:tcW w:w="10448" w:type="dxa"/>
            <w:gridSpan w:val="10"/>
            <w:tcBorders>
              <w:top w:val="nil"/>
              <w:left w:val="nil"/>
              <w:bottom w:val="nil"/>
              <w:right w:val="nil"/>
            </w:tcBorders>
            <w:shd w:val="clear" w:color="auto" w:fill="auto"/>
            <w:noWrap/>
            <w:vAlign w:val="bottom"/>
          </w:tcPr>
          <w:p>
            <w:pPr>
              <w:jc w:val="center"/>
              <w:textAlignment w:val="bottom"/>
              <w:rPr>
                <w:rFonts w:ascii="宋体" w:hAnsi="宋体" w:eastAsia="宋体" w:cs="宋体"/>
                <w:sz w:val="44"/>
                <w:szCs w:val="44"/>
              </w:rPr>
            </w:pPr>
            <w:r>
              <w:rPr>
                <w:rFonts w:hint="eastAsia" w:ascii="宋体" w:hAnsi="宋体" w:eastAsia="宋体" w:cs="宋体"/>
                <w:sz w:val="44"/>
                <w:szCs w:val="44"/>
              </w:rPr>
              <w:t>政府性基金预算财政拨款收入支出决算表</w:t>
            </w:r>
          </w:p>
        </w:tc>
      </w:tr>
      <w:tr>
        <w:tblPrEx>
          <w:tblCellMar>
            <w:top w:w="0" w:type="dxa"/>
            <w:left w:w="108" w:type="dxa"/>
            <w:bottom w:w="0" w:type="dxa"/>
            <w:right w:w="108" w:type="dxa"/>
          </w:tblCellMar>
        </w:tblPrEx>
        <w:trPr>
          <w:trHeight w:val="264" w:hRule="atLeast"/>
          <w:jc w:val="center"/>
        </w:trPr>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公开08表</w:t>
            </w:r>
          </w:p>
        </w:tc>
      </w:tr>
      <w:tr>
        <w:tblPrEx>
          <w:tblCellMar>
            <w:top w:w="0" w:type="dxa"/>
            <w:left w:w="108" w:type="dxa"/>
            <w:bottom w:w="0" w:type="dxa"/>
            <w:right w:w="108" w:type="dxa"/>
          </w:tblCellMar>
        </w:tblPrEx>
        <w:trPr>
          <w:trHeight w:val="264" w:hRule="atLeast"/>
          <w:jc w:val="center"/>
        </w:trPr>
        <w:tc>
          <w:tcPr>
            <w:tcW w:w="0" w:type="auto"/>
            <w:gridSpan w:val="5"/>
            <w:tcBorders>
              <w:top w:val="nil"/>
              <w:left w:val="nil"/>
              <w:bottom w:val="nil"/>
              <w:right w:val="nil"/>
            </w:tcBorders>
            <w:shd w:val="clear" w:color="auto" w:fill="auto"/>
            <w:noWrap/>
            <w:vAlign w:val="bottom"/>
          </w:tcPr>
          <w:p>
            <w:pPr>
              <w:textAlignment w:val="bottom"/>
              <w:rPr>
                <w:rFonts w:ascii="宋体" w:hAnsi="宋体" w:eastAsia="宋体" w:cs="宋体"/>
                <w:sz w:val="20"/>
                <w:szCs w:val="20"/>
              </w:rPr>
            </w:pPr>
            <w:r>
              <w:rPr>
                <w:rFonts w:hint="eastAsia" w:ascii="宋体" w:hAnsi="宋体" w:eastAsia="宋体" w:cs="宋体"/>
                <w:sz w:val="20"/>
                <w:szCs w:val="20"/>
              </w:rPr>
              <w:t>编制单位：南昌市青云谱区司法局</w:t>
            </w:r>
          </w:p>
        </w:tc>
        <w:tc>
          <w:tcPr>
            <w:tcW w:w="0" w:type="auto"/>
            <w:tcBorders>
              <w:top w:val="nil"/>
              <w:left w:val="nil"/>
              <w:bottom w:val="nil"/>
              <w:right w:val="nil"/>
            </w:tcBorders>
            <w:shd w:val="clear" w:color="auto" w:fill="auto"/>
            <w:noWrap/>
            <w:vAlign w:val="bottom"/>
          </w:tcPr>
          <w:p>
            <w:pPr>
              <w:jc w:val="center"/>
              <w:textAlignment w:val="bottom"/>
              <w:rPr>
                <w:rFonts w:ascii="宋体" w:hAnsi="宋体" w:eastAsia="宋体" w:cs="宋体"/>
                <w:sz w:val="20"/>
                <w:szCs w:val="20"/>
              </w:rPr>
            </w:pPr>
            <w:r>
              <w:rPr>
                <w:rFonts w:hint="eastAsia" w:ascii="宋体" w:hAnsi="宋体" w:eastAsia="宋体" w:cs="宋体"/>
                <w:sz w:val="20"/>
                <w:szCs w:val="20"/>
              </w:rPr>
              <w:t>2021年度</w:t>
            </w: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rPr>
                <w:sz w:val="20"/>
                <w:szCs w:val="20"/>
              </w:rPr>
            </w:pPr>
          </w:p>
        </w:tc>
        <w:tc>
          <w:tcPr>
            <w:tcW w:w="0" w:type="auto"/>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金额单位：元</w:t>
            </w:r>
          </w:p>
        </w:tc>
      </w:tr>
      <w:tr>
        <w:tblPrEx>
          <w:tblCellMar>
            <w:top w:w="0" w:type="dxa"/>
            <w:left w:w="108" w:type="dxa"/>
            <w:bottom w:w="0" w:type="dxa"/>
            <w:right w:w="108" w:type="dxa"/>
          </w:tblCellMar>
        </w:tblPrEx>
        <w:trPr>
          <w:trHeight w:val="277"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    目</w:t>
            </w:r>
          </w:p>
        </w:tc>
        <w:tc>
          <w:tcPr>
            <w:tcW w:w="1224" w:type="dxa"/>
            <w:vMerge w:val="restart"/>
            <w:tcBorders>
              <w:top w:val="single" w:color="000000" w:sz="4" w:space="0"/>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年初结转和结余</w:t>
            </w:r>
          </w:p>
        </w:tc>
        <w:tc>
          <w:tcPr>
            <w:tcW w:w="0" w:type="auto"/>
            <w:vMerge w:val="restart"/>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本年收入</w:t>
            </w:r>
          </w:p>
        </w:tc>
        <w:tc>
          <w:tcPr>
            <w:tcW w:w="0" w:type="auto"/>
            <w:gridSpan w:val="3"/>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本年支出</w:t>
            </w:r>
          </w:p>
        </w:tc>
        <w:tc>
          <w:tcPr>
            <w:tcW w:w="1416" w:type="dxa"/>
            <w:vMerge w:val="restart"/>
            <w:tcBorders>
              <w:top w:val="single" w:color="000000" w:sz="4" w:space="0"/>
              <w:left w:val="nil"/>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年末结转和结余</w:t>
            </w:r>
          </w:p>
        </w:tc>
      </w:tr>
      <w:tr>
        <w:tblPrEx>
          <w:tblCellMar>
            <w:top w:w="0" w:type="dxa"/>
            <w:left w:w="108" w:type="dxa"/>
            <w:bottom w:w="0" w:type="dxa"/>
            <w:right w:w="108" w:type="dxa"/>
          </w:tblCellMar>
        </w:tblPrEx>
        <w:trPr>
          <w:trHeight w:val="308" w:hRule="atLeast"/>
          <w:jc w:val="center"/>
        </w:trPr>
        <w:tc>
          <w:tcPr>
            <w:tcW w:w="1340"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支出功能分类科目编码</w:t>
            </w:r>
          </w:p>
        </w:tc>
        <w:tc>
          <w:tcPr>
            <w:tcW w:w="0" w:type="auto"/>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科目名称</w:t>
            </w:r>
          </w:p>
        </w:tc>
        <w:tc>
          <w:tcPr>
            <w:tcW w:w="122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0" w:type="auto"/>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0" w:type="auto"/>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小计</w:t>
            </w:r>
          </w:p>
        </w:tc>
        <w:tc>
          <w:tcPr>
            <w:tcW w:w="0" w:type="auto"/>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基本支出</w:t>
            </w:r>
          </w:p>
        </w:tc>
        <w:tc>
          <w:tcPr>
            <w:tcW w:w="0" w:type="auto"/>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项目支出</w:t>
            </w:r>
          </w:p>
        </w:tc>
        <w:tc>
          <w:tcPr>
            <w:tcW w:w="1416"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308" w:hRule="atLeast"/>
          <w:jc w:val="center"/>
        </w:trPr>
        <w:tc>
          <w:tcPr>
            <w:tcW w:w="134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22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0" w:type="auto"/>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416"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308" w:hRule="atLeast"/>
          <w:jc w:val="center"/>
        </w:trPr>
        <w:tc>
          <w:tcPr>
            <w:tcW w:w="134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22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c>
          <w:tcPr>
            <w:tcW w:w="0" w:type="auto"/>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1416"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338" w:hRule="atLeast"/>
          <w:jc w:val="center"/>
        </w:trPr>
        <w:tc>
          <w:tcPr>
            <w:tcW w:w="0" w:type="auto"/>
            <w:vMerge w:val="restart"/>
            <w:tcBorders>
              <w:top w:val="nil"/>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类</w:t>
            </w:r>
          </w:p>
        </w:tc>
        <w:tc>
          <w:tcPr>
            <w:tcW w:w="0" w:type="auto"/>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款</w:t>
            </w:r>
          </w:p>
        </w:tc>
        <w:tc>
          <w:tcPr>
            <w:tcW w:w="0" w:type="auto"/>
            <w:vMerge w:val="restart"/>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w:t>
            </w: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栏次</w:t>
            </w: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w:t>
            </w: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w:t>
            </w: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w:t>
            </w: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w:t>
            </w: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w:t>
            </w: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6</w:t>
            </w:r>
          </w:p>
        </w:tc>
      </w:tr>
      <w:tr>
        <w:tblPrEx>
          <w:tblCellMar>
            <w:top w:w="0" w:type="dxa"/>
            <w:left w:w="108" w:type="dxa"/>
            <w:bottom w:w="0" w:type="dxa"/>
            <w:right w:w="108" w:type="dxa"/>
          </w:tblCellMar>
        </w:tblPrEx>
        <w:trPr>
          <w:trHeight w:val="308" w:hRule="atLeast"/>
          <w:jc w:val="center"/>
        </w:trPr>
        <w:tc>
          <w:tcPr>
            <w:tcW w:w="0" w:type="auto"/>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合计</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r>
      <w:tr>
        <w:tblPrEx>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r>
      <w:tr>
        <w:tblPrEx>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r>
      <w:tr>
        <w:tblPrEx>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r>
      <w:tr>
        <w:tblPrEx>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r>
      <w:tr>
        <w:tblPrEx>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r>
      <w:tr>
        <w:tblPrEx>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sz w:val="22"/>
                <w:szCs w:val="22"/>
              </w:rPr>
            </w:pPr>
          </w:p>
        </w:tc>
      </w:tr>
      <w:tr>
        <w:tblPrEx>
          <w:tblCellMar>
            <w:top w:w="0" w:type="dxa"/>
            <w:left w:w="108" w:type="dxa"/>
            <w:bottom w:w="0" w:type="dxa"/>
            <w:right w:w="108" w:type="dxa"/>
          </w:tblCellMar>
        </w:tblPrEx>
        <w:trPr>
          <w:trHeight w:val="323" w:hRule="atLeast"/>
          <w:jc w:val="center"/>
        </w:trPr>
        <w:tc>
          <w:tcPr>
            <w:tcW w:w="0" w:type="auto"/>
            <w:gridSpan w:val="10"/>
            <w:tcBorders>
              <w:top w:val="nil"/>
              <w:left w:val="nil"/>
              <w:bottom w:val="nil"/>
              <w:right w:val="nil"/>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注：本表反映部门本年度政府性基金预算财政拨款收入、支出及结转和结余情况。</w:t>
            </w:r>
          </w:p>
        </w:tc>
      </w:tr>
      <w:tr>
        <w:tblPrEx>
          <w:tblCellMar>
            <w:top w:w="0" w:type="dxa"/>
            <w:left w:w="108" w:type="dxa"/>
            <w:bottom w:w="0" w:type="dxa"/>
            <w:right w:w="108" w:type="dxa"/>
          </w:tblCellMar>
        </w:tblPrEx>
        <w:trPr>
          <w:trHeight w:val="369" w:hRule="atLeast"/>
          <w:jc w:val="center"/>
        </w:trPr>
        <w:tc>
          <w:tcPr>
            <w:tcW w:w="0" w:type="auto"/>
            <w:gridSpan w:val="10"/>
            <w:tcBorders>
              <w:top w:val="nil"/>
              <w:left w:val="nil"/>
              <w:bottom w:val="nil"/>
              <w:right w:val="nil"/>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说明：当此表数据为零时，即本部门无政府性基金预算财政拨款收入、支出。</w:t>
            </w:r>
          </w:p>
        </w:tc>
      </w:tr>
    </w:tbl>
    <w:p>
      <w:pPr>
        <w:pStyle w:val="2"/>
        <w:ind w:firstLine="0" w:firstLineChars="0"/>
        <w:rPr>
          <w:rFonts w:hint="eastAsia" w:eastAsiaTheme="minorEastAsia"/>
        </w:rPr>
      </w:pPr>
    </w:p>
    <w:tbl>
      <w:tblPr>
        <w:tblStyle w:val="7"/>
        <w:tblW w:w="10121" w:type="dxa"/>
        <w:jc w:val="center"/>
        <w:tblLayout w:type="autofit"/>
        <w:tblCellMar>
          <w:top w:w="0" w:type="dxa"/>
          <w:left w:w="108" w:type="dxa"/>
          <w:bottom w:w="0" w:type="dxa"/>
          <w:right w:w="108" w:type="dxa"/>
        </w:tblCellMar>
      </w:tblPr>
      <w:tblGrid>
        <w:gridCol w:w="483"/>
        <w:gridCol w:w="483"/>
        <w:gridCol w:w="483"/>
        <w:gridCol w:w="1663"/>
        <w:gridCol w:w="2307"/>
        <w:gridCol w:w="1886"/>
        <w:gridCol w:w="2816"/>
      </w:tblGrid>
      <w:tr>
        <w:tblPrEx>
          <w:tblCellMar>
            <w:top w:w="0" w:type="dxa"/>
            <w:left w:w="108" w:type="dxa"/>
            <w:bottom w:w="0" w:type="dxa"/>
            <w:right w:w="108" w:type="dxa"/>
          </w:tblCellMar>
        </w:tblPrEx>
        <w:trPr>
          <w:trHeight w:val="540" w:hRule="atLeast"/>
          <w:jc w:val="center"/>
        </w:trPr>
        <w:tc>
          <w:tcPr>
            <w:tcW w:w="10121" w:type="dxa"/>
            <w:gridSpan w:val="7"/>
            <w:tcBorders>
              <w:top w:val="nil"/>
              <w:left w:val="nil"/>
              <w:bottom w:val="nil"/>
              <w:right w:val="nil"/>
            </w:tcBorders>
            <w:shd w:val="clear" w:color="auto" w:fill="auto"/>
            <w:noWrap/>
            <w:vAlign w:val="bottom"/>
          </w:tcPr>
          <w:p>
            <w:pPr>
              <w:kinsoku/>
              <w:autoSpaceDE/>
              <w:autoSpaceDN/>
              <w:adjustRightInd/>
              <w:snapToGrid/>
              <w:jc w:val="center"/>
              <w:textAlignment w:val="auto"/>
              <w:rPr>
                <w:rFonts w:ascii="宋体" w:hAnsi="宋体" w:eastAsia="宋体"/>
                <w:snapToGrid/>
                <w:sz w:val="44"/>
                <w:szCs w:val="44"/>
              </w:rPr>
            </w:pPr>
            <w:r>
              <w:rPr>
                <w:rFonts w:hint="eastAsia" w:ascii="宋体" w:hAnsi="宋体" w:eastAsia="宋体"/>
                <w:snapToGrid/>
                <w:sz w:val="44"/>
                <w:szCs w:val="44"/>
              </w:rPr>
              <w:t>国有资本经营预算财政拨款支出决算表</w:t>
            </w:r>
          </w:p>
        </w:tc>
      </w:tr>
      <w:tr>
        <w:tblPrEx>
          <w:tblCellMar>
            <w:top w:w="0" w:type="dxa"/>
            <w:left w:w="108" w:type="dxa"/>
            <w:bottom w:w="0" w:type="dxa"/>
            <w:right w:w="108" w:type="dxa"/>
          </w:tblCellMar>
        </w:tblPrEx>
        <w:trPr>
          <w:trHeight w:val="255" w:hRule="atLeast"/>
          <w:jc w:val="center"/>
        </w:trPr>
        <w:tc>
          <w:tcPr>
            <w:tcW w:w="483" w:type="dxa"/>
            <w:tcBorders>
              <w:top w:val="nil"/>
              <w:left w:val="nil"/>
              <w:bottom w:val="nil"/>
              <w:right w:val="nil"/>
            </w:tcBorders>
            <w:shd w:val="clear" w:color="auto" w:fill="auto"/>
            <w:noWrap/>
            <w:vAlign w:val="bottom"/>
          </w:tcPr>
          <w:p>
            <w:pPr>
              <w:kinsoku/>
              <w:autoSpaceDE/>
              <w:autoSpaceDN/>
              <w:adjustRightInd/>
              <w:snapToGrid/>
              <w:textAlignment w:val="auto"/>
              <w:rPr>
                <w:rFonts w:eastAsia="宋体"/>
                <w:snapToGrid/>
                <w:sz w:val="20"/>
                <w:szCs w:val="20"/>
              </w:rPr>
            </w:pPr>
          </w:p>
        </w:tc>
        <w:tc>
          <w:tcPr>
            <w:tcW w:w="483" w:type="dxa"/>
            <w:tcBorders>
              <w:top w:val="nil"/>
              <w:left w:val="nil"/>
              <w:bottom w:val="nil"/>
              <w:right w:val="nil"/>
            </w:tcBorders>
            <w:shd w:val="clear" w:color="auto" w:fill="auto"/>
            <w:noWrap/>
            <w:vAlign w:val="bottom"/>
          </w:tcPr>
          <w:p>
            <w:pPr>
              <w:kinsoku/>
              <w:autoSpaceDE/>
              <w:autoSpaceDN/>
              <w:adjustRightInd/>
              <w:snapToGrid/>
              <w:textAlignment w:val="auto"/>
              <w:rPr>
                <w:rFonts w:eastAsia="宋体"/>
                <w:snapToGrid/>
                <w:sz w:val="20"/>
                <w:szCs w:val="20"/>
              </w:rPr>
            </w:pPr>
          </w:p>
        </w:tc>
        <w:tc>
          <w:tcPr>
            <w:tcW w:w="483" w:type="dxa"/>
            <w:tcBorders>
              <w:top w:val="nil"/>
              <w:left w:val="nil"/>
              <w:bottom w:val="nil"/>
              <w:right w:val="nil"/>
            </w:tcBorders>
            <w:shd w:val="clear" w:color="auto" w:fill="auto"/>
            <w:noWrap/>
            <w:vAlign w:val="bottom"/>
          </w:tcPr>
          <w:p>
            <w:pPr>
              <w:kinsoku/>
              <w:autoSpaceDE/>
              <w:autoSpaceDN/>
              <w:adjustRightInd/>
              <w:snapToGrid/>
              <w:textAlignment w:val="auto"/>
              <w:rPr>
                <w:rFonts w:eastAsia="宋体"/>
                <w:snapToGrid/>
                <w:sz w:val="20"/>
                <w:szCs w:val="20"/>
              </w:rPr>
            </w:pPr>
          </w:p>
        </w:tc>
        <w:tc>
          <w:tcPr>
            <w:tcW w:w="1663" w:type="dxa"/>
            <w:tcBorders>
              <w:top w:val="nil"/>
              <w:left w:val="nil"/>
              <w:bottom w:val="nil"/>
              <w:right w:val="nil"/>
            </w:tcBorders>
            <w:shd w:val="clear" w:color="auto" w:fill="auto"/>
            <w:noWrap/>
            <w:vAlign w:val="bottom"/>
          </w:tcPr>
          <w:p>
            <w:pPr>
              <w:kinsoku/>
              <w:autoSpaceDE/>
              <w:autoSpaceDN/>
              <w:adjustRightInd/>
              <w:snapToGrid/>
              <w:textAlignment w:val="auto"/>
              <w:rPr>
                <w:rFonts w:eastAsia="宋体"/>
                <w:snapToGrid/>
                <w:sz w:val="20"/>
                <w:szCs w:val="20"/>
              </w:rPr>
            </w:pPr>
          </w:p>
        </w:tc>
        <w:tc>
          <w:tcPr>
            <w:tcW w:w="2307" w:type="dxa"/>
            <w:tcBorders>
              <w:top w:val="nil"/>
              <w:left w:val="nil"/>
              <w:bottom w:val="nil"/>
              <w:right w:val="nil"/>
            </w:tcBorders>
            <w:shd w:val="clear" w:color="auto" w:fill="auto"/>
            <w:noWrap/>
            <w:vAlign w:val="bottom"/>
          </w:tcPr>
          <w:p>
            <w:pPr>
              <w:kinsoku/>
              <w:autoSpaceDE/>
              <w:autoSpaceDN/>
              <w:adjustRightInd/>
              <w:snapToGrid/>
              <w:textAlignment w:val="auto"/>
              <w:rPr>
                <w:rFonts w:eastAsia="宋体"/>
                <w:snapToGrid/>
                <w:sz w:val="20"/>
                <w:szCs w:val="20"/>
              </w:rPr>
            </w:pPr>
          </w:p>
        </w:tc>
        <w:tc>
          <w:tcPr>
            <w:tcW w:w="1886" w:type="dxa"/>
            <w:tcBorders>
              <w:top w:val="nil"/>
              <w:left w:val="nil"/>
              <w:bottom w:val="nil"/>
              <w:right w:val="nil"/>
            </w:tcBorders>
            <w:shd w:val="clear" w:color="auto" w:fill="auto"/>
            <w:noWrap/>
            <w:vAlign w:val="bottom"/>
          </w:tcPr>
          <w:p>
            <w:pPr>
              <w:kinsoku/>
              <w:autoSpaceDE/>
              <w:autoSpaceDN/>
              <w:adjustRightInd/>
              <w:snapToGrid/>
              <w:textAlignment w:val="auto"/>
              <w:rPr>
                <w:rFonts w:eastAsia="宋体"/>
                <w:snapToGrid/>
                <w:sz w:val="20"/>
                <w:szCs w:val="20"/>
              </w:rPr>
            </w:pPr>
          </w:p>
        </w:tc>
        <w:tc>
          <w:tcPr>
            <w:tcW w:w="2816" w:type="dxa"/>
            <w:tcBorders>
              <w:top w:val="nil"/>
              <w:left w:val="nil"/>
              <w:bottom w:val="nil"/>
              <w:right w:val="nil"/>
            </w:tcBorders>
            <w:shd w:val="clear" w:color="auto" w:fill="auto"/>
            <w:noWrap/>
            <w:vAlign w:val="bottom"/>
          </w:tcPr>
          <w:p>
            <w:pPr>
              <w:kinsoku/>
              <w:autoSpaceDE/>
              <w:autoSpaceDN/>
              <w:adjustRightInd/>
              <w:snapToGrid/>
              <w:jc w:val="right"/>
              <w:textAlignment w:val="auto"/>
              <w:rPr>
                <w:rFonts w:ascii="宋体" w:hAnsi="宋体" w:eastAsia="宋体"/>
                <w:snapToGrid/>
                <w:sz w:val="20"/>
                <w:szCs w:val="20"/>
              </w:rPr>
            </w:pPr>
            <w:r>
              <w:rPr>
                <w:rFonts w:hint="eastAsia" w:ascii="宋体" w:hAnsi="宋体" w:eastAsia="宋体"/>
                <w:snapToGrid/>
                <w:sz w:val="20"/>
                <w:szCs w:val="20"/>
              </w:rPr>
              <w:t>公开09表</w:t>
            </w:r>
          </w:p>
        </w:tc>
      </w:tr>
      <w:tr>
        <w:tblPrEx>
          <w:tblCellMar>
            <w:top w:w="0" w:type="dxa"/>
            <w:left w:w="108" w:type="dxa"/>
            <w:bottom w:w="0" w:type="dxa"/>
            <w:right w:w="108" w:type="dxa"/>
          </w:tblCellMar>
        </w:tblPrEx>
        <w:trPr>
          <w:trHeight w:val="255" w:hRule="atLeast"/>
          <w:jc w:val="center"/>
        </w:trPr>
        <w:tc>
          <w:tcPr>
            <w:tcW w:w="3112" w:type="dxa"/>
            <w:gridSpan w:val="4"/>
            <w:tcBorders>
              <w:top w:val="nil"/>
              <w:left w:val="nil"/>
              <w:bottom w:val="nil"/>
              <w:right w:val="nil"/>
            </w:tcBorders>
            <w:shd w:val="clear" w:color="auto" w:fill="auto"/>
            <w:noWrap/>
            <w:vAlign w:val="bottom"/>
          </w:tcPr>
          <w:p>
            <w:pPr>
              <w:kinsoku/>
              <w:autoSpaceDE/>
              <w:autoSpaceDN/>
              <w:adjustRightInd/>
              <w:snapToGrid/>
              <w:textAlignment w:val="auto"/>
              <w:rPr>
                <w:rFonts w:ascii="宋体" w:hAnsi="宋体" w:eastAsia="宋体"/>
                <w:snapToGrid/>
                <w:sz w:val="20"/>
                <w:szCs w:val="20"/>
              </w:rPr>
            </w:pPr>
            <w:r>
              <w:rPr>
                <w:rFonts w:hint="eastAsia" w:ascii="宋体" w:hAnsi="宋体" w:eastAsia="宋体"/>
                <w:snapToGrid/>
                <w:sz w:val="20"/>
                <w:szCs w:val="20"/>
              </w:rPr>
              <w:t>编制单位：南昌市青云谱区司法局</w:t>
            </w:r>
          </w:p>
        </w:tc>
        <w:tc>
          <w:tcPr>
            <w:tcW w:w="2307" w:type="dxa"/>
            <w:tcBorders>
              <w:top w:val="nil"/>
              <w:left w:val="nil"/>
              <w:bottom w:val="nil"/>
              <w:right w:val="nil"/>
            </w:tcBorders>
            <w:shd w:val="clear" w:color="auto" w:fill="auto"/>
            <w:noWrap/>
            <w:vAlign w:val="bottom"/>
          </w:tcPr>
          <w:p>
            <w:pPr>
              <w:kinsoku/>
              <w:autoSpaceDE/>
              <w:autoSpaceDN/>
              <w:adjustRightInd/>
              <w:snapToGrid/>
              <w:jc w:val="center"/>
              <w:textAlignment w:val="auto"/>
              <w:rPr>
                <w:rFonts w:ascii="宋体" w:hAnsi="宋体" w:eastAsia="宋体"/>
                <w:snapToGrid/>
                <w:sz w:val="20"/>
                <w:szCs w:val="20"/>
              </w:rPr>
            </w:pPr>
            <w:r>
              <w:rPr>
                <w:rFonts w:hint="eastAsia" w:ascii="宋体" w:hAnsi="宋体" w:eastAsia="宋体"/>
                <w:snapToGrid/>
                <w:sz w:val="20"/>
                <w:szCs w:val="20"/>
              </w:rPr>
              <w:t>2021年度</w:t>
            </w:r>
          </w:p>
        </w:tc>
        <w:tc>
          <w:tcPr>
            <w:tcW w:w="1886" w:type="dxa"/>
            <w:tcBorders>
              <w:top w:val="nil"/>
              <w:left w:val="nil"/>
              <w:bottom w:val="nil"/>
              <w:right w:val="nil"/>
            </w:tcBorders>
            <w:shd w:val="clear" w:color="auto" w:fill="auto"/>
            <w:noWrap/>
            <w:vAlign w:val="bottom"/>
          </w:tcPr>
          <w:p>
            <w:pPr>
              <w:kinsoku/>
              <w:autoSpaceDE/>
              <w:autoSpaceDN/>
              <w:adjustRightInd/>
              <w:snapToGrid/>
              <w:textAlignment w:val="auto"/>
              <w:rPr>
                <w:rFonts w:eastAsia="宋体"/>
                <w:snapToGrid/>
                <w:sz w:val="20"/>
                <w:szCs w:val="20"/>
              </w:rPr>
            </w:pPr>
          </w:p>
        </w:tc>
        <w:tc>
          <w:tcPr>
            <w:tcW w:w="2816" w:type="dxa"/>
            <w:tcBorders>
              <w:top w:val="nil"/>
              <w:left w:val="nil"/>
              <w:bottom w:val="nil"/>
              <w:right w:val="nil"/>
            </w:tcBorders>
            <w:shd w:val="clear" w:color="auto" w:fill="auto"/>
            <w:noWrap/>
            <w:vAlign w:val="bottom"/>
          </w:tcPr>
          <w:p>
            <w:pPr>
              <w:kinsoku/>
              <w:autoSpaceDE/>
              <w:autoSpaceDN/>
              <w:adjustRightInd/>
              <w:snapToGrid/>
              <w:jc w:val="right"/>
              <w:textAlignment w:val="auto"/>
              <w:rPr>
                <w:rFonts w:ascii="宋体" w:hAnsi="宋体" w:eastAsia="宋体"/>
                <w:snapToGrid/>
                <w:sz w:val="20"/>
                <w:szCs w:val="20"/>
              </w:rPr>
            </w:pPr>
            <w:r>
              <w:rPr>
                <w:rFonts w:hint="eastAsia" w:ascii="宋体" w:hAnsi="宋体" w:eastAsia="宋体"/>
                <w:snapToGrid/>
                <w:sz w:val="20"/>
                <w:szCs w:val="20"/>
              </w:rPr>
              <w:t>金额单位：万元</w:t>
            </w:r>
          </w:p>
        </w:tc>
      </w:tr>
      <w:tr>
        <w:tblPrEx>
          <w:tblCellMar>
            <w:top w:w="0" w:type="dxa"/>
            <w:left w:w="108" w:type="dxa"/>
            <w:bottom w:w="0" w:type="dxa"/>
            <w:right w:w="108" w:type="dxa"/>
          </w:tblCellMar>
        </w:tblPrEx>
        <w:trPr>
          <w:trHeight w:val="308" w:hRule="atLeast"/>
          <w:jc w:val="center"/>
        </w:trPr>
        <w:tc>
          <w:tcPr>
            <w:tcW w:w="3112"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项    目</w:t>
            </w:r>
          </w:p>
        </w:tc>
        <w:tc>
          <w:tcPr>
            <w:tcW w:w="2307" w:type="dxa"/>
            <w:vMerge w:val="restart"/>
            <w:tcBorders>
              <w:top w:val="single" w:color="000000" w:sz="4" w:space="0"/>
              <w:left w:val="nil"/>
              <w:bottom w:val="single" w:color="000000" w:sz="4" w:space="0"/>
              <w:right w:val="single" w:color="000000" w:sz="4" w:space="0"/>
            </w:tcBorders>
            <w:shd w:val="clear" w:color="FFFFFF" w:fill="C0C0C0"/>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合计</w:t>
            </w:r>
          </w:p>
        </w:tc>
        <w:tc>
          <w:tcPr>
            <w:tcW w:w="1886" w:type="dxa"/>
            <w:vMerge w:val="restart"/>
            <w:tcBorders>
              <w:top w:val="single" w:color="000000" w:sz="4" w:space="0"/>
              <w:left w:val="nil"/>
              <w:bottom w:val="single" w:color="000000" w:sz="4" w:space="0"/>
              <w:right w:val="single" w:color="000000" w:sz="4" w:space="0"/>
            </w:tcBorders>
            <w:shd w:val="clear" w:color="FFFFFF" w:fill="C0C0C0"/>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基本支出</w:t>
            </w:r>
          </w:p>
        </w:tc>
        <w:tc>
          <w:tcPr>
            <w:tcW w:w="2816" w:type="dxa"/>
            <w:vMerge w:val="restart"/>
            <w:tcBorders>
              <w:top w:val="single" w:color="000000" w:sz="4" w:space="0"/>
              <w:left w:val="nil"/>
              <w:bottom w:val="single" w:color="000000" w:sz="4" w:space="0"/>
              <w:right w:val="single" w:color="000000" w:sz="4" w:space="0"/>
            </w:tcBorders>
            <w:shd w:val="clear" w:color="FFFFFF" w:fill="C0C0C0"/>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项目支出</w:t>
            </w:r>
          </w:p>
        </w:tc>
      </w:tr>
      <w:tr>
        <w:tblPrEx>
          <w:tblCellMar>
            <w:top w:w="0" w:type="dxa"/>
            <w:left w:w="108" w:type="dxa"/>
            <w:bottom w:w="0" w:type="dxa"/>
            <w:right w:w="108" w:type="dxa"/>
          </w:tblCellMar>
        </w:tblPrEx>
        <w:trPr>
          <w:trHeight w:val="312" w:hRule="atLeast"/>
          <w:jc w:val="center"/>
        </w:trPr>
        <w:tc>
          <w:tcPr>
            <w:tcW w:w="1449"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支出功能分类科目编码</w:t>
            </w:r>
          </w:p>
        </w:tc>
        <w:tc>
          <w:tcPr>
            <w:tcW w:w="1663" w:type="dxa"/>
            <w:vMerge w:val="restart"/>
            <w:tcBorders>
              <w:top w:val="nil"/>
              <w:left w:val="nil"/>
              <w:bottom w:val="single" w:color="000000" w:sz="4" w:space="0"/>
              <w:right w:val="single" w:color="000000" w:sz="4" w:space="0"/>
            </w:tcBorders>
            <w:shd w:val="clear" w:color="FFFFFF" w:fill="C0C0C0"/>
            <w:noWrap/>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科目名称</w:t>
            </w:r>
          </w:p>
        </w:tc>
        <w:tc>
          <w:tcPr>
            <w:tcW w:w="2307" w:type="dxa"/>
            <w:vMerge w:val="continue"/>
            <w:tcBorders>
              <w:top w:val="single" w:color="000000" w:sz="4" w:space="0"/>
              <w:left w:val="nil"/>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c>
          <w:tcPr>
            <w:tcW w:w="1886" w:type="dxa"/>
            <w:vMerge w:val="continue"/>
            <w:tcBorders>
              <w:top w:val="single" w:color="000000" w:sz="4" w:space="0"/>
              <w:left w:val="nil"/>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c>
          <w:tcPr>
            <w:tcW w:w="2816" w:type="dxa"/>
            <w:vMerge w:val="continue"/>
            <w:tcBorders>
              <w:top w:val="single" w:color="000000" w:sz="4" w:space="0"/>
              <w:left w:val="nil"/>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r>
      <w:tr>
        <w:tblPrEx>
          <w:tblCellMar>
            <w:top w:w="0" w:type="dxa"/>
            <w:left w:w="108" w:type="dxa"/>
            <w:bottom w:w="0" w:type="dxa"/>
            <w:right w:w="108" w:type="dxa"/>
          </w:tblCellMar>
        </w:tblPrEx>
        <w:trPr>
          <w:trHeight w:val="312" w:hRule="atLeast"/>
          <w:jc w:val="center"/>
        </w:trPr>
        <w:tc>
          <w:tcPr>
            <w:tcW w:w="1449" w:type="dxa"/>
            <w:gridSpan w:val="3"/>
            <w:vMerge w:val="continue"/>
            <w:tcBorders>
              <w:top w:val="nil"/>
              <w:left w:val="single" w:color="000000" w:sz="4" w:space="0"/>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c>
          <w:tcPr>
            <w:tcW w:w="1663" w:type="dxa"/>
            <w:vMerge w:val="continue"/>
            <w:tcBorders>
              <w:top w:val="nil"/>
              <w:left w:val="nil"/>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c>
          <w:tcPr>
            <w:tcW w:w="2307" w:type="dxa"/>
            <w:vMerge w:val="continue"/>
            <w:tcBorders>
              <w:top w:val="single" w:color="000000" w:sz="4" w:space="0"/>
              <w:left w:val="nil"/>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c>
          <w:tcPr>
            <w:tcW w:w="1886" w:type="dxa"/>
            <w:vMerge w:val="continue"/>
            <w:tcBorders>
              <w:top w:val="single" w:color="000000" w:sz="4" w:space="0"/>
              <w:left w:val="nil"/>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c>
          <w:tcPr>
            <w:tcW w:w="2816" w:type="dxa"/>
            <w:vMerge w:val="continue"/>
            <w:tcBorders>
              <w:top w:val="single" w:color="000000" w:sz="4" w:space="0"/>
              <w:left w:val="nil"/>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r>
      <w:tr>
        <w:tblPrEx>
          <w:tblCellMar>
            <w:top w:w="0" w:type="dxa"/>
            <w:left w:w="108" w:type="dxa"/>
            <w:bottom w:w="0" w:type="dxa"/>
            <w:right w:w="108" w:type="dxa"/>
          </w:tblCellMar>
        </w:tblPrEx>
        <w:trPr>
          <w:trHeight w:val="312" w:hRule="atLeast"/>
          <w:jc w:val="center"/>
        </w:trPr>
        <w:tc>
          <w:tcPr>
            <w:tcW w:w="1449" w:type="dxa"/>
            <w:gridSpan w:val="3"/>
            <w:vMerge w:val="continue"/>
            <w:tcBorders>
              <w:top w:val="nil"/>
              <w:left w:val="single" w:color="000000" w:sz="4" w:space="0"/>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c>
          <w:tcPr>
            <w:tcW w:w="1663" w:type="dxa"/>
            <w:vMerge w:val="continue"/>
            <w:tcBorders>
              <w:top w:val="nil"/>
              <w:left w:val="nil"/>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c>
          <w:tcPr>
            <w:tcW w:w="2307" w:type="dxa"/>
            <w:vMerge w:val="continue"/>
            <w:tcBorders>
              <w:top w:val="single" w:color="000000" w:sz="4" w:space="0"/>
              <w:left w:val="nil"/>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c>
          <w:tcPr>
            <w:tcW w:w="1886" w:type="dxa"/>
            <w:vMerge w:val="continue"/>
            <w:tcBorders>
              <w:top w:val="single" w:color="000000" w:sz="4" w:space="0"/>
              <w:left w:val="nil"/>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c>
          <w:tcPr>
            <w:tcW w:w="2816" w:type="dxa"/>
            <w:vMerge w:val="continue"/>
            <w:tcBorders>
              <w:top w:val="single" w:color="000000" w:sz="4" w:space="0"/>
              <w:left w:val="nil"/>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r>
      <w:tr>
        <w:tblPrEx>
          <w:tblCellMar>
            <w:top w:w="0" w:type="dxa"/>
            <w:left w:w="108" w:type="dxa"/>
            <w:bottom w:w="0" w:type="dxa"/>
            <w:right w:w="108" w:type="dxa"/>
          </w:tblCellMar>
        </w:tblPrEx>
        <w:trPr>
          <w:trHeight w:val="308" w:hRule="atLeast"/>
          <w:jc w:val="center"/>
        </w:trPr>
        <w:tc>
          <w:tcPr>
            <w:tcW w:w="483" w:type="dxa"/>
            <w:vMerge w:val="restart"/>
            <w:tcBorders>
              <w:top w:val="nil"/>
              <w:left w:val="single" w:color="000000" w:sz="4" w:space="0"/>
              <w:bottom w:val="single" w:color="000000" w:sz="4" w:space="0"/>
              <w:right w:val="single" w:color="000000" w:sz="4" w:space="0"/>
            </w:tcBorders>
            <w:shd w:val="clear" w:color="FFFFFF" w:fill="C0C0C0"/>
            <w:noWrap/>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类</w:t>
            </w:r>
          </w:p>
        </w:tc>
        <w:tc>
          <w:tcPr>
            <w:tcW w:w="483" w:type="dxa"/>
            <w:vMerge w:val="restart"/>
            <w:tcBorders>
              <w:top w:val="nil"/>
              <w:left w:val="nil"/>
              <w:bottom w:val="single" w:color="000000" w:sz="4" w:space="0"/>
              <w:right w:val="single" w:color="000000" w:sz="4" w:space="0"/>
            </w:tcBorders>
            <w:shd w:val="clear" w:color="FFFFFF" w:fill="C0C0C0"/>
            <w:noWrap/>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款</w:t>
            </w:r>
          </w:p>
        </w:tc>
        <w:tc>
          <w:tcPr>
            <w:tcW w:w="483" w:type="dxa"/>
            <w:vMerge w:val="restart"/>
            <w:tcBorders>
              <w:top w:val="nil"/>
              <w:left w:val="nil"/>
              <w:bottom w:val="single" w:color="000000" w:sz="4" w:space="0"/>
              <w:right w:val="single" w:color="000000" w:sz="4" w:space="0"/>
            </w:tcBorders>
            <w:shd w:val="clear" w:color="FFFFFF" w:fill="C0C0C0"/>
            <w:noWrap/>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项</w:t>
            </w:r>
          </w:p>
        </w:tc>
        <w:tc>
          <w:tcPr>
            <w:tcW w:w="1663" w:type="dxa"/>
            <w:tcBorders>
              <w:top w:val="nil"/>
              <w:left w:val="nil"/>
              <w:bottom w:val="single" w:color="000000" w:sz="4" w:space="0"/>
              <w:right w:val="single" w:color="000000" w:sz="4" w:space="0"/>
            </w:tcBorders>
            <w:shd w:val="clear" w:color="FFFFFF" w:fill="C0C0C0"/>
            <w:noWrap/>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栏次</w:t>
            </w:r>
          </w:p>
        </w:tc>
        <w:tc>
          <w:tcPr>
            <w:tcW w:w="2307" w:type="dxa"/>
            <w:tcBorders>
              <w:top w:val="nil"/>
              <w:left w:val="nil"/>
              <w:bottom w:val="single" w:color="000000" w:sz="4" w:space="0"/>
              <w:right w:val="single" w:color="000000" w:sz="4" w:space="0"/>
            </w:tcBorders>
            <w:shd w:val="clear" w:color="FFFFFF" w:fill="C0C0C0"/>
            <w:noWrap/>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1</w:t>
            </w:r>
          </w:p>
        </w:tc>
        <w:tc>
          <w:tcPr>
            <w:tcW w:w="1886" w:type="dxa"/>
            <w:tcBorders>
              <w:top w:val="nil"/>
              <w:left w:val="nil"/>
              <w:bottom w:val="single" w:color="000000" w:sz="4" w:space="0"/>
              <w:right w:val="single" w:color="000000" w:sz="4" w:space="0"/>
            </w:tcBorders>
            <w:shd w:val="clear" w:color="FFFFFF" w:fill="C0C0C0"/>
            <w:noWrap/>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2</w:t>
            </w:r>
          </w:p>
        </w:tc>
        <w:tc>
          <w:tcPr>
            <w:tcW w:w="2816" w:type="dxa"/>
            <w:tcBorders>
              <w:top w:val="nil"/>
              <w:left w:val="nil"/>
              <w:bottom w:val="single" w:color="000000" w:sz="4" w:space="0"/>
              <w:right w:val="single" w:color="000000" w:sz="4" w:space="0"/>
            </w:tcBorders>
            <w:shd w:val="clear" w:color="FFFFFF" w:fill="C0C0C0"/>
            <w:noWrap/>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3</w:t>
            </w:r>
          </w:p>
        </w:tc>
      </w:tr>
      <w:tr>
        <w:tblPrEx>
          <w:tblCellMar>
            <w:top w:w="0" w:type="dxa"/>
            <w:left w:w="108" w:type="dxa"/>
            <w:bottom w:w="0" w:type="dxa"/>
            <w:right w:w="108" w:type="dxa"/>
          </w:tblCellMar>
        </w:tblPrEx>
        <w:trPr>
          <w:trHeight w:val="308" w:hRule="atLeast"/>
          <w:jc w:val="center"/>
        </w:trPr>
        <w:tc>
          <w:tcPr>
            <w:tcW w:w="483" w:type="dxa"/>
            <w:vMerge w:val="continue"/>
            <w:tcBorders>
              <w:top w:val="nil"/>
              <w:left w:val="single" w:color="000000" w:sz="4" w:space="0"/>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c>
          <w:tcPr>
            <w:tcW w:w="483" w:type="dxa"/>
            <w:vMerge w:val="continue"/>
            <w:tcBorders>
              <w:top w:val="nil"/>
              <w:left w:val="nil"/>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c>
          <w:tcPr>
            <w:tcW w:w="483" w:type="dxa"/>
            <w:vMerge w:val="continue"/>
            <w:tcBorders>
              <w:top w:val="nil"/>
              <w:left w:val="nil"/>
              <w:bottom w:val="single" w:color="000000" w:sz="4" w:space="0"/>
              <w:right w:val="single" w:color="000000" w:sz="4" w:space="0"/>
            </w:tcBorders>
            <w:vAlign w:val="center"/>
          </w:tcPr>
          <w:p>
            <w:pPr>
              <w:kinsoku/>
              <w:autoSpaceDE/>
              <w:autoSpaceDN/>
              <w:adjustRightInd/>
              <w:snapToGrid/>
              <w:textAlignment w:val="auto"/>
              <w:rPr>
                <w:rFonts w:ascii="宋体" w:hAnsi="宋体" w:eastAsia="宋体"/>
                <w:snapToGrid/>
                <w:sz w:val="22"/>
                <w:szCs w:val="22"/>
              </w:rPr>
            </w:pPr>
          </w:p>
        </w:tc>
        <w:tc>
          <w:tcPr>
            <w:tcW w:w="1663" w:type="dxa"/>
            <w:tcBorders>
              <w:top w:val="nil"/>
              <w:left w:val="nil"/>
              <w:bottom w:val="single" w:color="000000" w:sz="4" w:space="0"/>
              <w:right w:val="single" w:color="000000" w:sz="4" w:space="0"/>
            </w:tcBorders>
            <w:shd w:val="clear" w:color="FFFFFF" w:fill="C0C0C0"/>
            <w:noWrap/>
            <w:vAlign w:val="center"/>
          </w:tcPr>
          <w:p>
            <w:pPr>
              <w:kinsoku/>
              <w:autoSpaceDE/>
              <w:autoSpaceDN/>
              <w:adjustRightInd/>
              <w:snapToGrid/>
              <w:jc w:val="center"/>
              <w:textAlignment w:val="auto"/>
              <w:rPr>
                <w:rFonts w:ascii="宋体" w:hAnsi="宋体" w:eastAsia="宋体"/>
                <w:snapToGrid/>
                <w:sz w:val="22"/>
                <w:szCs w:val="22"/>
              </w:rPr>
            </w:pPr>
            <w:r>
              <w:rPr>
                <w:rFonts w:hint="eastAsia" w:ascii="宋体" w:hAnsi="宋体" w:eastAsia="宋体"/>
                <w:snapToGrid/>
                <w:sz w:val="22"/>
                <w:szCs w:val="22"/>
              </w:rPr>
              <w:t>合计</w:t>
            </w:r>
          </w:p>
        </w:tc>
        <w:tc>
          <w:tcPr>
            <w:tcW w:w="2307"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188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281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r>
      <w:tr>
        <w:tblPrEx>
          <w:tblCellMar>
            <w:top w:w="0" w:type="dxa"/>
            <w:left w:w="108" w:type="dxa"/>
            <w:bottom w:w="0" w:type="dxa"/>
            <w:right w:w="108" w:type="dxa"/>
          </w:tblCellMar>
        </w:tblPrEx>
        <w:trPr>
          <w:trHeight w:val="308" w:hRule="atLeast"/>
          <w:jc w:val="center"/>
        </w:trPr>
        <w:tc>
          <w:tcPr>
            <w:tcW w:w="1449" w:type="dxa"/>
            <w:gridSpan w:val="3"/>
            <w:tcBorders>
              <w:top w:val="nil"/>
              <w:left w:val="single" w:color="000000" w:sz="4" w:space="0"/>
              <w:bottom w:val="single" w:color="000000" w:sz="4" w:space="0"/>
              <w:right w:val="single" w:color="000000" w:sz="4" w:space="0"/>
            </w:tcBorders>
            <w:shd w:val="clear" w:color="auto" w:fill="auto"/>
            <w:noWrap/>
            <w:vAlign w:val="center"/>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　</w:t>
            </w:r>
          </w:p>
        </w:tc>
        <w:tc>
          <w:tcPr>
            <w:tcW w:w="1663"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　</w:t>
            </w:r>
          </w:p>
        </w:tc>
        <w:tc>
          <w:tcPr>
            <w:tcW w:w="2307"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188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281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r>
      <w:tr>
        <w:tblPrEx>
          <w:tblCellMar>
            <w:top w:w="0" w:type="dxa"/>
            <w:left w:w="108" w:type="dxa"/>
            <w:bottom w:w="0" w:type="dxa"/>
            <w:right w:w="108" w:type="dxa"/>
          </w:tblCellMar>
        </w:tblPrEx>
        <w:trPr>
          <w:trHeight w:val="308" w:hRule="atLeast"/>
          <w:jc w:val="center"/>
        </w:trPr>
        <w:tc>
          <w:tcPr>
            <w:tcW w:w="1449" w:type="dxa"/>
            <w:gridSpan w:val="3"/>
            <w:tcBorders>
              <w:top w:val="nil"/>
              <w:left w:val="single" w:color="000000" w:sz="4" w:space="0"/>
              <w:bottom w:val="single" w:color="000000" w:sz="4" w:space="0"/>
              <w:right w:val="single" w:color="000000" w:sz="4" w:space="0"/>
            </w:tcBorders>
            <w:shd w:val="clear" w:color="auto" w:fill="auto"/>
            <w:noWrap/>
            <w:vAlign w:val="center"/>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　</w:t>
            </w:r>
          </w:p>
        </w:tc>
        <w:tc>
          <w:tcPr>
            <w:tcW w:w="1663"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　</w:t>
            </w:r>
          </w:p>
        </w:tc>
        <w:tc>
          <w:tcPr>
            <w:tcW w:w="2307"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188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281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r>
      <w:tr>
        <w:tblPrEx>
          <w:tblCellMar>
            <w:top w:w="0" w:type="dxa"/>
            <w:left w:w="108" w:type="dxa"/>
            <w:bottom w:w="0" w:type="dxa"/>
            <w:right w:w="108" w:type="dxa"/>
          </w:tblCellMar>
        </w:tblPrEx>
        <w:trPr>
          <w:trHeight w:val="308" w:hRule="atLeast"/>
          <w:jc w:val="center"/>
        </w:trPr>
        <w:tc>
          <w:tcPr>
            <w:tcW w:w="1449" w:type="dxa"/>
            <w:gridSpan w:val="3"/>
            <w:tcBorders>
              <w:top w:val="nil"/>
              <w:left w:val="single" w:color="000000" w:sz="4" w:space="0"/>
              <w:bottom w:val="single" w:color="000000" w:sz="4" w:space="0"/>
              <w:right w:val="single" w:color="000000" w:sz="4" w:space="0"/>
            </w:tcBorders>
            <w:shd w:val="clear" w:color="auto" w:fill="auto"/>
            <w:noWrap/>
            <w:vAlign w:val="center"/>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　</w:t>
            </w:r>
          </w:p>
        </w:tc>
        <w:tc>
          <w:tcPr>
            <w:tcW w:w="1663"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　</w:t>
            </w:r>
          </w:p>
        </w:tc>
        <w:tc>
          <w:tcPr>
            <w:tcW w:w="2307"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188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281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r>
      <w:tr>
        <w:tblPrEx>
          <w:tblCellMar>
            <w:top w:w="0" w:type="dxa"/>
            <w:left w:w="108" w:type="dxa"/>
            <w:bottom w:w="0" w:type="dxa"/>
            <w:right w:w="108" w:type="dxa"/>
          </w:tblCellMar>
        </w:tblPrEx>
        <w:trPr>
          <w:trHeight w:val="308" w:hRule="atLeast"/>
          <w:jc w:val="center"/>
        </w:trPr>
        <w:tc>
          <w:tcPr>
            <w:tcW w:w="1449" w:type="dxa"/>
            <w:gridSpan w:val="3"/>
            <w:tcBorders>
              <w:top w:val="nil"/>
              <w:left w:val="single" w:color="000000" w:sz="4" w:space="0"/>
              <w:bottom w:val="single" w:color="000000" w:sz="4" w:space="0"/>
              <w:right w:val="single" w:color="000000" w:sz="4" w:space="0"/>
            </w:tcBorders>
            <w:shd w:val="clear" w:color="auto" w:fill="auto"/>
            <w:noWrap/>
            <w:vAlign w:val="center"/>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　</w:t>
            </w:r>
          </w:p>
        </w:tc>
        <w:tc>
          <w:tcPr>
            <w:tcW w:w="1663"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　</w:t>
            </w:r>
          </w:p>
        </w:tc>
        <w:tc>
          <w:tcPr>
            <w:tcW w:w="2307"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188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281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r>
      <w:tr>
        <w:tblPrEx>
          <w:tblCellMar>
            <w:top w:w="0" w:type="dxa"/>
            <w:left w:w="108" w:type="dxa"/>
            <w:bottom w:w="0" w:type="dxa"/>
            <w:right w:w="108" w:type="dxa"/>
          </w:tblCellMar>
        </w:tblPrEx>
        <w:trPr>
          <w:trHeight w:val="308" w:hRule="atLeast"/>
          <w:jc w:val="center"/>
        </w:trPr>
        <w:tc>
          <w:tcPr>
            <w:tcW w:w="1449" w:type="dxa"/>
            <w:gridSpan w:val="3"/>
            <w:tcBorders>
              <w:top w:val="nil"/>
              <w:left w:val="single" w:color="000000" w:sz="4" w:space="0"/>
              <w:bottom w:val="single" w:color="000000" w:sz="4" w:space="0"/>
              <w:right w:val="single" w:color="000000" w:sz="4" w:space="0"/>
            </w:tcBorders>
            <w:shd w:val="clear" w:color="auto" w:fill="auto"/>
            <w:noWrap/>
            <w:vAlign w:val="center"/>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　</w:t>
            </w:r>
          </w:p>
        </w:tc>
        <w:tc>
          <w:tcPr>
            <w:tcW w:w="1663"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　</w:t>
            </w:r>
          </w:p>
        </w:tc>
        <w:tc>
          <w:tcPr>
            <w:tcW w:w="2307"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188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281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r>
      <w:tr>
        <w:tblPrEx>
          <w:tblCellMar>
            <w:top w:w="0" w:type="dxa"/>
            <w:left w:w="108" w:type="dxa"/>
            <w:bottom w:w="0" w:type="dxa"/>
            <w:right w:w="108" w:type="dxa"/>
          </w:tblCellMar>
        </w:tblPrEx>
        <w:trPr>
          <w:trHeight w:val="308" w:hRule="atLeast"/>
          <w:jc w:val="center"/>
        </w:trPr>
        <w:tc>
          <w:tcPr>
            <w:tcW w:w="1449" w:type="dxa"/>
            <w:gridSpan w:val="3"/>
            <w:tcBorders>
              <w:top w:val="nil"/>
              <w:left w:val="single" w:color="000000" w:sz="4" w:space="0"/>
              <w:bottom w:val="single" w:color="000000" w:sz="4" w:space="0"/>
              <w:right w:val="single" w:color="000000" w:sz="4" w:space="0"/>
            </w:tcBorders>
            <w:shd w:val="clear" w:color="auto" w:fill="auto"/>
            <w:noWrap/>
            <w:vAlign w:val="center"/>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　</w:t>
            </w:r>
          </w:p>
        </w:tc>
        <w:tc>
          <w:tcPr>
            <w:tcW w:w="1663"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　</w:t>
            </w:r>
          </w:p>
        </w:tc>
        <w:tc>
          <w:tcPr>
            <w:tcW w:w="2307"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188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c>
          <w:tcPr>
            <w:tcW w:w="2816" w:type="dxa"/>
            <w:tcBorders>
              <w:top w:val="nil"/>
              <w:left w:val="nil"/>
              <w:bottom w:val="single" w:color="000000" w:sz="4" w:space="0"/>
              <w:right w:val="single" w:color="000000" w:sz="4" w:space="0"/>
            </w:tcBorders>
            <w:shd w:val="clear" w:color="auto" w:fill="auto"/>
            <w:noWrap/>
            <w:vAlign w:val="center"/>
          </w:tcPr>
          <w:p>
            <w:pPr>
              <w:kinsoku/>
              <w:autoSpaceDE/>
              <w:autoSpaceDN/>
              <w:adjustRightInd/>
              <w:snapToGrid/>
              <w:jc w:val="right"/>
              <w:textAlignment w:val="auto"/>
              <w:rPr>
                <w:rFonts w:ascii="宋体" w:hAnsi="宋体" w:eastAsia="宋体"/>
                <w:snapToGrid/>
                <w:sz w:val="22"/>
                <w:szCs w:val="22"/>
              </w:rPr>
            </w:pPr>
            <w:r>
              <w:rPr>
                <w:rFonts w:hint="eastAsia" w:ascii="宋体" w:hAnsi="宋体" w:eastAsia="宋体"/>
                <w:snapToGrid/>
                <w:sz w:val="22"/>
                <w:szCs w:val="22"/>
              </w:rPr>
              <w:t>　</w:t>
            </w:r>
          </w:p>
        </w:tc>
      </w:tr>
      <w:tr>
        <w:tblPrEx>
          <w:tblCellMar>
            <w:top w:w="0" w:type="dxa"/>
            <w:left w:w="108" w:type="dxa"/>
            <w:bottom w:w="0" w:type="dxa"/>
            <w:right w:w="108" w:type="dxa"/>
          </w:tblCellMar>
        </w:tblPrEx>
        <w:trPr>
          <w:trHeight w:val="323" w:hRule="atLeast"/>
          <w:jc w:val="center"/>
        </w:trPr>
        <w:tc>
          <w:tcPr>
            <w:tcW w:w="10121" w:type="dxa"/>
            <w:gridSpan w:val="7"/>
            <w:tcBorders>
              <w:top w:val="nil"/>
              <w:left w:val="nil"/>
              <w:bottom w:val="nil"/>
              <w:right w:val="nil"/>
            </w:tcBorders>
            <w:shd w:val="clear" w:color="auto" w:fill="auto"/>
            <w:vAlign w:val="center"/>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注：本表反映部门本年度国有资本经营预算财政拨款支出情况。</w:t>
            </w:r>
          </w:p>
        </w:tc>
      </w:tr>
      <w:tr>
        <w:tblPrEx>
          <w:tblCellMar>
            <w:top w:w="0" w:type="dxa"/>
            <w:left w:w="108" w:type="dxa"/>
            <w:bottom w:w="0" w:type="dxa"/>
            <w:right w:w="108" w:type="dxa"/>
          </w:tblCellMar>
        </w:tblPrEx>
        <w:trPr>
          <w:trHeight w:val="308" w:hRule="atLeast"/>
          <w:jc w:val="center"/>
        </w:trPr>
        <w:tc>
          <w:tcPr>
            <w:tcW w:w="10121" w:type="dxa"/>
            <w:gridSpan w:val="7"/>
            <w:tcBorders>
              <w:top w:val="nil"/>
              <w:left w:val="nil"/>
              <w:bottom w:val="nil"/>
              <w:right w:val="nil"/>
            </w:tcBorders>
            <w:shd w:val="clear" w:color="auto" w:fill="auto"/>
            <w:noWrap/>
            <w:vAlign w:val="bottom"/>
          </w:tcPr>
          <w:p>
            <w:pPr>
              <w:kinsoku/>
              <w:autoSpaceDE/>
              <w:autoSpaceDN/>
              <w:adjustRightInd/>
              <w:snapToGrid/>
              <w:textAlignment w:val="auto"/>
              <w:rPr>
                <w:rFonts w:ascii="宋体" w:hAnsi="宋体" w:eastAsia="宋体"/>
                <w:snapToGrid/>
                <w:sz w:val="22"/>
                <w:szCs w:val="22"/>
              </w:rPr>
            </w:pPr>
            <w:r>
              <w:rPr>
                <w:rFonts w:hint="eastAsia" w:ascii="宋体" w:hAnsi="宋体" w:eastAsia="宋体"/>
                <w:snapToGrid/>
                <w:sz w:val="22"/>
                <w:szCs w:val="22"/>
              </w:rPr>
              <w:t>说明：当此表数据为空时，即本部门无国有资本经营预算财政拨款支出。</w:t>
            </w:r>
          </w:p>
        </w:tc>
      </w:tr>
    </w:tbl>
    <w:p>
      <w:pPr>
        <w:pStyle w:val="2"/>
        <w:ind w:firstLine="0" w:firstLineChars="0"/>
        <w:rPr>
          <w:rFonts w:hint="eastAsia" w:eastAsiaTheme="minorEastAsia"/>
        </w:rPr>
      </w:pPr>
    </w:p>
    <w:p/>
    <w:tbl>
      <w:tblPr>
        <w:tblStyle w:val="7"/>
        <w:tblW w:w="10411" w:type="dxa"/>
        <w:jc w:val="center"/>
        <w:tblLayout w:type="fixed"/>
        <w:tblCellMar>
          <w:top w:w="0" w:type="dxa"/>
          <w:left w:w="108" w:type="dxa"/>
          <w:bottom w:w="0" w:type="dxa"/>
          <w:right w:w="108" w:type="dxa"/>
        </w:tblCellMar>
      </w:tblPr>
      <w:tblGrid>
        <w:gridCol w:w="5219"/>
        <w:gridCol w:w="2532"/>
        <w:gridCol w:w="2660"/>
      </w:tblGrid>
      <w:tr>
        <w:tblPrEx>
          <w:tblCellMar>
            <w:top w:w="0" w:type="dxa"/>
            <w:left w:w="108" w:type="dxa"/>
            <w:bottom w:w="0" w:type="dxa"/>
            <w:right w:w="108" w:type="dxa"/>
          </w:tblCellMar>
        </w:tblPrEx>
        <w:trPr>
          <w:trHeight w:val="564" w:hRule="atLeast"/>
          <w:jc w:val="center"/>
        </w:trPr>
        <w:tc>
          <w:tcPr>
            <w:tcW w:w="10411" w:type="dxa"/>
            <w:gridSpan w:val="3"/>
            <w:tcBorders>
              <w:top w:val="nil"/>
              <w:left w:val="nil"/>
              <w:bottom w:val="nil"/>
              <w:right w:val="nil"/>
            </w:tcBorders>
            <w:shd w:val="clear" w:color="auto" w:fill="auto"/>
            <w:noWrap/>
            <w:vAlign w:val="bottom"/>
          </w:tcPr>
          <w:p>
            <w:pPr>
              <w:jc w:val="center"/>
              <w:textAlignment w:val="bottom"/>
              <w:rPr>
                <w:rFonts w:ascii="宋体" w:hAnsi="宋体" w:eastAsia="宋体" w:cs="宋体"/>
                <w:sz w:val="44"/>
                <w:szCs w:val="44"/>
              </w:rPr>
            </w:pPr>
            <w:r>
              <w:rPr>
                <w:rFonts w:hint="eastAsia" w:ascii="宋体" w:hAnsi="宋体" w:eastAsia="宋体" w:cs="宋体"/>
                <w:sz w:val="44"/>
                <w:szCs w:val="44"/>
              </w:rPr>
              <w:t>国有资产占用情况表</w:t>
            </w:r>
          </w:p>
        </w:tc>
      </w:tr>
      <w:tr>
        <w:tblPrEx>
          <w:tblCellMar>
            <w:top w:w="0" w:type="dxa"/>
            <w:left w:w="108" w:type="dxa"/>
            <w:bottom w:w="0" w:type="dxa"/>
            <w:right w:w="108" w:type="dxa"/>
          </w:tblCellMar>
        </w:tblPrEx>
        <w:trPr>
          <w:trHeight w:val="264" w:hRule="atLeast"/>
          <w:jc w:val="center"/>
        </w:trPr>
        <w:tc>
          <w:tcPr>
            <w:tcW w:w="5219" w:type="dxa"/>
            <w:tcBorders>
              <w:top w:val="nil"/>
              <w:left w:val="nil"/>
              <w:bottom w:val="nil"/>
              <w:right w:val="nil"/>
            </w:tcBorders>
            <w:shd w:val="clear" w:color="auto" w:fill="auto"/>
            <w:noWrap/>
            <w:vAlign w:val="bottom"/>
          </w:tcPr>
          <w:p>
            <w:pPr>
              <w:rPr>
                <w:sz w:val="20"/>
                <w:szCs w:val="20"/>
              </w:rPr>
            </w:pPr>
          </w:p>
        </w:tc>
        <w:tc>
          <w:tcPr>
            <w:tcW w:w="2532" w:type="dxa"/>
            <w:tcBorders>
              <w:top w:val="nil"/>
              <w:left w:val="nil"/>
              <w:bottom w:val="nil"/>
              <w:right w:val="nil"/>
            </w:tcBorders>
            <w:shd w:val="clear" w:color="auto" w:fill="auto"/>
            <w:noWrap/>
            <w:vAlign w:val="bottom"/>
          </w:tcPr>
          <w:p>
            <w:pPr>
              <w:rPr>
                <w:sz w:val="20"/>
                <w:szCs w:val="20"/>
              </w:rPr>
            </w:pPr>
          </w:p>
        </w:tc>
        <w:tc>
          <w:tcPr>
            <w:tcW w:w="2660" w:type="dxa"/>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公开10表</w:t>
            </w:r>
          </w:p>
        </w:tc>
      </w:tr>
      <w:tr>
        <w:tblPrEx>
          <w:tblCellMar>
            <w:top w:w="0" w:type="dxa"/>
            <w:left w:w="108" w:type="dxa"/>
            <w:bottom w:w="0" w:type="dxa"/>
            <w:right w:w="108" w:type="dxa"/>
          </w:tblCellMar>
        </w:tblPrEx>
        <w:trPr>
          <w:trHeight w:val="264" w:hRule="atLeast"/>
          <w:jc w:val="center"/>
        </w:trPr>
        <w:tc>
          <w:tcPr>
            <w:tcW w:w="5219" w:type="dxa"/>
            <w:tcBorders>
              <w:top w:val="nil"/>
              <w:left w:val="nil"/>
              <w:bottom w:val="nil"/>
              <w:right w:val="nil"/>
            </w:tcBorders>
            <w:shd w:val="clear" w:color="auto" w:fill="auto"/>
            <w:noWrap/>
            <w:vAlign w:val="bottom"/>
          </w:tcPr>
          <w:p>
            <w:pPr>
              <w:textAlignment w:val="bottom"/>
              <w:rPr>
                <w:rFonts w:ascii="宋体" w:hAnsi="宋体" w:eastAsia="宋体" w:cs="宋体"/>
                <w:sz w:val="20"/>
                <w:szCs w:val="20"/>
              </w:rPr>
            </w:pPr>
            <w:r>
              <w:rPr>
                <w:rFonts w:hint="eastAsia" w:ascii="宋体" w:hAnsi="宋体" w:eastAsia="宋体" w:cs="宋体"/>
                <w:sz w:val="20"/>
                <w:szCs w:val="20"/>
              </w:rPr>
              <w:t>编制单位：南昌市青云谱区司法局</w:t>
            </w:r>
          </w:p>
        </w:tc>
        <w:tc>
          <w:tcPr>
            <w:tcW w:w="2532" w:type="dxa"/>
            <w:tcBorders>
              <w:top w:val="nil"/>
              <w:left w:val="nil"/>
              <w:bottom w:val="nil"/>
              <w:right w:val="nil"/>
            </w:tcBorders>
            <w:shd w:val="clear" w:color="auto" w:fill="auto"/>
            <w:noWrap/>
            <w:vAlign w:val="bottom"/>
          </w:tcPr>
          <w:p>
            <w:pPr>
              <w:jc w:val="center"/>
              <w:textAlignment w:val="bottom"/>
              <w:rPr>
                <w:rFonts w:ascii="宋体" w:hAnsi="宋体" w:eastAsia="宋体" w:cs="宋体"/>
                <w:sz w:val="20"/>
                <w:szCs w:val="20"/>
              </w:rPr>
            </w:pPr>
            <w:r>
              <w:rPr>
                <w:rFonts w:hint="eastAsia" w:ascii="宋体" w:hAnsi="宋体" w:eastAsia="宋体" w:cs="宋体"/>
                <w:sz w:val="20"/>
                <w:szCs w:val="20"/>
              </w:rPr>
              <w:t>2021年度</w:t>
            </w:r>
          </w:p>
        </w:tc>
        <w:tc>
          <w:tcPr>
            <w:tcW w:w="2660" w:type="dxa"/>
            <w:tcBorders>
              <w:top w:val="nil"/>
              <w:left w:val="nil"/>
              <w:bottom w:val="nil"/>
              <w:right w:val="nil"/>
            </w:tcBorders>
            <w:shd w:val="clear" w:color="auto" w:fill="auto"/>
            <w:noWrap/>
            <w:vAlign w:val="bottom"/>
          </w:tcPr>
          <w:p>
            <w:pPr>
              <w:jc w:val="right"/>
              <w:textAlignment w:val="bottom"/>
              <w:rPr>
                <w:rFonts w:ascii="宋体" w:hAnsi="宋体" w:eastAsia="宋体" w:cs="宋体"/>
                <w:sz w:val="20"/>
                <w:szCs w:val="20"/>
              </w:rPr>
            </w:pPr>
            <w:r>
              <w:rPr>
                <w:rFonts w:hint="eastAsia" w:ascii="宋体" w:hAnsi="宋体" w:eastAsia="宋体" w:cs="宋体"/>
                <w:sz w:val="20"/>
                <w:szCs w:val="20"/>
              </w:rPr>
              <w:t>单位：台、辆、套</w:t>
            </w:r>
          </w:p>
        </w:tc>
      </w:tr>
      <w:tr>
        <w:tblPrEx>
          <w:tblCellMar>
            <w:top w:w="0" w:type="dxa"/>
            <w:left w:w="108" w:type="dxa"/>
            <w:bottom w:w="0" w:type="dxa"/>
            <w:right w:w="108" w:type="dxa"/>
          </w:tblCellMar>
        </w:tblPrEx>
        <w:trPr>
          <w:trHeight w:val="277" w:hRule="atLeast"/>
          <w:jc w:val="center"/>
        </w:trPr>
        <w:tc>
          <w:tcPr>
            <w:tcW w:w="5219"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项  目</w:t>
            </w:r>
          </w:p>
        </w:tc>
        <w:tc>
          <w:tcPr>
            <w:tcW w:w="2532" w:type="dxa"/>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栏次</w:t>
            </w:r>
          </w:p>
        </w:tc>
        <w:tc>
          <w:tcPr>
            <w:tcW w:w="2660" w:type="dxa"/>
            <w:tcBorders>
              <w:top w:val="single" w:color="000000" w:sz="4" w:space="0"/>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决算数</w:t>
            </w:r>
          </w:p>
        </w:tc>
      </w:tr>
      <w:tr>
        <w:tblPrEx>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一、车辆数合计(台、辆)</w:t>
            </w:r>
          </w:p>
        </w:tc>
        <w:tc>
          <w:tcPr>
            <w:tcW w:w="2532"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w:t>
            </w:r>
          </w:p>
        </w:tc>
        <w:tc>
          <w:tcPr>
            <w:tcW w:w="26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w:t>
            </w:r>
          </w:p>
        </w:tc>
      </w:tr>
      <w:tr>
        <w:tblPrEx>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1.副部（省）级及以上领导用车</w:t>
            </w:r>
          </w:p>
        </w:tc>
        <w:tc>
          <w:tcPr>
            <w:tcW w:w="2532"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2</w:t>
            </w:r>
          </w:p>
        </w:tc>
        <w:tc>
          <w:tcPr>
            <w:tcW w:w="26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2.主要领导干部用车</w:t>
            </w:r>
          </w:p>
        </w:tc>
        <w:tc>
          <w:tcPr>
            <w:tcW w:w="2532"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3</w:t>
            </w:r>
          </w:p>
        </w:tc>
        <w:tc>
          <w:tcPr>
            <w:tcW w:w="26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3.机要通信用车</w:t>
            </w:r>
          </w:p>
        </w:tc>
        <w:tc>
          <w:tcPr>
            <w:tcW w:w="2532"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4</w:t>
            </w:r>
          </w:p>
        </w:tc>
        <w:tc>
          <w:tcPr>
            <w:tcW w:w="26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4.应急保障用车</w:t>
            </w:r>
          </w:p>
        </w:tc>
        <w:tc>
          <w:tcPr>
            <w:tcW w:w="2532"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5</w:t>
            </w:r>
          </w:p>
        </w:tc>
        <w:tc>
          <w:tcPr>
            <w:tcW w:w="26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5.执法执勤用车</w:t>
            </w:r>
          </w:p>
        </w:tc>
        <w:tc>
          <w:tcPr>
            <w:tcW w:w="2532"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6</w:t>
            </w:r>
          </w:p>
        </w:tc>
        <w:tc>
          <w:tcPr>
            <w:tcW w:w="26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2</w:t>
            </w:r>
          </w:p>
        </w:tc>
      </w:tr>
      <w:tr>
        <w:tblPrEx>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6.特种专业技术用车</w:t>
            </w:r>
          </w:p>
        </w:tc>
        <w:tc>
          <w:tcPr>
            <w:tcW w:w="2532"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7</w:t>
            </w:r>
          </w:p>
        </w:tc>
        <w:tc>
          <w:tcPr>
            <w:tcW w:w="26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7.离退休干部用车</w:t>
            </w:r>
          </w:p>
        </w:tc>
        <w:tc>
          <w:tcPr>
            <w:tcW w:w="2532"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8</w:t>
            </w:r>
          </w:p>
        </w:tc>
        <w:tc>
          <w:tcPr>
            <w:tcW w:w="26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 xml:space="preserve">  8.其他用车</w:t>
            </w:r>
          </w:p>
        </w:tc>
        <w:tc>
          <w:tcPr>
            <w:tcW w:w="2532"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9</w:t>
            </w:r>
          </w:p>
        </w:tc>
        <w:tc>
          <w:tcPr>
            <w:tcW w:w="26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二、单价50万元（含）以上通用设备（台，套）</w:t>
            </w:r>
          </w:p>
        </w:tc>
        <w:tc>
          <w:tcPr>
            <w:tcW w:w="2532"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10</w:t>
            </w:r>
          </w:p>
        </w:tc>
        <w:tc>
          <w:tcPr>
            <w:tcW w:w="26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三、单价100万元（含）以上专用设备（台，套）</w:t>
            </w:r>
          </w:p>
        </w:tc>
        <w:tc>
          <w:tcPr>
            <w:tcW w:w="2532" w:type="dxa"/>
            <w:tcBorders>
              <w:top w:val="nil"/>
              <w:left w:val="nil"/>
              <w:bottom w:val="single" w:color="000000" w:sz="4" w:space="0"/>
              <w:right w:val="single" w:color="000000" w:sz="4" w:space="0"/>
            </w:tcBorders>
            <w:shd w:val="clear" w:color="FFFFFF" w:fill="C0C0C0"/>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rPr>
              <w:t>11</w:t>
            </w:r>
          </w:p>
        </w:tc>
        <w:tc>
          <w:tcPr>
            <w:tcW w:w="2660" w:type="dxa"/>
            <w:tcBorders>
              <w:top w:val="nil"/>
              <w:left w:val="nil"/>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sz w:val="22"/>
                <w:szCs w:val="22"/>
              </w:rPr>
            </w:pPr>
            <w:r>
              <w:rPr>
                <w:rFonts w:hint="eastAsia" w:ascii="宋体" w:hAnsi="宋体" w:eastAsia="宋体" w:cs="宋体"/>
                <w:sz w:val="22"/>
                <w:szCs w:val="22"/>
              </w:rPr>
              <w:t>0</w:t>
            </w:r>
          </w:p>
        </w:tc>
      </w:tr>
      <w:tr>
        <w:tblPrEx>
          <w:tblCellMar>
            <w:top w:w="0" w:type="dxa"/>
            <w:left w:w="108" w:type="dxa"/>
            <w:bottom w:w="0" w:type="dxa"/>
            <w:right w:w="108" w:type="dxa"/>
          </w:tblCellMar>
        </w:tblPrEx>
        <w:trPr>
          <w:trHeight w:val="385" w:hRule="atLeast"/>
          <w:jc w:val="center"/>
        </w:trPr>
        <w:tc>
          <w:tcPr>
            <w:tcW w:w="10411" w:type="dxa"/>
            <w:gridSpan w:val="3"/>
            <w:tcBorders>
              <w:top w:val="nil"/>
              <w:left w:val="nil"/>
              <w:bottom w:val="nil"/>
              <w:right w:val="nil"/>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注：本表反映截止2021年12月31日，部门占用的国有资产情况。</w:t>
            </w:r>
          </w:p>
        </w:tc>
      </w:tr>
      <w:tr>
        <w:tblPrEx>
          <w:tblCellMar>
            <w:top w:w="0" w:type="dxa"/>
            <w:left w:w="108" w:type="dxa"/>
            <w:bottom w:w="0" w:type="dxa"/>
            <w:right w:w="108" w:type="dxa"/>
          </w:tblCellMar>
        </w:tblPrEx>
        <w:trPr>
          <w:trHeight w:val="385" w:hRule="atLeast"/>
          <w:jc w:val="center"/>
        </w:trPr>
        <w:tc>
          <w:tcPr>
            <w:tcW w:w="10411" w:type="dxa"/>
            <w:gridSpan w:val="3"/>
            <w:tcBorders>
              <w:top w:val="nil"/>
              <w:left w:val="nil"/>
              <w:bottom w:val="nil"/>
              <w:right w:val="nil"/>
            </w:tcBorders>
            <w:shd w:val="clear" w:color="auto" w:fill="auto"/>
            <w:noWrap/>
            <w:vAlign w:val="center"/>
          </w:tcPr>
          <w:p>
            <w:pPr>
              <w:textAlignment w:val="center"/>
              <w:rPr>
                <w:rFonts w:ascii="宋体" w:hAnsi="宋体" w:eastAsia="宋体" w:cs="宋体"/>
                <w:sz w:val="22"/>
                <w:szCs w:val="22"/>
              </w:rPr>
            </w:pPr>
            <w:r>
              <w:rPr>
                <w:rFonts w:hint="eastAsia" w:ascii="宋体" w:hAnsi="宋体" w:eastAsia="宋体" w:cs="宋体"/>
                <w:sz w:val="22"/>
                <w:szCs w:val="22"/>
              </w:rPr>
              <w:t>说明：当此表数据为空时，即本部门（单位）无相关资产。</w:t>
            </w:r>
          </w:p>
        </w:tc>
      </w:tr>
    </w:tbl>
    <w:p/>
    <w:p/>
    <w:p>
      <w:pPr>
        <w:kinsoku/>
        <w:autoSpaceDE/>
        <w:autoSpaceDN/>
        <w:adjustRightInd/>
        <w:snapToGrid/>
        <w:jc w:val="center"/>
        <w:textAlignment w:val="auto"/>
        <w:rPr>
          <w:rFonts w:hint="eastAsia" w:ascii="宋体" w:hAnsi="宋体" w:eastAsia="宋体" w:cs="Times New Roman"/>
          <w:b/>
          <w:snapToGrid/>
          <w:kern w:val="2"/>
          <w:sz w:val="44"/>
          <w:szCs w:val="44"/>
        </w:rPr>
      </w:pPr>
    </w:p>
    <w:p>
      <w:pPr>
        <w:kinsoku/>
        <w:autoSpaceDE/>
        <w:autoSpaceDN/>
        <w:adjustRightInd/>
        <w:snapToGrid/>
        <w:jc w:val="center"/>
        <w:textAlignment w:val="auto"/>
        <w:rPr>
          <w:rFonts w:hint="eastAsia" w:ascii="宋体" w:hAnsi="宋体" w:eastAsia="宋体" w:cs="Times New Roman"/>
          <w:b/>
          <w:snapToGrid/>
          <w:kern w:val="2"/>
          <w:sz w:val="44"/>
          <w:szCs w:val="44"/>
        </w:rPr>
      </w:pPr>
    </w:p>
    <w:p>
      <w:pPr>
        <w:kinsoku/>
        <w:autoSpaceDE/>
        <w:autoSpaceDN/>
        <w:adjustRightInd/>
        <w:snapToGrid/>
        <w:jc w:val="center"/>
        <w:textAlignment w:val="auto"/>
        <w:rPr>
          <w:rFonts w:hint="eastAsia" w:ascii="宋体" w:hAnsi="宋体" w:eastAsia="宋体" w:cs="Times New Roman"/>
          <w:b/>
          <w:snapToGrid/>
          <w:kern w:val="2"/>
          <w:sz w:val="44"/>
          <w:szCs w:val="44"/>
        </w:rPr>
      </w:pPr>
    </w:p>
    <w:p>
      <w:pPr>
        <w:kinsoku/>
        <w:autoSpaceDE/>
        <w:autoSpaceDN/>
        <w:adjustRightInd/>
        <w:snapToGrid/>
        <w:jc w:val="center"/>
        <w:textAlignment w:val="auto"/>
        <w:rPr>
          <w:rFonts w:hint="eastAsia" w:ascii="宋体" w:hAnsi="宋体" w:eastAsia="宋体" w:cs="Times New Roman"/>
          <w:b/>
          <w:snapToGrid/>
          <w:kern w:val="2"/>
          <w:sz w:val="44"/>
          <w:szCs w:val="44"/>
        </w:rPr>
      </w:pPr>
    </w:p>
    <w:p>
      <w:pPr>
        <w:kinsoku/>
        <w:autoSpaceDE/>
        <w:autoSpaceDN/>
        <w:adjustRightInd/>
        <w:snapToGrid/>
        <w:jc w:val="center"/>
        <w:textAlignment w:val="auto"/>
        <w:rPr>
          <w:rFonts w:hint="eastAsia" w:ascii="宋体" w:hAnsi="宋体" w:eastAsia="宋体" w:cs="Times New Roman"/>
          <w:b/>
          <w:snapToGrid/>
          <w:kern w:val="2"/>
          <w:sz w:val="44"/>
          <w:szCs w:val="44"/>
        </w:rPr>
      </w:pPr>
    </w:p>
    <w:p>
      <w:pPr>
        <w:kinsoku/>
        <w:autoSpaceDE/>
        <w:autoSpaceDN/>
        <w:adjustRightInd/>
        <w:snapToGrid/>
        <w:jc w:val="center"/>
        <w:textAlignment w:val="auto"/>
        <w:rPr>
          <w:rFonts w:hint="eastAsia" w:ascii="宋体" w:hAnsi="宋体" w:eastAsia="宋体" w:cs="Times New Roman"/>
          <w:b/>
          <w:snapToGrid/>
          <w:kern w:val="2"/>
          <w:sz w:val="44"/>
          <w:szCs w:val="44"/>
        </w:rPr>
      </w:pPr>
    </w:p>
    <w:p>
      <w:pPr>
        <w:kinsoku/>
        <w:autoSpaceDE/>
        <w:autoSpaceDN/>
        <w:adjustRightInd/>
        <w:snapToGrid/>
        <w:jc w:val="center"/>
        <w:textAlignment w:val="auto"/>
        <w:rPr>
          <w:rFonts w:hint="eastAsia" w:ascii="宋体" w:hAnsi="宋体" w:eastAsia="宋体" w:cs="Times New Roman"/>
          <w:b/>
          <w:snapToGrid/>
          <w:kern w:val="2"/>
          <w:sz w:val="44"/>
          <w:szCs w:val="44"/>
        </w:rPr>
      </w:pPr>
    </w:p>
    <w:p>
      <w:pPr>
        <w:kinsoku/>
        <w:autoSpaceDE/>
        <w:autoSpaceDN/>
        <w:adjustRightInd/>
        <w:snapToGrid/>
        <w:jc w:val="center"/>
        <w:textAlignment w:val="auto"/>
        <w:rPr>
          <w:rFonts w:hint="eastAsia" w:ascii="宋体" w:hAnsi="宋体" w:eastAsia="宋体" w:cs="Times New Roman"/>
          <w:b/>
          <w:snapToGrid/>
          <w:kern w:val="2"/>
          <w:sz w:val="44"/>
          <w:szCs w:val="44"/>
        </w:rPr>
      </w:pPr>
    </w:p>
    <w:p>
      <w:pPr>
        <w:kinsoku/>
        <w:autoSpaceDE/>
        <w:autoSpaceDN/>
        <w:adjustRightInd/>
        <w:snapToGrid/>
        <w:jc w:val="center"/>
        <w:textAlignment w:val="auto"/>
        <w:rPr>
          <w:rFonts w:hint="eastAsia" w:ascii="宋体" w:hAnsi="宋体" w:eastAsia="宋体" w:cs="Times New Roman"/>
          <w:b/>
          <w:snapToGrid/>
          <w:kern w:val="2"/>
          <w:sz w:val="44"/>
          <w:szCs w:val="44"/>
        </w:rPr>
      </w:pPr>
    </w:p>
    <w:p>
      <w:pPr>
        <w:kinsoku/>
        <w:autoSpaceDE/>
        <w:autoSpaceDN/>
        <w:adjustRightInd/>
        <w:snapToGrid/>
        <w:jc w:val="center"/>
        <w:textAlignment w:val="auto"/>
        <w:rPr>
          <w:rFonts w:hint="eastAsia" w:ascii="宋体" w:hAnsi="宋体" w:eastAsia="宋体" w:cs="Times New Roman"/>
          <w:b/>
          <w:snapToGrid/>
          <w:kern w:val="2"/>
          <w:sz w:val="44"/>
          <w:szCs w:val="44"/>
        </w:rPr>
      </w:pPr>
    </w:p>
    <w:p>
      <w:pPr>
        <w:kinsoku/>
        <w:autoSpaceDE/>
        <w:autoSpaceDN/>
        <w:adjustRightInd/>
        <w:snapToGrid/>
        <w:jc w:val="center"/>
        <w:textAlignment w:val="auto"/>
        <w:rPr>
          <w:rFonts w:hint="eastAsia" w:ascii="宋体" w:hAnsi="宋体" w:eastAsia="宋体" w:cs="Times New Roman"/>
          <w:b/>
          <w:snapToGrid/>
          <w:kern w:val="2"/>
          <w:sz w:val="44"/>
          <w:szCs w:val="44"/>
        </w:rPr>
      </w:pPr>
    </w:p>
    <w:p>
      <w:pPr>
        <w:kinsoku/>
        <w:autoSpaceDE/>
        <w:autoSpaceDN/>
        <w:adjustRightInd/>
        <w:snapToGrid/>
        <w:jc w:val="center"/>
        <w:textAlignment w:val="auto"/>
        <w:rPr>
          <w:rFonts w:ascii="宋体" w:hAnsi="宋体" w:eastAsia="宋体" w:cs="Times New Roman"/>
          <w:b/>
          <w:snapToGrid/>
          <w:kern w:val="2"/>
          <w:sz w:val="44"/>
          <w:szCs w:val="44"/>
        </w:rPr>
      </w:pPr>
      <w:r>
        <w:rPr>
          <w:rFonts w:hint="eastAsia" w:ascii="宋体" w:hAnsi="宋体" w:eastAsia="宋体" w:cs="Times New Roman"/>
          <w:b/>
          <w:snapToGrid/>
          <w:kern w:val="2"/>
          <w:sz w:val="44"/>
          <w:szCs w:val="44"/>
        </w:rPr>
        <w:t>第三部分    2021年度单位决算情况说明</w:t>
      </w:r>
    </w:p>
    <w:p/>
    <w:p/>
    <w:p>
      <w:pPr>
        <w:widowControl w:val="0"/>
        <w:kinsoku/>
        <w:autoSpaceDE/>
        <w:autoSpaceDN/>
        <w:adjustRightInd/>
        <w:snapToGrid/>
        <w:spacing w:line="580" w:lineRule="exact"/>
        <w:ind w:firstLine="630"/>
        <w:textAlignment w:val="auto"/>
        <w:rPr>
          <w:rFonts w:ascii="黑体" w:hAnsi="黑体" w:eastAsia="黑体" w:cs="黑体"/>
          <w:b/>
          <w:bCs/>
          <w:snapToGrid/>
          <w:kern w:val="2"/>
          <w:sz w:val="32"/>
          <w:szCs w:val="32"/>
        </w:rPr>
      </w:pPr>
      <w:r>
        <w:rPr>
          <w:rFonts w:hint="eastAsia" w:ascii="黑体" w:hAnsi="黑体" w:eastAsia="黑体" w:cs="黑体"/>
          <w:b/>
          <w:bCs/>
          <w:snapToGrid/>
          <w:kern w:val="2"/>
          <w:sz w:val="32"/>
          <w:szCs w:val="32"/>
        </w:rPr>
        <w:t>一、收入决算情况说明</w:t>
      </w:r>
    </w:p>
    <w:p>
      <w:pPr>
        <w:kinsoku/>
        <w:autoSpaceDE/>
        <w:autoSpaceDN/>
        <w:adjustRightInd/>
        <w:snapToGrid/>
        <w:spacing w:line="580" w:lineRule="exact"/>
        <w:ind w:firstLine="640"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本单位2021年度收入总计815.98万元，其中年初结转和结余0万元，较2020年增加94.57万元，增长13.1%; 本年收入合计815.98万元，较2020年增加227.88万元，增长38.75%，主要原因是:财政拨款增加。</w:t>
      </w:r>
    </w:p>
    <w:p>
      <w:pPr>
        <w:kinsoku/>
        <w:autoSpaceDE/>
        <w:autoSpaceDN/>
        <w:adjustRightInd/>
        <w:snapToGrid/>
        <w:spacing w:line="580" w:lineRule="exact"/>
        <w:ind w:firstLine="640"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本年收入的具体构成为∶财政拨款收入815.98万元，占100%;事业收入0万元，占0%;经营收入0万元，占0%;其他收入0万元， 占0%。</w:t>
      </w:r>
    </w:p>
    <w:p>
      <w:pPr>
        <w:widowControl w:val="0"/>
        <w:kinsoku/>
        <w:autoSpaceDE/>
        <w:autoSpaceDN/>
        <w:adjustRightInd/>
        <w:snapToGrid/>
        <w:spacing w:line="580" w:lineRule="exact"/>
        <w:ind w:firstLine="630"/>
        <w:textAlignment w:val="auto"/>
        <w:rPr>
          <w:rFonts w:ascii="黑体" w:hAnsi="黑体" w:eastAsia="黑体" w:cs="黑体"/>
          <w:b/>
          <w:bCs/>
          <w:snapToGrid/>
          <w:kern w:val="2"/>
          <w:sz w:val="32"/>
          <w:szCs w:val="32"/>
        </w:rPr>
      </w:pPr>
      <w:r>
        <w:rPr>
          <w:rFonts w:hint="eastAsia" w:ascii="黑体" w:hAnsi="黑体" w:eastAsia="黑体" w:cs="黑体"/>
          <w:b/>
          <w:bCs/>
          <w:snapToGrid/>
          <w:kern w:val="2"/>
          <w:sz w:val="32"/>
          <w:szCs w:val="32"/>
        </w:rPr>
        <w:t>二、支出决算情况说明</w:t>
      </w:r>
    </w:p>
    <w:p>
      <w:pPr>
        <w:kinsoku/>
        <w:autoSpaceDE/>
        <w:autoSpaceDN/>
        <w:adjustRightInd/>
        <w:snapToGrid/>
        <w:spacing w:line="580" w:lineRule="exact"/>
        <w:ind w:firstLine="640"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本单位2021年度支出总计815.98万元，其中本年支出合计    815.98万元，较 2020年增加94.57万元，增长13.1 %，主要原因是∶基本支出及项目支出增加;年末结转和结余0万元，较2020年无增减变化。</w:t>
      </w:r>
    </w:p>
    <w:p>
      <w:pPr>
        <w:kinsoku/>
        <w:autoSpaceDE/>
        <w:autoSpaceDN/>
        <w:adjustRightInd/>
        <w:snapToGrid/>
        <w:spacing w:line="580" w:lineRule="exact"/>
        <w:ind w:firstLine="640"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本年支出的具体构成为∶基本支出551.34万元，占67.57%; 项目支出264.65万元，占32.43%; 经营支出0万元，占0%; 其他支出（对 附属单位补助支出、上缴上级支出）0万元，占0%。</w:t>
      </w:r>
    </w:p>
    <w:p>
      <w:pPr>
        <w:widowControl w:val="0"/>
        <w:kinsoku/>
        <w:autoSpaceDE/>
        <w:autoSpaceDN/>
        <w:adjustRightInd/>
        <w:snapToGrid/>
        <w:spacing w:line="580" w:lineRule="exact"/>
        <w:ind w:firstLine="630"/>
        <w:textAlignment w:val="auto"/>
        <w:rPr>
          <w:rFonts w:ascii="黑体" w:hAnsi="黑体" w:eastAsia="黑体" w:cs="黑体"/>
          <w:b/>
          <w:bCs/>
          <w:snapToGrid/>
          <w:kern w:val="2"/>
          <w:sz w:val="32"/>
          <w:szCs w:val="32"/>
        </w:rPr>
      </w:pPr>
      <w:r>
        <w:rPr>
          <w:rFonts w:hint="eastAsia" w:ascii="黑体" w:hAnsi="黑体" w:eastAsia="黑体" w:cs="黑体"/>
          <w:b/>
          <w:bCs/>
          <w:snapToGrid/>
          <w:kern w:val="2"/>
          <w:sz w:val="32"/>
          <w:szCs w:val="32"/>
        </w:rPr>
        <w:t>三、财政拨款支出决算情况说明</w:t>
      </w:r>
    </w:p>
    <w:p>
      <w:pPr>
        <w:kinsoku/>
        <w:autoSpaceDE/>
        <w:autoSpaceDN/>
        <w:adjustRightInd/>
        <w:snapToGrid/>
        <w:spacing w:line="580" w:lineRule="exact"/>
        <w:ind w:firstLine="640"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本单位2021年度财政拨款本年支出年初预算数为815.98万元，决算数为815.98万元，完成年初预算的100%。其中∶</w:t>
      </w:r>
    </w:p>
    <w:p>
      <w:pPr>
        <w:kinsoku/>
        <w:autoSpaceDE/>
        <w:autoSpaceDN/>
        <w:adjustRightInd/>
        <w:snapToGrid/>
        <w:spacing w:line="580" w:lineRule="exact"/>
        <w:ind w:firstLine="643"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b/>
          <w:bCs/>
          <w:snapToGrid/>
          <w:kern w:val="2"/>
          <w:sz w:val="32"/>
          <w:szCs w:val="32"/>
        </w:rPr>
        <w:t>（一）公共安全支出年初预算数为802.21万元</w:t>
      </w:r>
      <w:r>
        <w:rPr>
          <w:rFonts w:hint="eastAsia" w:ascii="仿宋_GB2312" w:hAnsi="仿宋_GB2312" w:eastAsia="仿宋_GB2312" w:cs="仿宋_GB2312"/>
          <w:snapToGrid/>
          <w:kern w:val="2"/>
          <w:sz w:val="32"/>
          <w:szCs w:val="32"/>
        </w:rPr>
        <w:t>，决算数为802.21万元，完成年初预算的100%。</w:t>
      </w:r>
    </w:p>
    <w:p>
      <w:pPr>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（二）社会保障和就业支出年初预算数为13.78万元</w:t>
      </w:r>
      <w:r>
        <w:rPr>
          <w:rFonts w:hint="eastAsia" w:ascii="仿宋_GB2312" w:hAnsi="仿宋_GB2312" w:eastAsia="仿宋_GB2312" w:cs="仿宋_GB2312"/>
          <w:sz w:val="32"/>
          <w:szCs w:val="32"/>
        </w:rPr>
        <w:t>，决算数为13.78万元，</w:t>
      </w:r>
      <w:r>
        <w:rPr>
          <w:rFonts w:hint="eastAsia" w:ascii="仿宋_GB2312" w:hAnsi="仿宋_GB2312" w:eastAsia="仿宋_GB2312" w:cs="仿宋_GB2312"/>
          <w:snapToGrid/>
          <w:kern w:val="2"/>
          <w:sz w:val="32"/>
          <w:szCs w:val="32"/>
        </w:rPr>
        <w:t>完成年初预算的100%。</w:t>
      </w:r>
    </w:p>
    <w:p>
      <w:pPr>
        <w:widowControl w:val="0"/>
        <w:kinsoku/>
        <w:autoSpaceDE/>
        <w:autoSpaceDN/>
        <w:adjustRightInd/>
        <w:snapToGrid/>
        <w:spacing w:line="580" w:lineRule="exact"/>
        <w:ind w:firstLine="630"/>
        <w:textAlignment w:val="auto"/>
        <w:rPr>
          <w:rFonts w:ascii="黑体" w:hAnsi="黑体" w:eastAsia="黑体" w:cs="黑体"/>
          <w:b/>
          <w:bCs/>
          <w:snapToGrid/>
          <w:kern w:val="2"/>
          <w:sz w:val="32"/>
          <w:szCs w:val="32"/>
        </w:rPr>
      </w:pPr>
      <w:r>
        <w:rPr>
          <w:rFonts w:hint="eastAsia" w:ascii="黑体" w:hAnsi="黑体" w:eastAsia="黑体" w:cs="黑体"/>
          <w:b/>
          <w:bCs/>
          <w:snapToGrid/>
          <w:kern w:val="2"/>
          <w:sz w:val="32"/>
          <w:szCs w:val="32"/>
        </w:rPr>
        <w:t>四、一般公共预算财政拨款基本支出决算情况说明</w:t>
      </w:r>
    </w:p>
    <w:p>
      <w:pPr>
        <w:kinsoku/>
        <w:autoSpaceDE/>
        <w:autoSpaceDN/>
        <w:adjustRightInd/>
        <w:snapToGrid/>
        <w:spacing w:line="580" w:lineRule="exact"/>
        <w:ind w:firstLine="640"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本部门2021年度一般公共预算财政拨款基本支出551.34万元，其中∶</w:t>
      </w:r>
    </w:p>
    <w:p>
      <w:pPr>
        <w:kinsoku/>
        <w:autoSpaceDE/>
        <w:autoSpaceDN/>
        <w:adjustRightInd/>
        <w:snapToGrid/>
        <w:spacing w:line="580" w:lineRule="exact"/>
        <w:ind w:firstLine="643"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b/>
          <w:bCs/>
          <w:snapToGrid/>
          <w:kern w:val="2"/>
          <w:sz w:val="32"/>
          <w:szCs w:val="32"/>
        </w:rPr>
        <w:t>（一）工资福利支出505.8万元</w:t>
      </w:r>
      <w:r>
        <w:rPr>
          <w:rFonts w:hint="eastAsia" w:ascii="仿宋_GB2312" w:hAnsi="仿宋_GB2312" w:eastAsia="仿宋_GB2312" w:cs="仿宋_GB2312"/>
          <w:snapToGrid/>
          <w:kern w:val="2"/>
          <w:sz w:val="32"/>
          <w:szCs w:val="32"/>
        </w:rPr>
        <w:t>，较2020年增加117.53万元，增长30.27%，主要原因是∶2021年人员增加。</w:t>
      </w:r>
    </w:p>
    <w:p>
      <w:pPr>
        <w:kinsoku/>
        <w:autoSpaceDE/>
        <w:autoSpaceDN/>
        <w:adjustRightInd/>
        <w:snapToGrid/>
        <w:spacing w:line="580" w:lineRule="exact"/>
        <w:ind w:firstLine="643"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b/>
          <w:bCs/>
          <w:snapToGrid/>
          <w:kern w:val="2"/>
          <w:sz w:val="32"/>
          <w:szCs w:val="32"/>
        </w:rPr>
        <w:t>（二）商品和服务支出34.91万元</w:t>
      </w:r>
      <w:r>
        <w:rPr>
          <w:rFonts w:hint="eastAsia" w:ascii="仿宋_GB2312" w:hAnsi="仿宋_GB2312" w:eastAsia="仿宋_GB2312" w:cs="仿宋_GB2312"/>
          <w:snapToGrid/>
          <w:kern w:val="2"/>
          <w:sz w:val="32"/>
          <w:szCs w:val="32"/>
        </w:rPr>
        <w:t>，较2020年减少27.72万元，下降44.26%，主要原因是：缩减了公用经费开支。</w:t>
      </w:r>
    </w:p>
    <w:p>
      <w:pPr>
        <w:kinsoku/>
        <w:autoSpaceDE/>
        <w:autoSpaceDN/>
        <w:adjustRightInd/>
        <w:snapToGrid/>
        <w:spacing w:line="580" w:lineRule="exact"/>
        <w:ind w:firstLine="643"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b/>
          <w:bCs/>
          <w:snapToGrid/>
          <w:kern w:val="2"/>
          <w:sz w:val="32"/>
          <w:szCs w:val="32"/>
        </w:rPr>
        <w:t>（三）对个人和家庭补助支出10.63万元</w:t>
      </w:r>
      <w:r>
        <w:rPr>
          <w:rFonts w:hint="eastAsia" w:ascii="仿宋_GB2312" w:hAnsi="仿宋_GB2312" w:eastAsia="仿宋_GB2312" w:cs="仿宋_GB2312"/>
          <w:snapToGrid/>
          <w:kern w:val="2"/>
          <w:sz w:val="32"/>
          <w:szCs w:val="32"/>
        </w:rPr>
        <w:t>，较2020年增加0.37万元，增长0.36%。</w:t>
      </w:r>
    </w:p>
    <w:p>
      <w:pPr>
        <w:kinsoku/>
        <w:autoSpaceDE/>
        <w:autoSpaceDN/>
        <w:adjustRightInd/>
        <w:snapToGrid/>
        <w:spacing w:line="580" w:lineRule="exact"/>
        <w:ind w:firstLine="643"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b/>
          <w:snapToGrid/>
          <w:kern w:val="2"/>
          <w:sz w:val="32"/>
          <w:szCs w:val="32"/>
        </w:rPr>
        <w:t>（四）资本性支出0万元，</w:t>
      </w:r>
      <w:r>
        <w:rPr>
          <w:rFonts w:hint="eastAsia" w:ascii="仿宋_GB2312" w:hAnsi="仿宋_GB2312" w:eastAsia="仿宋_GB2312" w:cs="仿宋_GB2312"/>
          <w:snapToGrid/>
          <w:kern w:val="2"/>
          <w:sz w:val="32"/>
          <w:szCs w:val="32"/>
        </w:rPr>
        <w:t>较2020年增加（减少）0万元，</w:t>
      </w:r>
    </w:p>
    <w:p>
      <w:pPr>
        <w:kinsoku/>
        <w:autoSpaceDE/>
        <w:autoSpaceDN/>
        <w:adjustRightInd/>
        <w:snapToGrid/>
        <w:spacing w:line="580" w:lineRule="exact"/>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增长（下降）0%。</w:t>
      </w:r>
    </w:p>
    <w:p>
      <w:pPr>
        <w:widowControl w:val="0"/>
        <w:kinsoku/>
        <w:autoSpaceDE/>
        <w:autoSpaceDN/>
        <w:adjustRightInd/>
        <w:snapToGrid/>
        <w:spacing w:line="580" w:lineRule="exact"/>
        <w:ind w:firstLine="630"/>
        <w:textAlignment w:val="auto"/>
        <w:rPr>
          <w:rFonts w:ascii="黑体" w:hAnsi="黑体" w:eastAsia="黑体" w:cs="黑体"/>
          <w:b/>
          <w:bCs/>
          <w:snapToGrid/>
          <w:kern w:val="2"/>
          <w:sz w:val="32"/>
          <w:szCs w:val="32"/>
        </w:rPr>
      </w:pPr>
      <w:r>
        <w:rPr>
          <w:rFonts w:hint="eastAsia" w:ascii="黑体" w:hAnsi="黑体" w:eastAsia="黑体" w:cs="黑体"/>
          <w:b/>
          <w:bCs/>
          <w:snapToGrid/>
          <w:kern w:val="2"/>
          <w:sz w:val="32"/>
          <w:szCs w:val="32"/>
        </w:rPr>
        <w:t>五、一般公共预算财政拨款“三公”经费支出决算情况说明</w:t>
      </w:r>
    </w:p>
    <w:p>
      <w:pPr>
        <w:kinsoku/>
        <w:autoSpaceDE/>
        <w:autoSpaceDN/>
        <w:adjustRightInd/>
        <w:snapToGrid/>
        <w:spacing w:line="580" w:lineRule="exact"/>
        <w:ind w:firstLine="640"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本单位2021年度一般公共预算财政拨款“三公”经费支出年初预算数为3.5万元，决算数为1.18万元，完成预算的33.7%，决算数较2020年减少0.33万元，下降21.85%，其中∶</w:t>
      </w:r>
    </w:p>
    <w:p>
      <w:pPr>
        <w:kinsoku/>
        <w:autoSpaceDE/>
        <w:autoSpaceDN/>
        <w:adjustRightInd/>
        <w:snapToGrid/>
        <w:spacing w:line="580" w:lineRule="exact"/>
        <w:ind w:firstLine="643"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b/>
          <w:bCs/>
          <w:snapToGrid/>
          <w:kern w:val="2"/>
          <w:sz w:val="32"/>
          <w:szCs w:val="32"/>
        </w:rPr>
        <w:t>（一）因公出国（境）支出年初预算数为0万元</w:t>
      </w:r>
      <w:r>
        <w:rPr>
          <w:rFonts w:hint="eastAsia" w:ascii="仿宋_GB2312" w:hAnsi="仿宋_GB2312" w:eastAsia="仿宋_GB2312" w:cs="仿宋_GB2312"/>
          <w:snapToGrid/>
          <w:kern w:val="2"/>
          <w:sz w:val="32"/>
          <w:szCs w:val="32"/>
        </w:rPr>
        <w:t>，决算数为0万元，完成预算的0%，决算数较2020年增加（减少）0万元，增长（下降）0%。</w:t>
      </w:r>
    </w:p>
    <w:p>
      <w:pPr>
        <w:kinsoku/>
        <w:autoSpaceDE/>
        <w:autoSpaceDN/>
        <w:adjustRightInd/>
        <w:snapToGrid/>
        <w:spacing w:line="580" w:lineRule="exact"/>
        <w:ind w:firstLine="643"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b/>
          <w:bCs/>
          <w:snapToGrid/>
          <w:kern w:val="2"/>
          <w:sz w:val="32"/>
          <w:szCs w:val="32"/>
        </w:rPr>
        <w:t>（二）公务接待费支出年初预算数为1万元</w:t>
      </w:r>
      <w:r>
        <w:rPr>
          <w:rFonts w:hint="eastAsia" w:ascii="仿宋_GB2312" w:hAnsi="仿宋_GB2312" w:eastAsia="仿宋_GB2312" w:cs="仿宋_GB2312"/>
          <w:snapToGrid/>
          <w:kern w:val="2"/>
          <w:sz w:val="32"/>
          <w:szCs w:val="32"/>
        </w:rPr>
        <w:t>，决算数为0万元，完成预算的0%，决算数较2020年增加（减少）0万元，增长（下降）0%。全年国内公务接待0批，累计接待0人次。</w:t>
      </w:r>
    </w:p>
    <w:p>
      <w:pPr>
        <w:kinsoku/>
        <w:autoSpaceDE/>
        <w:autoSpaceDN/>
        <w:adjustRightInd/>
        <w:snapToGrid/>
        <w:spacing w:line="580" w:lineRule="exact"/>
        <w:ind w:firstLine="643"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b/>
          <w:bCs/>
          <w:snapToGrid/>
          <w:kern w:val="2"/>
          <w:sz w:val="32"/>
          <w:szCs w:val="32"/>
        </w:rPr>
        <w:t>（三）公务用车购置及运行维护费支出2.5万元</w:t>
      </w:r>
      <w:r>
        <w:rPr>
          <w:rFonts w:hint="eastAsia" w:ascii="仿宋_GB2312" w:hAnsi="仿宋_GB2312" w:eastAsia="仿宋_GB2312" w:cs="仿宋_GB2312"/>
          <w:snapToGrid/>
          <w:kern w:val="2"/>
          <w:sz w:val="32"/>
          <w:szCs w:val="32"/>
        </w:rPr>
        <w:t>，其中公务用车购置年初预算数为0万元，决算数为0万元，完成预算的0%， 决算数较2020年减少0万元，下降0%，全年购置公务用车0辆。公务用车运行维护费支出年初预算数为2.5万元，决算数为1.18万元，完成预算的47.2%，决算数较2020年减少0.33万元，增长下降21.85%，年末公务用车保有2辆。</w:t>
      </w:r>
    </w:p>
    <w:p>
      <w:pPr>
        <w:widowControl w:val="0"/>
        <w:kinsoku/>
        <w:autoSpaceDE/>
        <w:autoSpaceDN/>
        <w:adjustRightInd/>
        <w:snapToGrid/>
        <w:spacing w:line="580" w:lineRule="exact"/>
        <w:ind w:firstLine="630"/>
        <w:textAlignment w:val="auto"/>
        <w:rPr>
          <w:rFonts w:ascii="黑体" w:hAnsi="黑体" w:eastAsia="黑体" w:cs="黑体"/>
          <w:b/>
          <w:bCs/>
          <w:snapToGrid/>
          <w:kern w:val="2"/>
          <w:sz w:val="32"/>
          <w:szCs w:val="32"/>
        </w:rPr>
      </w:pPr>
      <w:r>
        <w:rPr>
          <w:rFonts w:hint="eastAsia" w:ascii="黑体" w:hAnsi="黑体" w:eastAsia="黑体" w:cs="黑体"/>
          <w:b/>
          <w:bCs/>
          <w:snapToGrid/>
          <w:kern w:val="2"/>
          <w:sz w:val="32"/>
          <w:szCs w:val="32"/>
        </w:rPr>
        <w:t>六、机关运行经费支出情况说明</w:t>
      </w:r>
    </w:p>
    <w:p>
      <w:pPr>
        <w:kinsoku/>
        <w:autoSpaceDE/>
        <w:autoSpaceDN/>
        <w:adjustRightInd/>
        <w:snapToGri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napToGrid/>
          <w:kern w:val="2"/>
          <w:sz w:val="32"/>
          <w:szCs w:val="32"/>
        </w:rPr>
        <w:t>本单位2021年度机关运行经费支出34.91万元，较年初预算数减少27.72万元，降低44.26%，主要原因是∶落实过紧日子要求压减公用经费支出。</w:t>
      </w:r>
    </w:p>
    <w:p>
      <w:pPr>
        <w:widowControl w:val="0"/>
        <w:kinsoku/>
        <w:autoSpaceDE/>
        <w:autoSpaceDN/>
        <w:adjustRightInd/>
        <w:snapToGrid/>
        <w:spacing w:line="580" w:lineRule="exact"/>
        <w:ind w:firstLine="630"/>
        <w:textAlignment w:val="auto"/>
        <w:rPr>
          <w:rFonts w:ascii="仿宋_GB2312" w:hAnsi="仿宋_GB2312" w:eastAsia="仿宋_GB2312" w:cs="仿宋_GB2312"/>
          <w:snapToGrid/>
          <w:kern w:val="2"/>
          <w:sz w:val="32"/>
          <w:szCs w:val="32"/>
        </w:rPr>
      </w:pPr>
      <w:r>
        <w:rPr>
          <w:rFonts w:hint="eastAsia" w:ascii="黑体" w:hAnsi="黑体" w:eastAsia="黑体" w:cs="黑体"/>
          <w:b/>
          <w:bCs/>
          <w:snapToGrid/>
          <w:kern w:val="2"/>
          <w:sz w:val="32"/>
          <w:szCs w:val="32"/>
        </w:rPr>
        <w:t>七、政府采购支出情况说明</w:t>
      </w:r>
    </w:p>
    <w:p>
      <w:pPr>
        <w:kinsoku/>
        <w:autoSpaceDE/>
        <w:autoSpaceDN/>
        <w:adjustRightInd/>
        <w:snapToGrid/>
        <w:spacing w:line="580" w:lineRule="exact"/>
        <w:ind w:firstLine="640" w:firstLineChars="200"/>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单位2021年度政府采购支出总额11.16万元，其中∶政府采购货物支出11.16万元、政府采购工程支出0万元、政府采购服务支出0万元。授予中小企业合同金额5万元，占政府采购支出总额的44.8%，其中∶授予小微企业合同金额6.16万元，占政府采购支出总额的55.2%。</w:t>
      </w:r>
    </w:p>
    <w:p>
      <w:pPr>
        <w:widowControl w:val="0"/>
        <w:kinsoku/>
        <w:autoSpaceDE/>
        <w:autoSpaceDN/>
        <w:adjustRightInd/>
        <w:snapToGrid/>
        <w:spacing w:line="580" w:lineRule="exact"/>
        <w:ind w:firstLine="630"/>
        <w:textAlignment w:val="auto"/>
        <w:rPr>
          <w:rFonts w:ascii="黑体" w:hAnsi="黑体" w:eastAsia="黑体" w:cs="黑体"/>
          <w:b/>
          <w:bCs/>
          <w:snapToGrid/>
          <w:kern w:val="2"/>
          <w:sz w:val="32"/>
          <w:szCs w:val="32"/>
        </w:rPr>
      </w:pPr>
      <w:r>
        <w:rPr>
          <w:rFonts w:hint="eastAsia" w:ascii="黑体" w:hAnsi="黑体" w:eastAsia="黑体" w:cs="黑体"/>
          <w:b/>
          <w:bCs/>
          <w:snapToGrid/>
          <w:kern w:val="2"/>
          <w:sz w:val="32"/>
          <w:szCs w:val="32"/>
        </w:rPr>
        <w:t>八、国有资产占用情况说明。</w:t>
      </w:r>
    </w:p>
    <w:p>
      <w:pPr>
        <w:kinsoku/>
        <w:autoSpaceDE/>
        <w:autoSpaceDN/>
        <w:adjustRightInd/>
        <w:snapToGrid/>
        <w:spacing w:line="580" w:lineRule="exact"/>
        <w:ind w:firstLine="640" w:firstLineChars="200"/>
        <w:textAlignment w:val="auto"/>
      </w:pPr>
      <w:r>
        <w:rPr>
          <w:rFonts w:hint="eastAsia" w:ascii="仿宋_GB2312" w:hAnsi="仿宋_GB2312" w:eastAsia="仿宋_GB2312" w:cs="仿宋_GB2312"/>
          <w:snapToGrid/>
          <w:kern w:val="2"/>
          <w:sz w:val="32"/>
          <w:szCs w:val="32"/>
        </w:rPr>
        <w:t>截止2021年12月31日，</w:t>
      </w:r>
      <w:r>
        <w:rPr>
          <w:rFonts w:hint="eastAsia" w:ascii="仿宋_GB2312" w:hAnsi="仿宋_GB2312" w:eastAsia="仿宋_GB2312" w:cs="仿宋_GB2312"/>
          <w:snapToGrid/>
          <w:kern w:val="2"/>
          <w:sz w:val="32"/>
          <w:szCs w:val="30"/>
        </w:rPr>
        <w:t>本部门共有车辆2辆，其中副部（省）级及以上领导用车0辆、主要领导干部用车0辆、机要通信用车0辆、应急保障用车0辆、执法执勤用车2辆、特种专业技术用车0辆、其他用车0辆、单位价值50万元以上通用设备0台（套）；单位价值100万元以上专用设备0台（套）。</w:t>
      </w:r>
      <w:r>
        <w:pict>
          <v:shape id="_x0000_s2052" o:spid="_x0000_s2052" o:spt="202" type="#_x0000_t202" style="position:absolute;left:0pt;margin-left:388.8pt;margin-top:550.6pt;height:21.85pt;width:2.55pt;mso-position-horizontal-relative:page;mso-position-vertical-relative:page;rotation:11796480f;z-index:251678720;mso-width-relative:page;mso-height-relative:page;" filled="f" stroked="f" coordsize="21600,21600" o:allowincell="f" o:gfxdata="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EKCO2PZAAAADQEAAA8AAAAAAAAA&#10;AQAgAAAAIgAAAGRycy9kb3ducmV2LnhtbFBLAQIUABQAAAAIAIdO4kBjcCvCSQIAAHwEAAAOAAAA&#10;AAAAAAEAIAAAACgBAABkcnMvZTJvRG9jLnhtbFBLBQYAAAAABgAGAFkBAADjBQAAAAA=&#10;">
            <v:path/>
            <v:fill on="f" focussize="0,0"/>
            <v:stroke on="f" weight="0pt" joinstyle="miter"/>
            <v:imagedata o:title=""/>
            <o:lock v:ext="edit"/>
            <v:textbox inset="0mm,0mm,0mm,0mm">
              <w:txbxContent>
                <w:p>
                  <w:pPr>
                    <w:spacing w:before="20" w:line="225" w:lineRule="auto"/>
                    <w:ind w:firstLine="20"/>
                    <w:rPr>
                      <w:rFonts w:ascii="仿宋" w:hAnsi="仿宋" w:eastAsia="仿宋" w:cs="仿宋"/>
                      <w:sz w:val="28"/>
                      <w:szCs w:val="28"/>
                    </w:rPr>
                  </w:pPr>
                  <w:r>
                    <w:rPr>
                      <w:rFonts w:ascii="仿宋" w:hAnsi="仿宋" w:eastAsia="仿宋" w:cs="仿宋"/>
                      <w:spacing w:val="-1"/>
                      <w:w w:val="4"/>
                      <w:sz w:val="28"/>
                      <w:szCs w:val="28"/>
                    </w:rPr>
                    <w:t>及</w:t>
                  </w:r>
                </w:p>
              </w:txbxContent>
            </v:textbox>
          </v:shape>
        </w:pict>
      </w:r>
    </w:p>
    <w:p>
      <w:pPr>
        <w:widowControl w:val="0"/>
        <w:kinsoku/>
        <w:autoSpaceDE/>
        <w:autoSpaceDN/>
        <w:adjustRightInd/>
        <w:snapToGrid/>
        <w:spacing w:line="580" w:lineRule="exact"/>
        <w:ind w:firstLine="630"/>
        <w:textAlignment w:val="auto"/>
        <w:rPr>
          <w:rFonts w:ascii="黑体" w:hAnsi="黑体" w:eastAsia="黑体" w:cs="黑体"/>
          <w:b/>
          <w:bCs/>
          <w:snapToGrid/>
          <w:kern w:val="2"/>
          <w:sz w:val="32"/>
          <w:szCs w:val="32"/>
        </w:rPr>
      </w:pPr>
      <w:r>
        <w:rPr>
          <w:rFonts w:hint="eastAsia" w:ascii="黑体" w:hAnsi="黑体" w:eastAsia="黑体" w:cs="黑体"/>
          <w:b/>
          <w:bCs/>
          <w:snapToGrid/>
          <w:kern w:val="2"/>
          <w:sz w:val="32"/>
          <w:szCs w:val="32"/>
        </w:rPr>
        <w:t>九、预算绩效情况说明</w:t>
      </w:r>
    </w:p>
    <w:p>
      <w:pPr>
        <w:kinsoku/>
        <w:autoSpaceDE/>
        <w:autoSpaceDN/>
        <w:adjustRightInd/>
        <w:snapToGrid/>
        <w:spacing w:line="580" w:lineRule="exact"/>
        <w:ind w:firstLine="643" w:firstLineChars="200"/>
        <w:textAlignment w:val="auto"/>
        <w:rPr>
          <w:rFonts w:ascii="楷体_GB2312" w:hAnsi="楷体_GB2312" w:eastAsia="楷体_GB2312" w:cs="楷体_GB2312"/>
          <w:b/>
          <w:bCs/>
          <w:snapToGrid/>
          <w:kern w:val="2"/>
          <w:sz w:val="32"/>
          <w:szCs w:val="32"/>
        </w:rPr>
      </w:pPr>
      <w:r>
        <w:rPr>
          <w:rFonts w:hint="eastAsia" w:ascii="楷体_GB2312" w:hAnsi="楷体_GB2312" w:eastAsia="楷体_GB2312" w:cs="楷体_GB2312"/>
          <w:b/>
          <w:bCs/>
          <w:snapToGrid/>
          <w:kern w:val="2"/>
          <w:sz w:val="32"/>
          <w:szCs w:val="32"/>
        </w:rPr>
        <w:t>（一）绩效管理工作开展情况。</w:t>
      </w:r>
    </w:p>
    <w:p>
      <w:pPr>
        <w:kinsoku/>
        <w:autoSpaceDE/>
        <w:autoSpaceDN/>
        <w:adjustRightInd/>
        <w:snapToGrid/>
        <w:spacing w:line="580" w:lineRule="exact"/>
        <w:ind w:firstLine="640" w:firstLineChars="200"/>
        <w:jc w:val="both"/>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根据预算绩效管理要求，我单位组织对2021年度一般公共预 算项目支出所有二级项目6个全面开展绩效自评，共涉及资金224.1万元。</w:t>
      </w:r>
    </w:p>
    <w:p>
      <w:pPr>
        <w:kinsoku/>
        <w:autoSpaceDE/>
        <w:autoSpaceDN/>
        <w:adjustRightInd/>
        <w:snapToGrid/>
        <w:spacing w:line="580" w:lineRule="exact"/>
        <w:textAlignment w:val="auto"/>
        <w:rPr>
          <w:rFonts w:ascii="楷体_GB2312" w:hAnsi="楷体_GB2312" w:eastAsia="楷体_GB2312" w:cs="楷体_GB2312"/>
          <w:b/>
          <w:bCs/>
          <w:snapToGrid/>
          <w:kern w:val="2"/>
          <w:sz w:val="32"/>
          <w:szCs w:val="32"/>
        </w:rPr>
      </w:pPr>
      <w:r>
        <w:rPr>
          <w:rFonts w:hint="eastAsia" w:ascii="仿宋_GB2312" w:hAnsi="仿宋_GB2312" w:eastAsia="仿宋_GB2312" w:cs="仿宋_GB2312"/>
          <w:snapToGrid/>
          <w:kern w:val="2"/>
          <w:sz w:val="32"/>
          <w:szCs w:val="32"/>
        </w:rPr>
        <w:t xml:space="preserve">   </w:t>
      </w:r>
      <w:r>
        <w:rPr>
          <w:rFonts w:hint="eastAsia" w:ascii="楷体_GB2312" w:hAnsi="楷体_GB2312" w:eastAsia="楷体_GB2312" w:cs="楷体_GB2312"/>
          <w:b/>
          <w:bCs/>
          <w:snapToGrid/>
          <w:kern w:val="2"/>
          <w:sz w:val="32"/>
          <w:szCs w:val="32"/>
        </w:rPr>
        <w:t>（二）单位决算总项目绩效自评情</w:t>
      </w:r>
      <w:r>
        <w:rPr>
          <w:rFonts w:ascii="宋体" w:hAnsi="宋体"/>
          <w:sz w:val="22"/>
          <w:lang w:val="zh-CN" w:bidi="zh-CN"/>
        </w:rPr>
        <w:pict>
          <v:shape id="_x0000_s2051" o:spid="_x0000_s2051" o:spt="202" type="#_x0000_t202" style="position:absolute;left:0pt;margin-left:56.7pt;margin-top:-9pt;height:15.5pt;width:14pt;mso-position-horizontal-relative:page;z-index:-251636736;mso-width-relative:page;mso-height-relative:page;" filled="f" stroked="f" coordsize="21600,21600" o:gfxdata="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1W5NzYAAAACgEAAA8AAAAAAAAAAQAg&#10;AAAAIgAAAGRycy9kb3ducmV2LnhtbFBLAQIUABQAAAAIAIdO4kBX+nMZDgIAAAYEAAAOAAAAAAAA&#10;AAEAIAAAACcBAABkcnMvZTJvRG9jLnhtbFBLBQYAAAAABgAGAFkBAACnBQAAAAA=&#10;">
            <v:path/>
            <v:fill on="f" focussize="0,0"/>
            <v:stroke on="f" joinstyle="miter"/>
            <v:imagedata o:title=""/>
            <o:lock v:ext="edit"/>
            <v:textbox inset="0mm,0mm,0mm,0mm">
              <w:txbxContent>
                <w:p>
                  <w:pPr>
                    <w:spacing w:line="310" w:lineRule="exact"/>
                    <w:rPr>
                      <w:rFonts w:ascii="Times New Roman"/>
                      <w:sz w:val="28"/>
                    </w:rPr>
                  </w:pPr>
                  <w:r>
                    <w:rPr>
                      <w:rFonts w:ascii="Times New Roman"/>
                      <w:w w:val="95"/>
                      <w:sz w:val="28"/>
                    </w:rPr>
                    <w:t>18</w:t>
                  </w:r>
                </w:p>
              </w:txbxContent>
            </v:textbox>
          </v:shape>
        </w:pict>
      </w:r>
      <w:r>
        <w:rPr>
          <w:rFonts w:ascii="宋体" w:hAnsi="宋体"/>
          <w:sz w:val="22"/>
          <w:lang w:val="zh-CN" w:bidi="zh-CN"/>
        </w:rPr>
        <w:pict>
          <v:rect id="_x0000_s2050" o:spid="_x0000_s2050" o:spt="1" style="position:absolute;left:0pt;margin-left:44.15pt;margin-top:-33.15pt;height:56.65pt;width:51.85pt;mso-position-horizontal-relative:page;z-index:-251635712;mso-width-relative:page;mso-height-relative:page;" stroked="f" coordsize="21600,21600" o:gfxdata="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xAXYi1wAAAAkB&#10;AAAPAAAAAAAAAAEAIAAAACIAAABkcnMvZG93bnJldi54bWxQSwECFAAUAAAACACHTuJAObfMKRwC&#10;AAAnBAAADgAAAAAAAAABACAAAAAmAQAAZHJzL2Uyb0RvYy54bWxQSwUGAAAAAAYABgBZAQAAtAUA&#10;AAAA&#10;">
            <v:path/>
            <v:fill focussize="0,0"/>
            <v:stroke on="f"/>
            <v:imagedata o:title=""/>
            <o:lock v:ext="edit"/>
          </v:rect>
        </w:pict>
      </w:r>
      <w:r>
        <w:rPr>
          <w:rFonts w:hint="eastAsia" w:ascii="楷体_GB2312" w:hAnsi="楷体_GB2312" w:eastAsia="楷体_GB2312" w:cs="楷体_GB2312"/>
          <w:b/>
          <w:bCs/>
          <w:snapToGrid/>
          <w:kern w:val="2"/>
          <w:sz w:val="32"/>
          <w:szCs w:val="32"/>
        </w:rPr>
        <w:t>况</w:t>
      </w:r>
    </w:p>
    <w:p>
      <w:pPr>
        <w:pStyle w:val="3"/>
        <w:kinsoku/>
        <w:adjustRightInd/>
        <w:spacing w:line="580" w:lineRule="exact"/>
        <w:ind w:firstLine="611" w:firstLineChars="200"/>
        <w:jc w:val="center"/>
        <w:textAlignment w:val="auto"/>
        <w:rPr>
          <w:rFonts w:ascii="黑体" w:hAnsi="黑体" w:eastAsia="黑体" w:cs="黑体"/>
          <w:b/>
          <w:bCs/>
          <w:w w:val="95"/>
          <w:sz w:val="32"/>
          <w:szCs w:val="32"/>
        </w:rPr>
      </w:pPr>
      <w:r>
        <w:rPr>
          <w:rFonts w:hint="eastAsia" w:ascii="黑体" w:hAnsi="黑体" w:eastAsia="黑体" w:cs="黑体"/>
          <w:b/>
          <w:bCs/>
          <w:w w:val="95"/>
          <w:sz w:val="32"/>
          <w:szCs w:val="32"/>
        </w:rPr>
        <w:t>普法经费项目支出部门评价报告</w:t>
      </w:r>
    </w:p>
    <w:p>
      <w:pPr>
        <w:pStyle w:val="3"/>
        <w:kinsoku/>
        <w:adjustRightInd/>
        <w:spacing w:line="580" w:lineRule="exact"/>
        <w:ind w:firstLine="611" w:firstLineChars="200"/>
        <w:textAlignment w:val="auto"/>
        <w:rPr>
          <w:rFonts w:ascii="黑体" w:hAnsi="黑体" w:eastAsia="黑体" w:cs="黑体"/>
          <w:b/>
          <w:bCs/>
          <w:sz w:val="32"/>
          <w:szCs w:val="32"/>
        </w:rPr>
      </w:pPr>
      <w:r>
        <w:rPr>
          <w:rFonts w:hint="eastAsia" w:ascii="黑体" w:hAnsi="黑体" w:eastAsia="黑体" w:cs="黑体"/>
          <w:b/>
          <w:bCs/>
          <w:w w:val="95"/>
          <w:sz w:val="32"/>
          <w:szCs w:val="32"/>
        </w:rPr>
        <w:t>一、基本情况</w:t>
      </w:r>
    </w:p>
    <w:p>
      <w:pPr>
        <w:pStyle w:val="10"/>
        <w:kinsoku/>
        <w:adjustRightInd/>
        <w:spacing w:line="580" w:lineRule="exact"/>
        <w:ind w:left="0" w:right="502" w:firstLine="643" w:firstLineChars="200"/>
        <w:textAlignment w:val="auto"/>
        <w:rPr>
          <w:rFonts w:ascii="楷体_GB2312" w:hAnsi="楷体_GB2312" w:eastAsia="楷体_GB2312" w:cs="楷体_GB2312"/>
          <w:bCs w:val="0"/>
        </w:rPr>
      </w:pPr>
      <w:bookmarkStart w:id="0" w:name="（一）项目概况。包括项目背景、主要内容及实施情况、资金投入和使用情况等。"/>
      <w:bookmarkEnd w:id="0"/>
      <w:r>
        <w:rPr>
          <w:rFonts w:hint="eastAsia" w:ascii="楷体_GB2312" w:hAnsi="楷体_GB2312" w:eastAsia="楷体_GB2312" w:cs="楷体_GB2312"/>
          <w:bCs w:val="0"/>
        </w:rPr>
        <w:t>（一）项目概况。</w:t>
      </w:r>
    </w:p>
    <w:p>
      <w:pPr>
        <w:kinsoku/>
        <w:adjustRightInd/>
        <w:spacing w:line="58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1.项目背景</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根据青云谱区委、区政府关于印发《青云谱区普法教育工作领导小组&lt;关于在全区公民中开展法治宣传教育的第八个五年规划（2021-2025）&gt;的通知》中明确“坚持把法治宣传教育相关工作经费纳入财政预算，切实予以保障”。2016年，区政府参照“六五”普法普法经费标准，按年人均不少于0.7元核定和《青云谱区司法局专项经费使用管理办法》（青司发[2012]3号）的具体要求，按照我区30万人口标准计算，申请区级财政拨付18万元作为普法工作经费。</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2.立项目的</w:t>
      </w:r>
    </w:p>
    <w:p>
      <w:pPr>
        <w:pStyle w:val="4"/>
        <w:kinsoku/>
        <w:adjustRightInd/>
        <w:spacing w:line="580" w:lineRule="exact"/>
        <w:ind w:firstLine="640" w:firstLineChars="200"/>
        <w:textAlignment w:val="auto"/>
        <w:rPr>
          <w:rFonts w:ascii="仿宋_GB2312" w:hAnsi="仿宋_GB2312" w:eastAsia="仿宋_GB2312" w:cs="仿宋_GB2312"/>
          <w:b w:val="0"/>
          <w:szCs w:val="32"/>
          <w:shd w:val="clear" w:color="auto" w:fill="FFFFFF"/>
        </w:rPr>
      </w:pPr>
      <w:r>
        <w:rPr>
          <w:rFonts w:hint="eastAsia" w:ascii="仿宋_GB2312" w:hAnsi="仿宋_GB2312" w:eastAsia="仿宋_GB2312" w:cs="仿宋_GB2312"/>
          <w:b w:val="0"/>
          <w:szCs w:val="32"/>
          <w:shd w:val="clear" w:color="auto" w:fill="FFFFFF"/>
        </w:rPr>
        <w:t>为保障普法宣传工作顺利进行设置该专项资金。</w:t>
      </w:r>
    </w:p>
    <w:p>
      <w:pPr>
        <w:kinsoku/>
        <w:adjustRightInd/>
        <w:spacing w:line="580" w:lineRule="exact"/>
        <w:ind w:firstLine="640" w:firstLineChars="200"/>
        <w:textAlignment w:val="auto"/>
        <w:rPr>
          <w:rFonts w:ascii="仿宋_GB2312" w:hAnsi="仿宋_GB2312" w:eastAsia="仿宋_GB2312" w:cs="仿宋_GB2312"/>
          <w:sz w:val="32"/>
          <w:szCs w:val="32"/>
          <w:shd w:val="clear" w:color="auto" w:fill="FFFFFF"/>
        </w:rPr>
      </w:pPr>
      <w:r>
        <w:rPr>
          <w:rFonts w:ascii="仿宋_GB2312" w:hAnsi="仿宋_GB2312" w:eastAsia="仿宋_GB2312" w:cs="仿宋_GB2312"/>
          <w:sz w:val="32"/>
          <w:szCs w:val="32"/>
          <w:shd w:val="clear" w:color="auto" w:fill="FFFFFF"/>
        </w:rPr>
        <w:t>3</w:t>
      </w:r>
      <w:r>
        <w:rPr>
          <w:rFonts w:hint="eastAsia" w:ascii="仿宋_GB2312" w:hAnsi="仿宋_GB2312" w:eastAsia="仿宋_GB2312" w:cs="仿宋_GB2312"/>
          <w:sz w:val="32"/>
          <w:szCs w:val="32"/>
          <w:shd w:val="clear" w:color="auto" w:fill="FFFFFF"/>
        </w:rPr>
        <w:t>.资金使用情况</w:t>
      </w:r>
    </w:p>
    <w:p>
      <w:pPr>
        <w:kinsoku/>
        <w:adjustRightInd/>
        <w:spacing w:line="580" w:lineRule="exact"/>
        <w:ind w:firstLine="640" w:firstLineChars="200"/>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根据相关规定，青云谱区财政局2</w:t>
      </w:r>
      <w:r>
        <w:rPr>
          <w:rFonts w:ascii="仿宋_GB2312" w:hAnsi="仿宋_GB2312" w:eastAsia="仿宋_GB2312" w:cs="仿宋_GB2312"/>
          <w:sz w:val="32"/>
          <w:szCs w:val="32"/>
        </w:rPr>
        <w:t>021</w:t>
      </w:r>
      <w:r>
        <w:rPr>
          <w:rFonts w:hint="eastAsia" w:ascii="仿宋_GB2312" w:hAnsi="仿宋_GB2312" w:eastAsia="仿宋_GB2312" w:cs="仿宋_GB2312"/>
          <w:sz w:val="32"/>
          <w:szCs w:val="32"/>
        </w:rPr>
        <w:t>年预算划拨青云谱区司法局普法工作专项经费金额共计18万元，实际划拨青云谱区普法工作专项经费金额共计18万元，资金到位率100%。本年度实际支出资金共计18万元，主要包括：全区开展各类型法治宣传活动经费、培训经费、法律知识讲座经费；购买普法教材、制作宣传片、制作展板、制作和维护宣传长廊等经费。</w:t>
      </w:r>
    </w:p>
    <w:p>
      <w:pPr>
        <w:pStyle w:val="10"/>
        <w:kinsoku/>
        <w:adjustRightInd/>
        <w:spacing w:line="580" w:lineRule="exact"/>
        <w:ind w:left="0" w:right="502" w:firstLine="643" w:firstLineChars="200"/>
        <w:textAlignment w:val="auto"/>
        <w:rPr>
          <w:rFonts w:ascii="楷体_GB2312" w:hAnsi="楷体_GB2312" w:eastAsia="楷体_GB2312" w:cs="楷体_GB2312"/>
          <w:bCs w:val="0"/>
        </w:rPr>
      </w:pPr>
      <w:bookmarkStart w:id="1" w:name="（二）项目绩效目标。包括总体目标和阶段性目标。"/>
      <w:bookmarkEnd w:id="1"/>
      <w:r>
        <w:rPr>
          <w:rFonts w:hint="eastAsia" w:ascii="楷体_GB2312" w:hAnsi="楷体_GB2312" w:eastAsia="楷体_GB2312" w:cs="楷体_GB2312"/>
          <w:bCs w:val="0"/>
        </w:rPr>
        <w:t>（二）项目绩效目标。包括总体目标和阶段性目标。</w:t>
      </w:r>
    </w:p>
    <w:p>
      <w:pPr>
        <w:kinsoku/>
        <w:adjustRightInd/>
        <w:spacing w:line="58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1.项目绩效总目标</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严格按照法治宣传工作要求，深入开展法治宣传教育，弘扬社会主义法治精神，推进法治宣传教育与法治实践相结合，推动全社会树立法治意识。</w:t>
      </w:r>
    </w:p>
    <w:p>
      <w:pPr>
        <w:kinsoku/>
        <w:adjustRightInd/>
        <w:spacing w:line="58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2.项目年度绩效目标</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（1）每年各大型法律宣传和咨询活动，不少于12次；</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（2）全年各类大型法律知识培训和讲座，不少于6次；</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（3）普法书籍购买完成上级下达的指标；</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（4）全年法治宣传活动数量按照年初制定的工作计划完成；</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（5）年普法知晓达到90%；</w:t>
      </w:r>
    </w:p>
    <w:p>
      <w:pPr>
        <w:numPr>
          <w:ilvl w:val="0"/>
          <w:numId w:val="2"/>
        </w:numPr>
        <w:kinsoku/>
        <w:adjustRightInd/>
        <w:spacing w:line="580" w:lineRule="exact"/>
        <w:ind w:left="48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服务对象对普法工作者的工作方式、工作态度、工作政策等满意率，满意率达95%以上</w:t>
      </w:r>
    </w:p>
    <w:p>
      <w:pPr>
        <w:pStyle w:val="3"/>
        <w:kinsoku/>
        <w:adjustRightInd/>
        <w:spacing w:line="580" w:lineRule="exact"/>
        <w:ind w:firstLine="611" w:firstLineChars="200"/>
        <w:textAlignment w:val="auto"/>
        <w:rPr>
          <w:rFonts w:ascii="黑体" w:hAnsi="黑体" w:eastAsia="黑体" w:cs="黑体"/>
          <w:b/>
          <w:bCs/>
          <w:w w:val="95"/>
          <w:sz w:val="32"/>
          <w:szCs w:val="32"/>
        </w:rPr>
      </w:pPr>
      <w:r>
        <w:rPr>
          <w:rFonts w:hint="eastAsia" w:ascii="黑体" w:hAnsi="黑体" w:eastAsia="黑体" w:cs="黑体"/>
          <w:b/>
          <w:bCs/>
          <w:w w:val="95"/>
          <w:sz w:val="32"/>
          <w:szCs w:val="32"/>
        </w:rPr>
        <w:t>二、绩效评价工作开展情况</w:t>
      </w:r>
    </w:p>
    <w:p>
      <w:pPr>
        <w:pStyle w:val="10"/>
        <w:kinsoku/>
        <w:adjustRightInd/>
        <w:spacing w:line="580" w:lineRule="exact"/>
        <w:ind w:left="0" w:right="502" w:firstLine="643" w:firstLineChars="200"/>
        <w:textAlignment w:val="auto"/>
        <w:rPr>
          <w:rFonts w:ascii="楷体_GB2312" w:hAnsi="楷体_GB2312" w:eastAsia="楷体_GB2312" w:cs="楷体_GB2312"/>
          <w:bCs w:val="0"/>
        </w:rPr>
      </w:pPr>
      <w:bookmarkStart w:id="2" w:name="（一）绩效评价目的、对象和范围。"/>
      <w:bookmarkEnd w:id="2"/>
      <w:r>
        <w:rPr>
          <w:rFonts w:hint="eastAsia" w:ascii="楷体_GB2312" w:hAnsi="楷体_GB2312" w:eastAsia="楷体_GB2312" w:cs="楷体_GB2312"/>
          <w:bCs w:val="0"/>
        </w:rPr>
        <w:t>（一）绩效评价目的、对象和范围。</w:t>
      </w:r>
    </w:p>
    <w:p>
      <w:pPr>
        <w:kinsoku/>
        <w:adjustRightInd/>
        <w:spacing w:line="580" w:lineRule="exact"/>
        <w:ind w:firstLine="640" w:firstLineChars="200"/>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通过绩效评价，了解2</w:t>
      </w:r>
      <w:r>
        <w:rPr>
          <w:rFonts w:ascii="仿宋_GB2312" w:hAnsi="仿宋_GB2312" w:eastAsia="仿宋_GB2312" w:cs="仿宋_GB2312"/>
          <w:sz w:val="32"/>
          <w:szCs w:val="32"/>
          <w:shd w:val="clear" w:color="auto" w:fill="FFFFFF"/>
        </w:rPr>
        <w:t>021</w:t>
      </w:r>
      <w:r>
        <w:rPr>
          <w:rFonts w:hint="eastAsia" w:ascii="仿宋_GB2312" w:hAnsi="仿宋_GB2312" w:eastAsia="仿宋_GB2312" w:cs="仿宋_GB2312"/>
          <w:sz w:val="32"/>
          <w:szCs w:val="32"/>
          <w:shd w:val="clear" w:color="auto" w:fill="FFFFFF"/>
        </w:rPr>
        <w:t>年项目支出资金使用情况及取得的阶段性成果，总结项目资金管理的经验，及时发现项目资金管理中存在的问题，为加强财政支出的规范化管理，提高普法经费专项资金的使用效益，健全和完善项目支出和资金使用，完善预算编制、加强绩效目标管理和绩效考核工作提供重要的参考依据，以及提出相关的建议和应采取的措施等。</w:t>
      </w:r>
    </w:p>
    <w:p>
      <w:pPr>
        <w:kinsoku/>
        <w:adjustRightInd/>
        <w:spacing w:line="580" w:lineRule="exact"/>
        <w:ind w:firstLine="640" w:firstLineChars="200"/>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评价对象和范围：</w:t>
      </w:r>
      <w:r>
        <w:rPr>
          <w:rFonts w:hint="eastAsia" w:ascii="宋体" w:hAnsi="宋体"/>
          <w:sz w:val="32"/>
          <w:szCs w:val="32"/>
        </w:rPr>
        <w:t>2</w:t>
      </w:r>
      <w:r>
        <w:rPr>
          <w:rFonts w:hint="eastAsia" w:ascii="仿宋_GB2312" w:hAnsi="仿宋_GB2312" w:eastAsia="仿宋_GB2312" w:cs="仿宋_GB2312"/>
          <w:sz w:val="32"/>
          <w:szCs w:val="32"/>
          <w:shd w:val="clear" w:color="auto" w:fill="FFFFFF"/>
        </w:rPr>
        <w:t>021年普法经费。</w:t>
      </w:r>
    </w:p>
    <w:p>
      <w:pPr>
        <w:kinsoku/>
        <w:adjustRightInd/>
        <w:spacing w:line="580" w:lineRule="exact"/>
        <w:ind w:right="502"/>
        <w:textAlignment w:val="auto"/>
        <w:rPr>
          <w:rFonts w:asciiTheme="minorEastAsia" w:hAnsiTheme="minorEastAsia" w:eastAsiaTheme="minorEastAsia"/>
          <w:sz w:val="32"/>
          <w:szCs w:val="32"/>
        </w:rPr>
      </w:pPr>
      <w:bookmarkStart w:id="3" w:name="（二）绩效评价原则、评价指标体系（附表说明）、评价方法、评价标准等。"/>
      <w:bookmarkEnd w:id="3"/>
      <w:r>
        <w:rPr>
          <w:rFonts w:hint="eastAsia" w:ascii="楷体_GB2312" w:hAnsi="楷体_GB2312" w:eastAsia="楷体_GB2312" w:cs="楷体_GB2312"/>
          <w:b/>
          <w:sz w:val="32"/>
          <w:szCs w:val="32"/>
          <w:lang w:val="zh-CN" w:bidi="zh-CN"/>
        </w:rPr>
        <w:t>（二）绩效评价原则、评价指标体系（附表说明）、评价方法、评价标准等。</w:t>
      </w:r>
    </w:p>
    <w:p>
      <w:pPr>
        <w:kinsoku/>
        <w:adjustRightInd/>
        <w:spacing w:line="580" w:lineRule="exact"/>
        <w:ind w:firstLine="640" w:firstLineChars="200"/>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绩效评价原则:科学规范原则，公正公开原则，分级分类原则，绩效相关原则。</w:t>
      </w:r>
    </w:p>
    <w:p>
      <w:pPr>
        <w:kinsoku/>
        <w:adjustRightInd/>
        <w:spacing w:line="580" w:lineRule="exact"/>
        <w:ind w:firstLine="640" w:firstLineChars="200"/>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绩效评价标准：《项目支出绩效评价管理办法》（财预〔2020〕10号）及《中共青云谱区委、青云谱区人民政府关于全面实施预算绩效管理的实施意见》（青字[2019]59号</w:t>
      </w:r>
      <w:r>
        <w:rPr>
          <w:rFonts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rPr>
        <w:t>文件精神，《青云谱区财政局关于开展2020年度区级部门财政项目支出绩效评价工作的通知》（青财发〔2020〕14 号）文件精神。</w:t>
      </w:r>
    </w:p>
    <w:p>
      <w:pPr>
        <w:kinsoku/>
        <w:adjustRightInd/>
        <w:spacing w:line="580" w:lineRule="exact"/>
        <w:ind w:firstLine="640" w:firstLineChars="200"/>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绩效评价指标体系：根据财政部文件精神要求，设置了合理可行的评价体系。</w:t>
      </w:r>
    </w:p>
    <w:p>
      <w:pPr>
        <w:kinsoku/>
        <w:adjustRightInd/>
        <w:spacing w:line="580" w:lineRule="exact"/>
        <w:ind w:firstLine="640" w:firstLineChars="200"/>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评价方法：本项目绩效评价主要采用数据对比，同时辅以抽样调查、座谈研讨、专家评估等方式。</w:t>
      </w:r>
    </w:p>
    <w:p>
      <w:pPr>
        <w:kinsoku/>
        <w:adjustRightInd/>
        <w:spacing w:line="580" w:lineRule="exact"/>
        <w:ind w:right="502" w:firstLine="643" w:firstLineChars="200"/>
        <w:textAlignment w:val="auto"/>
        <w:rPr>
          <w:rFonts w:ascii="楷体_GB2312" w:hAnsi="楷体_GB2312" w:eastAsia="楷体_GB2312" w:cs="楷体_GB2312"/>
          <w:b/>
          <w:sz w:val="32"/>
          <w:szCs w:val="32"/>
          <w:lang w:val="zh-CN" w:bidi="zh-CN"/>
        </w:rPr>
      </w:pPr>
      <w:r>
        <w:rPr>
          <w:rFonts w:hint="eastAsia" w:ascii="楷体_GB2312" w:hAnsi="楷体_GB2312" w:eastAsia="楷体_GB2312" w:cs="楷体_GB2312"/>
          <w:b/>
          <w:sz w:val="32"/>
          <w:szCs w:val="32"/>
          <w:lang w:val="zh-CN" w:bidi="zh-CN"/>
        </w:rPr>
        <w:t>（三）绩效评价工作过程。</w:t>
      </w:r>
    </w:p>
    <w:p>
      <w:pPr>
        <w:pStyle w:val="6"/>
        <w:kinsoku/>
        <w:adjustRightInd/>
        <w:spacing w:before="0" w:beforeAutospacing="0" w:after="0" w:afterAutospacing="0" w:line="580" w:lineRule="exact"/>
        <w:ind w:firstLine="64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前期制定了专项资金使用管理办法，明确了项目资金的使用范围、流程，严禁随意和违规操作；组织成立了区司法局预算绩效管理领导小组，副局长芮锋同志任组长，办公室主任黄蓉同志任副组长，领导小组下设办公室，负责预算绩效管理日常工作开展，加强对项目资金的监督检查，及时纠错；现场检查核实了项目资金财务档案，对项目资金支出严格管理，加强专项资金使用过程的控制和追踪问效，坚持专款专用，确保了用款真实、合法、有效。</w:t>
      </w:r>
    </w:p>
    <w:p>
      <w:pPr>
        <w:pStyle w:val="6"/>
        <w:kinsoku/>
        <w:adjustRightInd/>
        <w:spacing w:before="0" w:beforeAutospacing="0" w:after="0" w:afterAutospacing="0" w:line="580" w:lineRule="exact"/>
        <w:ind w:firstLine="640"/>
        <w:jc w:val="both"/>
        <w:textAlignment w:val="auto"/>
        <w:rPr>
          <w:rFonts w:asciiTheme="minorEastAsia" w:hAnsiTheme="minorEastAsia" w:eastAsiaTheme="minorEastAsia"/>
          <w:sz w:val="32"/>
          <w:szCs w:val="32"/>
        </w:rPr>
      </w:pPr>
      <w:r>
        <w:rPr>
          <w:rFonts w:hint="eastAsia" w:ascii="黑体" w:hAnsi="黑体" w:eastAsia="黑体" w:cs="黑体"/>
          <w:b/>
          <w:bCs/>
          <w:w w:val="95"/>
          <w:sz w:val="32"/>
          <w:szCs w:val="32"/>
          <w:lang w:val="zh-CN" w:bidi="zh-CN"/>
        </w:rPr>
        <w:t xml:space="preserve">三、综合评价情况及评价结论（附相关评分表） </w:t>
      </w:r>
    </w:p>
    <w:p>
      <w:pPr>
        <w:pStyle w:val="6"/>
        <w:shd w:val="clear" w:color="auto" w:fill="FFFFFF"/>
        <w:kinsoku/>
        <w:adjustRightInd/>
        <w:spacing w:before="0" w:beforeAutospacing="0" w:after="0" w:afterAutospacing="0" w:line="580" w:lineRule="exact"/>
        <w:ind w:firstLine="645"/>
        <w:textAlignment w:val="auto"/>
        <w:rPr>
          <w:rFonts w:asciiTheme="minorEastAsia" w:hAnsiTheme="minorEastAsia" w:eastAsiaTheme="minorEastAsia"/>
          <w:sz w:val="32"/>
          <w:szCs w:val="32"/>
        </w:rPr>
      </w:pPr>
      <w:r>
        <w:rPr>
          <w:rFonts w:hint="eastAsia" w:ascii="仿宋_GB2312" w:hAnsi="仿宋_GB2312" w:eastAsia="仿宋_GB2312" w:cs="仿宋_GB2312"/>
          <w:bCs/>
          <w:sz w:val="32"/>
          <w:szCs w:val="32"/>
        </w:rPr>
        <w:t>区司法局普法经费专项按照项目产出、项目完成及时率、资金使用率、社会效益、可持续影响、满意度等共性指标以及区司法局普法经费工作顺利完成等个性指标的主要方面进行了自我综合评价，得分为91分。</w:t>
      </w:r>
    </w:p>
    <w:p>
      <w:pPr>
        <w:kinsoku/>
        <w:adjustRightInd/>
        <w:spacing w:line="580" w:lineRule="exact"/>
        <w:ind w:right="2660" w:firstLine="611" w:firstLineChars="200"/>
        <w:textAlignment w:val="auto"/>
        <w:rPr>
          <w:rFonts w:ascii="黑体" w:hAnsi="黑体" w:eastAsia="黑体" w:cs="黑体"/>
          <w:b/>
          <w:bCs/>
          <w:w w:val="95"/>
          <w:sz w:val="32"/>
          <w:szCs w:val="32"/>
          <w:lang w:val="zh-CN" w:bidi="zh-CN"/>
        </w:rPr>
      </w:pPr>
      <w:r>
        <w:rPr>
          <w:rFonts w:hint="eastAsia" w:ascii="黑体" w:hAnsi="黑体" w:eastAsia="黑体" w:cs="黑体"/>
          <w:b/>
          <w:bCs/>
          <w:w w:val="95"/>
          <w:sz w:val="32"/>
          <w:szCs w:val="32"/>
          <w:lang w:val="zh-CN" w:bidi="zh-CN"/>
        </w:rPr>
        <w:t>四、绩效评价指标分析</w:t>
      </w:r>
    </w:p>
    <w:p>
      <w:pPr>
        <w:kinsoku/>
        <w:adjustRightInd/>
        <w:spacing w:line="580" w:lineRule="exact"/>
        <w:ind w:right="502" w:firstLine="643" w:firstLineChars="200"/>
        <w:textAlignment w:val="auto"/>
        <w:rPr>
          <w:rFonts w:ascii="楷体_GB2312" w:hAnsi="楷体_GB2312" w:eastAsia="楷体_GB2312" w:cs="楷体_GB2312"/>
          <w:b/>
          <w:sz w:val="32"/>
          <w:szCs w:val="32"/>
          <w:lang w:val="zh-CN" w:bidi="zh-CN"/>
        </w:rPr>
      </w:pPr>
      <w:bookmarkStart w:id="4" w:name="（一）项目决策情况。"/>
      <w:bookmarkEnd w:id="4"/>
      <w:r>
        <w:rPr>
          <w:rFonts w:hint="eastAsia" w:ascii="楷体_GB2312" w:hAnsi="楷体_GB2312" w:eastAsia="楷体_GB2312" w:cs="楷体_GB2312"/>
          <w:b/>
          <w:sz w:val="32"/>
          <w:szCs w:val="32"/>
          <w:lang w:val="zh-CN" w:bidi="zh-CN"/>
        </w:rPr>
        <w:t>（一）项目决策情况。</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项目按规定程序申请设立；所提交的材料符合专项资金管理暂行办法；经过集体决策；实施符合国家区委区政府相关法律法规；为促进本单位事业发展所必需。</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在规定时间内完成向区财政局申请专项资金事宜，及时到位资金，在五个工作日之内完成。</w:t>
      </w:r>
    </w:p>
    <w:p>
      <w:pPr>
        <w:kinsoku/>
        <w:adjustRightInd/>
        <w:spacing w:line="580" w:lineRule="exact"/>
        <w:ind w:right="502" w:firstLine="643" w:firstLineChars="200"/>
        <w:textAlignment w:val="auto"/>
        <w:rPr>
          <w:rFonts w:ascii="楷体_GB2312" w:hAnsi="楷体_GB2312" w:eastAsia="楷体_GB2312" w:cs="楷体_GB2312"/>
          <w:b/>
          <w:sz w:val="32"/>
          <w:szCs w:val="32"/>
          <w:lang w:val="zh-CN" w:bidi="zh-CN"/>
        </w:rPr>
      </w:pPr>
      <w:bookmarkStart w:id="5" w:name="（二）项目过程情况。"/>
      <w:bookmarkEnd w:id="5"/>
      <w:r>
        <w:rPr>
          <w:rFonts w:hint="eastAsia" w:ascii="楷体_GB2312" w:hAnsi="楷体_GB2312" w:eastAsia="楷体_GB2312" w:cs="楷体_GB2312"/>
          <w:b/>
          <w:sz w:val="32"/>
          <w:szCs w:val="32"/>
          <w:lang w:val="zh-CN" w:bidi="zh-CN"/>
        </w:rPr>
        <w:t>（二）项目过程情况。</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制定了项目实施单位的业务管理制度,制定的业务管理制度合法、合规制定具有相应的项目质量要求或标准，；每年有二次或二次以上自查或外部检查.</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制定了相应的项目资金管理办法,该项目资金管理办法符合相关财务会计制度规定。</w:t>
      </w:r>
    </w:p>
    <w:p>
      <w:pPr>
        <w:kinsoku/>
        <w:adjustRightInd/>
        <w:spacing w:line="58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sz w:val="32"/>
          <w:szCs w:val="32"/>
        </w:rPr>
        <w:t>制定了相应的监控机制每年有二次或二次以上自查或外部检查.</w:t>
      </w:r>
    </w:p>
    <w:p>
      <w:pPr>
        <w:kinsoku/>
        <w:adjustRightInd/>
        <w:spacing w:line="580" w:lineRule="exact"/>
        <w:ind w:right="502" w:firstLine="643" w:firstLineChars="200"/>
        <w:textAlignment w:val="auto"/>
        <w:rPr>
          <w:rFonts w:ascii="楷体_GB2312" w:hAnsi="楷体_GB2312" w:eastAsia="楷体_GB2312" w:cs="楷体_GB2312"/>
          <w:b/>
          <w:sz w:val="32"/>
          <w:szCs w:val="32"/>
          <w:lang w:val="zh-CN" w:bidi="zh-CN"/>
        </w:rPr>
      </w:pPr>
      <w:bookmarkStart w:id="6" w:name="（三）项目产出情况。"/>
      <w:bookmarkEnd w:id="6"/>
      <w:r>
        <w:rPr>
          <w:rFonts w:hint="eastAsia" w:ascii="楷体_GB2312" w:hAnsi="楷体_GB2312" w:eastAsia="楷体_GB2312" w:cs="楷体_GB2312"/>
          <w:b/>
          <w:sz w:val="32"/>
          <w:szCs w:val="32"/>
          <w:lang w:val="zh-CN" w:bidi="zh-CN"/>
        </w:rPr>
        <w:t>（三）项目产出情况。</w:t>
      </w:r>
    </w:p>
    <w:p>
      <w:pPr>
        <w:pStyle w:val="6"/>
        <w:kinsoku/>
        <w:adjustRightInd/>
        <w:spacing w:before="0" w:beforeAutospacing="0" w:after="0" w:afterAutospacing="0" w:line="580" w:lineRule="exact"/>
        <w:ind w:firstLine="64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1.产出数量指标得分情况逐个分析</w:t>
      </w:r>
    </w:p>
    <w:p>
      <w:pPr>
        <w:pStyle w:val="6"/>
        <w:kinsoku/>
        <w:adjustRightInd/>
        <w:spacing w:before="0" w:beforeAutospacing="0" w:after="0" w:afterAutospacing="0" w:line="580" w:lineRule="exact"/>
        <w:ind w:firstLine="640"/>
        <w:jc w:val="both"/>
        <w:textAlignment w:val="auto"/>
        <w:rPr>
          <w:rFonts w:ascii="仿宋_GB2312" w:eastAsia="仿宋_GB2312"/>
          <w:sz w:val="32"/>
          <w:szCs w:val="32"/>
        </w:rPr>
      </w:pPr>
      <w:r>
        <w:rPr>
          <w:rFonts w:hint="eastAsia" w:ascii="仿宋_GB2312" w:hAnsi="仿宋_GB2312" w:eastAsia="仿宋_GB2312" w:cs="仿宋_GB2312"/>
          <w:sz w:val="32"/>
          <w:szCs w:val="32"/>
          <w:shd w:val="clear" w:color="auto" w:fill="FFFFFF"/>
        </w:rPr>
        <w:t>产出数量指标20分，得分20分。</w:t>
      </w:r>
      <w:r>
        <w:rPr>
          <w:rFonts w:hint="eastAsia" w:ascii="仿宋_GB2312" w:eastAsia="仿宋_GB2312"/>
          <w:sz w:val="32"/>
          <w:szCs w:val="32"/>
        </w:rPr>
        <w:t>全区22所中小学法治课程宪法开设率为100%，各普法主体责任单位开展“送法进校园”活动30余场；印制“漫说法典”28000册，</w:t>
      </w:r>
    </w:p>
    <w:p>
      <w:pPr>
        <w:pStyle w:val="6"/>
        <w:kinsoku/>
        <w:adjustRightInd/>
        <w:spacing w:before="0" w:beforeAutospacing="0" w:after="0" w:afterAutospacing="0" w:line="580" w:lineRule="exact"/>
        <w:ind w:firstLine="64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2.产出质量指标得分情况逐个分析</w:t>
      </w:r>
    </w:p>
    <w:p>
      <w:pPr>
        <w:pStyle w:val="6"/>
        <w:kinsoku/>
        <w:adjustRightInd/>
        <w:spacing w:before="0" w:beforeAutospacing="0" w:after="0" w:afterAutospacing="0" w:line="580" w:lineRule="exact"/>
        <w:ind w:firstLine="640"/>
        <w:jc w:val="both"/>
        <w:textAlignment w:val="auto"/>
        <w:rPr>
          <w:rFonts w:ascii="仿宋_GB2312" w:hAnsi="仿宋_GB2312" w:eastAsia="仿宋_GB2312" w:cs="仿宋_GB2312"/>
          <w:kern w:val="2"/>
          <w:sz w:val="32"/>
          <w:szCs w:val="32"/>
        </w:rPr>
      </w:pPr>
      <w:r>
        <w:rPr>
          <w:rFonts w:hint="eastAsia" w:ascii="仿宋_GB2312" w:hAnsi="仿宋_GB2312" w:eastAsia="仿宋_GB2312" w:cs="仿宋_GB2312"/>
          <w:sz w:val="32"/>
          <w:szCs w:val="32"/>
          <w:shd w:val="clear" w:color="auto" w:fill="FFFFFF"/>
        </w:rPr>
        <w:t>产出质量指标10分，得分10分。</w:t>
      </w:r>
      <w:r>
        <w:rPr>
          <w:rFonts w:hint="eastAsia" w:ascii="仿宋_GB2312" w:hAnsi="仿宋_GB2312" w:eastAsia="仿宋_GB2312" w:cs="仿宋_GB2312"/>
          <w:kern w:val="2"/>
          <w:sz w:val="32"/>
          <w:szCs w:val="32"/>
        </w:rPr>
        <w:t>成立青云谱区民法典宣讲团，开展“美好生活民法典相伴”主题宣传活动 ，活动覆盖六个街道、镇、15个社区、10个区直单位、10余家企业，受众人次达1000余人。</w:t>
      </w:r>
    </w:p>
    <w:p>
      <w:pPr>
        <w:pStyle w:val="6"/>
        <w:kinsoku/>
        <w:adjustRightInd/>
        <w:spacing w:before="0" w:beforeAutospacing="0" w:after="0" w:afterAutospacing="0" w:line="580" w:lineRule="exact"/>
        <w:ind w:firstLine="64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3.产出时效指标得分情况逐个分析</w:t>
      </w:r>
    </w:p>
    <w:p>
      <w:pPr>
        <w:pStyle w:val="6"/>
        <w:kinsoku/>
        <w:adjustRightInd/>
        <w:spacing w:before="0" w:beforeAutospacing="0" w:after="0" w:afterAutospacing="0" w:line="580" w:lineRule="exact"/>
        <w:ind w:firstLine="64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产出时效指标10分。得分10分。及时在传统电视、报刊、网络和移动通讯等大众媒体开展法治宣传教育的基础上，加大应用新媒体开展法治宣传教育的力度，扩大新媒体普法的覆盖面和普及度。</w:t>
      </w:r>
    </w:p>
    <w:p>
      <w:pPr>
        <w:pStyle w:val="6"/>
        <w:kinsoku/>
        <w:adjustRightInd/>
        <w:spacing w:before="0" w:beforeAutospacing="0" w:after="0" w:afterAutospacing="0" w:line="580" w:lineRule="exact"/>
        <w:ind w:firstLine="64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4.产出成本指标得分情况逐个分析</w:t>
      </w:r>
    </w:p>
    <w:p>
      <w:pPr>
        <w:pStyle w:val="6"/>
        <w:kinsoku/>
        <w:adjustRightInd/>
        <w:spacing w:before="0" w:beforeAutospacing="0" w:after="0" w:afterAutospacing="0" w:line="580" w:lineRule="exact"/>
        <w:ind w:firstLine="64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产出成本指标10分。得分10分。</w:t>
      </w:r>
    </w:p>
    <w:p>
      <w:pPr>
        <w:kinsoku/>
        <w:adjustRightInd/>
        <w:spacing w:line="580" w:lineRule="exact"/>
        <w:ind w:right="502" w:firstLine="643" w:firstLineChars="200"/>
        <w:textAlignment w:val="auto"/>
        <w:rPr>
          <w:rFonts w:ascii="楷体_GB2312" w:hAnsi="楷体_GB2312" w:eastAsia="楷体_GB2312" w:cs="楷体_GB2312"/>
          <w:b/>
          <w:sz w:val="32"/>
          <w:szCs w:val="32"/>
          <w:lang w:val="zh-CN" w:bidi="zh-CN"/>
        </w:rPr>
      </w:pPr>
      <w:bookmarkStart w:id="7" w:name="（四）项目效益情况。"/>
      <w:bookmarkEnd w:id="7"/>
      <w:r>
        <w:rPr>
          <w:rFonts w:hint="eastAsia" w:ascii="楷体_GB2312" w:hAnsi="楷体_GB2312" w:eastAsia="楷体_GB2312" w:cs="楷体_GB2312"/>
          <w:b/>
          <w:sz w:val="32"/>
          <w:szCs w:val="32"/>
          <w:lang w:val="zh-CN" w:bidi="zh-CN"/>
        </w:rPr>
        <w:t>（四）项目效益情况。</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1.社会效益指标得分情况逐个分析</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年普法知晓率90％以上（含90％），得15分；达到85％（含85％），得13分；达到80％（含80％），得12分；不达到80％的，不得分。自评得12分。</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3.可持续影响效益指标得分情况逐个分析</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通过实施项目让大众形成较好的法治思维得15分，基本形成自评得15分。</w:t>
      </w:r>
    </w:p>
    <w:p>
      <w:pPr>
        <w:pStyle w:val="6"/>
        <w:kinsoku/>
        <w:adjustRightInd/>
        <w:spacing w:before="0" w:beforeAutospacing="0" w:after="0" w:afterAutospacing="0" w:line="580" w:lineRule="exact"/>
        <w:ind w:firstLine="640"/>
        <w:jc w:val="both"/>
        <w:textAlignment w:val="auto"/>
        <w:rPr>
          <w:rFonts w:ascii="黑体" w:hAnsi="黑体" w:eastAsia="黑体" w:cs="黑体"/>
          <w:b/>
          <w:bCs/>
          <w:w w:val="95"/>
          <w:sz w:val="32"/>
          <w:szCs w:val="32"/>
          <w:lang w:val="zh-CN" w:bidi="zh-CN"/>
        </w:rPr>
      </w:pPr>
      <w:r>
        <w:rPr>
          <w:rFonts w:hint="eastAsia" w:ascii="黑体" w:hAnsi="黑体" w:eastAsia="黑体" w:cs="黑体"/>
          <w:b/>
          <w:bCs/>
          <w:w w:val="95"/>
          <w:sz w:val="32"/>
          <w:szCs w:val="32"/>
          <w:lang w:val="zh-CN" w:bidi="zh-CN"/>
        </w:rPr>
        <w:t>五、主要经验及做法、存在的问题及原因分析</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2021</w:t>
      </w:r>
      <w:r>
        <w:rPr>
          <w:rFonts w:hint="eastAsia" w:ascii="仿宋_GB2312" w:hAnsi="仿宋_GB2312" w:eastAsia="仿宋_GB2312" w:cs="仿宋_GB2312"/>
          <w:sz w:val="32"/>
          <w:szCs w:val="32"/>
        </w:rPr>
        <w:t>年，我局认真按照年度普法工作的部署，扎实有效地落实各项工作任务，有不少工作得到上级的肯定和群众的认可。但是，一年来，工作还存在如下不足：</w:t>
      </w:r>
      <w:r>
        <w:rPr>
          <w:rFonts w:hint="eastAsia" w:ascii="仿宋_GB2312" w:hAnsi="仿宋" w:eastAsia="仿宋_GB2312" w:cs="仿宋"/>
          <w:sz w:val="32"/>
          <w:szCs w:val="32"/>
        </w:rPr>
        <w:t>谁执法谁普法”责任制仍未得到各职能部门普片层面的重视与推行；新技术新媒体普法作用未得到有效发挥等问题。</w:t>
      </w:r>
    </w:p>
    <w:p>
      <w:pPr>
        <w:pStyle w:val="6"/>
        <w:kinsoku/>
        <w:adjustRightInd/>
        <w:spacing w:before="0" w:beforeAutospacing="0" w:after="0" w:afterAutospacing="0" w:line="580" w:lineRule="exact"/>
        <w:ind w:firstLine="640"/>
        <w:jc w:val="both"/>
        <w:textAlignment w:val="auto"/>
        <w:rPr>
          <w:rFonts w:ascii="黑体" w:hAnsi="黑体" w:eastAsia="黑体" w:cs="黑体"/>
          <w:b/>
          <w:bCs/>
          <w:w w:val="95"/>
          <w:sz w:val="32"/>
          <w:szCs w:val="32"/>
          <w:lang w:val="zh-CN" w:bidi="zh-CN"/>
        </w:rPr>
      </w:pPr>
      <w:r>
        <w:rPr>
          <w:rFonts w:hint="eastAsia" w:ascii="黑体" w:hAnsi="黑体" w:eastAsia="黑体" w:cs="黑体"/>
          <w:b/>
          <w:bCs/>
          <w:w w:val="95"/>
          <w:sz w:val="32"/>
          <w:szCs w:val="32"/>
          <w:lang w:val="zh-CN" w:bidi="zh-CN"/>
        </w:rPr>
        <w:t>六、有关建议</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1.加强项目顶算管理，提高预算资金执行率。首先按项目实际需求认真编专项资金预算，并在资金支出过程中做到按预算执行，提高预算执行严肃性;其次，发现预算执行偏离要及时预算调整。</w:t>
      </w:r>
    </w:p>
    <w:p>
      <w:pPr>
        <w:kinsoku/>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 制订健全项目资金专项管理制度。建立专项资金备查帐，严格按照项目资金的用范围和要求使用资金，严格项目资金使用程序和审批手续，切实加对普查专项资金的管理。</w:t>
      </w:r>
    </w:p>
    <w:p>
      <w:pPr>
        <w:pStyle w:val="6"/>
        <w:kinsoku/>
        <w:adjustRightInd/>
        <w:spacing w:before="0" w:beforeAutospacing="0" w:after="0" w:afterAutospacing="0" w:line="580" w:lineRule="exact"/>
        <w:ind w:firstLine="640"/>
        <w:jc w:val="both"/>
        <w:textAlignment w:val="auto"/>
        <w:rPr>
          <w:rFonts w:ascii="黑体" w:hAnsi="黑体" w:eastAsia="黑体" w:cs="黑体"/>
          <w:b/>
          <w:bCs/>
          <w:w w:val="95"/>
          <w:sz w:val="32"/>
          <w:szCs w:val="32"/>
          <w:lang w:val="zh-CN" w:bidi="zh-CN"/>
        </w:rPr>
      </w:pPr>
      <w:r>
        <w:rPr>
          <w:rFonts w:hint="eastAsia" w:ascii="黑体" w:hAnsi="黑体" w:eastAsia="黑体" w:cs="黑体"/>
          <w:b/>
          <w:bCs/>
          <w:w w:val="95"/>
          <w:sz w:val="32"/>
          <w:szCs w:val="32"/>
          <w:lang w:val="zh-CN" w:bidi="zh-CN"/>
        </w:rPr>
        <w:t>七、其他需要说明的问题</w:t>
      </w:r>
    </w:p>
    <w:p>
      <w:pPr>
        <w:pStyle w:val="3"/>
        <w:kinsoku/>
        <w:adjustRightInd/>
        <w:spacing w:line="580" w:lineRule="exact"/>
        <w:ind w:firstLine="640" w:firstLineChars="200"/>
        <w:textAlignment w:val="auto"/>
        <w:rPr>
          <w:rFonts w:asciiTheme="minorEastAsia" w:hAnsiTheme="minorEastAsia" w:eastAsiaTheme="minorEastAsia"/>
          <w:sz w:val="32"/>
          <w:szCs w:val="32"/>
        </w:rPr>
      </w:pPr>
      <w:r>
        <w:rPr>
          <w:rFonts w:hint="eastAsia" w:asciiTheme="minorEastAsia" w:hAnsiTheme="minorEastAsia" w:eastAsiaTheme="minorEastAsia"/>
          <w:sz w:val="32"/>
          <w:szCs w:val="32"/>
        </w:rPr>
        <w:t>无。</w:t>
      </w:r>
    </w:p>
    <w:p>
      <w:pPr>
        <w:pStyle w:val="2"/>
        <w:ind w:firstLine="640"/>
        <w:rPr>
          <w:rFonts w:eastAsiaTheme="minorEastAsia"/>
          <w:szCs w:val="32"/>
        </w:rPr>
      </w:pPr>
    </w:p>
    <w:p>
      <w:pPr>
        <w:spacing w:line="500" w:lineRule="exact"/>
        <w:jc w:val="center"/>
        <w:rPr>
          <w:rFonts w:hint="eastAsia" w:ascii="方正小标宋简体" w:hAnsi="宋体" w:eastAsia="方正小标宋简体" w:cs="宋体"/>
          <w:bCs/>
          <w:sz w:val="32"/>
          <w:szCs w:val="32"/>
        </w:rPr>
      </w:pPr>
    </w:p>
    <w:p>
      <w:pPr>
        <w:spacing w:line="500" w:lineRule="exact"/>
        <w:jc w:val="center"/>
        <w:rPr>
          <w:rFonts w:ascii="方正小标宋简体" w:hAnsi="宋体" w:eastAsia="方正小标宋简体" w:cs="宋体"/>
          <w:bCs/>
          <w:sz w:val="32"/>
          <w:szCs w:val="32"/>
        </w:rPr>
      </w:pPr>
      <w:r>
        <w:rPr>
          <w:rFonts w:hint="eastAsia" w:ascii="方正小标宋简体" w:hAnsi="宋体" w:eastAsia="方正小标宋简体" w:cs="宋体"/>
          <w:bCs/>
          <w:sz w:val="32"/>
          <w:szCs w:val="32"/>
        </w:rPr>
        <w:t>项目支出绩效自评表</w:t>
      </w:r>
    </w:p>
    <w:p>
      <w:pPr>
        <w:spacing w:line="500" w:lineRule="exact"/>
        <w:jc w:val="center"/>
        <w:rPr>
          <w:rFonts w:ascii="方正小标宋简体" w:hAnsi="黑体" w:eastAsia="方正小标宋简体"/>
          <w:sz w:val="32"/>
          <w:szCs w:val="32"/>
        </w:rPr>
      </w:pPr>
      <w:r>
        <w:rPr>
          <w:rFonts w:hint="eastAsia" w:ascii="黑体" w:hAnsi="宋体" w:eastAsia="黑体" w:cs="宋体"/>
        </w:rPr>
        <w:t>（202</w:t>
      </w:r>
      <w:r>
        <w:rPr>
          <w:rFonts w:ascii="黑体" w:hAnsi="宋体" w:eastAsia="黑体" w:cs="宋体"/>
        </w:rPr>
        <w:t>1</w:t>
      </w:r>
      <w:r>
        <w:rPr>
          <w:rFonts w:hint="eastAsia" w:ascii="黑体" w:hAnsi="宋体" w:eastAsia="黑体" w:cs="宋体"/>
        </w:rPr>
        <w:t xml:space="preserve"> 年度）</w:t>
      </w:r>
    </w:p>
    <w:tbl>
      <w:tblPr>
        <w:tblStyle w:val="7"/>
        <w:tblW w:w="9033" w:type="dxa"/>
        <w:jc w:val="center"/>
        <w:tblLayout w:type="fixed"/>
        <w:tblCellMar>
          <w:top w:w="0" w:type="dxa"/>
          <w:left w:w="108" w:type="dxa"/>
          <w:bottom w:w="0" w:type="dxa"/>
          <w:right w:w="108" w:type="dxa"/>
        </w:tblCellMar>
      </w:tblPr>
      <w:tblGrid>
        <w:gridCol w:w="586"/>
        <w:gridCol w:w="754"/>
        <w:gridCol w:w="1327"/>
        <w:gridCol w:w="726"/>
        <w:gridCol w:w="899"/>
        <w:gridCol w:w="366"/>
        <w:gridCol w:w="1259"/>
        <w:gridCol w:w="770"/>
        <w:gridCol w:w="336"/>
        <w:gridCol w:w="140"/>
        <w:gridCol w:w="476"/>
        <w:gridCol w:w="98"/>
        <w:gridCol w:w="686"/>
        <w:gridCol w:w="610"/>
      </w:tblGrid>
      <w:tr>
        <w:tblPrEx>
          <w:tblCellMar>
            <w:top w:w="0" w:type="dxa"/>
            <w:left w:w="108" w:type="dxa"/>
            <w:bottom w:w="0" w:type="dxa"/>
            <w:right w:w="108" w:type="dxa"/>
          </w:tblCellMar>
        </w:tblPrEx>
        <w:trPr>
          <w:trHeight w:val="302" w:hRule="exact"/>
          <w:jc w:val="center"/>
        </w:trPr>
        <w:tc>
          <w:tcPr>
            <w:tcW w:w="134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项目名称</w:t>
            </w:r>
          </w:p>
        </w:tc>
        <w:tc>
          <w:tcPr>
            <w:tcW w:w="7693" w:type="dxa"/>
            <w:gridSpan w:val="1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2"/>
                <w:szCs w:val="22"/>
              </w:rPr>
              <w:t>普法经费</w:t>
            </w:r>
          </w:p>
        </w:tc>
      </w:tr>
      <w:tr>
        <w:tblPrEx>
          <w:tblCellMar>
            <w:top w:w="0" w:type="dxa"/>
            <w:left w:w="108" w:type="dxa"/>
            <w:bottom w:w="0" w:type="dxa"/>
            <w:right w:w="108" w:type="dxa"/>
          </w:tblCellMar>
        </w:tblPrEx>
        <w:trPr>
          <w:trHeight w:val="302" w:hRule="exact"/>
          <w:jc w:val="center"/>
        </w:trPr>
        <w:tc>
          <w:tcPr>
            <w:tcW w:w="134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主管部门</w:t>
            </w:r>
          </w:p>
        </w:tc>
        <w:tc>
          <w:tcPr>
            <w:tcW w:w="4577" w:type="dxa"/>
            <w:gridSpan w:val="5"/>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2"/>
                <w:szCs w:val="22"/>
              </w:rPr>
              <w:t>青云谱区司法局</w:t>
            </w:r>
          </w:p>
        </w:tc>
        <w:tc>
          <w:tcPr>
            <w:tcW w:w="110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实施单位</w:t>
            </w:r>
          </w:p>
        </w:tc>
        <w:tc>
          <w:tcPr>
            <w:tcW w:w="2010" w:type="dxa"/>
            <w:gridSpan w:val="5"/>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2"/>
                <w:szCs w:val="22"/>
              </w:rPr>
              <w:t>青云谱区司法局</w:t>
            </w:r>
          </w:p>
        </w:tc>
      </w:tr>
      <w:tr>
        <w:tblPrEx>
          <w:tblCellMar>
            <w:top w:w="0" w:type="dxa"/>
            <w:left w:w="108" w:type="dxa"/>
            <w:bottom w:w="0" w:type="dxa"/>
            <w:right w:w="108" w:type="dxa"/>
          </w:tblCellMar>
        </w:tblPrEx>
        <w:trPr>
          <w:trHeight w:val="403" w:hRule="atLeast"/>
          <w:jc w:val="center"/>
        </w:trPr>
        <w:tc>
          <w:tcPr>
            <w:tcW w:w="1340"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项目资金</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（万元）</w:t>
            </w:r>
          </w:p>
        </w:tc>
        <w:tc>
          <w:tcPr>
            <w:tcW w:w="2053"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1265" w:type="dxa"/>
            <w:gridSpan w:val="2"/>
            <w:tcBorders>
              <w:top w:val="nil"/>
              <w:left w:val="nil"/>
              <w:bottom w:val="single" w:color="auto" w:sz="4" w:space="0"/>
              <w:right w:val="single" w:color="auto" w:sz="4" w:space="0"/>
            </w:tcBorders>
            <w:vAlign w:val="center"/>
          </w:tcPr>
          <w:p>
            <w:pPr>
              <w:spacing w:line="240" w:lineRule="exact"/>
              <w:ind w:left="-63" w:leftChars="-30" w:right="-63" w:rightChars="-30"/>
              <w:rPr>
                <w:rFonts w:ascii="黑体" w:hAnsi="宋体" w:eastAsia="黑体" w:cs="宋体"/>
                <w:sz w:val="20"/>
              </w:rPr>
            </w:pPr>
            <w:r>
              <w:rPr>
                <w:rFonts w:hint="eastAsia" w:ascii="黑体" w:hAnsi="宋体" w:eastAsia="黑体" w:cs="宋体"/>
                <w:sz w:val="20"/>
              </w:rPr>
              <w:t>年初预算数</w:t>
            </w:r>
          </w:p>
        </w:tc>
        <w:tc>
          <w:tcPr>
            <w:tcW w:w="1259"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全年预算数</w:t>
            </w:r>
          </w:p>
        </w:tc>
        <w:tc>
          <w:tcPr>
            <w:tcW w:w="110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全年执行数</w:t>
            </w:r>
          </w:p>
        </w:tc>
        <w:tc>
          <w:tcPr>
            <w:tcW w:w="61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分值</w:t>
            </w:r>
          </w:p>
        </w:tc>
        <w:tc>
          <w:tcPr>
            <w:tcW w:w="784"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执行率</w:t>
            </w:r>
          </w:p>
        </w:tc>
        <w:tc>
          <w:tcPr>
            <w:tcW w:w="610"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得分</w:t>
            </w:r>
          </w:p>
        </w:tc>
      </w:tr>
      <w:tr>
        <w:tblPrEx>
          <w:tblCellMar>
            <w:top w:w="0" w:type="dxa"/>
            <w:left w:w="108" w:type="dxa"/>
            <w:bottom w:w="0" w:type="dxa"/>
            <w:right w:w="108" w:type="dxa"/>
          </w:tblCellMar>
        </w:tblPrEx>
        <w:trPr>
          <w:trHeight w:val="302" w:hRule="exact"/>
          <w:jc w:val="center"/>
        </w:trPr>
        <w:tc>
          <w:tcPr>
            <w:tcW w:w="134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2053"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rPr>
                <w:rFonts w:ascii="黑体" w:hAnsi="宋体" w:eastAsia="黑体" w:cs="宋体"/>
                <w:sz w:val="20"/>
              </w:rPr>
            </w:pPr>
            <w:r>
              <w:rPr>
                <w:rFonts w:hint="eastAsia" w:ascii="黑体" w:hAnsi="宋体" w:eastAsia="黑体" w:cs="宋体"/>
                <w:sz w:val="20"/>
              </w:rPr>
              <w:t>年度资金总额</w:t>
            </w:r>
          </w:p>
        </w:tc>
        <w:tc>
          <w:tcPr>
            <w:tcW w:w="1265"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18</w:t>
            </w:r>
          </w:p>
        </w:tc>
        <w:tc>
          <w:tcPr>
            <w:tcW w:w="1259"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18</w:t>
            </w:r>
          </w:p>
        </w:tc>
        <w:tc>
          <w:tcPr>
            <w:tcW w:w="110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18</w:t>
            </w:r>
          </w:p>
        </w:tc>
        <w:tc>
          <w:tcPr>
            <w:tcW w:w="61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w:t>
            </w:r>
          </w:p>
        </w:tc>
        <w:tc>
          <w:tcPr>
            <w:tcW w:w="784"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100%</w:t>
            </w:r>
          </w:p>
        </w:tc>
        <w:tc>
          <w:tcPr>
            <w:tcW w:w="610"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w:t>
            </w:r>
          </w:p>
        </w:tc>
      </w:tr>
      <w:tr>
        <w:tblPrEx>
          <w:tblCellMar>
            <w:top w:w="0" w:type="dxa"/>
            <w:left w:w="108" w:type="dxa"/>
            <w:bottom w:w="0" w:type="dxa"/>
            <w:right w:w="108" w:type="dxa"/>
          </w:tblCellMar>
        </w:tblPrEx>
        <w:trPr>
          <w:trHeight w:val="291" w:hRule="atLeast"/>
          <w:jc w:val="center"/>
        </w:trPr>
        <w:tc>
          <w:tcPr>
            <w:tcW w:w="134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2053"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其中：当年财政拨款</w:t>
            </w:r>
          </w:p>
        </w:tc>
        <w:tc>
          <w:tcPr>
            <w:tcW w:w="1265"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18</w:t>
            </w:r>
          </w:p>
        </w:tc>
        <w:tc>
          <w:tcPr>
            <w:tcW w:w="1259"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18</w:t>
            </w:r>
          </w:p>
        </w:tc>
        <w:tc>
          <w:tcPr>
            <w:tcW w:w="110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18</w:t>
            </w:r>
          </w:p>
        </w:tc>
        <w:tc>
          <w:tcPr>
            <w:tcW w:w="61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w:t>
            </w:r>
          </w:p>
        </w:tc>
        <w:tc>
          <w:tcPr>
            <w:tcW w:w="784"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610"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w:t>
            </w:r>
          </w:p>
        </w:tc>
      </w:tr>
      <w:tr>
        <w:tblPrEx>
          <w:tblCellMar>
            <w:top w:w="0" w:type="dxa"/>
            <w:left w:w="108" w:type="dxa"/>
            <w:bottom w:w="0" w:type="dxa"/>
            <w:right w:w="108" w:type="dxa"/>
          </w:tblCellMar>
        </w:tblPrEx>
        <w:trPr>
          <w:trHeight w:val="277" w:hRule="atLeast"/>
          <w:jc w:val="center"/>
        </w:trPr>
        <w:tc>
          <w:tcPr>
            <w:tcW w:w="134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2053"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 xml:space="preserve">      上年结转资金</w:t>
            </w:r>
          </w:p>
        </w:tc>
        <w:tc>
          <w:tcPr>
            <w:tcW w:w="1265"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1259"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110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61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w:t>
            </w:r>
          </w:p>
        </w:tc>
        <w:tc>
          <w:tcPr>
            <w:tcW w:w="784"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610"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w:t>
            </w:r>
          </w:p>
        </w:tc>
      </w:tr>
      <w:tr>
        <w:tblPrEx>
          <w:tblCellMar>
            <w:top w:w="0" w:type="dxa"/>
            <w:left w:w="108" w:type="dxa"/>
            <w:bottom w:w="0" w:type="dxa"/>
            <w:right w:w="108" w:type="dxa"/>
          </w:tblCellMar>
        </w:tblPrEx>
        <w:trPr>
          <w:trHeight w:val="302" w:hRule="exact"/>
          <w:jc w:val="center"/>
        </w:trPr>
        <w:tc>
          <w:tcPr>
            <w:tcW w:w="134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2053"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 xml:space="preserve">  其他资金</w:t>
            </w:r>
          </w:p>
        </w:tc>
        <w:tc>
          <w:tcPr>
            <w:tcW w:w="1265"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1259"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110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61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w:t>
            </w:r>
          </w:p>
        </w:tc>
        <w:tc>
          <w:tcPr>
            <w:tcW w:w="784"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610"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w:t>
            </w:r>
          </w:p>
        </w:tc>
      </w:tr>
      <w:tr>
        <w:tblPrEx>
          <w:tblCellMar>
            <w:top w:w="0" w:type="dxa"/>
            <w:left w:w="108" w:type="dxa"/>
            <w:bottom w:w="0" w:type="dxa"/>
            <w:right w:w="108" w:type="dxa"/>
          </w:tblCellMar>
        </w:tblPrEx>
        <w:trPr>
          <w:trHeight w:val="302" w:hRule="exact"/>
          <w:jc w:val="center"/>
        </w:trPr>
        <w:tc>
          <w:tcPr>
            <w:tcW w:w="586" w:type="dxa"/>
            <w:vMerge w:val="restart"/>
            <w:tcBorders>
              <w:top w:val="nil"/>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年度总体目标</w:t>
            </w:r>
          </w:p>
        </w:tc>
        <w:tc>
          <w:tcPr>
            <w:tcW w:w="5331" w:type="dxa"/>
            <w:gridSpan w:val="6"/>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预期目标</w:t>
            </w:r>
          </w:p>
        </w:tc>
        <w:tc>
          <w:tcPr>
            <w:tcW w:w="3116" w:type="dxa"/>
            <w:gridSpan w:val="7"/>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实际完成情况</w:t>
            </w:r>
          </w:p>
        </w:tc>
      </w:tr>
      <w:tr>
        <w:tblPrEx>
          <w:tblCellMar>
            <w:top w:w="0" w:type="dxa"/>
            <w:left w:w="108" w:type="dxa"/>
            <w:bottom w:w="0" w:type="dxa"/>
            <w:right w:w="108" w:type="dxa"/>
          </w:tblCellMar>
        </w:tblPrEx>
        <w:trPr>
          <w:trHeight w:val="1565" w:hRule="exact"/>
          <w:jc w:val="center"/>
        </w:trPr>
        <w:tc>
          <w:tcPr>
            <w:tcW w:w="586" w:type="dxa"/>
            <w:vMerge w:val="continue"/>
            <w:tcBorders>
              <w:top w:val="nil"/>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5331" w:type="dxa"/>
            <w:gridSpan w:val="6"/>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严格按照法治宣传工作要求，深入开展法治宣传教育，弘扬社会主义法治精神，推进法治宣传教育与法治实践相结合，推动全社会树立法治意识。</w:t>
            </w:r>
          </w:p>
          <w:p>
            <w:pPr>
              <w:spacing w:line="240" w:lineRule="exact"/>
              <w:ind w:left="-63" w:leftChars="-30" w:right="-63" w:rightChars="-30"/>
              <w:jc w:val="center"/>
              <w:rPr>
                <w:rFonts w:ascii="黑体" w:hAnsi="宋体" w:eastAsia="黑体" w:cs="宋体"/>
                <w:sz w:val="20"/>
              </w:rPr>
            </w:pPr>
          </w:p>
        </w:tc>
        <w:tc>
          <w:tcPr>
            <w:tcW w:w="3116" w:type="dxa"/>
            <w:gridSpan w:val="7"/>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普法宣传载体更加丰富。广泛开展“法律十进”活动。大力推动法治文化阵地全覆盖。加大新媒体应用力度</w:t>
            </w:r>
          </w:p>
        </w:tc>
      </w:tr>
      <w:tr>
        <w:tblPrEx>
          <w:tblCellMar>
            <w:top w:w="0" w:type="dxa"/>
            <w:left w:w="108" w:type="dxa"/>
            <w:bottom w:w="0" w:type="dxa"/>
            <w:right w:w="108" w:type="dxa"/>
          </w:tblCellMar>
        </w:tblPrEx>
        <w:trPr>
          <w:trHeight w:val="735" w:hRule="exact"/>
          <w:jc w:val="center"/>
        </w:trPr>
        <w:tc>
          <w:tcPr>
            <w:tcW w:w="586" w:type="dxa"/>
            <w:vMerge w:val="restart"/>
            <w:tcBorders>
              <w:top w:val="nil"/>
              <w:left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绩</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效</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指</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标</w:t>
            </w:r>
          </w:p>
        </w:tc>
        <w:tc>
          <w:tcPr>
            <w:tcW w:w="754"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一级</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指标</w:t>
            </w:r>
          </w:p>
        </w:tc>
        <w:tc>
          <w:tcPr>
            <w:tcW w:w="1327"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二级指标</w:t>
            </w:r>
          </w:p>
        </w:tc>
        <w:tc>
          <w:tcPr>
            <w:tcW w:w="1625"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三级指标</w:t>
            </w:r>
          </w:p>
        </w:tc>
        <w:tc>
          <w:tcPr>
            <w:tcW w:w="1625"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年度</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指标值</w:t>
            </w:r>
          </w:p>
        </w:tc>
        <w:tc>
          <w:tcPr>
            <w:tcW w:w="770"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实际</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完成值</w:t>
            </w:r>
          </w:p>
        </w:tc>
        <w:tc>
          <w:tcPr>
            <w:tcW w:w="47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分值</w:t>
            </w:r>
          </w:p>
        </w:tc>
        <w:tc>
          <w:tcPr>
            <w:tcW w:w="574"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得分</w:t>
            </w:r>
          </w:p>
        </w:tc>
        <w:tc>
          <w:tcPr>
            <w:tcW w:w="1296"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偏差原因分析及改进措施</w:t>
            </w:r>
          </w:p>
        </w:tc>
      </w:tr>
      <w:tr>
        <w:tblPrEx>
          <w:tblCellMar>
            <w:top w:w="0" w:type="dxa"/>
            <w:left w:w="108" w:type="dxa"/>
            <w:bottom w:w="0" w:type="dxa"/>
            <w:right w:w="108" w:type="dxa"/>
          </w:tblCellMar>
        </w:tblPrEx>
        <w:trPr>
          <w:trHeight w:val="1710" w:hRule="exact"/>
          <w:jc w:val="center"/>
        </w:trPr>
        <w:tc>
          <w:tcPr>
            <w:tcW w:w="586" w:type="dxa"/>
            <w:vMerge w:val="continue"/>
            <w:tcBorders>
              <w:left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754" w:type="dxa"/>
            <w:vMerge w:val="restart"/>
            <w:tcBorders>
              <w:top w:val="nil"/>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产出</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指标</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(50分）</w:t>
            </w:r>
          </w:p>
        </w:tc>
        <w:tc>
          <w:tcPr>
            <w:tcW w:w="1327" w:type="dxa"/>
            <w:vMerge w:val="restart"/>
            <w:tcBorders>
              <w:top w:val="nil"/>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数量指标</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（20分）</w:t>
            </w:r>
          </w:p>
        </w:tc>
        <w:tc>
          <w:tcPr>
            <w:tcW w:w="1625"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印制“漫说法典”数量        （10分）</w:t>
            </w:r>
          </w:p>
        </w:tc>
        <w:tc>
          <w:tcPr>
            <w:tcW w:w="1625"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2</w:t>
            </w:r>
            <w:r>
              <w:rPr>
                <w:rFonts w:ascii="黑体" w:hAnsi="宋体" w:eastAsia="黑体" w:cs="宋体"/>
                <w:sz w:val="20"/>
              </w:rPr>
              <w:t>7000</w:t>
            </w:r>
          </w:p>
        </w:tc>
        <w:tc>
          <w:tcPr>
            <w:tcW w:w="770"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ascii="黑体" w:hAnsi="宋体" w:eastAsia="黑体" w:cs="宋体"/>
                <w:sz w:val="20"/>
              </w:rPr>
              <w:t>28000</w:t>
            </w:r>
          </w:p>
        </w:tc>
        <w:tc>
          <w:tcPr>
            <w:tcW w:w="47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w:t>
            </w:r>
          </w:p>
        </w:tc>
        <w:tc>
          <w:tcPr>
            <w:tcW w:w="574"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w:t>
            </w:r>
          </w:p>
        </w:tc>
        <w:tc>
          <w:tcPr>
            <w:tcW w:w="1296"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r>
      <w:tr>
        <w:tblPrEx>
          <w:tblCellMar>
            <w:top w:w="0" w:type="dxa"/>
            <w:left w:w="108" w:type="dxa"/>
            <w:bottom w:w="0" w:type="dxa"/>
            <w:right w:w="108" w:type="dxa"/>
          </w:tblCellMar>
        </w:tblPrEx>
        <w:trPr>
          <w:trHeight w:val="1627" w:hRule="exact"/>
          <w:jc w:val="center"/>
        </w:trPr>
        <w:tc>
          <w:tcPr>
            <w:tcW w:w="586" w:type="dxa"/>
            <w:vMerge w:val="continue"/>
            <w:tcBorders>
              <w:left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754" w:type="dxa"/>
            <w:vMerge w:val="continue"/>
            <w:tcBorders>
              <w:top w:val="nil"/>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1327" w:type="dxa"/>
            <w:vMerge w:val="continue"/>
            <w:tcBorders>
              <w:top w:val="nil"/>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1625"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各普法主体责任单位开展“送法进校园”活动场次（10分）</w:t>
            </w:r>
          </w:p>
        </w:tc>
        <w:tc>
          <w:tcPr>
            <w:tcW w:w="1625"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2</w:t>
            </w:r>
            <w:r>
              <w:rPr>
                <w:rFonts w:ascii="黑体" w:hAnsi="宋体" w:eastAsia="黑体" w:cs="宋体"/>
                <w:sz w:val="20"/>
              </w:rPr>
              <w:t>8</w:t>
            </w:r>
            <w:r>
              <w:rPr>
                <w:rFonts w:hint="eastAsia" w:ascii="黑体" w:hAnsi="宋体" w:eastAsia="黑体" w:cs="宋体"/>
                <w:sz w:val="20"/>
              </w:rPr>
              <w:t>场</w:t>
            </w:r>
          </w:p>
        </w:tc>
        <w:tc>
          <w:tcPr>
            <w:tcW w:w="770"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3</w:t>
            </w:r>
            <w:r>
              <w:rPr>
                <w:rFonts w:ascii="黑体" w:hAnsi="宋体" w:eastAsia="黑体" w:cs="宋体"/>
                <w:sz w:val="20"/>
              </w:rPr>
              <w:t>0</w:t>
            </w:r>
            <w:r>
              <w:rPr>
                <w:rFonts w:hint="eastAsia" w:ascii="黑体" w:hAnsi="宋体" w:eastAsia="黑体" w:cs="宋体"/>
                <w:sz w:val="20"/>
              </w:rPr>
              <w:t>余场</w:t>
            </w:r>
          </w:p>
        </w:tc>
        <w:tc>
          <w:tcPr>
            <w:tcW w:w="47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w:t>
            </w:r>
          </w:p>
        </w:tc>
        <w:tc>
          <w:tcPr>
            <w:tcW w:w="574"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w:t>
            </w:r>
          </w:p>
        </w:tc>
        <w:tc>
          <w:tcPr>
            <w:tcW w:w="1296"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r>
      <w:tr>
        <w:tblPrEx>
          <w:tblCellMar>
            <w:top w:w="0" w:type="dxa"/>
            <w:left w:w="108" w:type="dxa"/>
            <w:bottom w:w="0" w:type="dxa"/>
            <w:right w:w="108" w:type="dxa"/>
          </w:tblCellMar>
        </w:tblPrEx>
        <w:trPr>
          <w:trHeight w:val="1281" w:hRule="exact"/>
          <w:jc w:val="center"/>
        </w:trPr>
        <w:tc>
          <w:tcPr>
            <w:tcW w:w="586" w:type="dxa"/>
            <w:vMerge w:val="continue"/>
            <w:tcBorders>
              <w:left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754" w:type="dxa"/>
            <w:vMerge w:val="continue"/>
            <w:tcBorders>
              <w:top w:val="nil"/>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1327" w:type="dxa"/>
            <w:tcBorders>
              <w:top w:val="nil"/>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质量指标</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（10分）</w:t>
            </w:r>
          </w:p>
        </w:tc>
        <w:tc>
          <w:tcPr>
            <w:tcW w:w="1625"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 xml:space="preserve">全区22所中小学法治课程宪法开设率              </w:t>
            </w:r>
          </w:p>
        </w:tc>
        <w:tc>
          <w:tcPr>
            <w:tcW w:w="1625"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w:t>
            </w:r>
            <w:r>
              <w:rPr>
                <w:rFonts w:ascii="黑体" w:hAnsi="宋体" w:eastAsia="黑体" w:cs="宋体"/>
                <w:sz w:val="20"/>
              </w:rPr>
              <w:t xml:space="preserve">00% </w:t>
            </w:r>
          </w:p>
        </w:tc>
        <w:tc>
          <w:tcPr>
            <w:tcW w:w="770"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w:t>
            </w:r>
            <w:r>
              <w:rPr>
                <w:rFonts w:ascii="黑体" w:hAnsi="宋体" w:eastAsia="黑体" w:cs="宋体"/>
                <w:sz w:val="20"/>
              </w:rPr>
              <w:t>00%</w:t>
            </w:r>
          </w:p>
        </w:tc>
        <w:tc>
          <w:tcPr>
            <w:tcW w:w="47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w:t>
            </w:r>
          </w:p>
        </w:tc>
        <w:tc>
          <w:tcPr>
            <w:tcW w:w="574"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w:t>
            </w:r>
          </w:p>
        </w:tc>
        <w:tc>
          <w:tcPr>
            <w:tcW w:w="1296"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提高普法受众率</w:t>
            </w:r>
          </w:p>
        </w:tc>
      </w:tr>
      <w:tr>
        <w:tblPrEx>
          <w:tblCellMar>
            <w:top w:w="0" w:type="dxa"/>
            <w:left w:w="108" w:type="dxa"/>
            <w:bottom w:w="0" w:type="dxa"/>
            <w:right w:w="108" w:type="dxa"/>
          </w:tblCellMar>
        </w:tblPrEx>
        <w:trPr>
          <w:trHeight w:val="832" w:hRule="exact"/>
          <w:jc w:val="center"/>
        </w:trPr>
        <w:tc>
          <w:tcPr>
            <w:tcW w:w="586" w:type="dxa"/>
            <w:vMerge w:val="continue"/>
            <w:tcBorders>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754" w:type="dxa"/>
            <w:vMerge w:val="continue"/>
            <w:tcBorders>
              <w:top w:val="nil"/>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1327" w:type="dxa"/>
            <w:tcBorders>
              <w:top w:val="nil"/>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时效指标</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（10分）</w:t>
            </w:r>
          </w:p>
        </w:tc>
        <w:tc>
          <w:tcPr>
            <w:tcW w:w="1625"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更新法治宣传信息及时性</w:t>
            </w:r>
          </w:p>
          <w:p>
            <w:pPr>
              <w:spacing w:line="240" w:lineRule="exact"/>
              <w:ind w:left="-63" w:leftChars="-30" w:right="-63" w:rightChars="-30"/>
              <w:jc w:val="center"/>
              <w:rPr>
                <w:rFonts w:ascii="黑体" w:hAnsi="宋体" w:eastAsia="黑体" w:cs="宋体"/>
                <w:sz w:val="20"/>
              </w:rPr>
            </w:pPr>
          </w:p>
        </w:tc>
        <w:tc>
          <w:tcPr>
            <w:tcW w:w="1625"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100%</w:t>
            </w:r>
          </w:p>
        </w:tc>
        <w:tc>
          <w:tcPr>
            <w:tcW w:w="770"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100%</w:t>
            </w:r>
          </w:p>
        </w:tc>
        <w:tc>
          <w:tcPr>
            <w:tcW w:w="47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w:t>
            </w:r>
          </w:p>
        </w:tc>
        <w:tc>
          <w:tcPr>
            <w:tcW w:w="574"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w:t>
            </w:r>
          </w:p>
        </w:tc>
        <w:tc>
          <w:tcPr>
            <w:tcW w:w="1296"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r>
      <w:tr>
        <w:tblPrEx>
          <w:tblCellMar>
            <w:top w:w="0" w:type="dxa"/>
            <w:left w:w="108" w:type="dxa"/>
            <w:bottom w:w="0" w:type="dxa"/>
            <w:right w:w="108" w:type="dxa"/>
          </w:tblCellMar>
        </w:tblPrEx>
        <w:trPr>
          <w:trHeight w:val="2021" w:hRule="exact"/>
          <w:jc w:val="center"/>
        </w:trPr>
        <w:tc>
          <w:tcPr>
            <w:tcW w:w="586" w:type="dxa"/>
            <w:vMerge w:val="continue"/>
            <w:tcBorders>
              <w:top w:val="single" w:color="auto" w:sz="4" w:space="0"/>
              <w:left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75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1327" w:type="dxa"/>
            <w:tcBorders>
              <w:top w:val="single" w:color="auto" w:sz="4" w:space="0"/>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成本指标</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（10分）</w:t>
            </w:r>
          </w:p>
        </w:tc>
        <w:tc>
          <w:tcPr>
            <w:tcW w:w="1625"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预算资金执行率</w:t>
            </w:r>
          </w:p>
        </w:tc>
        <w:tc>
          <w:tcPr>
            <w:tcW w:w="16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下拨至项目最终用款单位的资金额度与项目年度预算安排的比例上下浮动10%以内，得10分，每超过10%，扣1分</w:t>
            </w:r>
          </w:p>
        </w:tc>
        <w:tc>
          <w:tcPr>
            <w:tcW w:w="770" w:type="dxa"/>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100%</w:t>
            </w:r>
          </w:p>
        </w:tc>
        <w:tc>
          <w:tcPr>
            <w:tcW w:w="476"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w:t>
            </w:r>
          </w:p>
        </w:tc>
        <w:tc>
          <w:tcPr>
            <w:tcW w:w="574"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w:t>
            </w:r>
          </w:p>
        </w:tc>
        <w:tc>
          <w:tcPr>
            <w:tcW w:w="1296"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r>
      <w:tr>
        <w:tblPrEx>
          <w:tblCellMar>
            <w:top w:w="0" w:type="dxa"/>
            <w:left w:w="108" w:type="dxa"/>
            <w:bottom w:w="0" w:type="dxa"/>
            <w:right w:w="108" w:type="dxa"/>
          </w:tblCellMar>
        </w:tblPrEx>
        <w:trPr>
          <w:trHeight w:val="930" w:hRule="exact"/>
          <w:jc w:val="center"/>
        </w:trPr>
        <w:tc>
          <w:tcPr>
            <w:tcW w:w="586" w:type="dxa"/>
            <w:vMerge w:val="continue"/>
            <w:tcBorders>
              <w:left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754" w:type="dxa"/>
            <w:vMerge w:val="restart"/>
            <w:tcBorders>
              <w:top w:val="single" w:color="auto" w:sz="4" w:space="0"/>
              <w:left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效益指标（30分）</w:t>
            </w:r>
          </w:p>
        </w:tc>
        <w:tc>
          <w:tcPr>
            <w:tcW w:w="1327" w:type="dxa"/>
            <w:tcBorders>
              <w:top w:val="single" w:color="auto" w:sz="4" w:space="0"/>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社会效益</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指标</w:t>
            </w:r>
          </w:p>
        </w:tc>
        <w:tc>
          <w:tcPr>
            <w:tcW w:w="1625"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法律知识知晓率</w:t>
            </w:r>
          </w:p>
          <w:p>
            <w:pPr>
              <w:spacing w:line="240" w:lineRule="exact"/>
              <w:ind w:left="-63" w:leftChars="-30" w:right="-63" w:rightChars="-30"/>
              <w:jc w:val="center"/>
              <w:rPr>
                <w:rFonts w:ascii="黑体" w:hAnsi="宋体" w:eastAsia="黑体" w:cs="宋体"/>
                <w:sz w:val="20"/>
              </w:rPr>
            </w:pPr>
          </w:p>
        </w:tc>
        <w:tc>
          <w:tcPr>
            <w:tcW w:w="1625"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90%</w:t>
            </w:r>
          </w:p>
        </w:tc>
        <w:tc>
          <w:tcPr>
            <w:tcW w:w="770"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80%</w:t>
            </w:r>
          </w:p>
        </w:tc>
        <w:tc>
          <w:tcPr>
            <w:tcW w:w="47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15</w:t>
            </w:r>
          </w:p>
        </w:tc>
        <w:tc>
          <w:tcPr>
            <w:tcW w:w="574"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12</w:t>
            </w:r>
          </w:p>
        </w:tc>
        <w:tc>
          <w:tcPr>
            <w:tcW w:w="1296"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加大法律宣传力度</w:t>
            </w:r>
          </w:p>
        </w:tc>
      </w:tr>
      <w:tr>
        <w:tblPrEx>
          <w:tblCellMar>
            <w:top w:w="0" w:type="dxa"/>
            <w:left w:w="108" w:type="dxa"/>
            <w:bottom w:w="0" w:type="dxa"/>
            <w:right w:w="108" w:type="dxa"/>
          </w:tblCellMar>
        </w:tblPrEx>
        <w:trPr>
          <w:trHeight w:val="856" w:hRule="exact"/>
          <w:jc w:val="center"/>
        </w:trPr>
        <w:tc>
          <w:tcPr>
            <w:tcW w:w="586" w:type="dxa"/>
            <w:vMerge w:val="continue"/>
            <w:tcBorders>
              <w:left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754" w:type="dxa"/>
            <w:vMerge w:val="continue"/>
            <w:tcBorders>
              <w:top w:val="nil"/>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1327" w:type="dxa"/>
            <w:tcBorders>
              <w:top w:val="single" w:color="auto" w:sz="4" w:space="0"/>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可持续影响指标</w:t>
            </w:r>
          </w:p>
        </w:tc>
        <w:tc>
          <w:tcPr>
            <w:tcW w:w="1625"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群众法治意识、法律素养程度</w:t>
            </w:r>
          </w:p>
          <w:p>
            <w:pPr>
              <w:spacing w:line="240" w:lineRule="exact"/>
              <w:ind w:left="-63" w:leftChars="-30" w:right="-63" w:rightChars="-30"/>
              <w:jc w:val="center"/>
              <w:rPr>
                <w:rFonts w:ascii="黑体" w:hAnsi="宋体" w:eastAsia="黑体" w:cs="宋体"/>
                <w:sz w:val="20"/>
              </w:rPr>
            </w:pPr>
          </w:p>
        </w:tc>
        <w:tc>
          <w:tcPr>
            <w:tcW w:w="1625"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逐年提升</w:t>
            </w:r>
          </w:p>
        </w:tc>
        <w:tc>
          <w:tcPr>
            <w:tcW w:w="770" w:type="dxa"/>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逐年提升</w:t>
            </w:r>
          </w:p>
        </w:tc>
        <w:tc>
          <w:tcPr>
            <w:tcW w:w="476"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15</w:t>
            </w:r>
          </w:p>
        </w:tc>
        <w:tc>
          <w:tcPr>
            <w:tcW w:w="574"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15</w:t>
            </w:r>
          </w:p>
        </w:tc>
        <w:tc>
          <w:tcPr>
            <w:tcW w:w="1296"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r>
      <w:tr>
        <w:tblPrEx>
          <w:tblCellMar>
            <w:top w:w="0" w:type="dxa"/>
            <w:left w:w="108" w:type="dxa"/>
            <w:bottom w:w="0" w:type="dxa"/>
            <w:right w:w="108" w:type="dxa"/>
          </w:tblCellMar>
        </w:tblPrEx>
        <w:trPr>
          <w:trHeight w:val="1116" w:hRule="exact"/>
          <w:jc w:val="center"/>
        </w:trPr>
        <w:tc>
          <w:tcPr>
            <w:tcW w:w="586" w:type="dxa"/>
            <w:vMerge w:val="continue"/>
            <w:tcBorders>
              <w:left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c>
          <w:tcPr>
            <w:tcW w:w="754" w:type="dxa"/>
            <w:tcBorders>
              <w:top w:val="nil"/>
              <w:left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满意度</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指标</w:t>
            </w:r>
          </w:p>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(10分）</w:t>
            </w:r>
          </w:p>
        </w:tc>
        <w:tc>
          <w:tcPr>
            <w:tcW w:w="1327" w:type="dxa"/>
            <w:tcBorders>
              <w:top w:val="nil"/>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服务对象满意度指标</w:t>
            </w:r>
          </w:p>
        </w:tc>
        <w:tc>
          <w:tcPr>
            <w:tcW w:w="1625"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群众满意率</w:t>
            </w:r>
          </w:p>
          <w:p>
            <w:pPr>
              <w:spacing w:line="240" w:lineRule="exact"/>
              <w:ind w:left="-63" w:leftChars="-30" w:right="-63" w:rightChars="-30"/>
              <w:jc w:val="center"/>
              <w:rPr>
                <w:rFonts w:ascii="黑体" w:hAnsi="宋体" w:eastAsia="黑体" w:cs="宋体"/>
                <w:sz w:val="20"/>
              </w:rPr>
            </w:pPr>
          </w:p>
        </w:tc>
        <w:tc>
          <w:tcPr>
            <w:tcW w:w="1625"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98%</w:t>
            </w:r>
          </w:p>
        </w:tc>
        <w:tc>
          <w:tcPr>
            <w:tcW w:w="770" w:type="dxa"/>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 xml:space="preserve">95% </w:t>
            </w:r>
          </w:p>
        </w:tc>
        <w:tc>
          <w:tcPr>
            <w:tcW w:w="47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w:t>
            </w:r>
          </w:p>
        </w:tc>
        <w:tc>
          <w:tcPr>
            <w:tcW w:w="574"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8</w:t>
            </w:r>
          </w:p>
        </w:tc>
        <w:tc>
          <w:tcPr>
            <w:tcW w:w="1296"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加大法律宣传力度，创新普法形式</w:t>
            </w:r>
          </w:p>
        </w:tc>
      </w:tr>
      <w:tr>
        <w:tblPrEx>
          <w:tblCellMar>
            <w:top w:w="0" w:type="dxa"/>
            <w:left w:w="108" w:type="dxa"/>
            <w:bottom w:w="0" w:type="dxa"/>
            <w:right w:w="108" w:type="dxa"/>
          </w:tblCellMar>
        </w:tblPrEx>
        <w:trPr>
          <w:trHeight w:val="302" w:hRule="exact"/>
          <w:jc w:val="center"/>
        </w:trPr>
        <w:tc>
          <w:tcPr>
            <w:tcW w:w="6687" w:type="dxa"/>
            <w:gridSpan w:val="8"/>
            <w:tcBorders>
              <w:top w:val="single" w:color="auto" w:sz="4" w:space="0"/>
              <w:left w:val="single" w:color="auto" w:sz="4" w:space="0"/>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总分</w:t>
            </w:r>
          </w:p>
        </w:tc>
        <w:tc>
          <w:tcPr>
            <w:tcW w:w="476"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100</w:t>
            </w:r>
          </w:p>
        </w:tc>
        <w:tc>
          <w:tcPr>
            <w:tcW w:w="574" w:type="dxa"/>
            <w:gridSpan w:val="2"/>
            <w:tcBorders>
              <w:top w:val="nil"/>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r>
              <w:rPr>
                <w:rFonts w:hint="eastAsia" w:ascii="黑体" w:hAnsi="宋体" w:eastAsia="黑体" w:cs="宋体"/>
                <w:sz w:val="20"/>
              </w:rPr>
              <w:t>95</w:t>
            </w:r>
          </w:p>
        </w:tc>
        <w:tc>
          <w:tcPr>
            <w:tcW w:w="1296" w:type="dxa"/>
            <w:gridSpan w:val="2"/>
            <w:tcBorders>
              <w:top w:val="single" w:color="auto" w:sz="4" w:space="0"/>
              <w:left w:val="nil"/>
              <w:bottom w:val="single" w:color="auto" w:sz="4" w:space="0"/>
              <w:right w:val="single" w:color="auto" w:sz="4" w:space="0"/>
            </w:tcBorders>
            <w:vAlign w:val="center"/>
          </w:tcPr>
          <w:p>
            <w:pPr>
              <w:spacing w:line="240" w:lineRule="exact"/>
              <w:ind w:left="-63" w:leftChars="-30" w:right="-63" w:rightChars="-30"/>
              <w:jc w:val="center"/>
              <w:rPr>
                <w:rFonts w:ascii="黑体" w:hAnsi="宋体" w:eastAsia="黑体" w:cs="宋体"/>
                <w:sz w:val="20"/>
              </w:rPr>
            </w:pPr>
          </w:p>
        </w:tc>
      </w:tr>
    </w:tbl>
    <w:p>
      <w:pPr>
        <w:pStyle w:val="2"/>
        <w:ind w:firstLine="0" w:firstLineChars="0"/>
        <w:rPr>
          <w:rFonts w:eastAsiaTheme="minorEastAsia"/>
        </w:rPr>
        <w:sectPr>
          <w:footerReference r:id="rId5" w:type="even"/>
          <w:pgSz w:w="11910" w:h="16840"/>
          <w:pgMar w:top="1984" w:right="1417" w:bottom="1984" w:left="1417" w:header="0" w:footer="0" w:gutter="0"/>
          <w:cols w:space="720" w:num="1"/>
        </w:sectPr>
      </w:pPr>
    </w:p>
    <w:p>
      <w:pPr>
        <w:kinsoku/>
        <w:autoSpaceDE/>
        <w:autoSpaceDN/>
        <w:adjustRightInd/>
        <w:snapToGrid/>
        <w:spacing w:line="580" w:lineRule="exact"/>
        <w:jc w:val="center"/>
        <w:textAlignment w:val="auto"/>
        <w:rPr>
          <w:rFonts w:ascii="宋体" w:hAnsi="宋体" w:eastAsia="宋体" w:cs="宋体"/>
          <w:b/>
          <w:snapToGrid/>
          <w:kern w:val="2"/>
          <w:sz w:val="44"/>
          <w:szCs w:val="44"/>
        </w:rPr>
      </w:pPr>
      <w:r>
        <w:rPr>
          <w:rFonts w:hint="eastAsia" w:ascii="宋体" w:hAnsi="宋体" w:eastAsia="宋体" w:cs="宋体"/>
          <w:b/>
          <w:snapToGrid/>
          <w:kern w:val="2"/>
          <w:sz w:val="44"/>
          <w:szCs w:val="44"/>
        </w:rPr>
        <w:t>第四部分  名词解释</w:t>
      </w:r>
    </w:p>
    <w:p>
      <w:pPr>
        <w:spacing w:line="580" w:lineRule="exact"/>
      </w:pPr>
    </w:p>
    <w:p>
      <w:pPr>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1.社会保障和就业支出反映政府在社会保障与就业方面的支出。 </w:t>
      </w:r>
    </w:p>
    <w:p>
      <w:pPr>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2.住房保障支出集中反映政府用于住房方面的支出。</w:t>
      </w:r>
    </w:p>
    <w:p>
      <w:pPr>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3.工资福利支出反映单位开支的在职职工和编制外长期聘 用人员的各类劳动报酬，以及为上述人员缴纳的各项社会保险费等。</w:t>
      </w:r>
    </w:p>
    <w:p>
      <w:pPr>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4.商品和服务支出反映单位购买商品和服务支出。（不包括用于购置固定资产的支出、战略性和应急储备支出，但军事方面的耐用消费品和设备的购置费、军事性建设费以及军事建筑物的购置费等在本科目中反映）。 </w:t>
      </w:r>
    </w:p>
    <w:p>
      <w:pPr>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5.对个人和家庭的补助反映政府用于对个人和家庭的补助支出. </w:t>
      </w:r>
    </w:p>
    <w:p>
      <w:pPr>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6.“三公”经费支出：指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pPr>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7.机关运行经费支出：指用一般公共预算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sectPr>
      <w:footerReference r:id="rId6" w:type="default"/>
      <w:pgSz w:w="11906" w:h="16838"/>
      <w:pgMar w:top="1984" w:right="1417" w:bottom="198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Microsoft JhengHei">
    <w:panose1 w:val="020B0604030504040204"/>
    <w:charset w:val="88"/>
    <w:family w:val="swiss"/>
    <w:pitch w:val="default"/>
    <w:sig w:usb0="00000087" w:usb1="28AF4000" w:usb2="00000016" w:usb3="00000000" w:csb0="00100009"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9" w:lineRule="exact"/>
      <w:ind w:firstLine="229"/>
      <w:rPr>
        <w:sz w:val="18"/>
        <w:szCs w:val="18"/>
      </w:rPr>
    </w:pPr>
    <w:r>
      <w:rPr>
        <w:spacing w:val="-2"/>
        <w:position w:val="-3"/>
        <w:sz w:val="18"/>
        <w:szCs w:val="18"/>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16" w:lineRule="exact"/>
      <w:ind w:firstLine="8033"/>
      <w:rPr>
        <w:sz w:val="16"/>
        <w:szCs w:val="16"/>
      </w:rPr>
    </w:pPr>
    <w:r>
      <w:rPr>
        <w:sz w:val="16"/>
      </w:rP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joinstyle="miter"/>
          <v:imagedata o:title=""/>
          <o:lock v:ext="edit"/>
          <v:textbox inset="0mm,0mm,0mm,0mm" style="mso-fit-shape-to-text:t;">
            <w:txbxContent>
              <w:p>
                <w:pPr>
                  <w:pStyle w:val="5"/>
                </w:pPr>
                <w:r>
                  <w:t xml:space="preserve">— </w:t>
                </w:r>
                <w:r>
                  <w:fldChar w:fldCharType="begin"/>
                </w:r>
                <w:r>
                  <w:instrText xml:space="preserve"> PAGE  \* MERGEFORMAT </w:instrText>
                </w:r>
                <w:r>
                  <w:fldChar w:fldCharType="separate"/>
                </w:r>
                <w:r>
                  <w:t>28</w:t>
                </w:r>
                <w:r>
                  <w:fldChar w:fldCharType="end"/>
                </w:r>
                <w: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3073" o:spid="_x0000_s3073" o:spt="202" type="#_x0000_t202" style="position:absolute;left:0pt;margin-left:467.3pt;margin-top:779.2pt;height:15.3pt;width:44pt;mso-position-horizontal-relative:page;mso-position-vertical-relative:page;z-index:-251636736;mso-width-relative:page;mso-height-relative:page;" filled="f" stroked="f" coordsize="21600,21600" o:gfxdata="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lDIFHbAAAADgEAAA8AAAAAAAAA&#10;AQAgAAAAIgAAAGRycy9kb3ducmV2LnhtbFBLAQIUABQAAAAIAIdO4kC/58TyDgIAAAYEAAAOAAAA&#10;AAAAAAEAIAAAACoBAABkcnMvZTJvRG9jLnhtbFBLBQYAAAAABgAGAFkBAACqBQAAAAA=&#10;">
          <v:path/>
          <v:fill on="f" focussize="0,0"/>
          <v:stroke on="f" joinstyle="miter"/>
          <v:imagedata o:title=""/>
          <o:lock v:ext="edit"/>
          <v:textbox inset="0mm,0mm,0mm,0mm">
            <w:txbxContent>
              <w:p>
                <w:pPr>
                  <w:spacing w:before="10"/>
                  <w:ind w:left="20"/>
                  <w:rPr>
                    <w:rFonts w:ascii="Times New Roman" w:hAnsi="Times New Roman"/>
                    <w:sz w:val="24"/>
                  </w:rPr>
                </w:pPr>
                <w:r>
                  <w:rPr>
                    <w:rFonts w:ascii="Times New Roman" w:hAnsi="Times New Roman"/>
                    <w:sz w:val="24"/>
                  </w:rPr>
                  <w:t xml:space="preserve">— </w:t>
                </w:r>
                <w:r>
                  <w:fldChar w:fldCharType="begin"/>
                </w:r>
                <w:r>
                  <w:rPr>
                    <w:rFonts w:ascii="Times New Roman" w:hAnsi="Times New Roman"/>
                    <w:sz w:val="24"/>
                  </w:rPr>
                  <w:instrText xml:space="preserve"> PAGE </w:instrText>
                </w:r>
                <w:r>
                  <w:fldChar w:fldCharType="separate"/>
                </w:r>
                <w:r>
                  <w:rPr>
                    <w:rFonts w:ascii="Times New Roman" w:hAnsi="Times New Roman"/>
                    <w:sz w:val="24"/>
                  </w:rPr>
                  <w:t>30</w:t>
                </w:r>
                <w:r>
                  <w:fldChar w:fldCharType="end"/>
                </w:r>
                <w:r>
                  <w:rPr>
                    <w:rFonts w:ascii="Times New Roman" w:hAnsi="Times New Roman"/>
                    <w:sz w:val="24"/>
                  </w:rPr>
                  <w:t xml:space="preserve"> —</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104373"/>
    <w:multiLevelType w:val="singleLevel"/>
    <w:tmpl w:val="E8104373"/>
    <w:lvl w:ilvl="0" w:tentative="0">
      <w:start w:val="6"/>
      <w:numFmt w:val="decimal"/>
      <w:suff w:val="nothing"/>
      <w:lvlText w:val="（%1）"/>
      <w:lvlJc w:val="left"/>
    </w:lvl>
  </w:abstractNum>
  <w:abstractNum w:abstractNumId="1">
    <w:nsid w:val="10DDCCA0"/>
    <w:multiLevelType w:val="singleLevel"/>
    <w:tmpl w:val="10DDCCA0"/>
    <w:lvl w:ilvl="0" w:tentative="0">
      <w:start w:val="2"/>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QwYWY0ZTkyNzg1N2YyYTI4NWRjNjNiNmRhMDA0ZDkifQ=="/>
  </w:docVars>
  <w:rsids>
    <w:rsidRoot w:val="00272697"/>
    <w:rsid w:val="001909BB"/>
    <w:rsid w:val="0021188C"/>
    <w:rsid w:val="00272697"/>
    <w:rsid w:val="00286885"/>
    <w:rsid w:val="0039769E"/>
    <w:rsid w:val="003B7993"/>
    <w:rsid w:val="00541265"/>
    <w:rsid w:val="005B720A"/>
    <w:rsid w:val="0061525B"/>
    <w:rsid w:val="00632DE2"/>
    <w:rsid w:val="007B6653"/>
    <w:rsid w:val="008366BD"/>
    <w:rsid w:val="0098270D"/>
    <w:rsid w:val="00AA794F"/>
    <w:rsid w:val="00AE75DD"/>
    <w:rsid w:val="00C5217E"/>
    <w:rsid w:val="00C70283"/>
    <w:rsid w:val="00E022EA"/>
    <w:rsid w:val="00EA7B82"/>
    <w:rsid w:val="00EC4862"/>
    <w:rsid w:val="018B09E9"/>
    <w:rsid w:val="15207D7D"/>
    <w:rsid w:val="19EB6071"/>
    <w:rsid w:val="1DC955C6"/>
    <w:rsid w:val="1DE651E8"/>
    <w:rsid w:val="1F603649"/>
    <w:rsid w:val="21DB4C1D"/>
    <w:rsid w:val="245F422B"/>
    <w:rsid w:val="250C6474"/>
    <w:rsid w:val="2BFD7524"/>
    <w:rsid w:val="2C9F5E1F"/>
    <w:rsid w:val="2F6741DD"/>
    <w:rsid w:val="315D73FD"/>
    <w:rsid w:val="3B947EBF"/>
    <w:rsid w:val="3BF5261A"/>
    <w:rsid w:val="40C34442"/>
    <w:rsid w:val="45EB03AA"/>
    <w:rsid w:val="4B5D2CD5"/>
    <w:rsid w:val="57B343A9"/>
    <w:rsid w:val="5F8C6342"/>
    <w:rsid w:val="60F574A8"/>
    <w:rsid w:val="62F37D50"/>
    <w:rsid w:val="630F05EF"/>
    <w:rsid w:val="659B26BD"/>
    <w:rsid w:val="68B25778"/>
    <w:rsid w:val="68D67EF7"/>
    <w:rsid w:val="6C702310"/>
    <w:rsid w:val="6DA265FA"/>
    <w:rsid w:val="6EC04334"/>
    <w:rsid w:val="78C73DB8"/>
    <w:rsid w:val="7DA67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4">
    <w:name w:val="heading 3"/>
    <w:basedOn w:val="1"/>
    <w:next w:val="1"/>
    <w:qFormat/>
    <w:uiPriority w:val="0"/>
    <w:pPr>
      <w:keepNext/>
      <w:keepLines/>
      <w:spacing w:line="413" w:lineRule="auto"/>
      <w:outlineLvl w:val="2"/>
    </w:pPr>
    <w:rPr>
      <w:rFonts w:ascii="Times New Roman" w:hAnsi="Times New Roman"/>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99"/>
    <w:pPr>
      <w:spacing w:line="580" w:lineRule="exact"/>
      <w:ind w:firstLine="883" w:firstLineChars="200"/>
    </w:pPr>
    <w:rPr>
      <w:sz w:val="32"/>
    </w:rPr>
  </w:style>
  <w:style w:type="paragraph" w:styleId="3">
    <w:name w:val="Body Text"/>
    <w:basedOn w:val="1"/>
    <w:qFormat/>
    <w:uiPriority w:val="0"/>
  </w:style>
  <w:style w:type="paragraph" w:styleId="5">
    <w:name w:val="footer"/>
    <w:basedOn w:val="1"/>
    <w:qFormat/>
    <w:uiPriority w:val="0"/>
    <w:pPr>
      <w:tabs>
        <w:tab w:val="center" w:pos="4153"/>
        <w:tab w:val="right" w:pos="8306"/>
      </w:tabs>
    </w:pPr>
    <w:rPr>
      <w:sz w:val="18"/>
    </w:rPr>
  </w:style>
  <w:style w:type="paragraph" w:styleId="6">
    <w:name w:val="Normal (Web)"/>
    <w:basedOn w:val="1"/>
    <w:qFormat/>
    <w:uiPriority w:val="0"/>
    <w:pPr>
      <w:spacing w:before="100" w:beforeAutospacing="1" w:after="100" w:afterAutospacing="1"/>
    </w:pPr>
    <w:rPr>
      <w:rFonts w:ascii="宋体" w:hAnsi="宋体" w:cs="宋体"/>
      <w:sz w:val="24"/>
      <w:szCs w:val="24"/>
    </w:rPr>
  </w:style>
  <w:style w:type="paragraph" w:customStyle="1" w:styleId="9">
    <w:name w:val="标题 11"/>
    <w:basedOn w:val="1"/>
    <w:qFormat/>
    <w:uiPriority w:val="1"/>
    <w:pPr>
      <w:ind w:right="1484"/>
      <w:jc w:val="center"/>
      <w:outlineLvl w:val="1"/>
    </w:pPr>
    <w:rPr>
      <w:rFonts w:ascii="宋体" w:hAnsi="宋体" w:cs="宋体"/>
      <w:sz w:val="44"/>
      <w:szCs w:val="44"/>
      <w:lang w:val="zh-CN" w:bidi="zh-CN"/>
    </w:rPr>
  </w:style>
  <w:style w:type="paragraph" w:customStyle="1" w:styleId="10">
    <w:name w:val="标题 21"/>
    <w:basedOn w:val="1"/>
    <w:qFormat/>
    <w:uiPriority w:val="1"/>
    <w:pPr>
      <w:ind w:left="1476"/>
      <w:outlineLvl w:val="2"/>
    </w:pPr>
    <w:rPr>
      <w:rFonts w:ascii="Microsoft JhengHei" w:hAnsi="Microsoft JhengHei" w:eastAsia="Microsoft JhengHei" w:cs="Microsoft JhengHei"/>
      <w:b/>
      <w:bCs/>
      <w:sz w:val="32"/>
      <w:szCs w:val="3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3073"/>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B8D40F-86AD-4A25-8AF9-13B8427B6C0B}">
  <ds:schemaRefs/>
</ds:datastoreItem>
</file>

<file path=docProps/app.xml><?xml version="1.0" encoding="utf-8"?>
<Properties xmlns="http://schemas.openxmlformats.org/officeDocument/2006/extended-properties" xmlns:vt="http://schemas.openxmlformats.org/officeDocument/2006/docPropsVTypes">
  <Template>Normal</Template>
  <Pages>29</Pages>
  <Words>10273</Words>
  <Characters>13905</Characters>
  <Lines>119</Lines>
  <Paragraphs>33</Paragraphs>
  <TotalTime>115</TotalTime>
  <ScaleCrop>false</ScaleCrop>
  <LinksUpToDate>false</LinksUpToDate>
  <CharactersWithSpaces>14434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徐</cp:lastModifiedBy>
  <dcterms:modified xsi:type="dcterms:W3CDTF">2023-06-05T02:11:52Z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838D394B7799483DA9CD739544EB0285</vt:lpwstr>
  </property>
</Properties>
</file>