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40" w:firstLineChars="100"/>
        <w:jc w:val="center"/>
        <w:rPr>
          <w:rFonts w:ascii="黑体" w:hAnsi="黑体" w:eastAsia="黑体" w:cs="黑体"/>
          <w:bCs/>
          <w:sz w:val="44"/>
          <w:szCs w:val="44"/>
        </w:rPr>
      </w:pPr>
      <w:r>
        <w:rPr>
          <w:rFonts w:hint="eastAsia" w:ascii="黑体" w:hAnsi="黑体" w:eastAsia="黑体" w:cs="黑体"/>
          <w:bCs/>
          <w:sz w:val="44"/>
          <w:szCs w:val="44"/>
        </w:rPr>
        <w:t>南昌市青云谱区大数据中心2022年部门预算编制说明</w:t>
      </w:r>
    </w:p>
    <w:p>
      <w:pPr>
        <w:ind w:firstLine="440" w:firstLineChars="100"/>
        <w:jc w:val="center"/>
        <w:rPr>
          <w:rFonts w:ascii="黑体" w:hAnsi="黑体" w:eastAsia="黑体" w:cs="黑体"/>
          <w:bCs/>
          <w:sz w:val="44"/>
          <w:szCs w:val="44"/>
        </w:rPr>
      </w:pPr>
    </w:p>
    <w:p>
      <w:pPr>
        <w:spacing w:line="600" w:lineRule="exact"/>
        <w:jc w:val="center"/>
        <w:rPr>
          <w:rFonts w:ascii="黑体" w:eastAsia="黑体"/>
          <w:sz w:val="44"/>
          <w:szCs w:val="44"/>
        </w:rPr>
      </w:pPr>
      <w:r>
        <w:rPr>
          <w:rFonts w:hint="eastAsia" w:ascii="黑体" w:eastAsia="黑体"/>
          <w:sz w:val="44"/>
          <w:szCs w:val="44"/>
        </w:rPr>
        <w:t>目    录</w:t>
      </w:r>
    </w:p>
    <w:p/>
    <w:p>
      <w:pPr>
        <w:spacing w:line="540" w:lineRule="exact"/>
        <w:ind w:firstLine="640"/>
        <w:rPr>
          <w:rFonts w:ascii="黑体" w:hAnsi="黑体" w:eastAsia="黑体" w:cs="黑体"/>
          <w:bCs/>
          <w:sz w:val="32"/>
          <w:szCs w:val="32"/>
        </w:rPr>
      </w:pPr>
      <w:r>
        <w:rPr>
          <w:rFonts w:hint="eastAsia" w:ascii="黑体" w:hAnsi="黑体" w:eastAsia="黑体" w:cs="黑体"/>
          <w:bCs/>
          <w:sz w:val="32"/>
          <w:szCs w:val="32"/>
        </w:rPr>
        <w:t>第一部分  区大数据中心部门概况</w:t>
      </w:r>
    </w:p>
    <w:p>
      <w:pPr>
        <w:spacing w:line="540" w:lineRule="exact"/>
        <w:ind w:firstLine="1280" w:firstLineChars="400"/>
        <w:rPr>
          <w:rFonts w:ascii="仿宋_GB2312" w:eastAsia="仿宋_GB2312" w:cs="Times New Roman"/>
          <w:kern w:val="2"/>
          <w:sz w:val="32"/>
          <w:szCs w:val="30"/>
        </w:rPr>
      </w:pPr>
      <w:r>
        <w:rPr>
          <w:rFonts w:hint="eastAsia" w:ascii="仿宋_GB2312" w:eastAsia="仿宋_GB2312" w:cs="Times New Roman"/>
          <w:kern w:val="2"/>
          <w:sz w:val="32"/>
          <w:szCs w:val="30"/>
        </w:rPr>
        <w:t xml:space="preserve"> 一、部门主要职责</w:t>
      </w:r>
    </w:p>
    <w:p>
      <w:pPr>
        <w:spacing w:line="540" w:lineRule="exact"/>
        <w:ind w:firstLine="1280" w:firstLineChars="400"/>
        <w:rPr>
          <w:rFonts w:ascii="仿宋_GB2312" w:eastAsia="仿宋_GB2312" w:cs="Times New Roman"/>
          <w:kern w:val="2"/>
          <w:sz w:val="32"/>
          <w:szCs w:val="30"/>
        </w:rPr>
      </w:pPr>
      <w:r>
        <w:rPr>
          <w:rFonts w:hint="eastAsia" w:ascii="仿宋_GB2312" w:eastAsia="仿宋_GB2312" w:cs="Times New Roman"/>
          <w:kern w:val="2"/>
          <w:sz w:val="32"/>
          <w:szCs w:val="30"/>
        </w:rPr>
        <w:t xml:space="preserve"> 二、</w:t>
      </w:r>
      <w:r>
        <w:rPr>
          <w:rFonts w:hint="eastAsia" w:ascii="Adobe 仿宋 Std R" w:hAnsi="Adobe 仿宋 Std R" w:eastAsia="Adobe 仿宋 Std R" w:cs="黑体"/>
          <w:kern w:val="2"/>
          <w:sz w:val="32"/>
          <w:szCs w:val="30"/>
        </w:rPr>
        <w:t>机构设置及人员情况</w:t>
      </w:r>
    </w:p>
    <w:p>
      <w:pPr>
        <w:spacing w:line="540" w:lineRule="exact"/>
        <w:ind w:firstLine="640"/>
        <w:rPr>
          <w:rFonts w:ascii="黑体" w:hAnsi="黑体" w:eastAsia="黑体" w:cs="黑体"/>
          <w:bCs/>
          <w:sz w:val="32"/>
          <w:szCs w:val="32"/>
        </w:rPr>
      </w:pPr>
      <w:r>
        <w:rPr>
          <w:rFonts w:hint="eastAsia" w:ascii="黑体" w:hAnsi="黑体" w:eastAsia="黑体" w:cs="黑体"/>
          <w:bCs/>
          <w:sz w:val="32"/>
          <w:szCs w:val="32"/>
        </w:rPr>
        <w:t>第二部分  区大数据中心2022年部门预算表</w:t>
      </w:r>
    </w:p>
    <w:p>
      <w:pPr>
        <w:spacing w:line="540" w:lineRule="exact"/>
        <w:ind w:firstLine="1280" w:firstLineChars="400"/>
        <w:rPr>
          <w:rFonts w:ascii="仿宋_GB2312" w:hAnsi="Times New Roman" w:eastAsia="仿宋_GB2312" w:cs="Times New Roman"/>
          <w:kern w:val="2"/>
          <w:sz w:val="32"/>
          <w:szCs w:val="30"/>
        </w:rPr>
      </w:pPr>
      <w:r>
        <w:rPr>
          <w:rFonts w:hint="eastAsia" w:ascii="仿宋_GB2312" w:hAnsi="Times New Roman" w:eastAsia="仿宋_GB2312" w:cs="Times New Roman"/>
          <w:kern w:val="2"/>
          <w:sz w:val="32"/>
          <w:szCs w:val="30"/>
        </w:rPr>
        <w:t>一、《收支预算总表》</w:t>
      </w:r>
    </w:p>
    <w:p>
      <w:pPr>
        <w:spacing w:line="540" w:lineRule="exact"/>
        <w:ind w:firstLine="1280" w:firstLineChars="400"/>
        <w:rPr>
          <w:rFonts w:ascii="仿宋_GB2312" w:hAnsi="Times New Roman" w:eastAsia="仿宋_GB2312" w:cs="Times New Roman"/>
          <w:kern w:val="2"/>
          <w:sz w:val="32"/>
          <w:szCs w:val="30"/>
        </w:rPr>
      </w:pPr>
      <w:r>
        <w:rPr>
          <w:rFonts w:hint="eastAsia" w:ascii="仿宋_GB2312" w:hAnsi="Times New Roman" w:eastAsia="仿宋_GB2312" w:cs="Times New Roman"/>
          <w:kern w:val="2"/>
          <w:sz w:val="32"/>
          <w:szCs w:val="30"/>
        </w:rPr>
        <w:t>二、《部门收入总表》</w:t>
      </w:r>
    </w:p>
    <w:p>
      <w:pPr>
        <w:spacing w:line="540" w:lineRule="exact"/>
        <w:ind w:firstLine="1280" w:firstLineChars="400"/>
        <w:rPr>
          <w:rFonts w:ascii="仿宋_GB2312" w:hAnsi="Times New Roman" w:eastAsia="仿宋_GB2312" w:cs="Times New Roman"/>
          <w:kern w:val="2"/>
          <w:sz w:val="32"/>
          <w:szCs w:val="30"/>
        </w:rPr>
      </w:pPr>
      <w:r>
        <w:rPr>
          <w:rFonts w:hint="eastAsia" w:ascii="仿宋_GB2312" w:hAnsi="Times New Roman" w:eastAsia="仿宋_GB2312" w:cs="Times New Roman"/>
          <w:kern w:val="2"/>
          <w:sz w:val="32"/>
          <w:szCs w:val="30"/>
        </w:rPr>
        <w:t>三、《部门支出总表》</w:t>
      </w:r>
    </w:p>
    <w:p>
      <w:pPr>
        <w:spacing w:line="540" w:lineRule="exact"/>
        <w:ind w:firstLine="1280" w:firstLineChars="400"/>
        <w:rPr>
          <w:rFonts w:ascii="仿宋_GB2312" w:hAnsi="Times New Roman" w:eastAsia="仿宋_GB2312" w:cs="Times New Roman"/>
          <w:kern w:val="2"/>
          <w:sz w:val="32"/>
          <w:szCs w:val="30"/>
        </w:rPr>
      </w:pPr>
      <w:r>
        <w:rPr>
          <w:rFonts w:hint="eastAsia" w:ascii="仿宋_GB2312" w:hAnsi="Times New Roman" w:eastAsia="仿宋_GB2312" w:cs="Times New Roman"/>
          <w:kern w:val="2"/>
          <w:sz w:val="32"/>
          <w:szCs w:val="30"/>
        </w:rPr>
        <w:t>四、《财政拨款收支总表》</w:t>
      </w:r>
    </w:p>
    <w:p>
      <w:pPr>
        <w:spacing w:line="540" w:lineRule="exact"/>
        <w:ind w:firstLine="1280" w:firstLineChars="400"/>
        <w:rPr>
          <w:rFonts w:ascii="仿宋_GB2312" w:hAnsi="Times New Roman" w:eastAsia="仿宋_GB2312" w:cs="Times New Roman"/>
          <w:kern w:val="2"/>
          <w:sz w:val="32"/>
          <w:szCs w:val="30"/>
        </w:rPr>
      </w:pPr>
      <w:r>
        <w:rPr>
          <w:rFonts w:hint="eastAsia" w:ascii="仿宋_GB2312" w:hAnsi="Times New Roman" w:eastAsia="仿宋_GB2312" w:cs="Times New Roman"/>
          <w:kern w:val="2"/>
          <w:sz w:val="32"/>
          <w:szCs w:val="30"/>
        </w:rPr>
        <w:t>五、《一般公共预算支出表》</w:t>
      </w:r>
    </w:p>
    <w:p>
      <w:pPr>
        <w:spacing w:line="540" w:lineRule="exact"/>
        <w:ind w:firstLine="1280" w:firstLineChars="400"/>
        <w:rPr>
          <w:rFonts w:ascii="仿宋_GB2312" w:hAnsi="Times New Roman" w:eastAsia="仿宋_GB2312" w:cs="Times New Roman"/>
          <w:kern w:val="2"/>
          <w:sz w:val="32"/>
          <w:szCs w:val="30"/>
        </w:rPr>
      </w:pPr>
      <w:r>
        <w:rPr>
          <w:rFonts w:hint="eastAsia" w:ascii="仿宋_GB2312" w:hAnsi="Times New Roman" w:eastAsia="仿宋_GB2312" w:cs="Times New Roman"/>
          <w:kern w:val="2"/>
          <w:sz w:val="32"/>
          <w:szCs w:val="30"/>
        </w:rPr>
        <w:t>六、《一般公共预算基本支出表》</w:t>
      </w:r>
    </w:p>
    <w:p>
      <w:pPr>
        <w:spacing w:line="540" w:lineRule="exact"/>
        <w:ind w:firstLine="1280" w:firstLineChars="400"/>
        <w:rPr>
          <w:rFonts w:ascii="仿宋_GB2312" w:hAnsi="Times New Roman" w:eastAsia="仿宋_GB2312" w:cs="Times New Roman"/>
          <w:kern w:val="2"/>
          <w:sz w:val="32"/>
          <w:szCs w:val="30"/>
        </w:rPr>
      </w:pPr>
      <w:r>
        <w:rPr>
          <w:rFonts w:hint="eastAsia" w:ascii="仿宋_GB2312" w:hAnsi="Times New Roman" w:eastAsia="仿宋_GB2312" w:cs="Times New Roman"/>
          <w:kern w:val="2"/>
          <w:sz w:val="32"/>
          <w:szCs w:val="30"/>
        </w:rPr>
        <w:t>七、《一般公共预算“三公”经费支出表》</w:t>
      </w:r>
    </w:p>
    <w:p>
      <w:pPr>
        <w:spacing w:line="540" w:lineRule="exact"/>
        <w:ind w:firstLine="1280" w:firstLineChars="400"/>
        <w:rPr>
          <w:rFonts w:ascii="仿宋_GB2312" w:hAnsi="Times New Roman" w:eastAsia="仿宋_GB2312" w:cs="Times New Roman"/>
          <w:kern w:val="2"/>
          <w:sz w:val="32"/>
          <w:szCs w:val="30"/>
        </w:rPr>
      </w:pPr>
      <w:r>
        <w:rPr>
          <w:rFonts w:hint="eastAsia" w:ascii="仿宋_GB2312" w:hAnsi="Times New Roman" w:eastAsia="仿宋_GB2312" w:cs="Times New Roman"/>
          <w:kern w:val="2"/>
          <w:sz w:val="32"/>
          <w:szCs w:val="30"/>
        </w:rPr>
        <w:t>八、《政府性基金预算支出表》</w:t>
      </w:r>
    </w:p>
    <w:p>
      <w:pPr>
        <w:pStyle w:val="10"/>
        <w:tabs>
          <w:tab w:val="left" w:pos="6546"/>
        </w:tabs>
        <w:spacing w:line="600" w:lineRule="atLeast"/>
        <w:ind w:firstLine="1280"/>
        <w:jc w:val="left"/>
        <w:rPr>
          <w:rFonts w:ascii="Adobe 仿宋 Std R" w:hAnsi="Adobe 仿宋 Std R" w:eastAsia="Adobe 仿宋 Std R" w:cs="黑体"/>
          <w:kern w:val="2"/>
          <w:sz w:val="32"/>
          <w:szCs w:val="30"/>
        </w:rPr>
      </w:pPr>
      <w:r>
        <w:rPr>
          <w:rFonts w:ascii="Adobe 仿宋 Std R" w:hAnsi="Adobe 仿宋 Std R" w:eastAsia="Adobe 仿宋 Std R" w:cs="黑体"/>
          <w:kern w:val="2"/>
          <w:sz w:val="32"/>
          <w:szCs w:val="30"/>
        </w:rPr>
        <w:t>九、《</w:t>
      </w:r>
      <w:r>
        <w:rPr>
          <w:rFonts w:hint="eastAsia" w:ascii="Adobe 仿宋 Std R" w:hAnsi="Adobe 仿宋 Std R" w:eastAsia="Adobe 仿宋 Std R" w:cs="黑体"/>
          <w:kern w:val="2"/>
          <w:sz w:val="32"/>
          <w:szCs w:val="30"/>
        </w:rPr>
        <w:t>国有资本经营</w:t>
      </w:r>
      <w:r>
        <w:rPr>
          <w:rFonts w:ascii="Adobe 仿宋 Std R" w:hAnsi="Adobe 仿宋 Std R" w:eastAsia="Adobe 仿宋 Std R" w:cs="黑体"/>
          <w:kern w:val="2"/>
          <w:sz w:val="32"/>
          <w:szCs w:val="30"/>
        </w:rPr>
        <w:t>预算支出表》</w:t>
      </w:r>
      <w:r>
        <w:rPr>
          <w:rFonts w:hint="eastAsia" w:ascii="Adobe 仿宋 Std R" w:hAnsi="Adobe 仿宋 Std R" w:eastAsia="Adobe 仿宋 Std R" w:cs="黑体"/>
          <w:kern w:val="2"/>
          <w:sz w:val="32"/>
          <w:szCs w:val="30"/>
        </w:rPr>
        <w:tab/>
      </w:r>
    </w:p>
    <w:p>
      <w:pPr>
        <w:pStyle w:val="10"/>
        <w:tabs>
          <w:tab w:val="left" w:pos="6546"/>
        </w:tabs>
        <w:spacing w:line="600" w:lineRule="atLeast"/>
        <w:ind w:firstLine="1280"/>
        <w:jc w:val="left"/>
        <w:rPr>
          <w:rFonts w:ascii="Adobe 仿宋 Std R" w:hAnsi="Adobe 仿宋 Std R" w:eastAsia="Adobe 仿宋 Std R" w:cs="黑体"/>
          <w:kern w:val="2"/>
          <w:sz w:val="32"/>
          <w:szCs w:val="30"/>
        </w:rPr>
      </w:pPr>
      <w:r>
        <w:rPr>
          <w:rFonts w:hint="eastAsia" w:ascii="Adobe 仿宋 Std R" w:hAnsi="Adobe 仿宋 Std R" w:eastAsia="Adobe 仿宋 Std R" w:cs="黑体"/>
          <w:kern w:val="2"/>
          <w:sz w:val="32"/>
          <w:szCs w:val="30"/>
        </w:rPr>
        <w:t>十、</w:t>
      </w:r>
      <w:r>
        <w:rPr>
          <w:rFonts w:ascii="Adobe 仿宋 Std R" w:hAnsi="Adobe 仿宋 Std R" w:eastAsia="Adobe 仿宋 Std R" w:cs="黑体"/>
          <w:kern w:val="2"/>
          <w:sz w:val="32"/>
          <w:szCs w:val="30"/>
        </w:rPr>
        <w:t>《</w:t>
      </w:r>
      <w:r>
        <w:rPr>
          <w:rFonts w:hint="eastAsia" w:ascii="Adobe 仿宋 Std R" w:hAnsi="Adobe 仿宋 Std R" w:eastAsia="Adobe 仿宋 Std R" w:cs="黑体"/>
          <w:kern w:val="2"/>
          <w:sz w:val="32"/>
          <w:szCs w:val="30"/>
        </w:rPr>
        <w:t>部门整体支出绩效目标表</w:t>
      </w:r>
      <w:r>
        <w:rPr>
          <w:rFonts w:ascii="Adobe 仿宋 Std R" w:hAnsi="Adobe 仿宋 Std R" w:eastAsia="Adobe 仿宋 Std R" w:cs="黑体"/>
          <w:kern w:val="2"/>
          <w:sz w:val="32"/>
          <w:szCs w:val="30"/>
        </w:rPr>
        <w:t>》</w:t>
      </w:r>
    </w:p>
    <w:p>
      <w:pPr>
        <w:pStyle w:val="10"/>
        <w:tabs>
          <w:tab w:val="left" w:pos="6546"/>
        </w:tabs>
        <w:spacing w:line="600" w:lineRule="atLeast"/>
        <w:ind w:firstLine="1280"/>
        <w:jc w:val="left"/>
        <w:rPr>
          <w:rFonts w:ascii="仿宋_GB2312" w:eastAsia="仿宋_GB2312"/>
          <w:kern w:val="2"/>
          <w:sz w:val="32"/>
          <w:szCs w:val="30"/>
        </w:rPr>
      </w:pPr>
      <w:r>
        <w:rPr>
          <w:rFonts w:hint="eastAsia" w:ascii="Adobe 仿宋 Std R" w:hAnsi="Adobe 仿宋 Std R" w:eastAsia="Adobe 仿宋 Std R" w:cs="黑体"/>
          <w:kern w:val="2"/>
          <w:sz w:val="32"/>
          <w:szCs w:val="30"/>
        </w:rPr>
        <w:t>十一、</w:t>
      </w:r>
      <w:r>
        <w:rPr>
          <w:rFonts w:ascii="Adobe 仿宋 Std R" w:hAnsi="Adobe 仿宋 Std R" w:eastAsia="Adobe 仿宋 Std R" w:cs="黑体"/>
          <w:kern w:val="2"/>
          <w:sz w:val="32"/>
          <w:szCs w:val="30"/>
        </w:rPr>
        <w:t>《</w:t>
      </w:r>
      <w:r>
        <w:rPr>
          <w:rFonts w:hint="eastAsia" w:ascii="Adobe 仿宋 Std R" w:hAnsi="Adobe 仿宋 Std R" w:eastAsia="Adobe 仿宋 Std R" w:cs="黑体"/>
          <w:kern w:val="2"/>
          <w:sz w:val="32"/>
          <w:szCs w:val="30"/>
        </w:rPr>
        <w:t>重点项目绩效目标表</w:t>
      </w:r>
      <w:r>
        <w:rPr>
          <w:rFonts w:ascii="Adobe 仿宋 Std R" w:hAnsi="Adobe 仿宋 Std R" w:eastAsia="Adobe 仿宋 Std R" w:cs="黑体"/>
          <w:kern w:val="2"/>
          <w:sz w:val="32"/>
          <w:szCs w:val="30"/>
        </w:rPr>
        <w:t>》</w:t>
      </w:r>
    </w:p>
    <w:p>
      <w:pPr>
        <w:spacing w:line="540" w:lineRule="exact"/>
        <w:ind w:firstLine="640"/>
        <w:rPr>
          <w:rFonts w:ascii="黑体" w:hAnsi="黑体" w:eastAsia="黑体" w:cs="黑体"/>
          <w:bCs/>
          <w:sz w:val="32"/>
          <w:szCs w:val="32"/>
        </w:rPr>
      </w:pPr>
      <w:r>
        <w:rPr>
          <w:rFonts w:hint="eastAsia" w:ascii="黑体" w:hAnsi="黑体" w:eastAsia="黑体" w:cs="黑体"/>
          <w:bCs/>
          <w:sz w:val="32"/>
          <w:szCs w:val="32"/>
        </w:rPr>
        <w:t>第三部分  区大数据中心部门2022年部门预算情况说明</w:t>
      </w:r>
    </w:p>
    <w:p>
      <w:pPr>
        <w:spacing w:line="540" w:lineRule="exact"/>
        <w:ind w:firstLine="1280" w:firstLineChars="400"/>
        <w:rPr>
          <w:rFonts w:ascii="仿宋_GB2312" w:eastAsia="仿宋_GB2312" w:cs="Times New Roman"/>
          <w:kern w:val="2"/>
          <w:sz w:val="32"/>
          <w:szCs w:val="30"/>
        </w:rPr>
      </w:pPr>
      <w:r>
        <w:rPr>
          <w:rFonts w:hint="eastAsia" w:ascii="仿宋_GB2312" w:eastAsia="仿宋_GB2312" w:cs="Times New Roman"/>
          <w:kern w:val="2"/>
          <w:sz w:val="32"/>
          <w:szCs w:val="30"/>
        </w:rPr>
        <w:t>一、2022年部门预算收支情况说明</w:t>
      </w:r>
    </w:p>
    <w:p>
      <w:pPr>
        <w:spacing w:line="540" w:lineRule="exact"/>
        <w:ind w:firstLine="1280" w:firstLineChars="400"/>
        <w:rPr>
          <w:rFonts w:ascii="仿宋_GB2312" w:hAnsi="Times New Roman" w:eastAsia="仿宋_GB2312" w:cs="Times New Roman"/>
          <w:kern w:val="2"/>
          <w:sz w:val="32"/>
          <w:szCs w:val="30"/>
        </w:rPr>
      </w:pPr>
      <w:r>
        <w:rPr>
          <w:rFonts w:hint="eastAsia" w:ascii="仿宋_GB2312" w:eastAsia="仿宋_GB2312" w:cs="Times New Roman"/>
          <w:kern w:val="2"/>
          <w:sz w:val="32"/>
          <w:szCs w:val="30"/>
        </w:rPr>
        <w:t>二、2022年“三公”经费预算情况说明</w:t>
      </w:r>
    </w:p>
    <w:p>
      <w:pPr>
        <w:spacing w:line="540" w:lineRule="exact"/>
        <w:rPr>
          <w:rFonts w:ascii="宋体" w:hAnsi="宋体"/>
          <w:sz w:val="32"/>
          <w:szCs w:val="32"/>
        </w:rPr>
      </w:pPr>
      <w:r>
        <w:rPr>
          <w:rFonts w:hint="eastAsia" w:ascii="宋体" w:hAnsi="宋体"/>
          <w:sz w:val="32"/>
          <w:szCs w:val="32"/>
        </w:rPr>
        <w:t xml:space="preserve">    </w:t>
      </w:r>
      <w:r>
        <w:rPr>
          <w:rFonts w:hint="eastAsia" w:ascii="黑体" w:hAnsi="黑体" w:eastAsia="黑体" w:cs="黑体"/>
          <w:bCs/>
          <w:sz w:val="32"/>
          <w:szCs w:val="32"/>
        </w:rPr>
        <w:t>第四部分  名词解释</w:t>
      </w:r>
    </w:p>
    <w:p>
      <w:pPr>
        <w:rPr>
          <w:rFonts w:ascii="宋体" w:hAnsi="宋体"/>
          <w:b/>
          <w:sz w:val="44"/>
          <w:szCs w:val="44"/>
        </w:rPr>
      </w:pPr>
    </w:p>
    <w:p>
      <w:pPr>
        <w:spacing w:line="520" w:lineRule="exact"/>
        <w:ind w:firstLine="628" w:firstLineChars="196"/>
        <w:rPr>
          <w:rFonts w:ascii="宋体" w:hAnsi="宋体"/>
          <w:b/>
          <w:sz w:val="32"/>
          <w:szCs w:val="32"/>
        </w:rPr>
      </w:pPr>
    </w:p>
    <w:p>
      <w:pPr>
        <w:spacing w:line="520" w:lineRule="exact"/>
        <w:jc w:val="center"/>
        <w:rPr>
          <w:rFonts w:ascii="黑体" w:hAnsi="黑体" w:eastAsia="黑体" w:cs="黑体"/>
          <w:bCs/>
          <w:sz w:val="32"/>
          <w:szCs w:val="32"/>
        </w:rPr>
      </w:pPr>
      <w:r>
        <w:rPr>
          <w:rFonts w:hint="eastAsia" w:ascii="黑体" w:hAnsi="黑体" w:eastAsia="黑体" w:cs="黑体"/>
          <w:bCs/>
          <w:sz w:val="32"/>
          <w:szCs w:val="32"/>
        </w:rPr>
        <w:t>第一部分 区大数据中心部门概况</w:t>
      </w:r>
    </w:p>
    <w:p>
      <w:pPr>
        <w:spacing w:line="520" w:lineRule="exact"/>
        <w:rPr>
          <w:rFonts w:ascii="宋体" w:hAnsi="宋体"/>
          <w:b/>
          <w:sz w:val="32"/>
          <w:szCs w:val="32"/>
        </w:rPr>
      </w:pPr>
    </w:p>
    <w:p>
      <w:pPr>
        <w:spacing w:line="520" w:lineRule="exact"/>
        <w:rPr>
          <w:rFonts w:ascii="黑体" w:hAnsi="黑体" w:eastAsia="黑体" w:cs="黑体"/>
          <w:b/>
          <w:sz w:val="32"/>
          <w:szCs w:val="32"/>
        </w:rPr>
      </w:pPr>
      <w:r>
        <w:rPr>
          <w:rFonts w:hint="eastAsia" w:ascii="宋体" w:hAnsi="宋体"/>
          <w:b/>
          <w:sz w:val="32"/>
          <w:szCs w:val="32"/>
        </w:rPr>
        <w:t xml:space="preserve">    </w:t>
      </w:r>
      <w:r>
        <w:rPr>
          <w:rFonts w:hint="eastAsia" w:ascii="黑体" w:hAnsi="黑体" w:eastAsia="黑体" w:cs="黑体"/>
          <w:bCs/>
          <w:sz w:val="32"/>
          <w:szCs w:val="32"/>
        </w:rPr>
        <w:t>一、部门主要职责</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区大数据中心是区政府办下属二级机构，主要职责是：贯彻执行国家、省、市关于政务数据管理、电子政务、信息安全等工作的法律、法规和政策；．负责全区数据技术推广应用、数据资源建设管理及大数据采集、管理、开发、共享等工作；负责全区电子政务系统及信息资源的整合共享，建立区级数据中心和共享平台，协调推进全区信息资源开发利用；负责全区政务数据中心、政府数据交换平台等信息化平台的建设和管理，指导协调各部门依托公共平台开发和推进专业应用；负责全区政务网络建设工作，承担区级机关网络机房的建设、管理和维护工作；承担区政府门户网站和政务新媒体的建设、运行和维护，宣传党的路线、方针、政策，发布全区各类政务信息；负责政务网络视频会议通讯与省、市的正常连接和运行，保障视频会议的稳定性；负责政务数据资源在各行业、各部门间的应用指导工作，促进基于数据的业务优化与协同。负责推进新技术在电子政务工作中的应用，提供业务指导及技术培训，负责全区数据资源、政务数据领城对外交流与合作；完成区政府办交办的其他任务。</w:t>
      </w:r>
    </w:p>
    <w:p>
      <w:pPr>
        <w:ind w:firstLine="640" w:firstLineChars="200"/>
        <w:rPr>
          <w:rFonts w:ascii="黑体" w:hAnsi="黑体" w:eastAsia="黑体" w:cs="黑体"/>
          <w:bCs/>
          <w:kern w:val="2"/>
          <w:sz w:val="32"/>
          <w:szCs w:val="32"/>
        </w:rPr>
      </w:pPr>
      <w:r>
        <w:rPr>
          <w:rFonts w:hint="eastAsia" w:ascii="黑体" w:hAnsi="黑体" w:eastAsia="黑体" w:cs="黑体"/>
          <w:bCs/>
          <w:kern w:val="2"/>
          <w:sz w:val="32"/>
          <w:szCs w:val="32"/>
        </w:rPr>
        <w:t>二、机构设置及人员情况</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区大数据中心</w:t>
      </w:r>
      <w:r>
        <w:rPr>
          <w:rFonts w:hint="eastAsia" w:ascii="仿宋_GB2312" w:eastAsia="仿宋_GB2312" w:cs="Times New Roman"/>
          <w:kern w:val="2"/>
          <w:sz w:val="32"/>
          <w:szCs w:val="30"/>
          <w:lang w:eastAsia="zh-CN"/>
        </w:rPr>
        <w:t>是</w:t>
      </w:r>
      <w:r>
        <w:rPr>
          <w:rFonts w:hint="eastAsia" w:ascii="仿宋_GB2312" w:eastAsia="仿宋_GB2312" w:cs="Times New Roman"/>
          <w:kern w:val="2"/>
          <w:sz w:val="32"/>
          <w:szCs w:val="30"/>
        </w:rPr>
        <w:t>区政府办下属二级机构</w:t>
      </w:r>
      <w:r>
        <w:rPr>
          <w:rFonts w:hint="eastAsia" w:ascii="仿宋_GB2312" w:eastAsia="仿宋_GB2312" w:cs="Times New Roman"/>
          <w:kern w:val="2"/>
          <w:sz w:val="32"/>
          <w:szCs w:val="30"/>
          <w:lang w:eastAsia="zh-CN"/>
        </w:rPr>
        <w:t>，为</w:t>
      </w:r>
      <w:r>
        <w:rPr>
          <w:rFonts w:hint="eastAsia" w:ascii="仿宋_GB2312" w:eastAsia="仿宋_GB2312" w:cs="Times New Roman"/>
          <w:kern w:val="2"/>
          <w:sz w:val="32"/>
          <w:szCs w:val="30"/>
        </w:rPr>
        <w:t>全额拨款事业单位</w:t>
      </w:r>
      <w:r>
        <w:rPr>
          <w:rFonts w:hint="eastAsia" w:ascii="仿宋_GB2312" w:eastAsia="仿宋_GB2312" w:cs="Times New Roman"/>
          <w:kern w:val="2"/>
          <w:sz w:val="32"/>
          <w:szCs w:val="30"/>
          <w:lang w:eastAsia="zh-CN"/>
        </w:rPr>
        <w:t>，</w:t>
      </w:r>
      <w:r>
        <w:rPr>
          <w:rFonts w:hint="eastAsia" w:ascii="仿宋_GB2312" w:eastAsia="仿宋_GB2312" w:cs="Times New Roman"/>
          <w:kern w:val="2"/>
          <w:sz w:val="32"/>
          <w:szCs w:val="30"/>
        </w:rPr>
        <w:t>编制人数22个，其中：全部补助事业编制22人，其中：在职人数18人，其中：全部补助事业人员18人。</w:t>
      </w:r>
    </w:p>
    <w:p>
      <w:pPr>
        <w:numPr>
          <w:ilvl w:val="0"/>
          <w:numId w:val="1"/>
        </w:numPr>
        <w:adjustRightInd/>
        <w:snapToGrid/>
        <w:spacing w:after="0" w:line="540" w:lineRule="exact"/>
        <w:jc w:val="center"/>
        <w:rPr>
          <w:rFonts w:ascii="黑体" w:hAnsi="黑体" w:eastAsia="黑体" w:cs="黑体"/>
          <w:bCs/>
          <w:sz w:val="32"/>
          <w:szCs w:val="32"/>
        </w:rPr>
      </w:pPr>
      <w:r>
        <w:rPr>
          <w:rFonts w:hint="eastAsia" w:ascii="黑体" w:hAnsi="黑体" w:eastAsia="黑体" w:cs="黑体"/>
          <w:bCs/>
          <w:sz w:val="32"/>
          <w:szCs w:val="32"/>
        </w:rPr>
        <w:t xml:space="preserve"> 区大数据中心2022年部门预算表</w:t>
      </w:r>
    </w:p>
    <w:p>
      <w:pPr>
        <w:spacing w:line="220" w:lineRule="atLeast"/>
        <w:rPr>
          <w:rFonts w:hint="eastAsia" w:ascii="黑体" w:hAnsi="黑体" w:eastAsia="黑体" w:cs="黑体"/>
          <w:bCs/>
          <w:sz w:val="32"/>
          <w:szCs w:val="32"/>
        </w:rPr>
      </w:pPr>
      <w:r>
        <w:t xml:space="preserve">     </w:t>
      </w:r>
      <w:r>
        <w:rPr>
          <w:rFonts w:hint="eastAsia" w:ascii="仿宋" w:hAnsi="仿宋" w:eastAsia="仿宋" w:cs="仿宋"/>
          <w:sz w:val="32"/>
          <w:szCs w:val="32"/>
        </w:rPr>
        <w:t xml:space="preserve">  </w:t>
      </w:r>
      <w:r>
        <w:rPr>
          <w:rFonts w:hint="eastAsia" w:ascii="仿宋" w:hAnsi="仿宋" w:eastAsia="仿宋" w:cs="仿宋"/>
          <w:sz w:val="32"/>
          <w:szCs w:val="32"/>
          <w:lang w:eastAsia="zh-CN"/>
        </w:rPr>
        <w:t>（详见附表）</w:t>
      </w:r>
    </w:p>
    <w:p>
      <w:pPr>
        <w:spacing w:line="520" w:lineRule="exact"/>
        <w:jc w:val="center"/>
        <w:rPr>
          <w:rFonts w:hint="eastAsia" w:ascii="黑体" w:hAnsi="黑体" w:eastAsia="黑体" w:cs="黑体"/>
          <w:bCs/>
          <w:sz w:val="32"/>
          <w:szCs w:val="32"/>
        </w:rPr>
      </w:pPr>
    </w:p>
    <w:p>
      <w:pPr>
        <w:spacing w:line="520" w:lineRule="exact"/>
        <w:jc w:val="center"/>
        <w:rPr>
          <w:rFonts w:ascii="宋体" w:hAnsi="宋体"/>
          <w:b/>
          <w:sz w:val="32"/>
          <w:szCs w:val="32"/>
        </w:rPr>
      </w:pPr>
      <w:r>
        <w:rPr>
          <w:rFonts w:hint="eastAsia" w:ascii="黑体" w:hAnsi="黑体" w:eastAsia="黑体" w:cs="黑体"/>
          <w:bCs/>
          <w:sz w:val="32"/>
          <w:szCs w:val="32"/>
        </w:rPr>
        <w:t>第三部分 区大数据中心2022年部门预算情况说明</w:t>
      </w:r>
    </w:p>
    <w:p>
      <w:pPr>
        <w:spacing w:line="520" w:lineRule="exact"/>
        <w:ind w:left="630"/>
        <w:rPr>
          <w:rFonts w:ascii="黑体" w:hAnsi="黑体" w:eastAsia="黑体" w:cs="黑体"/>
          <w:bCs/>
          <w:sz w:val="32"/>
          <w:szCs w:val="32"/>
        </w:rPr>
      </w:pPr>
      <w:r>
        <w:rPr>
          <w:rFonts w:hint="eastAsia" w:ascii="黑体" w:hAnsi="黑体" w:eastAsia="黑体" w:cs="黑体"/>
          <w:bCs/>
          <w:sz w:val="32"/>
          <w:szCs w:val="32"/>
        </w:rPr>
        <w:t>一、部门预算收支情况说明</w:t>
      </w:r>
    </w:p>
    <w:p>
      <w:pPr>
        <w:spacing w:line="560" w:lineRule="exact"/>
        <w:rPr>
          <w:rFonts w:ascii="宋体" w:hAnsi="宋体"/>
          <w:sz w:val="32"/>
          <w:szCs w:val="32"/>
        </w:rPr>
      </w:pPr>
      <w:r>
        <w:rPr>
          <w:rFonts w:ascii="宋体" w:hAnsi="宋体"/>
          <w:sz w:val="32"/>
          <w:szCs w:val="32"/>
        </w:rPr>
        <w:t xml:space="preserve">   </w:t>
      </w:r>
      <w:r>
        <w:rPr>
          <w:rFonts w:hint="eastAsia" w:ascii="仿宋" w:hAnsi="仿宋" w:eastAsia="仿宋" w:cs="仿宋"/>
          <w:b/>
          <w:kern w:val="2"/>
          <w:sz w:val="32"/>
          <w:szCs w:val="32"/>
        </w:rPr>
        <w:t>（一）收入预算情况</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2022年区大数据中心收入预算总额612.44万元，较上年</w:t>
      </w:r>
      <w:r>
        <w:rPr>
          <w:rFonts w:hint="eastAsia" w:ascii="仿宋_GB2312" w:eastAsia="仿宋_GB2312" w:cs="Times New Roman"/>
          <w:kern w:val="2"/>
          <w:sz w:val="32"/>
          <w:szCs w:val="30"/>
          <w:lang w:eastAsia="zh-CN"/>
        </w:rPr>
        <w:t>预算安排减少</w:t>
      </w:r>
      <w:r>
        <w:rPr>
          <w:rFonts w:hint="eastAsia" w:ascii="仿宋_GB2312" w:eastAsia="仿宋_GB2312" w:cs="Times New Roman"/>
          <w:kern w:val="2"/>
          <w:sz w:val="32"/>
          <w:szCs w:val="30"/>
          <w:lang w:val="en-US" w:eastAsia="zh-CN"/>
        </w:rPr>
        <w:t>269.15万元</w:t>
      </w:r>
      <w:r>
        <w:rPr>
          <w:rFonts w:hint="eastAsia" w:ascii="仿宋_GB2312" w:eastAsia="仿宋_GB2312" w:cs="Times New Roman"/>
          <w:kern w:val="2"/>
          <w:sz w:val="32"/>
          <w:szCs w:val="30"/>
        </w:rPr>
        <w:t>。其中：财政拨款收入612.44万元</w:t>
      </w:r>
      <w:r>
        <w:rPr>
          <w:rFonts w:hint="eastAsia" w:ascii="仿宋_GB2312" w:eastAsia="仿宋_GB2312" w:cs="Times New Roman"/>
          <w:kern w:val="2"/>
          <w:sz w:val="32"/>
          <w:szCs w:val="30"/>
          <w:lang w:eastAsia="zh-CN"/>
        </w:rPr>
        <w:t>，</w:t>
      </w:r>
      <w:r>
        <w:rPr>
          <w:rFonts w:hint="eastAsia" w:ascii="仿宋_GB2312" w:eastAsia="仿宋_GB2312" w:cs="Times New Roman"/>
          <w:kern w:val="2"/>
          <w:sz w:val="32"/>
          <w:szCs w:val="30"/>
        </w:rPr>
        <w:t>较上年预算安排</w:t>
      </w:r>
      <w:r>
        <w:rPr>
          <w:rFonts w:hint="eastAsia" w:ascii="仿宋_GB2312" w:eastAsia="仿宋_GB2312" w:cs="Times New Roman"/>
          <w:kern w:val="2"/>
          <w:sz w:val="32"/>
          <w:szCs w:val="30"/>
          <w:lang w:eastAsia="zh-CN"/>
        </w:rPr>
        <w:t>减少</w:t>
      </w:r>
      <w:r>
        <w:rPr>
          <w:rFonts w:hint="eastAsia" w:ascii="仿宋_GB2312" w:eastAsia="仿宋_GB2312" w:cs="Times New Roman"/>
          <w:kern w:val="2"/>
          <w:sz w:val="32"/>
          <w:szCs w:val="30"/>
          <w:lang w:val="en-US" w:eastAsia="zh-CN"/>
        </w:rPr>
        <w:t>269.15万元</w:t>
      </w:r>
      <w:r>
        <w:rPr>
          <w:rFonts w:hint="eastAsia" w:ascii="仿宋_GB2312" w:eastAsia="仿宋_GB2312" w:cs="Times New Roman"/>
          <w:kern w:val="2"/>
          <w:sz w:val="32"/>
          <w:szCs w:val="30"/>
        </w:rPr>
        <w:t>。</w:t>
      </w:r>
    </w:p>
    <w:p>
      <w:pPr>
        <w:spacing w:line="560" w:lineRule="exact"/>
        <w:ind w:firstLine="642"/>
        <w:rPr>
          <w:rFonts w:ascii="仿宋" w:hAnsi="仿宋" w:eastAsia="仿宋" w:cs="仿宋"/>
          <w:b/>
          <w:kern w:val="2"/>
          <w:sz w:val="32"/>
          <w:szCs w:val="32"/>
        </w:rPr>
      </w:pPr>
      <w:r>
        <w:rPr>
          <w:rFonts w:hint="eastAsia" w:ascii="仿宋" w:hAnsi="仿宋" w:eastAsia="仿宋" w:cs="仿宋"/>
          <w:b/>
          <w:kern w:val="2"/>
          <w:sz w:val="32"/>
          <w:szCs w:val="32"/>
        </w:rPr>
        <w:t>（二）支出预算情况</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2022年区大数据中心支出预算总额为612.44万元，较上年</w:t>
      </w:r>
      <w:r>
        <w:rPr>
          <w:rFonts w:hint="eastAsia" w:ascii="仿宋_GB2312" w:eastAsia="仿宋_GB2312" w:cs="Times New Roman"/>
          <w:kern w:val="2"/>
          <w:sz w:val="32"/>
          <w:szCs w:val="30"/>
          <w:lang w:eastAsia="zh-CN"/>
        </w:rPr>
        <w:t>预算安排减少</w:t>
      </w:r>
      <w:r>
        <w:rPr>
          <w:rFonts w:hint="eastAsia" w:ascii="仿宋_GB2312" w:eastAsia="仿宋_GB2312" w:cs="Times New Roman"/>
          <w:kern w:val="2"/>
          <w:sz w:val="32"/>
          <w:szCs w:val="30"/>
          <w:lang w:val="en-US" w:eastAsia="zh-CN"/>
        </w:rPr>
        <w:t>269.15万元</w:t>
      </w:r>
      <w:r>
        <w:rPr>
          <w:rFonts w:hint="eastAsia" w:ascii="仿宋_GB2312" w:eastAsia="仿宋_GB2312" w:cs="Times New Roman"/>
          <w:kern w:val="2"/>
          <w:sz w:val="32"/>
          <w:szCs w:val="30"/>
        </w:rPr>
        <w:t>。其中：</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按支出项目类别划分：基本支出165.91万元，较上年预算安排</w:t>
      </w:r>
      <w:r>
        <w:rPr>
          <w:rFonts w:hint="eastAsia" w:ascii="仿宋_GB2312" w:eastAsia="仿宋_GB2312" w:cs="Times New Roman"/>
          <w:kern w:val="2"/>
          <w:sz w:val="32"/>
          <w:szCs w:val="30"/>
          <w:lang w:eastAsia="zh-CN"/>
        </w:rPr>
        <w:t>减少</w:t>
      </w:r>
      <w:r>
        <w:rPr>
          <w:rFonts w:hint="eastAsia" w:ascii="仿宋_GB2312" w:eastAsia="仿宋_GB2312" w:cs="Times New Roman"/>
          <w:kern w:val="2"/>
          <w:sz w:val="32"/>
          <w:szCs w:val="30"/>
          <w:lang w:val="en-US" w:eastAsia="zh-CN"/>
        </w:rPr>
        <w:t>208.43</w:t>
      </w:r>
      <w:r>
        <w:rPr>
          <w:rFonts w:hint="eastAsia" w:ascii="仿宋_GB2312" w:eastAsia="仿宋_GB2312" w:cs="Times New Roman"/>
          <w:kern w:val="2"/>
          <w:sz w:val="32"/>
          <w:szCs w:val="30"/>
        </w:rPr>
        <w:t>万元;包括工资福利支出156.91万元、商品和服务支出9万元；项目支出227.53万元</w:t>
      </w:r>
      <w:r>
        <w:rPr>
          <w:rFonts w:hint="eastAsia" w:ascii="仿宋_GB2312" w:eastAsia="仿宋_GB2312" w:cs="Times New Roman"/>
          <w:kern w:val="2"/>
          <w:sz w:val="32"/>
          <w:szCs w:val="30"/>
          <w:lang w:eastAsia="zh-CN"/>
        </w:rPr>
        <w:t>。较上年预算安排减少支出</w:t>
      </w:r>
      <w:r>
        <w:rPr>
          <w:rFonts w:hint="eastAsia" w:ascii="仿宋_GB2312" w:eastAsia="仿宋_GB2312" w:cs="Times New Roman"/>
          <w:kern w:val="2"/>
          <w:sz w:val="32"/>
          <w:szCs w:val="30"/>
          <w:lang w:val="en-US" w:eastAsia="zh-CN"/>
        </w:rPr>
        <w:t>279.72万元</w:t>
      </w:r>
      <w:r>
        <w:rPr>
          <w:rFonts w:hint="eastAsia" w:ascii="仿宋_GB2312" w:eastAsia="仿宋_GB2312" w:cs="Times New Roman"/>
          <w:kern w:val="2"/>
          <w:sz w:val="32"/>
          <w:szCs w:val="30"/>
        </w:rPr>
        <w:t>。</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按支出功能科目划分：</w:t>
      </w:r>
      <w:r>
        <w:rPr>
          <w:rFonts w:hint="eastAsia" w:ascii="仿宋_GB2312" w:eastAsia="仿宋_GB2312" w:cs="Times New Roman"/>
          <w:kern w:val="2"/>
          <w:sz w:val="32"/>
          <w:szCs w:val="30"/>
          <w:lang w:eastAsia="zh-CN"/>
        </w:rPr>
        <w:t>一般公共服务支出</w:t>
      </w:r>
      <w:r>
        <w:rPr>
          <w:rFonts w:hint="eastAsia" w:ascii="仿宋_GB2312" w:eastAsia="仿宋_GB2312" w:cs="Times New Roman"/>
          <w:kern w:val="2"/>
          <w:sz w:val="32"/>
          <w:szCs w:val="30"/>
        </w:rPr>
        <w:t>380.57万元，较上年预算安排</w:t>
      </w:r>
      <w:r>
        <w:rPr>
          <w:rFonts w:hint="eastAsia" w:ascii="仿宋_GB2312" w:eastAsia="仿宋_GB2312" w:cs="Times New Roman"/>
          <w:kern w:val="2"/>
          <w:sz w:val="32"/>
          <w:szCs w:val="30"/>
          <w:lang w:eastAsia="zh-CN"/>
        </w:rPr>
        <w:t>减少</w:t>
      </w:r>
      <w:r>
        <w:rPr>
          <w:rFonts w:hint="eastAsia" w:ascii="仿宋_GB2312" w:eastAsia="仿宋_GB2312" w:cs="Times New Roman"/>
          <w:kern w:val="2"/>
          <w:sz w:val="32"/>
          <w:szCs w:val="30"/>
          <w:lang w:val="en-US" w:eastAsia="zh-CN"/>
        </w:rPr>
        <w:t>487.6</w:t>
      </w:r>
      <w:r>
        <w:rPr>
          <w:rFonts w:hint="eastAsia" w:ascii="仿宋_GB2312" w:eastAsia="仿宋_GB2312" w:cs="Times New Roman"/>
          <w:kern w:val="2"/>
          <w:sz w:val="32"/>
          <w:szCs w:val="30"/>
        </w:rPr>
        <w:t>万元;住房</w:t>
      </w:r>
      <w:r>
        <w:rPr>
          <w:rFonts w:hint="eastAsia" w:ascii="仿宋_GB2312" w:eastAsia="仿宋_GB2312" w:cs="Times New Roman"/>
          <w:kern w:val="2"/>
          <w:sz w:val="32"/>
          <w:szCs w:val="30"/>
          <w:lang w:eastAsia="zh-CN"/>
        </w:rPr>
        <w:t>保障支出</w:t>
      </w:r>
      <w:r>
        <w:rPr>
          <w:rFonts w:hint="eastAsia" w:ascii="仿宋_GB2312" w:eastAsia="仿宋_GB2312" w:cs="Times New Roman"/>
          <w:kern w:val="2"/>
          <w:sz w:val="32"/>
          <w:szCs w:val="30"/>
        </w:rPr>
        <w:t>12.87万元</w:t>
      </w:r>
      <w:r>
        <w:rPr>
          <w:rFonts w:hint="eastAsia" w:ascii="仿宋_GB2312" w:eastAsia="仿宋_GB2312" w:cs="Times New Roman"/>
          <w:kern w:val="2"/>
          <w:sz w:val="32"/>
          <w:szCs w:val="30"/>
          <w:lang w:eastAsia="zh-CN"/>
        </w:rPr>
        <w:t>，较上年预算安排减少</w:t>
      </w:r>
      <w:r>
        <w:rPr>
          <w:rFonts w:hint="eastAsia" w:ascii="仿宋_GB2312" w:eastAsia="仿宋_GB2312" w:cs="Times New Roman"/>
          <w:kern w:val="2"/>
          <w:sz w:val="32"/>
          <w:szCs w:val="30"/>
          <w:lang w:val="en-US" w:eastAsia="zh-CN"/>
        </w:rPr>
        <w:t>0.55万元</w:t>
      </w:r>
      <w:r>
        <w:rPr>
          <w:rFonts w:hint="eastAsia" w:ascii="仿宋_GB2312" w:eastAsia="仿宋_GB2312" w:cs="Times New Roman"/>
          <w:kern w:val="2"/>
          <w:sz w:val="32"/>
          <w:szCs w:val="30"/>
        </w:rPr>
        <w:t>。</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按支出经济分类划分：基本支出165.91万元，包括工资福利支出156.91万元、商品和服务支出9万元；项目支出227.53万元。</w:t>
      </w:r>
    </w:p>
    <w:p>
      <w:pPr>
        <w:widowControl w:val="0"/>
        <w:numPr>
          <w:ilvl w:val="0"/>
          <w:numId w:val="2"/>
        </w:numPr>
        <w:adjustRightInd/>
        <w:snapToGrid/>
        <w:spacing w:after="0" w:line="560" w:lineRule="exact"/>
        <w:ind w:firstLine="642"/>
        <w:jc w:val="both"/>
        <w:rPr>
          <w:rFonts w:ascii="仿宋" w:hAnsi="仿宋" w:eastAsia="仿宋" w:cs="仿宋"/>
          <w:b/>
          <w:kern w:val="2"/>
          <w:sz w:val="32"/>
          <w:szCs w:val="32"/>
        </w:rPr>
      </w:pPr>
      <w:r>
        <w:rPr>
          <w:rFonts w:hint="eastAsia" w:ascii="仿宋" w:hAnsi="仿宋" w:eastAsia="仿宋" w:cs="仿宋"/>
          <w:b/>
          <w:kern w:val="2"/>
          <w:sz w:val="32"/>
          <w:szCs w:val="32"/>
        </w:rPr>
        <w:t>财政拨款支出情况</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2022年区大数据中心支出预算总额为</w:t>
      </w:r>
      <w:r>
        <w:rPr>
          <w:rFonts w:hint="eastAsia" w:ascii="仿宋_GB2312" w:eastAsia="仿宋_GB2312" w:cs="Times New Roman"/>
          <w:kern w:val="2"/>
          <w:sz w:val="32"/>
          <w:szCs w:val="30"/>
          <w:lang w:val="en-US" w:eastAsia="zh-CN"/>
        </w:rPr>
        <w:t>393.</w:t>
      </w:r>
      <w:r>
        <w:rPr>
          <w:rFonts w:hint="eastAsia" w:ascii="仿宋_GB2312" w:eastAsia="仿宋_GB2312" w:cs="Times New Roman"/>
          <w:kern w:val="2"/>
          <w:sz w:val="32"/>
          <w:szCs w:val="30"/>
        </w:rPr>
        <w:t>44万元，较上年</w:t>
      </w:r>
      <w:r>
        <w:rPr>
          <w:rFonts w:hint="eastAsia" w:ascii="仿宋_GB2312" w:eastAsia="仿宋_GB2312" w:cs="Times New Roman"/>
          <w:kern w:val="2"/>
          <w:sz w:val="32"/>
          <w:szCs w:val="30"/>
          <w:lang w:eastAsia="zh-CN"/>
        </w:rPr>
        <w:t>预算安排减少</w:t>
      </w:r>
      <w:r>
        <w:rPr>
          <w:rFonts w:hint="eastAsia" w:ascii="仿宋_GB2312" w:eastAsia="仿宋_GB2312" w:cs="Times New Roman"/>
          <w:kern w:val="2"/>
          <w:sz w:val="32"/>
          <w:szCs w:val="30"/>
          <w:lang w:val="en-US" w:eastAsia="zh-CN"/>
        </w:rPr>
        <w:t>50.15万元</w:t>
      </w:r>
      <w:r>
        <w:rPr>
          <w:rFonts w:hint="eastAsia" w:ascii="仿宋_GB2312" w:eastAsia="仿宋_GB2312" w:cs="Times New Roman"/>
          <w:kern w:val="2"/>
          <w:sz w:val="32"/>
          <w:szCs w:val="30"/>
        </w:rPr>
        <w:t>。其中：</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按支出项目类别划分：基本支出165.91万元，较上年预算安排</w:t>
      </w:r>
      <w:r>
        <w:rPr>
          <w:rFonts w:hint="eastAsia" w:ascii="仿宋_GB2312" w:eastAsia="仿宋_GB2312" w:cs="Times New Roman"/>
          <w:kern w:val="2"/>
          <w:sz w:val="32"/>
          <w:szCs w:val="30"/>
          <w:lang w:eastAsia="zh-CN"/>
        </w:rPr>
        <w:t>减少</w:t>
      </w:r>
      <w:r>
        <w:rPr>
          <w:rFonts w:hint="eastAsia" w:ascii="仿宋_GB2312" w:eastAsia="仿宋_GB2312" w:cs="Times New Roman"/>
          <w:kern w:val="2"/>
          <w:sz w:val="32"/>
          <w:szCs w:val="30"/>
          <w:lang w:val="en-US" w:eastAsia="zh-CN"/>
        </w:rPr>
        <w:t>208.43</w:t>
      </w:r>
      <w:r>
        <w:rPr>
          <w:rFonts w:hint="eastAsia" w:ascii="仿宋_GB2312" w:eastAsia="仿宋_GB2312" w:cs="Times New Roman"/>
          <w:kern w:val="2"/>
          <w:sz w:val="32"/>
          <w:szCs w:val="30"/>
        </w:rPr>
        <w:t>万元;包括工资福利支出156.91万元、商品和服务支出9万元；项目支出227.53万元</w:t>
      </w:r>
      <w:r>
        <w:rPr>
          <w:rFonts w:hint="eastAsia" w:ascii="仿宋_GB2312" w:eastAsia="仿宋_GB2312" w:cs="Times New Roman"/>
          <w:kern w:val="2"/>
          <w:sz w:val="32"/>
          <w:szCs w:val="30"/>
          <w:lang w:eastAsia="zh-CN"/>
        </w:rPr>
        <w:t>。较上年预算安排减少支出</w:t>
      </w:r>
      <w:r>
        <w:rPr>
          <w:rFonts w:hint="eastAsia" w:ascii="仿宋_GB2312" w:eastAsia="仿宋_GB2312" w:cs="Times New Roman"/>
          <w:kern w:val="2"/>
          <w:sz w:val="32"/>
          <w:szCs w:val="30"/>
          <w:lang w:val="en-US" w:eastAsia="zh-CN"/>
        </w:rPr>
        <w:t>279.72万元</w:t>
      </w:r>
      <w:r>
        <w:rPr>
          <w:rFonts w:hint="eastAsia" w:ascii="仿宋_GB2312" w:eastAsia="仿宋_GB2312" w:cs="Times New Roman"/>
          <w:kern w:val="2"/>
          <w:sz w:val="32"/>
          <w:szCs w:val="30"/>
        </w:rPr>
        <w:t>。</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按支出功能科目划分：</w:t>
      </w:r>
      <w:r>
        <w:rPr>
          <w:rFonts w:hint="eastAsia" w:ascii="仿宋_GB2312" w:eastAsia="仿宋_GB2312" w:cs="Times New Roman"/>
          <w:kern w:val="2"/>
          <w:sz w:val="32"/>
          <w:szCs w:val="30"/>
          <w:lang w:eastAsia="zh-CN"/>
        </w:rPr>
        <w:t>一般公共服务支出</w:t>
      </w:r>
      <w:r>
        <w:rPr>
          <w:rFonts w:hint="eastAsia" w:ascii="仿宋_GB2312" w:eastAsia="仿宋_GB2312" w:cs="Times New Roman"/>
          <w:kern w:val="2"/>
          <w:sz w:val="32"/>
          <w:szCs w:val="30"/>
        </w:rPr>
        <w:t>380.57万元，较上年预算安排</w:t>
      </w:r>
      <w:r>
        <w:rPr>
          <w:rFonts w:hint="eastAsia" w:ascii="仿宋_GB2312" w:eastAsia="仿宋_GB2312" w:cs="Times New Roman"/>
          <w:kern w:val="2"/>
          <w:sz w:val="32"/>
          <w:szCs w:val="30"/>
          <w:lang w:eastAsia="zh-CN"/>
        </w:rPr>
        <w:t>减少</w:t>
      </w:r>
      <w:r>
        <w:rPr>
          <w:rFonts w:hint="eastAsia" w:ascii="仿宋_GB2312" w:eastAsia="仿宋_GB2312" w:cs="Times New Roman"/>
          <w:kern w:val="2"/>
          <w:sz w:val="32"/>
          <w:szCs w:val="30"/>
          <w:lang w:val="en-US" w:eastAsia="zh-CN"/>
        </w:rPr>
        <w:t>487.6</w:t>
      </w:r>
      <w:r>
        <w:rPr>
          <w:rFonts w:hint="eastAsia" w:ascii="仿宋_GB2312" w:eastAsia="仿宋_GB2312" w:cs="Times New Roman"/>
          <w:kern w:val="2"/>
          <w:sz w:val="32"/>
          <w:szCs w:val="30"/>
        </w:rPr>
        <w:t>万元;住房</w:t>
      </w:r>
      <w:r>
        <w:rPr>
          <w:rFonts w:hint="eastAsia" w:ascii="仿宋_GB2312" w:eastAsia="仿宋_GB2312" w:cs="Times New Roman"/>
          <w:kern w:val="2"/>
          <w:sz w:val="32"/>
          <w:szCs w:val="30"/>
          <w:lang w:eastAsia="zh-CN"/>
        </w:rPr>
        <w:t>保障支出</w:t>
      </w:r>
      <w:r>
        <w:rPr>
          <w:rFonts w:hint="eastAsia" w:ascii="仿宋_GB2312" w:eastAsia="仿宋_GB2312" w:cs="Times New Roman"/>
          <w:kern w:val="2"/>
          <w:sz w:val="32"/>
          <w:szCs w:val="30"/>
        </w:rPr>
        <w:t>12.87万元</w:t>
      </w:r>
      <w:r>
        <w:rPr>
          <w:rFonts w:hint="eastAsia" w:ascii="仿宋_GB2312" w:eastAsia="仿宋_GB2312" w:cs="Times New Roman"/>
          <w:kern w:val="2"/>
          <w:sz w:val="32"/>
          <w:szCs w:val="30"/>
          <w:lang w:eastAsia="zh-CN"/>
        </w:rPr>
        <w:t>，较上年预算安排减少</w:t>
      </w:r>
      <w:r>
        <w:rPr>
          <w:rFonts w:hint="eastAsia" w:ascii="仿宋_GB2312" w:eastAsia="仿宋_GB2312" w:cs="Times New Roman"/>
          <w:kern w:val="2"/>
          <w:sz w:val="32"/>
          <w:szCs w:val="30"/>
          <w:lang w:val="en-US" w:eastAsia="zh-CN"/>
        </w:rPr>
        <w:t>0.55万元</w:t>
      </w:r>
      <w:r>
        <w:rPr>
          <w:rFonts w:hint="eastAsia" w:ascii="仿宋_GB2312" w:eastAsia="仿宋_GB2312" w:cs="Times New Roman"/>
          <w:kern w:val="2"/>
          <w:sz w:val="32"/>
          <w:szCs w:val="30"/>
        </w:rPr>
        <w:t>。</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按支出经济分类划分：基本支出165.91万元，包括工资福利支出156.91万元、商品和服务支出9万元；项目支出227.53万元。</w:t>
      </w:r>
    </w:p>
    <w:p>
      <w:pPr>
        <w:pStyle w:val="12"/>
        <w:rPr>
          <w:rFonts w:ascii="仿宋" w:hAnsi="仿宋" w:eastAsia="仿宋" w:cs="仿宋"/>
          <w:b/>
          <w:sz w:val="32"/>
          <w:szCs w:val="32"/>
        </w:rPr>
      </w:pPr>
      <w:r>
        <w:rPr>
          <w:rFonts w:hint="eastAsia" w:ascii="仿宋" w:hAnsi="仿宋" w:eastAsia="仿宋" w:cs="仿宋"/>
          <w:b/>
          <w:sz w:val="32"/>
          <w:szCs w:val="32"/>
        </w:rPr>
        <w:t>（四）政府性基金情况</w:t>
      </w:r>
    </w:p>
    <w:p>
      <w:pPr>
        <w:ind w:firstLine="640" w:firstLineChars="200"/>
        <w:rPr>
          <w:rFonts w:hint="eastAsia" w:ascii="仿宋" w:hAnsi="仿宋" w:eastAsia="仿宋" w:cs="Times New Roman"/>
          <w:kern w:val="0"/>
          <w:sz w:val="32"/>
          <w:szCs w:val="32"/>
          <w:lang w:val="en-US" w:eastAsia="zh-CN"/>
        </w:rPr>
      </w:pPr>
      <w:r>
        <w:rPr>
          <w:rFonts w:hint="eastAsia" w:ascii="仿宋_GB2312" w:hAnsi="Tahoma" w:eastAsia="仿宋_GB2312" w:cs="Times New Roman"/>
          <w:kern w:val="2"/>
          <w:sz w:val="32"/>
          <w:szCs w:val="30"/>
          <w:lang w:val="en-US" w:eastAsia="zh-CN" w:bidi="ar-SA"/>
        </w:rPr>
        <w:t>2022年本部门</w:t>
      </w:r>
      <w:r>
        <w:rPr>
          <w:rFonts w:ascii="Adobe 仿宋 Std R" w:hAnsi="Adobe 仿宋 Std R" w:eastAsia="Adobe 仿宋 Std R"/>
          <w:sz w:val="32"/>
          <w:szCs w:val="32"/>
        </w:rPr>
        <w:t>政府性基金支出预算</w:t>
      </w:r>
      <w:r>
        <w:rPr>
          <w:rStyle w:val="13"/>
          <w:rFonts w:hint="eastAsia" w:ascii="仿宋" w:hAnsi="仿宋" w:eastAsia="仿宋"/>
          <w:sz w:val="32"/>
          <w:szCs w:val="32"/>
        </w:rPr>
        <w:t>为</w:t>
      </w:r>
      <w:r>
        <w:rPr>
          <w:rFonts w:hint="eastAsia" w:ascii="仿宋" w:hAnsi="仿宋" w:eastAsia="仿宋" w:cs="Times New Roman"/>
          <w:kern w:val="0"/>
          <w:sz w:val="32"/>
          <w:szCs w:val="32"/>
          <w:lang w:val="en-US" w:eastAsia="zh-CN"/>
        </w:rPr>
        <w:t>0。</w:t>
      </w:r>
    </w:p>
    <w:p>
      <w:pPr>
        <w:ind w:firstLine="640" w:firstLineChars="200"/>
        <w:rPr>
          <w:rFonts w:hint="eastAsia" w:ascii="仿宋_GB2312" w:eastAsia="仿宋_GB2312" w:cs="Times New Roman"/>
          <w:sz w:val="32"/>
          <w:szCs w:val="30"/>
        </w:rPr>
      </w:pPr>
      <w:r>
        <w:rPr>
          <w:rStyle w:val="13"/>
          <w:rFonts w:hint="eastAsia" w:ascii="仿宋" w:hAnsi="仿宋" w:eastAsia="仿宋"/>
          <w:sz w:val="32"/>
          <w:szCs w:val="32"/>
        </w:rPr>
        <w:t>按支出项目类别划分：</w:t>
      </w:r>
      <w:r>
        <w:rPr>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${page400644146.ds215660413_REP_BGT_T_HC1100002019_DXQ02_JBZCQKJJ}</w:instrText>
      </w:r>
      <w:r>
        <w:rPr>
          <w:rFonts w:ascii="仿宋" w:hAnsi="仿宋" w:eastAsia="仿宋"/>
          <w:sz w:val="32"/>
          <w:szCs w:val="32"/>
        </w:rPr>
        <w:fldChar w:fldCharType="separate"/>
      </w:r>
      <w:r>
        <w:fldChar w:fldCharType="end"/>
      </w:r>
      <w:r>
        <w:rPr>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${page400644146.ds215660413_REP_BGT_T_HC1100002019_DXQ02_XMZCQKJJ}</w:instrText>
      </w:r>
      <w:r>
        <w:rPr>
          <w:rFonts w:ascii="仿宋" w:hAnsi="仿宋" w:eastAsia="仿宋"/>
          <w:sz w:val="32"/>
          <w:szCs w:val="32"/>
        </w:rPr>
        <w:fldChar w:fldCharType="separate"/>
      </w:r>
      <w:r>
        <w:fldChar w:fldCharType="end"/>
      </w:r>
      <w:r>
        <w:rPr>
          <w:rFonts w:hint="eastAsia" w:ascii="Adobe 仿宋 Std R" w:hAnsi="Adobe 仿宋 Std R" w:eastAsia="Adobe 仿宋 Std R" w:cs="黑体"/>
          <w:kern w:val="2"/>
          <w:sz w:val="32"/>
          <w:szCs w:val="30"/>
          <w:lang w:val="en-US" w:eastAsia="zh-CN"/>
        </w:rPr>
        <w:t>没有使用政府性基金预算拨款安排的支出。</w:t>
      </w:r>
    </w:p>
    <w:p>
      <w:pPr>
        <w:ind w:firstLine="643" w:firstLineChars="200"/>
        <w:rPr>
          <w:rStyle w:val="13"/>
          <w:rFonts w:ascii="Adobe 仿宋 Std R" w:hAnsi="Adobe 仿宋 Std R" w:eastAsia="Adobe 仿宋 Std R"/>
          <w:b/>
          <w:sz w:val="32"/>
          <w:szCs w:val="32"/>
        </w:rPr>
      </w:pPr>
      <w:r>
        <w:rPr>
          <w:rStyle w:val="13"/>
          <w:rFonts w:hint="eastAsia" w:ascii="Adobe 仿宋 Std R" w:hAnsi="Adobe 仿宋 Std R" w:eastAsia="Adobe 仿宋 Std R"/>
          <w:b/>
          <w:sz w:val="32"/>
          <w:szCs w:val="32"/>
        </w:rPr>
        <w:t>（五）国有资本经营情况</w:t>
      </w:r>
    </w:p>
    <w:p>
      <w:pPr>
        <w:ind w:firstLine="640" w:firstLineChars="200"/>
        <w:rPr>
          <w:rStyle w:val="13"/>
          <w:rFonts w:ascii="仿宋" w:hAnsi="仿宋" w:eastAsia="仿宋"/>
          <w:sz w:val="32"/>
          <w:szCs w:val="32"/>
        </w:rPr>
      </w:pPr>
      <w:r>
        <w:rPr>
          <w:rFonts w:hint="eastAsia" w:ascii="仿宋_GB2312" w:eastAsia="仿宋_GB2312" w:cs="Times New Roman"/>
          <w:kern w:val="2"/>
          <w:sz w:val="32"/>
          <w:szCs w:val="30"/>
          <w:lang w:val="en-US" w:eastAsia="zh-CN"/>
        </w:rPr>
        <w:t>2022年</w:t>
      </w:r>
      <w:r>
        <w:rPr>
          <w:rFonts w:hint="eastAsia" w:ascii="仿宋_GB2312" w:eastAsia="仿宋_GB2312" w:cs="Times New Roman"/>
          <w:kern w:val="2"/>
          <w:sz w:val="32"/>
          <w:szCs w:val="30"/>
        </w:rPr>
        <w:t>本部门</w:t>
      </w:r>
      <w:r>
        <w:rPr>
          <w:rStyle w:val="13"/>
          <w:rFonts w:hint="eastAsia" w:ascii="仿宋" w:hAnsi="仿宋" w:eastAsia="仿宋"/>
          <w:sz w:val="32"/>
          <w:szCs w:val="32"/>
        </w:rPr>
        <w:t>国有资本经营</w:t>
      </w:r>
      <w:r>
        <w:rPr>
          <w:rStyle w:val="13"/>
          <w:rFonts w:ascii="仿宋" w:hAnsi="仿宋" w:eastAsia="仿宋"/>
          <w:sz w:val="32"/>
          <w:szCs w:val="32"/>
        </w:rPr>
        <w:t>支出预算</w:t>
      </w:r>
      <w:r>
        <w:rPr>
          <w:rStyle w:val="13"/>
          <w:rFonts w:hint="eastAsia" w:ascii="仿宋" w:hAnsi="仿宋" w:eastAsia="仿宋"/>
          <w:sz w:val="32"/>
          <w:szCs w:val="32"/>
        </w:rPr>
        <w:t>为</w:t>
      </w:r>
      <w:r>
        <w:rPr>
          <w:rFonts w:hint="eastAsia" w:ascii="仿宋" w:hAnsi="仿宋" w:eastAsia="仿宋" w:cs="Times New Roman"/>
          <w:kern w:val="0"/>
          <w:sz w:val="32"/>
          <w:szCs w:val="32"/>
          <w:lang w:val="en-US" w:eastAsia="zh-CN"/>
        </w:rPr>
        <w:t>0。</w:t>
      </w:r>
      <w:r>
        <w:rPr>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${page400644146.ds215660413_REP_BGT_T_HC1100002019_DXQ02_S_AMTGYZBJYYSZJ}</w:instrText>
      </w:r>
      <w:r>
        <w:rPr>
          <w:rFonts w:ascii="仿宋" w:hAnsi="仿宋" w:eastAsia="仿宋"/>
          <w:sz w:val="32"/>
          <w:szCs w:val="32"/>
        </w:rPr>
        <w:fldChar w:fldCharType="separate"/>
      </w:r>
      <w:r>
        <w:fldChar w:fldCharType="end"/>
      </w:r>
    </w:p>
    <w:p>
      <w:pPr>
        <w:ind w:firstLine="640" w:firstLineChars="200"/>
        <w:rPr>
          <w:rFonts w:hint="eastAsia" w:ascii="仿宋_GB2312" w:eastAsia="仿宋_GB2312" w:cs="Times New Roman"/>
          <w:kern w:val="2"/>
          <w:sz w:val="32"/>
          <w:szCs w:val="30"/>
          <w:lang w:val="en-US" w:eastAsia="zh-CN"/>
        </w:rPr>
      </w:pPr>
      <w:r>
        <w:rPr>
          <w:rStyle w:val="13"/>
          <w:rFonts w:hint="eastAsia" w:ascii="仿宋" w:hAnsi="仿宋" w:eastAsia="仿宋"/>
          <w:sz w:val="32"/>
          <w:szCs w:val="32"/>
        </w:rPr>
        <w:t>按支出项目类别划分：</w:t>
      </w:r>
      <w:r>
        <w:rPr>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${page400644146.ds215660413_REP_BGT_T_HC1100002019_DXQ02_JBZCQKGY}</w:instrText>
      </w:r>
      <w:r>
        <w:rPr>
          <w:rFonts w:ascii="仿宋" w:hAnsi="仿宋" w:eastAsia="仿宋"/>
          <w:sz w:val="32"/>
          <w:szCs w:val="32"/>
        </w:rPr>
        <w:fldChar w:fldCharType="separate"/>
      </w:r>
      <w:r>
        <w:fldChar w:fldCharType="end"/>
      </w:r>
      <w:r>
        <w:rPr>
          <w:rFonts w:ascii="仿宋" w:hAnsi="仿宋" w:eastAsia="仿宋"/>
          <w:sz w:val="32"/>
          <w:szCs w:val="32"/>
        </w:rPr>
        <w:fldChar w:fldCharType="begin"/>
      </w:r>
      <w:r>
        <w:rPr>
          <w:rStyle w:val="13"/>
          <w:rFonts w:ascii="仿宋" w:hAnsi="仿宋" w:eastAsia="仿宋"/>
          <w:sz w:val="32"/>
          <w:szCs w:val="32"/>
        </w:rPr>
        <w:instrText xml:space="preserve">MERGEFIELD ${page400644146.ds215660413_REP_BGT_T_HC1100002019_DXQ02_XMZCQKGY}</w:instrText>
      </w:r>
      <w:r>
        <w:rPr>
          <w:rFonts w:ascii="仿宋" w:hAnsi="仿宋" w:eastAsia="仿宋"/>
          <w:sz w:val="32"/>
          <w:szCs w:val="32"/>
        </w:rPr>
        <w:fldChar w:fldCharType="separate"/>
      </w:r>
      <w:r>
        <w:fldChar w:fldCharType="end"/>
      </w:r>
      <w:r>
        <w:rPr>
          <w:rStyle w:val="13"/>
          <w:rFonts w:hint="eastAsia" w:ascii="仿宋" w:hAnsi="仿宋" w:eastAsia="仿宋"/>
          <w:sz w:val="32"/>
          <w:szCs w:val="32"/>
        </w:rPr>
        <w:t>没有使用国有资本经营预算拨款安排的支出</w:t>
      </w:r>
      <w:r>
        <w:rPr>
          <w:rStyle w:val="13"/>
          <w:rFonts w:hint="eastAsia" w:ascii="仿宋" w:hAnsi="仿宋" w:eastAsia="仿宋"/>
          <w:sz w:val="32"/>
          <w:szCs w:val="32"/>
          <w:lang w:eastAsia="zh-CN"/>
        </w:rPr>
        <w:t>。</w:t>
      </w:r>
    </w:p>
    <w:p>
      <w:pPr>
        <w:ind w:firstLine="643" w:firstLineChars="200"/>
        <w:rPr>
          <w:rFonts w:ascii="仿宋" w:hAnsi="仿宋" w:eastAsia="仿宋" w:cs="仿宋"/>
          <w:b/>
          <w:kern w:val="2"/>
          <w:sz w:val="32"/>
          <w:szCs w:val="32"/>
        </w:rPr>
      </w:pPr>
      <w:r>
        <w:rPr>
          <w:rFonts w:hint="eastAsia" w:ascii="Adobe 仿宋 Std R" w:hAnsi="Adobe 仿宋 Std R" w:eastAsia="Adobe 仿宋 Std R" w:cs="黑体"/>
          <w:b/>
          <w:bCs/>
          <w:kern w:val="2"/>
          <w:sz w:val="32"/>
          <w:szCs w:val="30"/>
          <w:lang w:val="en-US" w:eastAsia="zh-CN"/>
        </w:rPr>
        <w:t>（六）</w:t>
      </w:r>
      <w:r>
        <w:rPr>
          <w:rFonts w:hint="eastAsia" w:ascii="仿宋" w:hAnsi="仿宋" w:eastAsia="仿宋" w:cs="仿宋"/>
          <w:b/>
          <w:kern w:val="2"/>
          <w:sz w:val="32"/>
          <w:szCs w:val="32"/>
        </w:rPr>
        <w:t>机关运行经费等重要情况说明</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本部门2022年度机关运行经费9万元，较上年下降0 %，主要原因是：节省办公开支。其中：办公费1万元，印刷费0.5万元，手续费0.5万元，电费0.5万元，差旅费0.5万元，培训费2万元，邮电费0.5万元。</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20" w:lineRule="exact"/>
        <w:ind w:firstLine="640" w:firstLineChars="200"/>
        <w:rPr>
          <w:rFonts w:hint="eastAsia" w:ascii="仿宋_GB2312" w:eastAsia="仿宋_GB2312" w:cs="Times New Roman"/>
          <w:kern w:val="2"/>
          <w:sz w:val="32"/>
          <w:szCs w:val="30"/>
        </w:rPr>
      </w:pPr>
    </w:p>
    <w:p>
      <w:pPr>
        <w:ind w:firstLine="643" w:firstLineChars="200"/>
        <w:rPr>
          <w:rFonts w:ascii="仿宋" w:hAnsi="仿宋" w:eastAsia="仿宋" w:cs="仿宋"/>
          <w:b/>
          <w:kern w:val="2"/>
          <w:sz w:val="32"/>
          <w:szCs w:val="32"/>
        </w:rPr>
      </w:pPr>
      <w:r>
        <w:rPr>
          <w:rFonts w:hint="eastAsia" w:ascii="Adobe 仿宋 Std R" w:hAnsi="Adobe 仿宋 Std R" w:eastAsia="Adobe 仿宋 Std R" w:cs="黑体"/>
          <w:b/>
          <w:bCs/>
          <w:kern w:val="2"/>
          <w:sz w:val="32"/>
          <w:szCs w:val="30"/>
          <w:lang w:val="en-US" w:eastAsia="zh-CN"/>
        </w:rPr>
        <w:t>（七）</w:t>
      </w:r>
      <w:r>
        <w:rPr>
          <w:rFonts w:hint="eastAsia" w:ascii="仿宋" w:hAnsi="仿宋" w:eastAsia="仿宋" w:cs="仿宋"/>
          <w:b/>
          <w:kern w:val="2"/>
          <w:sz w:val="32"/>
          <w:szCs w:val="32"/>
        </w:rPr>
        <w:t>政府采购情况说明</w:t>
      </w:r>
    </w:p>
    <w:p>
      <w:pPr>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本部门政府采购预算总额 278.25万元，其中：政府采购货物预算278.25万元</w:t>
      </w:r>
      <w:r>
        <w:rPr>
          <w:rFonts w:hint="eastAsia" w:ascii="仿宋_GB2312" w:eastAsia="仿宋_GB2312" w:cs="Times New Roman"/>
          <w:kern w:val="2"/>
          <w:sz w:val="32"/>
          <w:szCs w:val="30"/>
          <w:lang w:eastAsia="zh-CN"/>
        </w:rPr>
        <w:t>，</w:t>
      </w:r>
      <w:r>
        <w:rPr>
          <w:rFonts w:hint="eastAsia" w:ascii="Adobe 仿宋 Std R" w:hAnsi="Adobe 仿宋 Std R" w:eastAsia="Adobe 仿宋 Std R" w:cs="黑体"/>
          <w:kern w:val="2"/>
          <w:sz w:val="32"/>
          <w:szCs w:val="30"/>
          <w:lang w:val="en-US" w:eastAsia="zh-CN"/>
        </w:rPr>
        <w:t>政府采购工程预算0万元,政府采购服务预算0万元</w:t>
      </w:r>
      <w:r>
        <w:rPr>
          <w:rFonts w:hint="eastAsia" w:ascii="仿宋_GB2312" w:eastAsia="仿宋_GB2312" w:cs="Times New Roman"/>
          <w:kern w:val="2"/>
          <w:sz w:val="32"/>
          <w:szCs w:val="30"/>
        </w:rPr>
        <w:t>。</w:t>
      </w:r>
    </w:p>
    <w:p>
      <w:pPr>
        <w:spacing w:line="560" w:lineRule="exact"/>
        <w:ind w:firstLine="642"/>
        <w:rPr>
          <w:rFonts w:ascii="仿宋" w:hAnsi="仿宋" w:eastAsia="仿宋" w:cs="仿宋"/>
          <w:b/>
          <w:kern w:val="2"/>
          <w:sz w:val="32"/>
          <w:szCs w:val="32"/>
        </w:rPr>
      </w:pPr>
      <w:r>
        <w:rPr>
          <w:rFonts w:hint="eastAsia" w:ascii="仿宋" w:hAnsi="仿宋" w:eastAsia="仿宋" w:cs="仿宋"/>
          <w:b/>
          <w:kern w:val="2"/>
          <w:sz w:val="32"/>
          <w:szCs w:val="32"/>
        </w:rPr>
        <w:t>（</w:t>
      </w:r>
      <w:r>
        <w:rPr>
          <w:rFonts w:hint="eastAsia" w:ascii="仿宋" w:hAnsi="仿宋" w:eastAsia="仿宋" w:cs="仿宋"/>
          <w:b/>
          <w:kern w:val="2"/>
          <w:sz w:val="32"/>
          <w:szCs w:val="32"/>
          <w:lang w:eastAsia="zh-CN"/>
        </w:rPr>
        <w:t>八</w:t>
      </w:r>
      <w:r>
        <w:rPr>
          <w:rFonts w:hint="eastAsia" w:ascii="仿宋" w:hAnsi="仿宋" w:eastAsia="仿宋" w:cs="仿宋"/>
          <w:b/>
          <w:kern w:val="2"/>
          <w:sz w:val="32"/>
          <w:szCs w:val="32"/>
        </w:rPr>
        <w:t>）国有资产占有使用情况</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截至2021年8月，</w:t>
      </w:r>
      <w:r>
        <w:rPr>
          <w:rFonts w:hint="eastAsia" w:ascii="仿宋_GB2312" w:eastAsia="仿宋_GB2312" w:cs="Times New Roman"/>
          <w:kern w:val="2"/>
          <w:sz w:val="32"/>
          <w:szCs w:val="30"/>
          <w:lang w:val="en-US" w:eastAsia="zh-CN"/>
        </w:rPr>
        <w:fldChar w:fldCharType="begin"/>
      </w:r>
      <w:r>
        <w:rPr>
          <w:rFonts w:hint="eastAsia" w:ascii="仿宋_GB2312" w:eastAsia="仿宋_GB2312" w:cs="Times New Roman"/>
          <w:kern w:val="2"/>
          <w:sz w:val="32"/>
          <w:szCs w:val="30"/>
          <w:lang w:val="en-US" w:eastAsia="zh-CN"/>
        </w:rPr>
        <w:instrText xml:space="preserve">MERGEFIELD ${page400644146.ds532982397_REP_JX_BAS_AGENCY_INFO_ZYFRS_S_CLSYS}</w:instrText>
      </w:r>
      <w:r>
        <w:rPr>
          <w:rFonts w:hint="eastAsia" w:ascii="仿宋_GB2312" w:eastAsia="仿宋_GB2312" w:cs="Times New Roman"/>
          <w:kern w:val="2"/>
          <w:sz w:val="32"/>
          <w:szCs w:val="30"/>
          <w:lang w:val="en-US" w:eastAsia="zh-CN"/>
        </w:rPr>
        <w:fldChar w:fldCharType="separate"/>
      </w:r>
      <w:r>
        <w:rPr>
          <w:rFonts w:hint="eastAsia" w:ascii="仿宋_GB2312" w:eastAsia="仿宋_GB2312" w:cs="Times New Roman"/>
          <w:kern w:val="2"/>
          <w:sz w:val="32"/>
          <w:szCs w:val="30"/>
          <w:lang w:val="en-US" w:eastAsia="zh-CN"/>
        </w:rPr>
        <w:t>部门共有车辆0辆,其中：一般公务用车实有数0辆,执法执勤用车实有数0辆。</w:t>
      </w:r>
      <w:r>
        <w:rPr>
          <w:rFonts w:hint="eastAsia" w:ascii="仿宋_GB2312" w:eastAsia="仿宋_GB2312" w:cs="Times New Roman"/>
          <w:kern w:val="2"/>
          <w:sz w:val="32"/>
          <w:szCs w:val="30"/>
          <w:lang w:val="en-US" w:eastAsia="zh-CN"/>
        </w:rPr>
        <w:fldChar w:fldCharType="end"/>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2022年部门预算安排购置车辆 0 辆，未安排购置单位价值200万元以上大型设备。</w:t>
      </w:r>
      <w:bookmarkStart w:id="0" w:name="_GoBack"/>
      <w:bookmarkEnd w:id="0"/>
    </w:p>
    <w:p>
      <w:pPr>
        <w:ind w:firstLine="643" w:firstLineChars="200"/>
        <w:rPr>
          <w:rFonts w:ascii="仿宋" w:hAnsi="仿宋" w:eastAsia="仿宋" w:cs="仿宋"/>
          <w:b/>
          <w:kern w:val="2"/>
          <w:sz w:val="32"/>
          <w:szCs w:val="32"/>
        </w:rPr>
      </w:pPr>
      <w:r>
        <w:rPr>
          <w:rFonts w:hint="eastAsia" w:ascii="仿宋" w:hAnsi="仿宋" w:eastAsia="仿宋" w:cs="仿宋"/>
          <w:b/>
          <w:kern w:val="2"/>
          <w:sz w:val="32"/>
          <w:szCs w:val="32"/>
        </w:rPr>
        <w:t>（</w:t>
      </w:r>
      <w:r>
        <w:rPr>
          <w:rFonts w:hint="eastAsia" w:ascii="仿宋" w:hAnsi="仿宋" w:eastAsia="仿宋" w:cs="仿宋"/>
          <w:b/>
          <w:kern w:val="2"/>
          <w:sz w:val="32"/>
          <w:szCs w:val="32"/>
          <w:lang w:eastAsia="zh-CN"/>
        </w:rPr>
        <w:t>九</w:t>
      </w:r>
      <w:r>
        <w:rPr>
          <w:rFonts w:hint="eastAsia" w:ascii="仿宋" w:hAnsi="仿宋" w:eastAsia="仿宋" w:cs="仿宋"/>
          <w:b/>
          <w:kern w:val="2"/>
          <w:sz w:val="32"/>
          <w:szCs w:val="32"/>
        </w:rPr>
        <w:t>）</w:t>
      </w:r>
      <w:r>
        <w:rPr>
          <w:rStyle w:val="13"/>
          <w:rFonts w:hint="eastAsia" w:ascii="Adobe 仿宋 Std R" w:hAnsi="Adobe 仿宋 Std R" w:eastAsia="Adobe 仿宋 Std R"/>
          <w:b/>
          <w:sz w:val="32"/>
          <w:szCs w:val="32"/>
        </w:rPr>
        <w:t>项目情况说明</w:t>
      </w:r>
    </w:p>
    <w:p>
      <w:pPr>
        <w:adjustRightInd/>
        <w:snapToGrid/>
        <w:spacing w:line="560" w:lineRule="exact"/>
        <w:ind w:firstLine="803" w:firstLineChars="250"/>
        <w:rPr>
          <w:rFonts w:hint="eastAsia" w:ascii="仿宋_GB2312" w:eastAsia="仿宋_GB2312" w:cs="Times New Roman"/>
          <w:kern w:val="2"/>
          <w:sz w:val="32"/>
          <w:szCs w:val="30"/>
        </w:rPr>
      </w:pPr>
      <w:r>
        <w:rPr>
          <w:rFonts w:hint="eastAsia" w:ascii="仿宋_GB2312" w:eastAsia="仿宋_GB2312" w:cs="Times New Roman"/>
          <w:b/>
          <w:bCs/>
          <w:kern w:val="2"/>
          <w:sz w:val="32"/>
          <w:szCs w:val="30"/>
        </w:rPr>
        <w:t>1.总体情况</w:t>
      </w:r>
      <w:r>
        <w:rPr>
          <w:rFonts w:hint="eastAsia" w:ascii="仿宋_GB2312" w:eastAsia="仿宋_GB2312" w:cs="Times New Roman"/>
          <w:kern w:val="2"/>
          <w:sz w:val="32"/>
          <w:szCs w:val="30"/>
        </w:rPr>
        <w:t>：2022年实行绩效目标管理的项目3个，涉及资金234.25万元。</w:t>
      </w:r>
    </w:p>
    <w:p>
      <w:pPr>
        <w:adjustRightInd/>
        <w:snapToGrid/>
        <w:spacing w:line="560" w:lineRule="exact"/>
        <w:ind w:firstLine="803" w:firstLineChars="250"/>
        <w:rPr>
          <w:rFonts w:ascii="仿宋_GB2312" w:eastAsia="仿宋_GB2312" w:cs="Times New Roman"/>
          <w:b/>
          <w:bCs/>
          <w:kern w:val="2"/>
          <w:sz w:val="32"/>
          <w:szCs w:val="30"/>
        </w:rPr>
      </w:pPr>
      <w:r>
        <w:rPr>
          <w:rFonts w:hint="eastAsia" w:ascii="仿宋_GB2312" w:eastAsia="仿宋_GB2312" w:cs="Times New Roman"/>
          <w:b/>
          <w:bCs/>
          <w:kern w:val="2"/>
          <w:sz w:val="32"/>
          <w:szCs w:val="30"/>
        </w:rPr>
        <w:t>2.重点项目情况：</w:t>
      </w:r>
    </w:p>
    <w:p>
      <w:pPr>
        <w:ind w:firstLine="642"/>
        <w:rPr>
          <w:rFonts w:hint="eastAsia" w:ascii="仿宋_GB2312" w:eastAsia="仿宋_GB2312" w:cs="Times New Roman"/>
          <w:kern w:val="2"/>
          <w:sz w:val="32"/>
          <w:szCs w:val="30"/>
        </w:rPr>
      </w:pPr>
      <w:r>
        <w:rPr>
          <w:rFonts w:hint="eastAsia" w:ascii="Adobe 仿宋 Std R" w:hAnsi="Adobe 仿宋 Std R" w:eastAsia="Adobe 仿宋 Std R"/>
          <w:sz w:val="32"/>
          <w:szCs w:val="32"/>
        </w:rPr>
        <w:t>1.</w:t>
      </w:r>
      <w:r>
        <w:rPr>
          <w:rFonts w:hint="eastAsia" w:ascii="仿宋_GB2312" w:eastAsia="仿宋_GB2312" w:cs="Times New Roman"/>
          <w:kern w:val="2"/>
          <w:sz w:val="32"/>
          <w:szCs w:val="30"/>
        </w:rPr>
        <w:t>全区基础应用网络费用</w:t>
      </w:r>
    </w:p>
    <w:p>
      <w:pPr>
        <w:spacing w:line="520" w:lineRule="exact"/>
        <w:ind w:firstLine="640" w:firstLineChars="200"/>
        <w:rPr>
          <w:rFonts w:hint="eastAsia" w:ascii="仿宋_GB2312" w:eastAsia="仿宋_GB2312" w:cs="Times New Roman"/>
          <w:kern w:val="2"/>
          <w:sz w:val="32"/>
          <w:szCs w:val="30"/>
        </w:rPr>
      </w:pPr>
      <w:r>
        <w:rPr>
          <w:rFonts w:hint="eastAsia" w:ascii="Adobe 仿宋 Std R" w:hAnsi="Adobe 仿宋 Std R" w:eastAsia="Adobe 仿宋 Std R"/>
          <w:sz w:val="32"/>
          <w:szCs w:val="32"/>
        </w:rPr>
        <w:t xml:space="preserve"> 1）项目概述</w:t>
      </w:r>
      <w:r>
        <w:rPr>
          <w:rFonts w:hint="eastAsia" w:ascii="Adobe 仿宋 Std R" w:hAnsi="Adobe 仿宋 Std R" w:eastAsia="Adobe 仿宋 Std R"/>
          <w:sz w:val="32"/>
          <w:szCs w:val="32"/>
          <w:lang w:eastAsia="zh-CN"/>
        </w:rPr>
        <w:t>：</w:t>
      </w:r>
      <w:r>
        <w:rPr>
          <w:rFonts w:hint="eastAsia" w:ascii="仿宋_GB2312" w:eastAsia="仿宋_GB2312" w:cs="Times New Roman"/>
          <w:kern w:val="2"/>
          <w:sz w:val="32"/>
          <w:szCs w:val="30"/>
        </w:rPr>
        <w:t>按照全省统一部署和统一标准规范，建设“赣服通”3.0政务服务平台南昌分厅（以下简称“南昌分厅”），并与市电子政务共享数据统一交换平台对接，实现“赣服通”3.0省平台相关事项的本地下沉。依托全省一体化在线政务服务平台，以公共服务事项和行政审批事项为重点，通过进一步优化流程、精简材料，推动更多事项网上材料预审、材料核验甚至全程网办，并同步部署至南昌分厅，实现掌上办理。</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2）立项依据</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南昌市人民政府办公厅关于加快推进“赣服通”政务服务平台南昌分厅建设的通知》（洪府厅[2019]90号）、《关于加快推进“赣服通”政务服务平台县区分厅建设的通知》（洪政服字[2019]34号）《南昌市青云谱区人民政府区长办公会议纪要2019年第9次》</w:t>
      </w:r>
    </w:p>
    <w:p>
      <w:pPr>
        <w:spacing w:line="520" w:lineRule="exact"/>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3）实施主体</w:t>
      </w:r>
      <w:r>
        <w:rPr>
          <w:rFonts w:hint="eastAsia" w:ascii="Adobe 仿宋 Std R" w:hAnsi="Adobe 仿宋 Std R" w:eastAsia="Adobe 仿宋 Std R"/>
          <w:sz w:val="32"/>
          <w:szCs w:val="32"/>
          <w:lang w:eastAsia="zh-CN"/>
        </w:rPr>
        <w:t>：区政务公开事务中心。</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4）实施方案</w:t>
      </w:r>
      <w:r>
        <w:rPr>
          <w:rFonts w:hint="eastAsia" w:ascii="仿宋" w:hAnsi="仿宋" w:eastAsia="仿宋" w:cs="仿宋"/>
          <w:b w:val="0"/>
          <w:bCs/>
          <w:sz w:val="32"/>
          <w:szCs w:val="32"/>
          <w:highlight w:val="none"/>
          <w:lang w:val="en-US" w:eastAsia="zh-CN"/>
        </w:rPr>
        <w:t>：我区结合实际情况采取依托省、市资源方式建设，上线21个高频事项和10个高频电子卡证</w:t>
      </w:r>
    </w:p>
    <w:p>
      <w:pPr>
        <w:adjustRightInd w:val="0"/>
        <w:snapToGrid w:val="0"/>
        <w:spacing w:line="420" w:lineRule="atLeast"/>
        <w:ind w:firstLine="642"/>
        <w:outlineLvl w:val="0"/>
        <w:rPr>
          <w:rFonts w:ascii="Adobe 仿宋 Std R" w:hAnsi="Adobe 仿宋 Std R" w:eastAsia="Adobe 仿宋 Std R"/>
          <w:sz w:val="32"/>
          <w:szCs w:val="32"/>
        </w:rPr>
      </w:pPr>
      <w:r>
        <w:rPr>
          <w:rFonts w:hint="eastAsia" w:ascii="Adobe 仿宋 Std R" w:hAnsi="Adobe 仿宋 Std R" w:eastAsia="Adobe 仿宋 Std R"/>
          <w:sz w:val="32"/>
          <w:szCs w:val="32"/>
        </w:rPr>
        <w:t xml:space="preserve">   5）实施周期</w:t>
      </w:r>
      <w:r>
        <w:rPr>
          <w:rFonts w:hint="eastAsia" w:ascii="仿宋" w:hAnsi="仿宋" w:eastAsia="仿宋" w:cs="仿宋"/>
          <w:b w:val="0"/>
          <w:bCs/>
          <w:sz w:val="32"/>
          <w:szCs w:val="32"/>
          <w:highlight w:val="none"/>
          <w:lang w:val="en-US" w:eastAsia="zh-CN"/>
        </w:rPr>
        <w:t>：2022年1月1日-2022年12月31日。</w:t>
      </w:r>
    </w:p>
    <w:p>
      <w:pPr>
        <w:ind w:firstLine="642"/>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 xml:space="preserve">   </w:t>
      </w:r>
      <w:r>
        <w:rPr>
          <w:rFonts w:ascii="Adobe 仿宋 Std R" w:hAnsi="Adobe 仿宋 Std R" w:eastAsia="Adobe 仿宋 Std R"/>
          <w:sz w:val="32"/>
          <w:szCs w:val="32"/>
        </w:rPr>
        <w:t>6</w:t>
      </w:r>
      <w:r>
        <w:rPr>
          <w:rFonts w:hint="eastAsia" w:ascii="Adobe 仿宋 Std R" w:hAnsi="Adobe 仿宋 Std R" w:eastAsia="Adobe 仿宋 Std R"/>
          <w:sz w:val="32"/>
          <w:szCs w:val="32"/>
        </w:rPr>
        <w:t>）年度预算安排</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46.53。</w:t>
      </w:r>
    </w:p>
    <w:p>
      <w:pPr>
        <w:adjustRightInd w:val="0"/>
        <w:snapToGrid w:val="0"/>
        <w:spacing w:line="420" w:lineRule="atLeast"/>
        <w:ind w:firstLine="640" w:firstLineChars="200"/>
        <w:outlineLvl w:val="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 xml:space="preserve">   7）绩效目标和指标</w:t>
      </w:r>
      <w:r>
        <w:rPr>
          <w:rFonts w:hint="eastAsia" w:ascii="仿宋" w:hAnsi="仿宋" w:eastAsia="仿宋" w:cs="仿宋"/>
          <w:b w:val="0"/>
          <w:bCs/>
          <w:sz w:val="32"/>
          <w:szCs w:val="32"/>
          <w:highlight w:val="none"/>
          <w:lang w:val="en-US" w:eastAsia="zh-CN"/>
        </w:rPr>
        <w:t>：为群众和企业提供统一的政务服务移动平台入口，推进政务服务“一号申请、一次登录、一网办理</w:t>
      </w:r>
    </w:p>
    <w:p>
      <w:pPr>
        <w:ind w:firstLine="642"/>
        <w:rPr>
          <w:rFonts w:hint="eastAsia" w:ascii="仿宋_GB2312" w:eastAsia="仿宋_GB2312" w:cs="Times New Roman"/>
          <w:kern w:val="2"/>
          <w:sz w:val="32"/>
          <w:szCs w:val="30"/>
        </w:rPr>
      </w:pPr>
      <w:r>
        <w:rPr>
          <w:rFonts w:hint="eastAsia" w:ascii="Adobe 仿宋 Std R" w:hAnsi="Adobe 仿宋 Std R" w:eastAsia="Adobe 仿宋 Std R"/>
          <w:sz w:val="32"/>
          <w:szCs w:val="32"/>
          <w:lang w:val="en-US" w:eastAsia="zh-CN"/>
        </w:rPr>
        <w:t>2</w:t>
      </w:r>
      <w:r>
        <w:rPr>
          <w:rFonts w:hint="eastAsia" w:ascii="Adobe 仿宋 Std R" w:hAnsi="Adobe 仿宋 Std R" w:eastAsia="Adobe 仿宋 Std R"/>
          <w:sz w:val="32"/>
          <w:szCs w:val="32"/>
        </w:rPr>
        <w:t>.</w:t>
      </w:r>
      <w:r>
        <w:rPr>
          <w:rFonts w:hint="eastAsia" w:ascii="仿宋_GB2312" w:eastAsia="仿宋_GB2312" w:cs="Times New Roman"/>
          <w:kern w:val="2"/>
          <w:sz w:val="32"/>
          <w:szCs w:val="30"/>
        </w:rPr>
        <w:t>全区信息化工作经费</w:t>
      </w:r>
    </w:p>
    <w:p>
      <w:pPr>
        <w:spacing w:line="520" w:lineRule="exact"/>
        <w:ind w:firstLine="640" w:firstLineChars="200"/>
        <w:rPr>
          <w:rFonts w:hint="eastAsia" w:ascii="仿宋_GB2312" w:eastAsia="仿宋_GB2312" w:cs="Times New Roman"/>
          <w:kern w:val="2"/>
          <w:sz w:val="32"/>
          <w:szCs w:val="30"/>
        </w:rPr>
      </w:pPr>
      <w:r>
        <w:rPr>
          <w:rFonts w:hint="eastAsia" w:ascii="Adobe 仿宋 Std R" w:hAnsi="Adobe 仿宋 Std R" w:eastAsia="Adobe 仿宋 Std R"/>
          <w:sz w:val="32"/>
          <w:szCs w:val="32"/>
        </w:rPr>
        <w:t xml:space="preserve"> 1）项目概述</w:t>
      </w:r>
      <w:r>
        <w:rPr>
          <w:rFonts w:hint="eastAsia" w:ascii="Adobe 仿宋 Std R" w:hAnsi="Adobe 仿宋 Std R" w:eastAsia="Adobe 仿宋 Std R"/>
          <w:sz w:val="32"/>
          <w:szCs w:val="32"/>
          <w:lang w:eastAsia="zh-CN"/>
        </w:rPr>
        <w:t>：</w:t>
      </w:r>
      <w:r>
        <w:rPr>
          <w:rFonts w:hint="eastAsia" w:ascii="仿宋_GB2312" w:eastAsia="仿宋_GB2312" w:cs="Times New Roman"/>
          <w:kern w:val="2"/>
          <w:sz w:val="32"/>
          <w:szCs w:val="30"/>
        </w:rPr>
        <w:t>保障全区网络畅通，保障青云谱区政府门户网站正常运行。</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2）立项依据</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青政办抄字[2012]132号、青政办抄字[2016]96号、青政办抄字[2015]98号、青政办抄字[2011]326号、青政办抄字[2011]464号、《南昌市青云谱区人民政府区长办公会议纪要2008年第13次》、赣财建字[2012]304号</w:t>
      </w:r>
    </w:p>
    <w:p>
      <w:pPr>
        <w:spacing w:line="520" w:lineRule="exact"/>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3）实施主体</w:t>
      </w:r>
      <w:r>
        <w:rPr>
          <w:rFonts w:hint="eastAsia" w:ascii="Adobe 仿宋 Std R" w:hAnsi="Adobe 仿宋 Std R" w:eastAsia="Adobe 仿宋 Std R"/>
          <w:sz w:val="32"/>
          <w:szCs w:val="32"/>
          <w:lang w:eastAsia="zh-CN"/>
        </w:rPr>
        <w:t>：区政务公开事务中心。</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4）实施方案</w:t>
      </w:r>
      <w:r>
        <w:rPr>
          <w:rFonts w:hint="eastAsia" w:ascii="仿宋" w:hAnsi="仿宋" w:eastAsia="仿宋" w:cs="仿宋"/>
          <w:b w:val="0"/>
          <w:bCs/>
          <w:sz w:val="32"/>
          <w:szCs w:val="32"/>
          <w:highlight w:val="none"/>
          <w:lang w:val="en-US" w:eastAsia="zh-CN"/>
        </w:rPr>
        <w:t>：该项目包括全区网络宽带租赁费用、保障全区网络畅通维护费用、青云谱区政府门户网站维护费用。</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5）实施周期</w:t>
      </w:r>
      <w:r>
        <w:rPr>
          <w:rFonts w:hint="eastAsia" w:ascii="仿宋" w:hAnsi="仿宋" w:eastAsia="仿宋" w:cs="仿宋"/>
          <w:b w:val="0"/>
          <w:bCs/>
          <w:sz w:val="32"/>
          <w:szCs w:val="32"/>
          <w:highlight w:val="none"/>
          <w:lang w:val="en-US" w:eastAsia="zh-CN"/>
        </w:rPr>
        <w:t>：2022年1月1日-2022年12月31日。</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ascii="Adobe 仿宋 Std R" w:hAnsi="Adobe 仿宋 Std R" w:eastAsia="Adobe 仿宋 Std R"/>
          <w:sz w:val="32"/>
          <w:szCs w:val="32"/>
        </w:rPr>
        <w:t>6</w:t>
      </w:r>
      <w:r>
        <w:rPr>
          <w:rFonts w:hint="eastAsia" w:ascii="Adobe 仿宋 Std R" w:hAnsi="Adobe 仿宋 Std R" w:eastAsia="Adobe 仿宋 Std R"/>
          <w:sz w:val="32"/>
          <w:szCs w:val="32"/>
        </w:rPr>
        <w:t>）年度预算安排</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70.72万元。</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7）绩效目标和指标</w:t>
      </w:r>
      <w:r>
        <w:rPr>
          <w:rFonts w:hint="eastAsia" w:ascii="仿宋" w:hAnsi="仿宋" w:eastAsia="仿宋" w:cs="仿宋"/>
          <w:b w:val="0"/>
          <w:bCs/>
          <w:sz w:val="32"/>
          <w:szCs w:val="32"/>
          <w:highlight w:val="none"/>
          <w:lang w:val="en-US" w:eastAsia="zh-CN"/>
        </w:rPr>
        <w:t>：保障全区网络畅通，保障青云谱区政府门户网站正常运行。</w:t>
      </w:r>
    </w:p>
    <w:p>
      <w:pPr>
        <w:ind w:firstLine="642"/>
        <w:rPr>
          <w:rFonts w:hint="eastAsia" w:ascii="仿宋_GB2312" w:eastAsia="仿宋_GB2312" w:cs="Times New Roman"/>
          <w:kern w:val="2"/>
          <w:sz w:val="32"/>
          <w:szCs w:val="30"/>
        </w:rPr>
      </w:pPr>
      <w:r>
        <w:rPr>
          <w:rFonts w:hint="eastAsia" w:ascii="Adobe 仿宋 Std R" w:hAnsi="Adobe 仿宋 Std R" w:eastAsia="Adobe 仿宋 Std R"/>
          <w:sz w:val="32"/>
          <w:szCs w:val="32"/>
          <w:lang w:val="en-US" w:eastAsia="zh-CN"/>
        </w:rPr>
        <w:t>3</w:t>
      </w:r>
      <w:r>
        <w:rPr>
          <w:rFonts w:hint="eastAsia" w:ascii="Adobe 仿宋 Std R" w:hAnsi="Adobe 仿宋 Std R" w:eastAsia="Adobe 仿宋 Std R"/>
          <w:sz w:val="32"/>
          <w:szCs w:val="32"/>
        </w:rPr>
        <w:t>.</w:t>
      </w:r>
      <w:r>
        <w:rPr>
          <w:rFonts w:hint="eastAsia" w:ascii="仿宋_GB2312" w:eastAsia="仿宋_GB2312" w:cs="Times New Roman"/>
          <w:kern w:val="2"/>
          <w:sz w:val="32"/>
          <w:szCs w:val="30"/>
        </w:rPr>
        <w:t>赣服通3.0青云谱分厅建设经费</w:t>
      </w:r>
    </w:p>
    <w:p>
      <w:pPr>
        <w:spacing w:line="520" w:lineRule="exact"/>
        <w:ind w:firstLine="640" w:firstLineChars="200"/>
        <w:rPr>
          <w:rFonts w:hint="eastAsia" w:ascii="仿宋_GB2312" w:eastAsia="仿宋_GB2312" w:cs="Times New Roman"/>
          <w:kern w:val="2"/>
          <w:sz w:val="32"/>
          <w:szCs w:val="30"/>
        </w:rPr>
      </w:pPr>
      <w:r>
        <w:rPr>
          <w:rFonts w:hint="eastAsia" w:ascii="Adobe 仿宋 Std R" w:hAnsi="Adobe 仿宋 Std R" w:eastAsia="Adobe 仿宋 Std R"/>
          <w:sz w:val="32"/>
          <w:szCs w:val="32"/>
        </w:rPr>
        <w:t xml:space="preserve"> 1）项目概述</w:t>
      </w:r>
      <w:r>
        <w:rPr>
          <w:rFonts w:hint="eastAsia" w:ascii="Adobe 仿宋 Std R" w:hAnsi="Adobe 仿宋 Std R" w:eastAsia="Adobe 仿宋 Std R"/>
          <w:sz w:val="32"/>
          <w:szCs w:val="32"/>
          <w:lang w:eastAsia="zh-CN"/>
        </w:rPr>
        <w:t>：</w:t>
      </w:r>
      <w:r>
        <w:rPr>
          <w:rFonts w:hint="eastAsia" w:ascii="仿宋_GB2312" w:eastAsia="仿宋_GB2312" w:cs="Times New Roman"/>
          <w:kern w:val="2"/>
          <w:sz w:val="32"/>
          <w:szCs w:val="30"/>
        </w:rPr>
        <w:t>按照全省统一部署和统一标准规范，建设“赣服通”3.0政务服务平台南昌分厅（以下简称“南昌分厅”），并与市电子政务共享数据统一交换平台对接，实现“赣服通”3.0省平台相关事项的本地下沉。依托全省一体化在线政务服务平台，以公共服务事项和行政审批事项为重点，通过进一步优化流程、精简材料，推动更多事项网上材料预审、材料核验甚至全程网办，并同步部署至南昌分厅，实现掌上办理。</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2）立项依据</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加快推进江西政务服务移动平台“赣服通”建设工作方案》、《关于加强推进“赣服通”3.0版建设工作的通知》（洪政服字[2020]53号）、《关于印发“赣服通”优化提升技术方案的通知》（赣政务明电[2020]40号）、《南昌市青云谱区人民政府区长办公会议纪要2020年第20次》</w:t>
      </w:r>
    </w:p>
    <w:p>
      <w:pPr>
        <w:spacing w:line="520" w:lineRule="exact"/>
        <w:ind w:firstLine="640" w:firstLineChars="200"/>
        <w:rPr>
          <w:rFonts w:hint="eastAsia" w:ascii="Adobe 仿宋 Std R" w:hAnsi="Adobe 仿宋 Std R" w:eastAsia="Adobe 仿宋 Std R"/>
          <w:sz w:val="32"/>
          <w:szCs w:val="32"/>
          <w:lang w:eastAsia="zh-CN"/>
        </w:rPr>
      </w:pPr>
      <w:r>
        <w:rPr>
          <w:rFonts w:hint="eastAsia" w:ascii="Adobe 仿宋 Std R" w:hAnsi="Adobe 仿宋 Std R" w:eastAsia="Adobe 仿宋 Std R"/>
          <w:sz w:val="32"/>
          <w:szCs w:val="32"/>
        </w:rPr>
        <w:t>3）实施主体</w:t>
      </w:r>
      <w:r>
        <w:rPr>
          <w:rFonts w:hint="eastAsia" w:ascii="Adobe 仿宋 Std R" w:hAnsi="Adobe 仿宋 Std R" w:eastAsia="Adobe 仿宋 Std R"/>
          <w:sz w:val="32"/>
          <w:szCs w:val="32"/>
          <w:lang w:eastAsia="zh-CN"/>
        </w:rPr>
        <w:t>：区政务公开事务中心。</w:t>
      </w:r>
    </w:p>
    <w:p>
      <w:pPr>
        <w:spacing w:line="520" w:lineRule="exact"/>
        <w:ind w:firstLine="640" w:firstLineChars="200"/>
        <w:rPr>
          <w:rFonts w:hint="eastAsia" w:ascii="仿宋_GB2312" w:eastAsia="仿宋_GB2312" w:cs="Times New Roman"/>
          <w:kern w:val="2"/>
          <w:sz w:val="32"/>
          <w:szCs w:val="30"/>
        </w:rPr>
      </w:pPr>
      <w:r>
        <w:rPr>
          <w:rFonts w:hint="eastAsia" w:ascii="Adobe 仿宋 Std R" w:hAnsi="Adobe 仿宋 Std R" w:eastAsia="Adobe 仿宋 Std R"/>
          <w:sz w:val="32"/>
          <w:szCs w:val="32"/>
        </w:rPr>
        <w:t>4）实施方案</w:t>
      </w:r>
      <w:r>
        <w:rPr>
          <w:rFonts w:hint="eastAsia" w:ascii="仿宋" w:hAnsi="仿宋" w:eastAsia="仿宋" w:cs="仿宋"/>
          <w:b w:val="0"/>
          <w:bCs/>
          <w:sz w:val="32"/>
          <w:szCs w:val="32"/>
          <w:highlight w:val="none"/>
          <w:lang w:val="en-US" w:eastAsia="zh-CN"/>
        </w:rPr>
        <w:t>：</w:t>
      </w:r>
      <w:r>
        <w:rPr>
          <w:rFonts w:hint="eastAsia" w:ascii="仿宋_GB2312" w:eastAsia="仿宋_GB2312" w:cs="Times New Roman"/>
          <w:kern w:val="2"/>
          <w:sz w:val="32"/>
          <w:szCs w:val="30"/>
        </w:rPr>
        <w:t>按照全省统一部署和统一标准规范，建设“赣服通”3.0政务服务平台南昌分厅（以下简称“南昌分厅”），并与市电子政务共享数据统一交换平台对接，实现“赣服通”3.0省平台相关事项的本地下沉。依托全省一体化在线政务服务平台，以公共服务事项和行政审批事项为重点，通过进一步优化流程、精简材料，推动更多事项网上材料预审、材料核验甚至全程网办，并同步部署至南昌分厅，实现掌上办理。</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hint="eastAsia" w:ascii="Adobe 仿宋 Std R" w:hAnsi="Adobe 仿宋 Std R" w:eastAsia="Adobe 仿宋 Std R"/>
          <w:sz w:val="32"/>
          <w:szCs w:val="32"/>
        </w:rPr>
        <w:t>5）实施周期</w:t>
      </w:r>
      <w:r>
        <w:rPr>
          <w:rFonts w:hint="eastAsia" w:ascii="仿宋" w:hAnsi="仿宋" w:eastAsia="仿宋" w:cs="仿宋"/>
          <w:b w:val="0"/>
          <w:bCs/>
          <w:sz w:val="32"/>
          <w:szCs w:val="32"/>
          <w:highlight w:val="none"/>
          <w:lang w:val="en-US" w:eastAsia="zh-CN"/>
        </w:rPr>
        <w:t>：2022年1月1日-2022年12月31日。</w:t>
      </w:r>
    </w:p>
    <w:p>
      <w:pPr>
        <w:spacing w:line="520" w:lineRule="exact"/>
        <w:ind w:firstLine="640" w:firstLineChars="200"/>
        <w:rPr>
          <w:rFonts w:hint="eastAsia" w:ascii="仿宋" w:hAnsi="仿宋" w:eastAsia="仿宋" w:cs="仿宋"/>
          <w:b w:val="0"/>
          <w:bCs/>
          <w:sz w:val="32"/>
          <w:szCs w:val="32"/>
          <w:highlight w:val="none"/>
          <w:lang w:val="en-US" w:eastAsia="zh-CN"/>
        </w:rPr>
      </w:pPr>
      <w:r>
        <w:rPr>
          <w:rFonts w:ascii="Adobe 仿宋 Std R" w:hAnsi="Adobe 仿宋 Std R" w:eastAsia="Adobe 仿宋 Std R"/>
          <w:sz w:val="32"/>
          <w:szCs w:val="32"/>
        </w:rPr>
        <w:t>6</w:t>
      </w:r>
      <w:r>
        <w:rPr>
          <w:rFonts w:hint="eastAsia" w:ascii="Adobe 仿宋 Std R" w:hAnsi="Adobe 仿宋 Std R" w:eastAsia="Adobe 仿宋 Std R"/>
          <w:sz w:val="32"/>
          <w:szCs w:val="32"/>
        </w:rPr>
        <w:t>）年度预算安排</w:t>
      </w:r>
      <w:r>
        <w:rPr>
          <w:rFonts w:hint="eastAsia" w:ascii="Adobe 仿宋 Std R" w:hAnsi="Adobe 仿宋 Std R" w:eastAsia="Adobe 仿宋 Std R"/>
          <w:sz w:val="32"/>
          <w:szCs w:val="32"/>
          <w:lang w:eastAsia="zh-CN"/>
        </w:rPr>
        <w:t>：</w:t>
      </w:r>
      <w:r>
        <w:rPr>
          <w:rFonts w:hint="eastAsia" w:ascii="仿宋" w:hAnsi="仿宋" w:eastAsia="仿宋" w:cs="仿宋"/>
          <w:b w:val="0"/>
          <w:bCs/>
          <w:sz w:val="32"/>
          <w:szCs w:val="32"/>
          <w:highlight w:val="none"/>
          <w:lang w:val="en-US" w:eastAsia="zh-CN"/>
        </w:rPr>
        <w:t>117万元。</w:t>
      </w:r>
    </w:p>
    <w:p>
      <w:pPr>
        <w:spacing w:line="520" w:lineRule="exact"/>
        <w:ind w:firstLine="640" w:firstLineChars="200"/>
      </w:pPr>
      <w:r>
        <w:rPr>
          <w:rFonts w:hint="eastAsia" w:ascii="Adobe 仿宋 Std R" w:hAnsi="Adobe 仿宋 Std R" w:eastAsia="Adobe 仿宋 Std R"/>
          <w:sz w:val="32"/>
          <w:szCs w:val="32"/>
        </w:rPr>
        <w:t>7）绩效目标和指标</w:t>
      </w:r>
      <w:r>
        <w:rPr>
          <w:rFonts w:hint="eastAsia" w:ascii="仿宋" w:hAnsi="仿宋" w:eastAsia="仿宋" w:cs="仿宋"/>
          <w:b w:val="0"/>
          <w:bCs/>
          <w:sz w:val="32"/>
          <w:szCs w:val="32"/>
          <w:highlight w:val="none"/>
          <w:lang w:val="en-US" w:eastAsia="zh-CN"/>
        </w:rPr>
        <w:t>：建设“赣服通”3.0支付宝小程序青云谱分厅，开发并接入县级政务服务应用，对接“赣服通”3.0青云谱分厅系统，制定移动应用开发标准规范，指导各部门进行移动应用开发及接入，对接政务服务管理平台，“赣服通”3.0青云谱分厅数据交换支撑系统，完成100个事项接入，5种无证办理应用。</w:t>
      </w:r>
    </w:p>
    <w:p>
      <w:pPr>
        <w:numPr>
          <w:ilvl w:val="0"/>
          <w:numId w:val="3"/>
        </w:numPr>
        <w:spacing w:line="580" w:lineRule="exact"/>
        <w:ind w:left="640" w:leftChars="0" w:firstLine="0" w:firstLineChars="0"/>
        <w:rPr>
          <w:rFonts w:hint="eastAsia" w:ascii="黑体" w:hAnsi="黑体" w:eastAsia="黑体" w:cs="黑体"/>
          <w:bCs/>
          <w:sz w:val="32"/>
          <w:szCs w:val="32"/>
        </w:rPr>
      </w:pPr>
      <w:r>
        <w:rPr>
          <w:rFonts w:hint="eastAsia" w:ascii="黑体" w:hAnsi="黑体" w:eastAsia="黑体" w:cs="黑体"/>
          <w:bCs/>
          <w:sz w:val="32"/>
          <w:szCs w:val="32"/>
          <w:lang w:val="en-US" w:eastAsia="zh-CN"/>
        </w:rPr>
        <w:t>2022年</w:t>
      </w:r>
      <w:r>
        <w:rPr>
          <w:rFonts w:hint="eastAsia" w:ascii="黑体" w:hAnsi="黑体" w:eastAsia="黑体" w:cs="黑体"/>
          <w:bCs/>
          <w:sz w:val="32"/>
          <w:szCs w:val="32"/>
        </w:rPr>
        <w:t>“三公”经费预算情况说明</w:t>
      </w:r>
    </w:p>
    <w:p>
      <w:pPr>
        <w:spacing w:line="520" w:lineRule="exact"/>
        <w:ind w:firstLine="640" w:firstLineChars="200"/>
        <w:rPr>
          <w:rFonts w:hint="eastAsia" w:ascii="仿宋_GB2312" w:eastAsia="仿宋_GB2312" w:cs="Times New Roman"/>
          <w:kern w:val="2"/>
          <w:sz w:val="32"/>
          <w:szCs w:val="30"/>
        </w:rPr>
      </w:pPr>
      <w:r>
        <w:rPr>
          <w:rFonts w:hint="eastAsia" w:ascii="仿宋_GB2312" w:eastAsia="仿宋_GB2312" w:cs="Times New Roman"/>
          <w:kern w:val="2"/>
          <w:sz w:val="32"/>
          <w:szCs w:val="30"/>
        </w:rPr>
        <w:t>2022年</w:t>
      </w:r>
      <w:r>
        <w:rPr>
          <w:rFonts w:hint="eastAsia" w:ascii="仿宋_GB2312" w:eastAsia="仿宋_GB2312" w:cs="Times New Roman"/>
          <w:kern w:val="2"/>
          <w:sz w:val="32"/>
          <w:szCs w:val="30"/>
          <w:lang w:eastAsia="zh-CN"/>
        </w:rPr>
        <w:t>区大数据中心</w:t>
      </w:r>
      <w:r>
        <w:rPr>
          <w:rFonts w:hint="eastAsia" w:ascii="仿宋_GB2312" w:eastAsia="仿宋_GB2312" w:cs="Times New Roman"/>
          <w:kern w:val="2"/>
          <w:sz w:val="32"/>
          <w:szCs w:val="30"/>
        </w:rPr>
        <w:t>"三公"经费一般公共预算安排</w:t>
      </w:r>
      <w:r>
        <w:rPr>
          <w:rFonts w:hint="eastAsia" w:ascii="仿宋_GB2312" w:eastAsia="仿宋_GB2312" w:cs="Times New Roman"/>
          <w:kern w:val="2"/>
          <w:sz w:val="32"/>
          <w:szCs w:val="30"/>
          <w:lang w:val="en-US" w:eastAsia="zh-CN"/>
        </w:rPr>
        <w:t>0</w:t>
      </w:r>
      <w:r>
        <w:rPr>
          <w:rFonts w:hint="eastAsia" w:ascii="仿宋_GB2312" w:eastAsia="仿宋_GB2312" w:cs="Times New Roman"/>
          <w:kern w:val="2"/>
          <w:sz w:val="32"/>
          <w:szCs w:val="30"/>
        </w:rPr>
        <w:t>万元，其中：</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1、因公出国0万元,比上年增（减）0万元，主要原因是：未安排因公出国（境）经费。</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2、公务接待0万元,比上年增（减）0万元，主要原因是：单位无接待费支出。</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3、公务用车运行0万元,比上年增（减）0万元，主要原因是：未安排公务用车运行维护费。</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4、公务用车购置0万元,比上年增（减）0万元，主要原因是：未安排公务用车购置费。</w:t>
      </w:r>
    </w:p>
    <w:p>
      <w:pPr>
        <w:numPr>
          <w:ilvl w:val="0"/>
          <w:numId w:val="0"/>
        </w:numPr>
        <w:spacing w:line="580" w:lineRule="exact"/>
        <w:ind w:left="640" w:leftChars="0"/>
        <w:rPr>
          <w:rFonts w:hint="eastAsia" w:ascii="黑体" w:hAnsi="黑体" w:eastAsia="黑体" w:cs="黑体"/>
          <w:bCs/>
          <w:sz w:val="32"/>
          <w:szCs w:val="32"/>
        </w:rPr>
      </w:pPr>
    </w:p>
    <w:p>
      <w:pPr>
        <w:spacing w:line="520" w:lineRule="exact"/>
        <w:jc w:val="center"/>
        <w:rPr>
          <w:rFonts w:ascii="黑体" w:hAnsi="黑体" w:eastAsia="黑体" w:cs="黑体"/>
          <w:bCs/>
          <w:sz w:val="32"/>
          <w:szCs w:val="32"/>
        </w:rPr>
      </w:pPr>
      <w:r>
        <w:rPr>
          <w:rFonts w:hint="eastAsia" w:ascii="黑体" w:hAnsi="黑体" w:eastAsia="黑体" w:cs="黑体"/>
          <w:bCs/>
          <w:sz w:val="32"/>
          <w:szCs w:val="32"/>
        </w:rPr>
        <w:t>第四部分 名词解释</w:t>
      </w:r>
    </w:p>
    <w:p>
      <w:pPr>
        <w:spacing w:line="520" w:lineRule="exact"/>
        <w:jc w:val="center"/>
        <w:rPr>
          <w:rFonts w:ascii="黑体" w:hAnsi="黑体" w:eastAsia="黑体" w:cs="黑体"/>
          <w:bCs/>
          <w:sz w:val="32"/>
          <w:szCs w:val="32"/>
        </w:rPr>
      </w:pPr>
    </w:p>
    <w:p>
      <w:pPr>
        <w:ind w:firstLine="643" w:firstLineChars="200"/>
        <w:rPr>
          <w:rFonts w:hint="eastAsia" w:ascii="Adobe 仿宋 Std R" w:hAnsi="Adobe 仿宋 Std R" w:eastAsia="Adobe 仿宋 Std R" w:cs="黑体"/>
          <w:b/>
          <w:bCs/>
          <w:kern w:val="2"/>
          <w:sz w:val="32"/>
          <w:szCs w:val="30"/>
          <w:lang w:val="en-US" w:eastAsia="zh-CN"/>
        </w:rPr>
      </w:pPr>
      <w:r>
        <w:rPr>
          <w:rFonts w:hint="eastAsia" w:ascii="Adobe 仿宋 Std R" w:hAnsi="Adobe 仿宋 Std R" w:eastAsia="Adobe 仿宋 Std R" w:cs="黑体"/>
          <w:b/>
          <w:bCs/>
          <w:kern w:val="2"/>
          <w:sz w:val="32"/>
          <w:szCs w:val="30"/>
          <w:lang w:val="en-US" w:eastAsia="zh-CN"/>
        </w:rPr>
        <w:t>一、收入科目</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（一）财政拨款：指省级财政当年拨付的资金。</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（二）教育收费资金收入：反映实行专项管理的高中以上学费、住宿费，高校委托培养费，函大、电大、夜大及短训班培训费等教育收费取得的收入。</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（三）事业收入：指事业单位开展专业业务活动及辅助活动取得的收入。</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（四）事业单位经营收入：指事业单位在专业业务活动及辅助活动之外开展非独立核算经营活动取得的收入。</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（五）附属单位上缴收入：反映事业单位附属的独立核算单位按规定标准或比例缴纳的各项收入。包括附属的事业单位上缴的收入和附属的企业上缴的利润等。</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（六）上级补助收入：反映事业单位从主管部门和上级单位取得的非财政补助收入。</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（七）其他收入：指除财政拨款、事业收入、事业单位经营收入等以外的各项收入。</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（八）使用非财政拨款结余：填列历年滚存的非限定用途的非统计财政拨款结余弥补2022年收支差额的数额。</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（九）上年结转和结余：填列2021年全部结转和结余的资金数，包括当年结转结余资金和历年滚存结转结余资金。</w:t>
      </w:r>
    </w:p>
    <w:p>
      <w:pPr>
        <w:ind w:firstLine="640" w:firstLineChars="200"/>
        <w:rPr>
          <w:rFonts w:hint="eastAsia" w:ascii="Adobe 仿宋 Std R" w:hAnsi="Adobe 仿宋 Std R" w:eastAsia="Adobe 仿宋 Std R" w:cs="黑体"/>
          <w:kern w:val="2"/>
          <w:sz w:val="32"/>
          <w:szCs w:val="30"/>
          <w:lang w:val="en-US" w:eastAsia="zh-CN"/>
        </w:rPr>
      </w:pPr>
    </w:p>
    <w:p>
      <w:pPr>
        <w:ind w:firstLine="643" w:firstLineChars="200"/>
        <w:rPr>
          <w:rFonts w:hint="eastAsia" w:ascii="Adobe 仿宋 Std R" w:hAnsi="Adobe 仿宋 Std R" w:eastAsia="Adobe 仿宋 Std R" w:cs="黑体"/>
          <w:kern w:val="2"/>
          <w:sz w:val="32"/>
          <w:szCs w:val="30"/>
          <w:lang w:val="en-US" w:eastAsia="zh-CN"/>
        </w:rPr>
      </w:pPr>
      <w:r>
        <w:rPr>
          <w:rFonts w:hint="eastAsia" w:ascii="Adobe 仿宋 Std R" w:hAnsi="Adobe 仿宋 Std R" w:eastAsia="Adobe 仿宋 Std R" w:cs="黑体"/>
          <w:b/>
          <w:bCs/>
          <w:kern w:val="2"/>
          <w:sz w:val="32"/>
          <w:szCs w:val="30"/>
          <w:lang w:val="en-US" w:eastAsia="zh-CN"/>
        </w:rPr>
        <w:t>二、支出科目</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（一）行政运行：反映行政单位（包括参公单位）的基本支出。</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（二）一般行政管理事务：反映行政单位（包括参公单位）未单独设置项级科目的其他项目支出。</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（三）机关服务：反映为行政单位（包括参公单位）提供后勤服务的各类后勤服务中心的支出。</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（四）事业运行：反映事业单位的基本支出。</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（五）住房公积金：反映行政事业单位按人力资源和社会保障部、财政部规定的基本工资和津补贴以及规定比例为职工缴纳的住房公积金。</w:t>
      </w:r>
    </w:p>
    <w:p>
      <w:pPr>
        <w:ind w:firstLine="640" w:firstLineChars="200"/>
        <w:rPr>
          <w:rFonts w:hint="eastAsia" w:ascii="Adobe 仿宋 Std R" w:hAnsi="Adobe 仿宋 Std R" w:eastAsia="Adobe 仿宋 Std R" w:cs="黑体"/>
          <w:kern w:val="2"/>
          <w:sz w:val="32"/>
          <w:szCs w:val="30"/>
          <w:lang w:val="en-US" w:eastAsia="zh-CN"/>
        </w:rPr>
      </w:pPr>
    </w:p>
    <w:p>
      <w:pPr>
        <w:ind w:firstLine="643" w:firstLineChars="200"/>
        <w:rPr>
          <w:rFonts w:hint="eastAsia" w:ascii="Adobe 仿宋 Std R" w:hAnsi="Adobe 仿宋 Std R" w:eastAsia="Adobe 仿宋 Std R" w:cs="黑体"/>
          <w:b/>
          <w:bCs/>
          <w:kern w:val="2"/>
          <w:sz w:val="32"/>
          <w:szCs w:val="30"/>
          <w:lang w:val="en-US" w:eastAsia="zh-CN"/>
        </w:rPr>
      </w:pPr>
      <w:r>
        <w:rPr>
          <w:rFonts w:hint="eastAsia" w:ascii="Adobe 仿宋 Std R" w:hAnsi="Adobe 仿宋 Std R" w:eastAsia="Adobe 仿宋 Std R" w:cs="黑体"/>
          <w:b/>
          <w:bCs/>
          <w:kern w:val="2"/>
          <w:sz w:val="32"/>
          <w:szCs w:val="30"/>
          <w:lang w:val="en-US" w:eastAsia="zh-CN"/>
        </w:rPr>
        <w:t>三、部门涉及的专业名词</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 xml:space="preserve">（一）“三公”经费：纳入预算管理的“三公”经费，是 指用财政拨款安排的因公出国（境）费、公务用车购置及运 行费和公务接待费。 </w:t>
      </w:r>
    </w:p>
    <w:p>
      <w:pPr>
        <w:spacing w:line="520" w:lineRule="exact"/>
        <w:ind w:firstLine="640" w:firstLineChars="200"/>
        <w:rPr>
          <w:rFonts w:hint="eastAsia" w:ascii="仿宋_GB2312" w:eastAsia="仿宋_GB2312" w:cs="Times New Roman"/>
          <w:kern w:val="2"/>
          <w:sz w:val="32"/>
          <w:szCs w:val="30"/>
          <w:lang w:val="en-US" w:eastAsia="zh-CN"/>
        </w:rPr>
      </w:pPr>
      <w:r>
        <w:rPr>
          <w:rFonts w:hint="eastAsia" w:ascii="仿宋_GB2312" w:eastAsia="仿宋_GB2312" w:cs="Times New Roman"/>
          <w:kern w:val="2"/>
          <w:sz w:val="32"/>
          <w:szCs w:val="30"/>
          <w:lang w:val="en-US" w:eastAsia="zh-CN"/>
        </w:rPr>
        <w:t>（二）机关运行经费：为保障行政单位（包括参照公务 员法管理事业单位）运行用于购买货物和服务的各项资金， 包括办公及印刷费、邮电费、差旅费、会议费、福利费、日 常维修费、专用材料及一般设备购置费、办公用房水电费、 办公用房取暖费、办公用房物业管理费、公务用车运行维护 费以及其他费用。</w:t>
      </w:r>
    </w:p>
    <w:p>
      <w:pPr>
        <w:spacing w:line="520" w:lineRule="exact"/>
        <w:ind w:firstLine="640" w:firstLineChars="200"/>
        <w:rPr>
          <w:rFonts w:hint="eastAsia" w:ascii="仿宋_GB2312" w:eastAsia="仿宋_GB2312"/>
          <w:sz w:val="32"/>
          <w:szCs w:val="30"/>
        </w:rPr>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Adobe 仿宋 Std R">
    <w:altName w:val="仿宋"/>
    <w:panose1 w:val="000000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A771B9"/>
    <w:multiLevelType w:val="singleLevel"/>
    <w:tmpl w:val="D1A771B9"/>
    <w:lvl w:ilvl="0" w:tentative="0">
      <w:start w:val="2"/>
      <w:numFmt w:val="chineseCounting"/>
      <w:suff w:val="space"/>
      <w:lvlText w:val="第%1部分"/>
      <w:lvlJc w:val="left"/>
      <w:rPr>
        <w:rFonts w:hint="eastAsia"/>
      </w:rPr>
    </w:lvl>
  </w:abstractNum>
  <w:abstractNum w:abstractNumId="1">
    <w:nsid w:val="58D0DF02"/>
    <w:multiLevelType w:val="singleLevel"/>
    <w:tmpl w:val="58D0DF02"/>
    <w:lvl w:ilvl="0" w:tentative="0">
      <w:start w:val="3"/>
      <w:numFmt w:val="chineseCounting"/>
      <w:suff w:val="nothing"/>
      <w:lvlText w:val="（%1）"/>
      <w:lvlJc w:val="left"/>
    </w:lvl>
  </w:abstractNum>
  <w:abstractNum w:abstractNumId="2">
    <w:nsid w:val="7E7176A5"/>
    <w:multiLevelType w:val="singleLevel"/>
    <w:tmpl w:val="7E7176A5"/>
    <w:lvl w:ilvl="0" w:tentative="0">
      <w:start w:val="2"/>
      <w:numFmt w:val="chineseCounting"/>
      <w:suff w:val="nothing"/>
      <w:lvlText w:val="%1、"/>
      <w:lvlJc w:val="left"/>
      <w:pPr>
        <w:ind w:left="640" w:leftChars="0" w:firstLine="0" w:firstLineChars="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TljZTA4Njc2ZTc4NGNhOWIxMDE5MjEyYTg5NDgifQ=="/>
  </w:docVars>
  <w:rsids>
    <w:rsidRoot w:val="00D31D50"/>
    <w:rsid w:val="00323B43"/>
    <w:rsid w:val="003D37D8"/>
    <w:rsid w:val="00426133"/>
    <w:rsid w:val="004358AB"/>
    <w:rsid w:val="00464991"/>
    <w:rsid w:val="00492CF6"/>
    <w:rsid w:val="0075291B"/>
    <w:rsid w:val="008B7726"/>
    <w:rsid w:val="009A775D"/>
    <w:rsid w:val="00D31D50"/>
    <w:rsid w:val="00F65A47"/>
    <w:rsid w:val="00FD3FAF"/>
    <w:rsid w:val="0FBD6E6C"/>
    <w:rsid w:val="15BA6327"/>
    <w:rsid w:val="1ED65854"/>
    <w:rsid w:val="20B119F3"/>
    <w:rsid w:val="2C0E75DC"/>
    <w:rsid w:val="2F9A72EA"/>
    <w:rsid w:val="31DF1F8F"/>
    <w:rsid w:val="37C53146"/>
    <w:rsid w:val="40295307"/>
    <w:rsid w:val="442F1745"/>
    <w:rsid w:val="48AD483A"/>
    <w:rsid w:val="515B66EF"/>
    <w:rsid w:val="56F377FB"/>
    <w:rsid w:val="592559D3"/>
    <w:rsid w:val="598F04FE"/>
    <w:rsid w:val="5BBC1352"/>
    <w:rsid w:val="5C981DBF"/>
    <w:rsid w:val="5CC44C29"/>
    <w:rsid w:val="621561F5"/>
    <w:rsid w:val="6F1572A0"/>
    <w:rsid w:val="719B6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3"/>
    <w:basedOn w:val="1"/>
    <w:next w:val="1"/>
    <w:qFormat/>
    <w:uiPriority w:val="9"/>
    <w:pPr>
      <w:keepNext/>
      <w:keepLines/>
      <w:spacing w:before="260" w:after="260" w:line="416" w:lineRule="auto"/>
      <w:outlineLvl w:val="2"/>
    </w:pPr>
    <w:rPr>
      <w:b/>
      <w:bCs/>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pPr>
      <w:spacing w:after="0"/>
    </w:pPr>
    <w:rPr>
      <w:sz w:val="18"/>
      <w:szCs w:val="18"/>
    </w:rPr>
  </w:style>
  <w:style w:type="paragraph" w:styleId="4">
    <w:name w:val="footer"/>
    <w:basedOn w:val="1"/>
    <w:link w:val="9"/>
    <w:semiHidden/>
    <w:unhideWhenUsed/>
    <w:qFormat/>
    <w:uiPriority w:val="99"/>
    <w:pPr>
      <w:tabs>
        <w:tab w:val="center" w:pos="4153"/>
        <w:tab w:val="right" w:pos="8306"/>
      </w:tabs>
    </w:pPr>
    <w:rPr>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8">
    <w:name w:val="页眉 Char"/>
    <w:basedOn w:val="7"/>
    <w:link w:val="5"/>
    <w:semiHidden/>
    <w:qFormat/>
    <w:uiPriority w:val="99"/>
    <w:rPr>
      <w:rFonts w:ascii="Tahoma" w:hAnsi="Tahoma"/>
      <w:sz w:val="18"/>
      <w:szCs w:val="18"/>
    </w:rPr>
  </w:style>
  <w:style w:type="character" w:customStyle="1" w:styleId="9">
    <w:name w:val="页脚 Char"/>
    <w:basedOn w:val="7"/>
    <w:link w:val="4"/>
    <w:semiHidden/>
    <w:qFormat/>
    <w:uiPriority w:val="99"/>
    <w:rPr>
      <w:rFonts w:ascii="Tahoma" w:hAnsi="Tahoma"/>
      <w:sz w:val="18"/>
      <w:szCs w:val="18"/>
    </w:rPr>
  </w:style>
  <w:style w:type="paragraph" w:customStyle="1" w:styleId="10">
    <w:name w:val="p0"/>
    <w:basedOn w:val="1"/>
    <w:qFormat/>
    <w:uiPriority w:val="0"/>
    <w:pPr>
      <w:adjustRightInd/>
      <w:snapToGrid/>
      <w:spacing w:after="0"/>
      <w:jc w:val="both"/>
    </w:pPr>
    <w:rPr>
      <w:rFonts w:ascii="Times New Roman" w:hAnsi="Times New Roman" w:eastAsia="宋体" w:cs="Times New Roman"/>
      <w:sz w:val="21"/>
      <w:szCs w:val="21"/>
    </w:rPr>
  </w:style>
  <w:style w:type="character" w:customStyle="1" w:styleId="11">
    <w:name w:val="批注框文本 Char"/>
    <w:basedOn w:val="7"/>
    <w:link w:val="3"/>
    <w:semiHidden/>
    <w:qFormat/>
    <w:uiPriority w:val="99"/>
    <w:rPr>
      <w:rFonts w:ascii="Tahoma" w:hAnsi="Tahoma"/>
      <w:sz w:val="18"/>
      <w:szCs w:val="18"/>
    </w:rPr>
  </w:style>
  <w:style w:type="paragraph" w:customStyle="1" w:styleId="12">
    <w:name w:val="正文缩进 + 首行缩进:  2 字符"/>
    <w:basedOn w:val="1"/>
    <w:qFormat/>
    <w:uiPriority w:val="0"/>
    <w:pPr>
      <w:widowControl w:val="0"/>
      <w:adjustRightInd/>
      <w:snapToGrid/>
      <w:spacing w:after="0"/>
      <w:ind w:firstLine="640"/>
      <w:jc w:val="both"/>
    </w:pPr>
    <w:rPr>
      <w:rFonts w:ascii="Times New Roman" w:hAnsi="Times New Roman" w:eastAsia="宋体" w:cs="宋体"/>
      <w:kern w:val="2"/>
      <w:sz w:val="21"/>
      <w:szCs w:val="20"/>
    </w:rPr>
  </w:style>
  <w:style w:type="character" w:customStyle="1" w:styleId="13">
    <w:name w:val="row_tree_level_4"/>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4392</Words>
  <Characters>4797</Characters>
  <Lines>19</Lines>
  <Paragraphs>5</Paragraphs>
  <TotalTime>4</TotalTime>
  <ScaleCrop>false</ScaleCrop>
  <LinksUpToDate>false</LinksUpToDate>
  <CharactersWithSpaces>4866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1</dc:creator>
  <cp:lastModifiedBy>Administrator</cp:lastModifiedBy>
  <dcterms:modified xsi:type="dcterms:W3CDTF">2023-06-05T01:54:56Z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A10BD7919B8A4F2DB351336232F8820E_13</vt:lpwstr>
  </property>
</Properties>
</file>