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40" w:firstLineChars="100"/>
        <w:jc w:val="center"/>
        <w:rPr>
          <w:rFonts w:ascii="黑体" w:hAnsi="黑体" w:eastAsia="黑体" w:cs="黑体"/>
          <w:bCs/>
          <w:sz w:val="44"/>
          <w:szCs w:val="44"/>
        </w:rPr>
      </w:pPr>
      <w:r>
        <w:rPr>
          <w:rFonts w:hint="eastAsia" w:ascii="黑体" w:hAnsi="黑体" w:eastAsia="黑体" w:cs="黑体"/>
          <w:bCs/>
          <w:sz w:val="44"/>
          <w:szCs w:val="44"/>
        </w:rPr>
        <w:t>南昌市青云谱区政府办公室2022年部门预算编制说明</w:t>
      </w:r>
    </w:p>
    <w:p>
      <w:pPr>
        <w:ind w:firstLine="440" w:firstLineChars="100"/>
        <w:jc w:val="center"/>
        <w:rPr>
          <w:rFonts w:ascii="黑体" w:hAnsi="黑体" w:eastAsia="黑体" w:cs="黑体"/>
          <w:bCs/>
          <w:sz w:val="44"/>
          <w:szCs w:val="44"/>
        </w:rPr>
      </w:pPr>
    </w:p>
    <w:p>
      <w:pPr>
        <w:spacing w:line="600" w:lineRule="exact"/>
        <w:jc w:val="center"/>
        <w:rPr>
          <w:rFonts w:ascii="黑体" w:eastAsia="黑体"/>
          <w:sz w:val="44"/>
          <w:szCs w:val="44"/>
        </w:rPr>
      </w:pPr>
      <w:r>
        <w:rPr>
          <w:rFonts w:hint="eastAsia" w:ascii="黑体" w:eastAsia="黑体"/>
          <w:sz w:val="44"/>
          <w:szCs w:val="44"/>
        </w:rPr>
        <w:t>目    录</w:t>
      </w:r>
    </w:p>
    <w:p/>
    <w:p>
      <w:pPr>
        <w:spacing w:line="540" w:lineRule="exact"/>
        <w:ind w:firstLine="640"/>
        <w:rPr>
          <w:rFonts w:ascii="仿宋_GB2312" w:hAnsi="Times New Roman" w:eastAsia="仿宋_GB2312" w:cs="Times New Roman"/>
          <w:b/>
          <w:bCs/>
          <w:color w:val="000000"/>
          <w:sz w:val="32"/>
          <w:szCs w:val="32"/>
        </w:rPr>
      </w:pPr>
      <w:r>
        <w:rPr>
          <w:rFonts w:hint="eastAsia" w:ascii="仿宋_GB2312" w:hAnsi="Times New Roman" w:eastAsia="仿宋_GB2312" w:cs="Times New Roman"/>
          <w:b/>
          <w:bCs/>
          <w:color w:val="000000"/>
          <w:sz w:val="32"/>
          <w:szCs w:val="32"/>
        </w:rPr>
        <w:t>第一部分  区政府办公室部门概况</w:t>
      </w:r>
    </w:p>
    <w:p>
      <w:pPr>
        <w:spacing w:line="540" w:lineRule="exact"/>
        <w:ind w:firstLine="1280" w:firstLineChars="400"/>
        <w:rPr>
          <w:rFonts w:ascii="Adobe 仿宋 Std R" w:hAnsi="Adobe 仿宋 Std R" w:eastAsia="Adobe 仿宋 Std R" w:cs="Times New Roman"/>
          <w:kern w:val="2"/>
          <w:sz w:val="32"/>
          <w:szCs w:val="30"/>
        </w:rPr>
      </w:pPr>
      <w:r>
        <w:rPr>
          <w:rFonts w:hint="eastAsia" w:ascii="仿宋_GB2312" w:eastAsia="仿宋_GB2312" w:cs="Times New Roman"/>
          <w:kern w:val="2"/>
          <w:sz w:val="32"/>
          <w:szCs w:val="30"/>
        </w:rPr>
        <w:t xml:space="preserve"> </w:t>
      </w:r>
      <w:r>
        <w:rPr>
          <w:rFonts w:hint="eastAsia" w:ascii="Adobe 仿宋 Std R" w:hAnsi="Adobe 仿宋 Std R" w:eastAsia="Adobe 仿宋 Std R" w:cs="Times New Roman"/>
          <w:kern w:val="2"/>
          <w:sz w:val="32"/>
          <w:szCs w:val="30"/>
        </w:rPr>
        <w:t>一、部门主要职责</w:t>
      </w:r>
    </w:p>
    <w:p>
      <w:pPr>
        <w:spacing w:line="540" w:lineRule="exact"/>
        <w:ind w:firstLine="1280" w:firstLineChars="400"/>
        <w:rPr>
          <w:rFonts w:ascii="Adobe 仿宋 Std R" w:hAnsi="Adobe 仿宋 Std R" w:eastAsia="Adobe 仿宋 Std R" w:cs="Times New Roman"/>
          <w:kern w:val="2"/>
          <w:sz w:val="32"/>
          <w:szCs w:val="30"/>
        </w:rPr>
      </w:pPr>
      <w:r>
        <w:rPr>
          <w:rFonts w:hint="eastAsia" w:ascii="Adobe 仿宋 Std R" w:hAnsi="Adobe 仿宋 Std R" w:eastAsia="Adobe 仿宋 Std R" w:cs="Times New Roman"/>
          <w:kern w:val="2"/>
          <w:sz w:val="32"/>
          <w:szCs w:val="30"/>
        </w:rPr>
        <w:t xml:space="preserve"> 二、机构设置及人员情况</w:t>
      </w:r>
    </w:p>
    <w:p>
      <w:pPr>
        <w:spacing w:line="540" w:lineRule="exact"/>
        <w:ind w:firstLine="640"/>
        <w:rPr>
          <w:rFonts w:ascii="仿宋_GB2312" w:hAnsi="Times New Roman" w:eastAsia="仿宋_GB2312" w:cs="Times New Roman"/>
          <w:b/>
          <w:bCs/>
          <w:color w:val="000000"/>
          <w:sz w:val="32"/>
          <w:szCs w:val="32"/>
        </w:rPr>
      </w:pPr>
      <w:r>
        <w:rPr>
          <w:rFonts w:hint="eastAsia" w:ascii="仿宋_GB2312" w:hAnsi="Times New Roman" w:eastAsia="仿宋_GB2312" w:cs="Times New Roman"/>
          <w:b/>
          <w:bCs/>
          <w:color w:val="000000"/>
          <w:sz w:val="32"/>
          <w:szCs w:val="32"/>
        </w:rPr>
        <w:t>第二部分  区政府办公室2022年部门预算表</w:t>
      </w:r>
    </w:p>
    <w:p>
      <w:pPr>
        <w:spacing w:line="540" w:lineRule="exact"/>
        <w:ind w:firstLine="1280" w:firstLineChars="400"/>
        <w:rPr>
          <w:rFonts w:ascii="Adobe 仿宋 Std R" w:hAnsi="Adobe 仿宋 Std R" w:eastAsia="Adobe 仿宋 Std R" w:cs="Times New Roman"/>
          <w:kern w:val="2"/>
          <w:sz w:val="32"/>
          <w:szCs w:val="30"/>
        </w:rPr>
      </w:pPr>
      <w:r>
        <w:rPr>
          <w:rFonts w:hint="eastAsia" w:ascii="Adobe 仿宋 Std R" w:hAnsi="Adobe 仿宋 Std R" w:eastAsia="Adobe 仿宋 Std R" w:cs="Times New Roman"/>
          <w:kern w:val="2"/>
          <w:sz w:val="32"/>
          <w:szCs w:val="30"/>
        </w:rPr>
        <w:t>一、《收支预算总表》</w:t>
      </w:r>
    </w:p>
    <w:p>
      <w:pPr>
        <w:spacing w:line="540" w:lineRule="exact"/>
        <w:ind w:firstLine="1280" w:firstLineChars="400"/>
        <w:rPr>
          <w:rFonts w:ascii="Adobe 仿宋 Std R" w:hAnsi="Adobe 仿宋 Std R" w:eastAsia="Adobe 仿宋 Std R" w:cs="Times New Roman"/>
          <w:kern w:val="2"/>
          <w:sz w:val="32"/>
          <w:szCs w:val="30"/>
        </w:rPr>
      </w:pPr>
      <w:r>
        <w:rPr>
          <w:rFonts w:hint="eastAsia" w:ascii="Adobe 仿宋 Std R" w:hAnsi="Adobe 仿宋 Std R" w:eastAsia="Adobe 仿宋 Std R" w:cs="Times New Roman"/>
          <w:kern w:val="2"/>
          <w:sz w:val="32"/>
          <w:szCs w:val="30"/>
        </w:rPr>
        <w:t>二、《部门收入总表》</w:t>
      </w:r>
    </w:p>
    <w:p>
      <w:pPr>
        <w:spacing w:line="540" w:lineRule="exact"/>
        <w:ind w:firstLine="1280" w:firstLineChars="400"/>
        <w:rPr>
          <w:rFonts w:ascii="Adobe 仿宋 Std R" w:hAnsi="Adobe 仿宋 Std R" w:eastAsia="Adobe 仿宋 Std R" w:cs="Times New Roman"/>
          <w:kern w:val="2"/>
          <w:sz w:val="32"/>
          <w:szCs w:val="30"/>
        </w:rPr>
      </w:pPr>
      <w:r>
        <w:rPr>
          <w:rFonts w:hint="eastAsia" w:ascii="Adobe 仿宋 Std R" w:hAnsi="Adobe 仿宋 Std R" w:eastAsia="Adobe 仿宋 Std R" w:cs="Times New Roman"/>
          <w:kern w:val="2"/>
          <w:sz w:val="32"/>
          <w:szCs w:val="30"/>
        </w:rPr>
        <w:t>三、《部门支出总表》</w:t>
      </w:r>
    </w:p>
    <w:p>
      <w:pPr>
        <w:spacing w:line="540" w:lineRule="exact"/>
        <w:ind w:firstLine="1280" w:firstLineChars="400"/>
        <w:rPr>
          <w:rFonts w:ascii="Adobe 仿宋 Std R" w:hAnsi="Adobe 仿宋 Std R" w:eastAsia="Adobe 仿宋 Std R" w:cs="Times New Roman"/>
          <w:kern w:val="2"/>
          <w:sz w:val="32"/>
          <w:szCs w:val="30"/>
        </w:rPr>
      </w:pPr>
      <w:r>
        <w:rPr>
          <w:rFonts w:hint="eastAsia" w:ascii="Adobe 仿宋 Std R" w:hAnsi="Adobe 仿宋 Std R" w:eastAsia="Adobe 仿宋 Std R" w:cs="Times New Roman"/>
          <w:kern w:val="2"/>
          <w:sz w:val="32"/>
          <w:szCs w:val="30"/>
        </w:rPr>
        <w:t>四、《财政拨款收支总表》</w:t>
      </w:r>
    </w:p>
    <w:p>
      <w:pPr>
        <w:spacing w:line="540" w:lineRule="exact"/>
        <w:ind w:firstLine="1280" w:firstLineChars="400"/>
        <w:rPr>
          <w:rFonts w:ascii="Adobe 仿宋 Std R" w:hAnsi="Adobe 仿宋 Std R" w:eastAsia="Adobe 仿宋 Std R" w:cs="Times New Roman"/>
          <w:kern w:val="2"/>
          <w:sz w:val="32"/>
          <w:szCs w:val="30"/>
        </w:rPr>
      </w:pPr>
      <w:r>
        <w:rPr>
          <w:rFonts w:hint="eastAsia" w:ascii="Adobe 仿宋 Std R" w:hAnsi="Adobe 仿宋 Std R" w:eastAsia="Adobe 仿宋 Std R" w:cs="Times New Roman"/>
          <w:kern w:val="2"/>
          <w:sz w:val="32"/>
          <w:szCs w:val="30"/>
        </w:rPr>
        <w:t>五、《一般公共预算支出表》</w:t>
      </w:r>
    </w:p>
    <w:p>
      <w:pPr>
        <w:spacing w:line="540" w:lineRule="exact"/>
        <w:ind w:firstLine="1280" w:firstLineChars="400"/>
        <w:rPr>
          <w:rFonts w:ascii="Adobe 仿宋 Std R" w:hAnsi="Adobe 仿宋 Std R" w:eastAsia="Adobe 仿宋 Std R" w:cs="Times New Roman"/>
          <w:kern w:val="2"/>
          <w:sz w:val="32"/>
          <w:szCs w:val="30"/>
        </w:rPr>
      </w:pPr>
      <w:r>
        <w:rPr>
          <w:rFonts w:hint="eastAsia" w:ascii="Adobe 仿宋 Std R" w:hAnsi="Adobe 仿宋 Std R" w:eastAsia="Adobe 仿宋 Std R" w:cs="Times New Roman"/>
          <w:kern w:val="2"/>
          <w:sz w:val="32"/>
          <w:szCs w:val="30"/>
        </w:rPr>
        <w:t>六、《一般公共预算基本支出表》</w:t>
      </w:r>
    </w:p>
    <w:p>
      <w:pPr>
        <w:spacing w:line="540" w:lineRule="exact"/>
        <w:ind w:firstLine="1280" w:firstLineChars="400"/>
        <w:rPr>
          <w:rFonts w:ascii="Adobe 仿宋 Std R" w:hAnsi="Adobe 仿宋 Std R" w:eastAsia="Adobe 仿宋 Std R" w:cs="Times New Roman"/>
          <w:kern w:val="2"/>
          <w:sz w:val="32"/>
          <w:szCs w:val="30"/>
        </w:rPr>
      </w:pPr>
      <w:r>
        <w:rPr>
          <w:rFonts w:hint="eastAsia" w:ascii="Adobe 仿宋 Std R" w:hAnsi="Adobe 仿宋 Std R" w:eastAsia="Adobe 仿宋 Std R" w:cs="Times New Roman"/>
          <w:kern w:val="2"/>
          <w:sz w:val="32"/>
          <w:szCs w:val="30"/>
        </w:rPr>
        <w:t>七、《一般公共预算“三公”经费支出表》</w:t>
      </w:r>
    </w:p>
    <w:p>
      <w:pPr>
        <w:spacing w:line="540" w:lineRule="exact"/>
        <w:ind w:firstLine="1280" w:firstLineChars="400"/>
        <w:rPr>
          <w:rFonts w:ascii="Adobe 仿宋 Std R" w:hAnsi="Adobe 仿宋 Std R" w:eastAsia="Adobe 仿宋 Std R" w:cs="Times New Roman"/>
          <w:kern w:val="2"/>
          <w:sz w:val="32"/>
          <w:szCs w:val="30"/>
        </w:rPr>
      </w:pPr>
      <w:r>
        <w:rPr>
          <w:rFonts w:hint="eastAsia" w:ascii="Adobe 仿宋 Std R" w:hAnsi="Adobe 仿宋 Std R" w:eastAsia="Adobe 仿宋 Std R" w:cs="Times New Roman"/>
          <w:kern w:val="2"/>
          <w:sz w:val="32"/>
          <w:szCs w:val="30"/>
        </w:rPr>
        <w:t>八、《政府性基金预算支出表》</w:t>
      </w:r>
    </w:p>
    <w:p>
      <w:pPr>
        <w:pStyle w:val="10"/>
        <w:tabs>
          <w:tab w:val="left" w:pos="6546"/>
        </w:tabs>
        <w:spacing w:line="600" w:lineRule="atLeast"/>
        <w:ind w:firstLine="1280"/>
        <w:jc w:val="left"/>
        <w:rPr>
          <w:rFonts w:ascii="Adobe 仿宋 Std R" w:hAnsi="Adobe 仿宋 Std R" w:eastAsia="Adobe 仿宋 Std R"/>
          <w:kern w:val="2"/>
          <w:sz w:val="32"/>
          <w:szCs w:val="30"/>
        </w:rPr>
      </w:pPr>
      <w:r>
        <w:rPr>
          <w:rFonts w:ascii="Adobe 仿宋 Std R" w:hAnsi="Adobe 仿宋 Std R" w:eastAsia="Adobe 仿宋 Std R"/>
          <w:kern w:val="2"/>
          <w:sz w:val="32"/>
          <w:szCs w:val="30"/>
        </w:rPr>
        <w:t>九、《</w:t>
      </w:r>
      <w:r>
        <w:rPr>
          <w:rFonts w:hint="eastAsia" w:ascii="Adobe 仿宋 Std R" w:hAnsi="Adobe 仿宋 Std R" w:eastAsia="Adobe 仿宋 Std R"/>
          <w:kern w:val="2"/>
          <w:sz w:val="32"/>
          <w:szCs w:val="30"/>
        </w:rPr>
        <w:t>国有资本经营</w:t>
      </w:r>
      <w:r>
        <w:rPr>
          <w:rFonts w:ascii="Adobe 仿宋 Std R" w:hAnsi="Adobe 仿宋 Std R" w:eastAsia="Adobe 仿宋 Std R"/>
          <w:kern w:val="2"/>
          <w:sz w:val="32"/>
          <w:szCs w:val="30"/>
        </w:rPr>
        <w:t>预算支出表》</w:t>
      </w:r>
      <w:r>
        <w:rPr>
          <w:rFonts w:hint="eastAsia" w:ascii="Adobe 仿宋 Std R" w:hAnsi="Adobe 仿宋 Std R" w:eastAsia="Adobe 仿宋 Std R"/>
          <w:kern w:val="2"/>
          <w:sz w:val="32"/>
          <w:szCs w:val="30"/>
        </w:rPr>
        <w:tab/>
      </w:r>
    </w:p>
    <w:p>
      <w:pPr>
        <w:pStyle w:val="10"/>
        <w:tabs>
          <w:tab w:val="left" w:pos="6546"/>
        </w:tabs>
        <w:spacing w:line="600" w:lineRule="atLeast"/>
        <w:ind w:firstLine="1280"/>
        <w:jc w:val="left"/>
        <w:rPr>
          <w:rFonts w:ascii="Adobe 仿宋 Std R" w:hAnsi="Adobe 仿宋 Std R" w:eastAsia="Adobe 仿宋 Std R"/>
          <w:kern w:val="2"/>
          <w:sz w:val="32"/>
          <w:szCs w:val="30"/>
        </w:rPr>
      </w:pPr>
      <w:r>
        <w:rPr>
          <w:rFonts w:hint="eastAsia" w:ascii="Adobe 仿宋 Std R" w:hAnsi="Adobe 仿宋 Std R" w:eastAsia="Adobe 仿宋 Std R"/>
          <w:kern w:val="2"/>
          <w:sz w:val="32"/>
          <w:szCs w:val="30"/>
        </w:rPr>
        <w:t>十、</w:t>
      </w:r>
      <w:r>
        <w:rPr>
          <w:rFonts w:ascii="Adobe 仿宋 Std R" w:hAnsi="Adobe 仿宋 Std R" w:eastAsia="Adobe 仿宋 Std R"/>
          <w:kern w:val="2"/>
          <w:sz w:val="32"/>
          <w:szCs w:val="30"/>
        </w:rPr>
        <w:t>《</w:t>
      </w:r>
      <w:r>
        <w:rPr>
          <w:rFonts w:hint="eastAsia" w:ascii="Adobe 仿宋 Std R" w:hAnsi="Adobe 仿宋 Std R" w:eastAsia="Adobe 仿宋 Std R"/>
          <w:kern w:val="2"/>
          <w:sz w:val="32"/>
          <w:szCs w:val="30"/>
        </w:rPr>
        <w:t>部门整体支出绩效目标表</w:t>
      </w:r>
      <w:r>
        <w:rPr>
          <w:rFonts w:ascii="Adobe 仿宋 Std R" w:hAnsi="Adobe 仿宋 Std R" w:eastAsia="Adobe 仿宋 Std R"/>
          <w:kern w:val="2"/>
          <w:sz w:val="32"/>
          <w:szCs w:val="30"/>
        </w:rPr>
        <w:t>》</w:t>
      </w:r>
    </w:p>
    <w:p>
      <w:pPr>
        <w:pStyle w:val="10"/>
        <w:tabs>
          <w:tab w:val="left" w:pos="6546"/>
        </w:tabs>
        <w:spacing w:line="600" w:lineRule="atLeast"/>
        <w:ind w:firstLine="1280"/>
        <w:jc w:val="left"/>
        <w:rPr>
          <w:rFonts w:ascii="Adobe 仿宋 Std R" w:hAnsi="Adobe 仿宋 Std R" w:eastAsia="Adobe 仿宋 Std R"/>
          <w:kern w:val="2"/>
          <w:sz w:val="32"/>
          <w:szCs w:val="30"/>
        </w:rPr>
      </w:pPr>
      <w:r>
        <w:rPr>
          <w:rFonts w:hint="eastAsia" w:ascii="Adobe 仿宋 Std R" w:hAnsi="Adobe 仿宋 Std R" w:eastAsia="Adobe 仿宋 Std R"/>
          <w:kern w:val="2"/>
          <w:sz w:val="32"/>
          <w:szCs w:val="30"/>
        </w:rPr>
        <w:t>十一、</w:t>
      </w:r>
      <w:r>
        <w:rPr>
          <w:rFonts w:ascii="Adobe 仿宋 Std R" w:hAnsi="Adobe 仿宋 Std R" w:eastAsia="Adobe 仿宋 Std R"/>
          <w:kern w:val="2"/>
          <w:sz w:val="32"/>
          <w:szCs w:val="30"/>
        </w:rPr>
        <w:t>《</w:t>
      </w:r>
      <w:r>
        <w:rPr>
          <w:rFonts w:hint="eastAsia" w:ascii="Adobe 仿宋 Std R" w:hAnsi="Adobe 仿宋 Std R" w:eastAsia="Adobe 仿宋 Std R"/>
          <w:kern w:val="2"/>
          <w:sz w:val="32"/>
          <w:szCs w:val="30"/>
        </w:rPr>
        <w:t>重点项目绩效目标表</w:t>
      </w:r>
      <w:r>
        <w:rPr>
          <w:rFonts w:ascii="Adobe 仿宋 Std R" w:hAnsi="Adobe 仿宋 Std R" w:eastAsia="Adobe 仿宋 Std R"/>
          <w:kern w:val="2"/>
          <w:sz w:val="32"/>
          <w:szCs w:val="30"/>
        </w:rPr>
        <w:t>》</w:t>
      </w:r>
    </w:p>
    <w:p>
      <w:pPr>
        <w:spacing w:line="540" w:lineRule="exact"/>
        <w:ind w:firstLine="640"/>
        <w:rPr>
          <w:rFonts w:ascii="仿宋_GB2312" w:hAnsi="Times New Roman" w:eastAsia="仿宋_GB2312" w:cs="Times New Roman"/>
          <w:b/>
          <w:bCs/>
          <w:color w:val="000000"/>
          <w:sz w:val="32"/>
          <w:szCs w:val="32"/>
        </w:rPr>
      </w:pPr>
      <w:r>
        <w:rPr>
          <w:rFonts w:hint="eastAsia" w:ascii="仿宋_GB2312" w:hAnsi="Times New Roman" w:eastAsia="仿宋_GB2312" w:cs="Times New Roman"/>
          <w:b/>
          <w:bCs/>
          <w:color w:val="000000"/>
          <w:sz w:val="32"/>
          <w:szCs w:val="32"/>
        </w:rPr>
        <w:t>第三部分   区政府办公室部门2022年部门预算情况说明</w:t>
      </w:r>
    </w:p>
    <w:p>
      <w:pPr>
        <w:spacing w:line="540" w:lineRule="exact"/>
        <w:ind w:firstLine="1280" w:firstLineChars="400"/>
        <w:rPr>
          <w:rFonts w:ascii="Adobe 仿宋 Std R" w:hAnsi="Adobe 仿宋 Std R" w:eastAsia="Adobe 仿宋 Std R" w:cs="Times New Roman"/>
          <w:kern w:val="2"/>
          <w:sz w:val="32"/>
          <w:szCs w:val="30"/>
        </w:rPr>
      </w:pPr>
      <w:r>
        <w:rPr>
          <w:rFonts w:hint="eastAsia" w:ascii="Adobe 仿宋 Std R" w:hAnsi="Adobe 仿宋 Std R" w:eastAsia="Adobe 仿宋 Std R" w:cs="Times New Roman"/>
          <w:kern w:val="2"/>
          <w:sz w:val="32"/>
          <w:szCs w:val="30"/>
        </w:rPr>
        <w:t>一、2022年部门预算收支情况说明</w:t>
      </w:r>
    </w:p>
    <w:p>
      <w:pPr>
        <w:spacing w:line="540" w:lineRule="exact"/>
        <w:ind w:firstLine="1280" w:firstLineChars="400"/>
        <w:rPr>
          <w:rFonts w:ascii="Adobe 仿宋 Std R" w:hAnsi="Adobe 仿宋 Std R" w:eastAsia="Adobe 仿宋 Std R" w:cs="Times New Roman"/>
          <w:kern w:val="2"/>
          <w:sz w:val="32"/>
          <w:szCs w:val="30"/>
        </w:rPr>
      </w:pPr>
      <w:r>
        <w:rPr>
          <w:rFonts w:hint="eastAsia" w:ascii="Adobe 仿宋 Std R" w:hAnsi="Adobe 仿宋 Std R" w:eastAsia="Adobe 仿宋 Std R" w:cs="Times New Roman"/>
          <w:kern w:val="2"/>
          <w:sz w:val="32"/>
          <w:szCs w:val="30"/>
        </w:rPr>
        <w:t>二、2022年“三公”经费预算情况说明</w:t>
      </w:r>
    </w:p>
    <w:p>
      <w:pPr>
        <w:pStyle w:val="10"/>
        <w:spacing w:line="600" w:lineRule="atLeast"/>
        <w:ind w:firstLine="640"/>
        <w:jc w:val="left"/>
        <w:rPr>
          <w:rFonts w:ascii="仿宋_GB2312" w:eastAsia="仿宋_GB2312"/>
          <w:b/>
          <w:bCs/>
          <w:color w:val="000000"/>
          <w:sz w:val="32"/>
          <w:szCs w:val="32"/>
        </w:rPr>
      </w:pPr>
      <w:r>
        <w:rPr>
          <w:rFonts w:hint="eastAsia" w:ascii="宋体" w:hAnsi="宋体"/>
          <w:sz w:val="32"/>
          <w:szCs w:val="32"/>
        </w:rPr>
        <w:t xml:space="preserve">   </w:t>
      </w:r>
      <w:r>
        <w:rPr>
          <w:rFonts w:hint="eastAsia" w:ascii="仿宋_GB2312" w:eastAsia="仿宋_GB2312"/>
          <w:b/>
          <w:bCs/>
          <w:color w:val="000000"/>
          <w:sz w:val="32"/>
          <w:szCs w:val="32"/>
        </w:rPr>
        <w:t>第四部分  名词解释</w:t>
      </w:r>
    </w:p>
    <w:p>
      <w:pPr>
        <w:rPr>
          <w:rFonts w:ascii="宋体" w:hAnsi="宋体"/>
          <w:b/>
          <w:sz w:val="44"/>
          <w:szCs w:val="44"/>
        </w:rPr>
      </w:pPr>
    </w:p>
    <w:p>
      <w:pPr>
        <w:spacing w:line="520" w:lineRule="exact"/>
        <w:ind w:firstLine="628" w:firstLineChars="196"/>
        <w:rPr>
          <w:rFonts w:ascii="宋体" w:hAnsi="宋体"/>
          <w:b/>
          <w:sz w:val="32"/>
          <w:szCs w:val="32"/>
        </w:rPr>
      </w:pPr>
    </w:p>
    <w:p>
      <w:pPr>
        <w:spacing w:line="520" w:lineRule="exact"/>
        <w:jc w:val="center"/>
        <w:rPr>
          <w:rFonts w:ascii="仿宋_GB2312" w:hAnsi="Times New Roman" w:eastAsia="仿宋_GB2312" w:cs="Times New Roman"/>
          <w:b/>
          <w:bCs/>
          <w:color w:val="000000"/>
          <w:sz w:val="32"/>
          <w:szCs w:val="32"/>
        </w:rPr>
      </w:pPr>
      <w:r>
        <w:rPr>
          <w:rFonts w:hint="eastAsia" w:ascii="仿宋_GB2312" w:hAnsi="Times New Roman" w:eastAsia="仿宋_GB2312" w:cs="Times New Roman"/>
          <w:b/>
          <w:bCs/>
          <w:color w:val="000000"/>
          <w:sz w:val="32"/>
          <w:szCs w:val="32"/>
        </w:rPr>
        <w:t>第一部分 区政府办公室部门概况</w:t>
      </w:r>
    </w:p>
    <w:p>
      <w:pPr>
        <w:spacing w:line="520" w:lineRule="exact"/>
        <w:rPr>
          <w:rFonts w:ascii="宋体" w:hAnsi="宋体"/>
          <w:b/>
          <w:sz w:val="32"/>
          <w:szCs w:val="32"/>
        </w:rPr>
      </w:pPr>
    </w:p>
    <w:p>
      <w:pPr>
        <w:spacing w:line="520" w:lineRule="exact"/>
        <w:rPr>
          <w:rFonts w:ascii="黑体" w:hAnsi="黑体" w:eastAsia="黑体" w:cs="黑体"/>
          <w:b/>
          <w:sz w:val="32"/>
          <w:szCs w:val="32"/>
        </w:rPr>
      </w:pPr>
      <w:r>
        <w:rPr>
          <w:rFonts w:hint="eastAsia" w:ascii="宋体" w:hAnsi="宋体"/>
          <w:b/>
          <w:sz w:val="32"/>
          <w:szCs w:val="32"/>
        </w:rPr>
        <w:t xml:space="preserve">    </w:t>
      </w:r>
      <w:r>
        <w:rPr>
          <w:rFonts w:hint="eastAsia" w:ascii="黑体" w:hAnsi="黑体" w:eastAsia="黑体" w:cs="黑体"/>
          <w:bCs/>
          <w:sz w:val="32"/>
          <w:szCs w:val="32"/>
        </w:rPr>
        <w:t>一、部门主要职责</w:t>
      </w:r>
    </w:p>
    <w:p>
      <w:pPr>
        <w:keepLines/>
        <w:widowControl w:val="0"/>
        <w:overflowPunct w:val="0"/>
        <w:adjustRightInd/>
        <w:snapToGrid/>
        <w:spacing w:after="0" w:line="520" w:lineRule="exact"/>
        <w:ind w:firstLine="640" w:firstLineChars="200"/>
        <w:jc w:val="both"/>
        <w:rPr>
          <w:rFonts w:ascii="仿宋_GB2312" w:hAnsi="仿宋_GB2312" w:eastAsia="仿宋_GB2312" w:cs="仿宋_GB2312"/>
          <w:kern w:val="2"/>
          <w:sz w:val="32"/>
          <w:szCs w:val="30"/>
        </w:rPr>
      </w:pPr>
      <w:r>
        <w:rPr>
          <w:rFonts w:hint="eastAsia" w:ascii="仿宋_GB2312" w:eastAsia="仿宋_GB2312" w:cs="Times New Roman"/>
          <w:kern w:val="2"/>
          <w:sz w:val="32"/>
          <w:szCs w:val="30"/>
        </w:rPr>
        <w:t>1</w:t>
      </w:r>
      <w:r>
        <w:rPr>
          <w:rFonts w:hint="eastAsia" w:ascii="仿宋_GB2312" w:hAnsi="仿宋_GB2312" w:eastAsia="仿宋_GB2312" w:cs="仿宋_GB2312"/>
          <w:kern w:val="2"/>
          <w:sz w:val="32"/>
          <w:szCs w:val="30"/>
        </w:rPr>
        <w:t>．负责上级党委、政府和区委及其各部门文电的签收、分发、 传阅及有关文电办理工作。</w:t>
      </w:r>
    </w:p>
    <w:p>
      <w:pPr>
        <w:keepLines/>
        <w:widowControl w:val="0"/>
        <w:overflowPunct w:val="0"/>
        <w:adjustRightInd/>
        <w:snapToGrid/>
        <w:spacing w:after="0" w:line="520" w:lineRule="exact"/>
        <w:ind w:firstLine="640" w:firstLineChars="200"/>
        <w:jc w:val="both"/>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2．研究审核各街办、镇、园、区政府各部门、区直各单位报送 区政府的文电，提出处理意见，报区政府领导审批。 </w:t>
      </w:r>
      <w:r>
        <w:rPr>
          <w:rFonts w:ascii="仿宋_GB2312" w:hAnsi="仿宋_GB2312" w:eastAsia="仿宋_GB2312" w:cs="仿宋_GB2312"/>
          <w:kern w:val="2"/>
          <w:sz w:val="32"/>
          <w:szCs w:val="30"/>
        </w:rPr>
        <w:t xml:space="preserve">    </w:t>
      </w:r>
    </w:p>
    <w:p>
      <w:pPr>
        <w:keepLines/>
        <w:widowControl w:val="0"/>
        <w:overflowPunct w:val="0"/>
        <w:adjustRightInd/>
        <w:snapToGrid/>
        <w:spacing w:after="0" w:line="520" w:lineRule="exact"/>
        <w:ind w:firstLine="640" w:firstLineChars="200"/>
        <w:jc w:val="both"/>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3．负责区政府和区政府办公室文电的草拟、审核和制发工作。</w:t>
      </w:r>
    </w:p>
    <w:p>
      <w:pPr>
        <w:keepLines/>
        <w:widowControl w:val="0"/>
        <w:overflowPunct w:val="0"/>
        <w:adjustRightInd/>
        <w:snapToGrid/>
        <w:spacing w:after="0" w:line="520" w:lineRule="exact"/>
        <w:ind w:firstLine="640" w:firstLineChars="200"/>
        <w:jc w:val="both"/>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4．负责区政府会议的会务工作，协助区政府领导组织实施会议 的决定，督促检查执行情况。 </w:t>
      </w:r>
      <w:r>
        <w:rPr>
          <w:rFonts w:ascii="仿宋_GB2312" w:hAnsi="仿宋_GB2312" w:eastAsia="仿宋_GB2312" w:cs="仿宋_GB2312"/>
          <w:kern w:val="2"/>
          <w:sz w:val="32"/>
          <w:szCs w:val="30"/>
        </w:rPr>
        <w:t xml:space="preserve"> </w:t>
      </w:r>
    </w:p>
    <w:p>
      <w:pPr>
        <w:keepLines/>
        <w:widowControl w:val="0"/>
        <w:overflowPunct w:val="0"/>
        <w:adjustRightInd/>
        <w:snapToGrid/>
        <w:spacing w:after="0" w:line="520" w:lineRule="exact"/>
        <w:ind w:firstLine="640" w:firstLineChars="200"/>
        <w:jc w:val="both"/>
        <w:rPr>
          <w:rFonts w:ascii="仿宋_GB2312" w:hAnsi="仿宋_GB2312" w:eastAsia="仿宋_GB2312" w:cs="仿宋_GB2312"/>
          <w:kern w:val="2"/>
          <w:sz w:val="32"/>
          <w:szCs w:val="30"/>
        </w:rPr>
      </w:pPr>
      <w:r>
        <w:rPr>
          <w:rFonts w:ascii="仿宋_GB2312" w:hAnsi="仿宋_GB2312" w:eastAsia="仿宋_GB2312" w:cs="仿宋_GB2312"/>
          <w:kern w:val="2"/>
          <w:sz w:val="32"/>
          <w:szCs w:val="30"/>
        </w:rPr>
        <w:t xml:space="preserve"> </w:t>
      </w:r>
      <w:r>
        <w:rPr>
          <w:rFonts w:hint="eastAsia" w:ascii="仿宋_GB2312" w:hAnsi="仿宋_GB2312" w:eastAsia="仿宋_GB2312" w:cs="仿宋_GB2312"/>
          <w:kern w:val="2"/>
          <w:sz w:val="32"/>
          <w:szCs w:val="30"/>
        </w:rPr>
        <w:t>5．督促检查区政府各部门和各街办、区属各单位对市委、市政 府和区委、区政府文件以及领导同志重要批示的执行情况。</w:t>
      </w:r>
    </w:p>
    <w:p>
      <w:pPr>
        <w:keepLines/>
        <w:widowControl w:val="0"/>
        <w:overflowPunct w:val="0"/>
        <w:adjustRightInd/>
        <w:snapToGrid/>
        <w:spacing w:after="0" w:line="520" w:lineRule="exact"/>
        <w:ind w:firstLine="640" w:firstLineChars="200"/>
        <w:jc w:val="both"/>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6．根据区政府的部署和安排，组织调查研究全区改革和发展中 的重大问题，协助和参与领导决策。</w:t>
      </w:r>
    </w:p>
    <w:p>
      <w:pPr>
        <w:keepLines/>
        <w:widowControl w:val="0"/>
        <w:overflowPunct w:val="0"/>
        <w:adjustRightInd/>
        <w:snapToGrid/>
        <w:spacing w:after="0" w:line="520" w:lineRule="exact"/>
        <w:ind w:firstLine="640" w:firstLineChars="200"/>
        <w:jc w:val="both"/>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7．根据区政府领导指示或办理文件的需要，组织协调区政府各 部门间、街办间、部门与街办间的工作，对有争议的问题提出处理意 见，报区政府领导审定。</w:t>
      </w:r>
    </w:p>
    <w:p>
      <w:pPr>
        <w:keepLines/>
        <w:widowControl w:val="0"/>
        <w:overflowPunct w:val="0"/>
        <w:adjustRightInd/>
        <w:snapToGrid/>
        <w:spacing w:after="0" w:line="520" w:lineRule="exact"/>
        <w:ind w:firstLine="640" w:firstLineChars="200"/>
        <w:jc w:val="both"/>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8．负责与区人大办公室、区政协办公室的联系，组织督促有关 部门和单位及时办理人大代表建议和政协委员提案。</w:t>
      </w:r>
    </w:p>
    <w:p>
      <w:pPr>
        <w:keepLines/>
        <w:widowControl w:val="0"/>
        <w:overflowPunct w:val="0"/>
        <w:adjustRightInd/>
        <w:snapToGrid/>
        <w:spacing w:after="0" w:line="520" w:lineRule="exact"/>
        <w:ind w:firstLine="640" w:firstLineChars="200"/>
        <w:jc w:val="both"/>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9．负责区政府和区政府办公室的文书档案工作。</w:t>
      </w:r>
    </w:p>
    <w:p>
      <w:pPr>
        <w:keepLines/>
        <w:widowControl w:val="0"/>
        <w:overflowPunct w:val="0"/>
        <w:adjustRightInd/>
        <w:snapToGrid/>
        <w:spacing w:after="0" w:line="520" w:lineRule="exact"/>
        <w:ind w:firstLine="640" w:firstLineChars="200"/>
        <w:jc w:val="both"/>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10．负责区政府办公室机关的精神文明建设和公务员队伍建设， 做好思想政治工作。</w:t>
      </w:r>
    </w:p>
    <w:p>
      <w:pPr>
        <w:keepLines/>
        <w:widowControl w:val="0"/>
        <w:overflowPunct w:val="0"/>
        <w:adjustRightInd/>
        <w:snapToGrid/>
        <w:spacing w:after="0" w:line="520" w:lineRule="exact"/>
        <w:ind w:firstLine="640" w:firstLineChars="200"/>
        <w:jc w:val="both"/>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11．负责全区政府系统信息工作，撰写青云谱区人民政府大事记； 负责收集、分析、编发区政府各部门、区直各单位报送的政务信息。</w:t>
      </w:r>
    </w:p>
    <w:p>
      <w:pPr>
        <w:keepLines/>
        <w:widowControl w:val="0"/>
        <w:overflowPunct w:val="0"/>
        <w:adjustRightInd/>
        <w:snapToGrid/>
        <w:spacing w:after="0" w:line="520" w:lineRule="exact"/>
        <w:ind w:firstLine="640" w:firstLineChars="200"/>
        <w:jc w:val="both"/>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13．负责全区外事侨务工作。贯彻执行党和国家外事侨务工作方 针政策、法规；负责外事接待，配合做好独资、合资、合作企业的工 作；培育侨务资源，依法护侨等工作。</w:t>
      </w:r>
    </w:p>
    <w:p>
      <w:pPr>
        <w:keepLines/>
        <w:widowControl w:val="0"/>
        <w:overflowPunct w:val="0"/>
        <w:adjustRightInd/>
        <w:snapToGrid/>
        <w:spacing w:after="0" w:line="520" w:lineRule="exact"/>
        <w:ind w:firstLine="640" w:firstLineChars="200"/>
        <w:jc w:val="both"/>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14．负责全区信息化建设和管理工作。承担区与省、市信息网联 网建设，负责区网站应用系统总体规划并组织实施，协调管理各街道、 镇、园、区直各单位之间有关网络等工作。</w:t>
      </w:r>
    </w:p>
    <w:p>
      <w:pPr>
        <w:keepLines/>
        <w:widowControl w:val="0"/>
        <w:overflowPunct w:val="0"/>
        <w:adjustRightInd/>
        <w:snapToGrid/>
        <w:spacing w:after="0" w:line="520" w:lineRule="exact"/>
        <w:ind w:firstLine="640" w:firstLineChars="200"/>
        <w:jc w:val="both"/>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15．负责全区应急管理工作。负责全区值守应急、信息处理，编 制应急预案，组织应急培训等工作。</w:t>
      </w:r>
    </w:p>
    <w:p>
      <w:pPr>
        <w:keepLines/>
        <w:widowControl w:val="0"/>
        <w:overflowPunct w:val="0"/>
        <w:adjustRightInd/>
        <w:snapToGrid/>
        <w:spacing w:after="0" w:line="520" w:lineRule="exact"/>
        <w:ind w:firstLine="640" w:firstLineChars="200"/>
        <w:jc w:val="both"/>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16．承办区人民政府交办的其他事项。</w:t>
      </w:r>
    </w:p>
    <w:p>
      <w:pPr>
        <w:rPr>
          <w:rFonts w:ascii="黑体" w:hAnsi="黑体" w:eastAsia="黑体" w:cs="黑体"/>
          <w:bCs/>
          <w:kern w:val="2"/>
          <w:sz w:val="32"/>
          <w:szCs w:val="32"/>
        </w:rPr>
      </w:pPr>
    </w:p>
    <w:p>
      <w:pPr>
        <w:spacing w:line="520" w:lineRule="exact"/>
        <w:rPr>
          <w:rFonts w:hint="eastAsia" w:ascii="黑体" w:hAnsi="黑体" w:eastAsia="黑体" w:cs="黑体"/>
          <w:b w:val="0"/>
          <w:bCs/>
          <w:sz w:val="32"/>
          <w:szCs w:val="32"/>
        </w:rPr>
      </w:pPr>
      <w:r>
        <w:rPr>
          <w:rFonts w:hint="eastAsia" w:ascii="黑体" w:hAnsi="黑体" w:eastAsia="黑体" w:cs="黑体"/>
          <w:b w:val="0"/>
          <w:bCs/>
          <w:sz w:val="32"/>
          <w:szCs w:val="32"/>
        </w:rPr>
        <w:t>二、机构设置及人员情况</w:t>
      </w:r>
    </w:p>
    <w:p>
      <w:pPr>
        <w:keepLines/>
        <w:widowControl w:val="0"/>
        <w:overflowPunct w:val="0"/>
        <w:adjustRightInd/>
        <w:snapToGrid/>
        <w:spacing w:after="0" w:line="520" w:lineRule="exact"/>
        <w:ind w:firstLine="640" w:firstLineChars="200"/>
        <w:jc w:val="both"/>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青云谱区政府办公室部门共有预算单位2个，包括一个本级单位和1个所属二级预算单位区大数据中心；编制人数3</w:t>
      </w:r>
      <w:r>
        <w:rPr>
          <w:rFonts w:hint="eastAsia" w:ascii="仿宋_GB2312" w:hAnsi="仿宋_GB2312" w:eastAsia="仿宋_GB2312" w:cs="仿宋_GB2312"/>
          <w:kern w:val="2"/>
          <w:sz w:val="32"/>
          <w:szCs w:val="30"/>
          <w:lang w:val="en-US" w:eastAsia="zh-CN"/>
        </w:rPr>
        <w:t>6</w:t>
      </w:r>
      <w:r>
        <w:rPr>
          <w:rFonts w:hint="eastAsia" w:ascii="仿宋_GB2312" w:hAnsi="仿宋_GB2312" w:eastAsia="仿宋_GB2312" w:cs="仿宋_GB2312"/>
          <w:kern w:val="2"/>
          <w:sz w:val="32"/>
          <w:szCs w:val="30"/>
        </w:rPr>
        <w:t>人，其中：行政编制14人、全部补助事业编制2</w:t>
      </w:r>
      <w:r>
        <w:rPr>
          <w:rFonts w:hint="eastAsia" w:ascii="仿宋_GB2312" w:hAnsi="仿宋_GB2312" w:eastAsia="仿宋_GB2312" w:cs="仿宋_GB2312"/>
          <w:kern w:val="2"/>
          <w:sz w:val="32"/>
          <w:szCs w:val="30"/>
          <w:lang w:val="en-US" w:eastAsia="zh-CN"/>
        </w:rPr>
        <w:t>2</w:t>
      </w:r>
      <w:r>
        <w:rPr>
          <w:rFonts w:hint="eastAsia" w:ascii="仿宋_GB2312" w:hAnsi="仿宋_GB2312" w:eastAsia="仿宋_GB2312" w:cs="仿宋_GB2312"/>
          <w:kern w:val="2"/>
          <w:sz w:val="32"/>
          <w:szCs w:val="30"/>
        </w:rPr>
        <w:t>人、部分补助事业编制0人、自收自支事业编制0人；实有人数33人，其中：在职人数33人，其中：行政人员15人、全部补助事业人员18人、部分补助事业人员0人、自收自支事业人员0人。离休人员0人、退休人员5人。在校学生0人，其中：小学生0人、初中生0人。</w:t>
      </w:r>
    </w:p>
    <w:p>
      <w:pPr>
        <w:keepLines/>
        <w:widowControl w:val="0"/>
        <w:overflowPunct w:val="0"/>
        <w:adjustRightInd/>
        <w:snapToGrid/>
        <w:spacing w:after="0" w:line="520" w:lineRule="exact"/>
        <w:ind w:firstLine="640" w:firstLineChars="200"/>
        <w:jc w:val="both"/>
        <w:rPr>
          <w:rFonts w:ascii="仿宋_GB2312" w:hAnsi="仿宋_GB2312" w:eastAsia="仿宋_GB2312" w:cs="仿宋_GB2312"/>
          <w:kern w:val="2"/>
          <w:sz w:val="32"/>
          <w:szCs w:val="30"/>
        </w:rPr>
      </w:pPr>
    </w:p>
    <w:p>
      <w:pPr>
        <w:numPr>
          <w:ilvl w:val="0"/>
          <w:numId w:val="1"/>
        </w:numPr>
        <w:adjustRightInd/>
        <w:snapToGrid/>
        <w:spacing w:after="0" w:line="580" w:lineRule="exact"/>
        <w:ind w:firstLine="643" w:firstLineChars="200"/>
        <w:jc w:val="both"/>
        <w:rPr>
          <w:rFonts w:ascii="仿宋_GB2312" w:hAnsi="Calibri" w:eastAsia="仿宋_GB2312" w:cs="Times New Roman"/>
          <w:b/>
          <w:kern w:val="2"/>
          <w:sz w:val="32"/>
          <w:szCs w:val="30"/>
        </w:rPr>
      </w:pPr>
      <w:r>
        <w:rPr>
          <w:rFonts w:hint="eastAsia" w:ascii="仿宋_GB2312" w:hAnsi="Calibri" w:eastAsia="仿宋_GB2312" w:cs="Times New Roman"/>
          <w:b/>
          <w:kern w:val="2"/>
          <w:sz w:val="32"/>
          <w:szCs w:val="30"/>
        </w:rPr>
        <w:t xml:space="preserve"> 区政府办部门2022年部门预算表</w:t>
      </w:r>
    </w:p>
    <w:p>
      <w:pPr>
        <w:spacing w:line="220" w:lineRule="atLeast"/>
        <w:rPr>
          <w:rFonts w:ascii="仿宋" w:hAnsi="仿宋" w:eastAsia="仿宋" w:cs="仿宋"/>
          <w:sz w:val="32"/>
          <w:szCs w:val="32"/>
        </w:rPr>
      </w:pPr>
      <w:r>
        <w:t xml:space="preserve">     </w:t>
      </w:r>
      <w:r>
        <w:rPr>
          <w:rFonts w:hint="eastAsia" w:ascii="仿宋" w:hAnsi="仿宋" w:eastAsia="仿宋" w:cs="仿宋"/>
          <w:sz w:val="32"/>
          <w:szCs w:val="32"/>
        </w:rPr>
        <w:t xml:space="preserve">     </w:t>
      </w:r>
    </w:p>
    <w:p>
      <w:pPr>
        <w:spacing w:line="220" w:lineRule="atLeast"/>
        <w:ind w:firstLine="960" w:firstLineChars="300"/>
        <w:rPr>
          <w:rFonts w:hint="eastAsia" w:ascii="仿宋" w:hAnsi="仿宋" w:eastAsia="仿宋" w:cs="仿宋"/>
          <w:sz w:val="32"/>
          <w:szCs w:val="32"/>
        </w:rPr>
      </w:pPr>
      <w:r>
        <w:rPr>
          <w:rFonts w:hint="eastAsia" w:ascii="仿宋" w:hAnsi="仿宋" w:eastAsia="仿宋" w:cs="仿宋"/>
          <w:sz w:val="32"/>
          <w:szCs w:val="32"/>
        </w:rPr>
        <w:t>（详见附表）</w:t>
      </w:r>
    </w:p>
    <w:p>
      <w:pPr>
        <w:spacing w:line="520" w:lineRule="exact"/>
        <w:jc w:val="center"/>
        <w:rPr>
          <w:rFonts w:ascii="仿宋_GB2312" w:hAnsi="Calibri" w:eastAsia="仿宋_GB2312" w:cs="Times New Roman"/>
          <w:b/>
          <w:kern w:val="2"/>
          <w:sz w:val="32"/>
          <w:szCs w:val="30"/>
        </w:rPr>
      </w:pPr>
      <w:r>
        <w:rPr>
          <w:rFonts w:hint="eastAsia" w:ascii="仿宋_GB2312" w:hAnsi="Calibri" w:eastAsia="仿宋_GB2312" w:cs="Times New Roman"/>
          <w:b/>
          <w:kern w:val="2"/>
          <w:sz w:val="32"/>
          <w:szCs w:val="30"/>
        </w:rPr>
        <w:t>第三部分 区政府办部门2022年部门预算情况说明</w:t>
      </w:r>
    </w:p>
    <w:p>
      <w:pPr>
        <w:spacing w:line="520" w:lineRule="exact"/>
        <w:ind w:left="630"/>
        <w:rPr>
          <w:rFonts w:ascii="黑体" w:hAnsi="黑体" w:eastAsia="黑体" w:cs="黑体"/>
          <w:bCs/>
          <w:sz w:val="32"/>
          <w:szCs w:val="32"/>
        </w:rPr>
      </w:pPr>
      <w:r>
        <w:rPr>
          <w:rFonts w:hint="eastAsia" w:ascii="黑体" w:hAnsi="黑体" w:eastAsia="黑体" w:cs="黑体"/>
          <w:bCs/>
          <w:sz w:val="32"/>
          <w:szCs w:val="32"/>
        </w:rPr>
        <w:t>一、部门预算收支情况说明</w:t>
      </w:r>
    </w:p>
    <w:p>
      <w:pPr>
        <w:spacing w:line="560" w:lineRule="exact"/>
        <w:rPr>
          <w:rFonts w:ascii="宋体" w:hAnsi="宋体"/>
          <w:sz w:val="32"/>
          <w:szCs w:val="32"/>
        </w:rPr>
      </w:pPr>
      <w:r>
        <w:rPr>
          <w:rFonts w:ascii="宋体" w:hAnsi="宋体"/>
          <w:sz w:val="32"/>
          <w:szCs w:val="32"/>
        </w:rPr>
        <w:t xml:space="preserve">   </w:t>
      </w:r>
      <w:r>
        <w:rPr>
          <w:rFonts w:hint="eastAsia" w:ascii="仿宋" w:hAnsi="仿宋" w:eastAsia="仿宋" w:cs="仿宋"/>
          <w:b/>
          <w:kern w:val="2"/>
          <w:sz w:val="32"/>
          <w:szCs w:val="32"/>
        </w:rPr>
        <w:t>（一）收入预算情况</w:t>
      </w:r>
    </w:p>
    <w:p>
      <w:pPr>
        <w:pStyle w:val="12"/>
        <w:spacing w:line="560" w:lineRule="exact"/>
        <w:rPr>
          <w:rFonts w:ascii="仿宋" w:hAnsi="仿宋" w:eastAsia="仿宋" w:cstheme="minorBidi"/>
          <w:kern w:val="0"/>
          <w:sz w:val="32"/>
          <w:szCs w:val="32"/>
        </w:rPr>
      </w:pPr>
      <w:r>
        <w:rPr>
          <w:rFonts w:hint="eastAsia" w:ascii="仿宋" w:hAnsi="仿宋" w:eastAsia="仿宋" w:cstheme="minorBidi"/>
          <w:kern w:val="0"/>
          <w:sz w:val="32"/>
          <w:szCs w:val="32"/>
        </w:rPr>
        <w:t>2022年区政府办部门收入预算总额</w:t>
      </w:r>
      <w:r>
        <w:rPr>
          <w:rFonts w:ascii="仿宋" w:hAnsi="仿宋" w:eastAsia="仿宋" w:cstheme="minorBidi"/>
          <w:kern w:val="0"/>
          <w:sz w:val="32"/>
          <w:szCs w:val="32"/>
        </w:rPr>
        <w:t>1182.42</w:t>
      </w:r>
      <w:r>
        <w:rPr>
          <w:rFonts w:hint="eastAsia" w:ascii="仿宋" w:hAnsi="仿宋" w:eastAsia="仿宋" w:cstheme="minorBidi"/>
          <w:kern w:val="0"/>
          <w:sz w:val="32"/>
          <w:szCs w:val="32"/>
        </w:rPr>
        <w:t>万元，较上年预算安排减少1</w:t>
      </w:r>
      <w:r>
        <w:rPr>
          <w:rFonts w:ascii="仿宋" w:hAnsi="仿宋" w:eastAsia="仿宋" w:cstheme="minorBidi"/>
          <w:kern w:val="0"/>
          <w:sz w:val="32"/>
          <w:szCs w:val="32"/>
        </w:rPr>
        <w:t>01.5</w:t>
      </w:r>
      <w:r>
        <w:rPr>
          <w:rFonts w:hint="eastAsia" w:ascii="仿宋" w:hAnsi="仿宋" w:eastAsia="仿宋" w:cstheme="minorBidi"/>
          <w:kern w:val="0"/>
          <w:sz w:val="32"/>
          <w:szCs w:val="32"/>
        </w:rPr>
        <w:t>万元。其中：财政拨款收入</w:t>
      </w:r>
      <w:r>
        <w:rPr>
          <w:rFonts w:ascii="仿宋" w:hAnsi="仿宋" w:eastAsia="仿宋" w:cstheme="minorBidi"/>
          <w:kern w:val="0"/>
          <w:sz w:val="32"/>
          <w:szCs w:val="32"/>
        </w:rPr>
        <w:t>813.42</w:t>
      </w:r>
      <w:r>
        <w:rPr>
          <w:rFonts w:hint="eastAsia" w:ascii="仿宋" w:hAnsi="仿宋" w:eastAsia="仿宋" w:cstheme="minorBidi"/>
          <w:kern w:val="0"/>
          <w:sz w:val="32"/>
          <w:szCs w:val="32"/>
        </w:rPr>
        <w:t>万元，上级补助收入0万元，事业收入0万元，事业单位经营收入0万元，其他收入3</w:t>
      </w:r>
      <w:r>
        <w:rPr>
          <w:rFonts w:ascii="仿宋" w:hAnsi="仿宋" w:eastAsia="仿宋" w:cstheme="minorBidi"/>
          <w:kern w:val="0"/>
          <w:sz w:val="32"/>
          <w:szCs w:val="32"/>
        </w:rPr>
        <w:t>69</w:t>
      </w:r>
      <w:r>
        <w:rPr>
          <w:rFonts w:hint="eastAsia" w:ascii="仿宋" w:hAnsi="仿宋" w:eastAsia="仿宋" w:cstheme="minorBidi"/>
          <w:kern w:val="0"/>
          <w:sz w:val="32"/>
          <w:szCs w:val="32"/>
        </w:rPr>
        <w:t>万元，附属单位上缴收入0万元，上年结转</w:t>
      </w:r>
      <w:r>
        <w:rPr>
          <w:rFonts w:ascii="仿宋" w:hAnsi="仿宋" w:eastAsia="仿宋" w:cstheme="minorBidi"/>
          <w:kern w:val="0"/>
          <w:sz w:val="32"/>
          <w:szCs w:val="32"/>
        </w:rPr>
        <w:t>0</w:t>
      </w:r>
      <w:r>
        <w:rPr>
          <w:rFonts w:hint="eastAsia" w:ascii="仿宋" w:hAnsi="仿宋" w:eastAsia="仿宋" w:cstheme="minorBidi"/>
          <w:kern w:val="0"/>
          <w:sz w:val="32"/>
          <w:szCs w:val="32"/>
        </w:rPr>
        <w:t>万元。</w:t>
      </w:r>
    </w:p>
    <w:p>
      <w:pPr>
        <w:spacing w:line="560" w:lineRule="exact"/>
        <w:ind w:firstLine="642"/>
        <w:rPr>
          <w:rFonts w:ascii="仿宋" w:hAnsi="仿宋" w:eastAsia="仿宋" w:cs="仿宋"/>
          <w:b/>
          <w:kern w:val="2"/>
          <w:sz w:val="32"/>
          <w:szCs w:val="32"/>
        </w:rPr>
      </w:pPr>
      <w:r>
        <w:rPr>
          <w:rFonts w:hint="eastAsia" w:ascii="仿宋" w:hAnsi="仿宋" w:eastAsia="仿宋" w:cs="仿宋"/>
          <w:b/>
          <w:kern w:val="2"/>
          <w:sz w:val="32"/>
          <w:szCs w:val="32"/>
        </w:rPr>
        <w:t>（二）支出预算情况</w:t>
      </w:r>
    </w:p>
    <w:p>
      <w:pPr>
        <w:pStyle w:val="12"/>
        <w:spacing w:line="560" w:lineRule="exact"/>
        <w:rPr>
          <w:rFonts w:ascii="仿宋" w:hAnsi="仿宋" w:eastAsia="仿宋" w:cstheme="minorBidi"/>
          <w:kern w:val="0"/>
          <w:sz w:val="32"/>
          <w:szCs w:val="32"/>
        </w:rPr>
      </w:pPr>
      <w:r>
        <w:rPr>
          <w:rFonts w:hint="eastAsia" w:ascii="仿宋" w:hAnsi="仿宋" w:eastAsia="仿宋" w:cstheme="minorBidi"/>
          <w:kern w:val="0"/>
          <w:sz w:val="32"/>
          <w:szCs w:val="32"/>
        </w:rPr>
        <w:t>2022年区政府办部门支出预算总额为1182.42万元，较上年预算安排减少 101.5  万元。其中：</w:t>
      </w:r>
    </w:p>
    <w:p>
      <w:pPr>
        <w:pStyle w:val="12"/>
        <w:spacing w:line="560" w:lineRule="exact"/>
        <w:rPr>
          <w:rFonts w:ascii="仿宋" w:hAnsi="仿宋" w:eastAsia="仿宋" w:cstheme="minorBidi"/>
          <w:kern w:val="0"/>
          <w:sz w:val="32"/>
          <w:szCs w:val="32"/>
        </w:rPr>
      </w:pPr>
      <w:r>
        <w:rPr>
          <w:rFonts w:hint="eastAsia" w:ascii="仿宋" w:hAnsi="仿宋" w:eastAsia="仿宋" w:cstheme="minorBidi"/>
          <w:kern w:val="0"/>
          <w:sz w:val="32"/>
          <w:szCs w:val="32"/>
        </w:rPr>
        <w:t>按支出项目类别划分：基本支出363.99万元，较上年预算安排减少352.68万元;包括工资福利支出344.89万元、商品和服务支出18万元，对个人和家庭的补助1.1万元；项目支出818.43万元。支出总额较上年预算安排增加支出251.18万元。</w:t>
      </w:r>
    </w:p>
    <w:p>
      <w:pPr>
        <w:pStyle w:val="12"/>
        <w:spacing w:line="560" w:lineRule="exact"/>
        <w:rPr>
          <w:rFonts w:ascii="仿宋" w:hAnsi="仿宋" w:eastAsia="仿宋" w:cstheme="minorBidi"/>
          <w:kern w:val="0"/>
          <w:sz w:val="32"/>
          <w:szCs w:val="32"/>
        </w:rPr>
      </w:pPr>
      <w:r>
        <w:rPr>
          <w:rFonts w:hint="eastAsia" w:ascii="仿宋" w:hAnsi="仿宋" w:eastAsia="仿宋" w:cstheme="minorBidi"/>
          <w:kern w:val="0"/>
          <w:sz w:val="32"/>
          <w:szCs w:val="32"/>
        </w:rPr>
        <w:t>按支出功能科目划分：一般公共服务支出1154.11万元，较上年预算安排增加424.27万元;住房保障支出27.21万元，较上年预算安排增加1.53万元，对个人和家庭的补助1.1万元，较上年预算安排减少0.08万元。</w:t>
      </w:r>
    </w:p>
    <w:p>
      <w:pPr>
        <w:pStyle w:val="12"/>
        <w:spacing w:line="560" w:lineRule="exact"/>
        <w:rPr>
          <w:rFonts w:ascii="仿宋" w:hAnsi="仿宋" w:eastAsia="仿宋" w:cstheme="minorBidi"/>
          <w:kern w:val="0"/>
          <w:sz w:val="32"/>
          <w:szCs w:val="32"/>
        </w:rPr>
      </w:pPr>
      <w:r>
        <w:rPr>
          <w:rFonts w:hint="eastAsia" w:ascii="仿宋" w:hAnsi="仿宋" w:eastAsia="仿宋" w:cstheme="minorBidi"/>
          <w:kern w:val="0"/>
          <w:sz w:val="32"/>
          <w:szCs w:val="32"/>
        </w:rPr>
        <w:t>按支出经济分类划分：基本支出363.99万元，包括工资福利支出344.89万元、商品和服务支出18万元；项目支出818.43万元。</w:t>
      </w:r>
    </w:p>
    <w:p>
      <w:pPr>
        <w:widowControl w:val="0"/>
        <w:numPr>
          <w:ilvl w:val="0"/>
          <w:numId w:val="2"/>
        </w:numPr>
        <w:adjustRightInd/>
        <w:snapToGrid/>
        <w:spacing w:after="0" w:line="560" w:lineRule="exact"/>
        <w:ind w:firstLine="642"/>
        <w:jc w:val="both"/>
        <w:rPr>
          <w:rFonts w:ascii="仿宋" w:hAnsi="仿宋" w:eastAsia="仿宋" w:cs="仿宋"/>
          <w:b/>
          <w:kern w:val="2"/>
          <w:sz w:val="32"/>
          <w:szCs w:val="32"/>
        </w:rPr>
      </w:pPr>
      <w:r>
        <w:rPr>
          <w:rFonts w:hint="eastAsia" w:ascii="仿宋" w:hAnsi="仿宋" w:eastAsia="仿宋" w:cs="仿宋"/>
          <w:b/>
          <w:kern w:val="2"/>
          <w:sz w:val="32"/>
          <w:szCs w:val="32"/>
        </w:rPr>
        <w:t>财政拨款支出情况</w:t>
      </w:r>
    </w:p>
    <w:p>
      <w:pPr>
        <w:pStyle w:val="12"/>
        <w:spacing w:line="560" w:lineRule="exact"/>
        <w:rPr>
          <w:rFonts w:ascii="仿宋" w:hAnsi="仿宋" w:eastAsia="仿宋" w:cstheme="minorBidi"/>
          <w:kern w:val="0"/>
          <w:sz w:val="32"/>
          <w:szCs w:val="32"/>
        </w:rPr>
      </w:pPr>
      <w:r>
        <w:rPr>
          <w:rFonts w:hint="eastAsia" w:ascii="仿宋" w:hAnsi="仿宋" w:eastAsia="仿宋" w:cstheme="minorBidi"/>
          <w:kern w:val="0"/>
          <w:sz w:val="32"/>
          <w:szCs w:val="32"/>
        </w:rPr>
        <w:t>2022年区政府办公室支出预算总额为813.42万元，较上年预算安排增加56.72万元。其中：</w:t>
      </w:r>
    </w:p>
    <w:p>
      <w:pPr>
        <w:pStyle w:val="12"/>
        <w:spacing w:line="560" w:lineRule="exact"/>
        <w:rPr>
          <w:rFonts w:ascii="仿宋" w:hAnsi="仿宋" w:eastAsia="仿宋" w:cstheme="minorBidi"/>
          <w:kern w:val="0"/>
          <w:sz w:val="32"/>
          <w:szCs w:val="32"/>
        </w:rPr>
      </w:pPr>
      <w:r>
        <w:rPr>
          <w:rFonts w:hint="eastAsia" w:ascii="仿宋" w:hAnsi="仿宋" w:eastAsia="仿宋" w:cstheme="minorBidi"/>
          <w:kern w:val="0"/>
          <w:sz w:val="32"/>
          <w:szCs w:val="32"/>
        </w:rPr>
        <w:t>按支出项目类别划分：基本支出363.99万元，包括工资福利支出344.89万元、商品和服务支出18万元；项目支出449.43万元。较上年预算安排增加支出56.72万元。</w:t>
      </w:r>
    </w:p>
    <w:p>
      <w:pPr>
        <w:pStyle w:val="12"/>
        <w:spacing w:line="560" w:lineRule="exact"/>
        <w:rPr>
          <w:rFonts w:ascii="仿宋" w:hAnsi="仿宋" w:eastAsia="仿宋" w:cstheme="minorBidi"/>
          <w:kern w:val="0"/>
          <w:sz w:val="32"/>
          <w:szCs w:val="32"/>
        </w:rPr>
      </w:pPr>
      <w:r>
        <w:rPr>
          <w:rFonts w:hint="eastAsia" w:ascii="仿宋" w:hAnsi="仿宋" w:eastAsia="仿宋" w:cstheme="minorBidi"/>
          <w:kern w:val="0"/>
          <w:sz w:val="32"/>
          <w:szCs w:val="32"/>
        </w:rPr>
        <w:t>按支出功能科目划分：一般公共服务支出785.11万元，较上年预算安排增加55.27万元;住房保障支出27.21万元，较上年预算安排增加1.53万元，社会保障和就业支出1.1万元，较上年预算安排减少0.08万元。</w:t>
      </w:r>
    </w:p>
    <w:p>
      <w:pPr>
        <w:pStyle w:val="12"/>
        <w:spacing w:line="560" w:lineRule="exact"/>
        <w:rPr>
          <w:rFonts w:hint="eastAsia" w:ascii="仿宋" w:hAnsi="仿宋" w:eastAsia="仿宋" w:cstheme="minorBidi"/>
          <w:kern w:val="0"/>
          <w:sz w:val="32"/>
          <w:szCs w:val="32"/>
        </w:rPr>
      </w:pPr>
      <w:r>
        <w:rPr>
          <w:rFonts w:hint="eastAsia" w:ascii="仿宋" w:hAnsi="仿宋" w:eastAsia="仿宋" w:cstheme="minorBidi"/>
          <w:kern w:val="0"/>
          <w:sz w:val="32"/>
          <w:szCs w:val="32"/>
        </w:rPr>
        <w:t>按支出经济分类划分：基本支出363.99万元，包括工资福利支出344.89万元、商品和服务支出18万元；项目支出449.43万元。</w:t>
      </w:r>
    </w:p>
    <w:p>
      <w:pPr>
        <w:pStyle w:val="12"/>
        <w:spacing w:line="560" w:lineRule="exact"/>
        <w:rPr>
          <w:rFonts w:ascii="仿宋" w:hAnsi="仿宋" w:eastAsia="仿宋" w:cs="仿宋"/>
          <w:b/>
          <w:sz w:val="32"/>
          <w:szCs w:val="32"/>
        </w:rPr>
      </w:pPr>
      <w:r>
        <w:rPr>
          <w:rFonts w:hint="eastAsia" w:ascii="仿宋" w:hAnsi="仿宋" w:eastAsia="仿宋" w:cs="仿宋"/>
          <w:b/>
          <w:sz w:val="32"/>
          <w:szCs w:val="32"/>
        </w:rPr>
        <w:t>（四）政府性基金情况</w:t>
      </w:r>
    </w:p>
    <w:p>
      <w:pPr>
        <w:ind w:firstLine="640" w:firstLineChars="200"/>
        <w:rPr>
          <w:rFonts w:hint="eastAsia" w:ascii="仿宋" w:hAnsi="仿宋" w:eastAsia="仿宋" w:cs="Times New Roman"/>
          <w:kern w:val="0"/>
          <w:sz w:val="32"/>
          <w:szCs w:val="32"/>
          <w:lang w:val="en-US" w:eastAsia="zh-CN"/>
        </w:rPr>
      </w:pPr>
      <w:r>
        <w:rPr>
          <w:rFonts w:hint="eastAsia" w:ascii="仿宋" w:hAnsi="仿宋" w:eastAsia="仿宋" w:cstheme="minorBidi"/>
          <w:kern w:val="0"/>
          <w:sz w:val="32"/>
          <w:szCs w:val="32"/>
        </w:rPr>
        <w:t>2022年本部门</w:t>
      </w:r>
      <w:r>
        <w:rPr>
          <w:rFonts w:ascii="Adobe 仿宋 Std R" w:hAnsi="Adobe 仿宋 Std R" w:eastAsia="Adobe 仿宋 Std R"/>
          <w:sz w:val="32"/>
          <w:szCs w:val="32"/>
        </w:rPr>
        <w:t>政府性基金支出预算</w:t>
      </w:r>
      <w:r>
        <w:rPr>
          <w:rStyle w:val="13"/>
          <w:rFonts w:hint="eastAsia" w:ascii="仿宋" w:hAnsi="仿宋" w:eastAsia="仿宋"/>
          <w:sz w:val="32"/>
          <w:szCs w:val="32"/>
        </w:rPr>
        <w:t>为</w:t>
      </w:r>
      <w:r>
        <w:rPr>
          <w:rFonts w:hint="eastAsia" w:ascii="仿宋" w:hAnsi="仿宋" w:eastAsia="仿宋" w:cs="Times New Roman"/>
          <w:kern w:val="0"/>
          <w:sz w:val="32"/>
          <w:szCs w:val="32"/>
          <w:lang w:val="en-US" w:eastAsia="zh-CN"/>
        </w:rPr>
        <w:t>0。</w:t>
      </w:r>
    </w:p>
    <w:p>
      <w:pPr>
        <w:ind w:firstLine="640" w:firstLineChars="200"/>
      </w:pPr>
      <w:r>
        <w:rPr>
          <w:rStyle w:val="13"/>
          <w:rFonts w:hint="eastAsia" w:ascii="仿宋" w:hAnsi="仿宋" w:eastAsia="仿宋"/>
          <w:sz w:val="32"/>
          <w:szCs w:val="32"/>
        </w:rPr>
        <w:t>按支出项目类别划分：</w:t>
      </w:r>
      <w:r>
        <w:rPr>
          <w:rFonts w:ascii="仿宋" w:hAnsi="仿宋" w:eastAsia="仿宋"/>
          <w:sz w:val="32"/>
          <w:szCs w:val="32"/>
        </w:rPr>
        <w:fldChar w:fldCharType="begin"/>
      </w:r>
      <w:r>
        <w:rPr>
          <w:rStyle w:val="13"/>
          <w:rFonts w:ascii="仿宋" w:hAnsi="仿宋" w:eastAsia="仿宋"/>
          <w:sz w:val="32"/>
          <w:szCs w:val="32"/>
        </w:rPr>
        <w:instrText xml:space="preserve">MERGEFIELD ${page400644146.ds215660413_REP_BGT_T_HC1100002019_DXQ02_JBZCQKJJ}</w:instrText>
      </w:r>
      <w:r>
        <w:rPr>
          <w:rFonts w:ascii="仿宋" w:hAnsi="仿宋" w:eastAsia="仿宋"/>
          <w:sz w:val="32"/>
          <w:szCs w:val="32"/>
        </w:rPr>
        <w:fldChar w:fldCharType="separate"/>
      </w:r>
      <w:r>
        <w:fldChar w:fldCharType="end"/>
      </w:r>
      <w:r>
        <w:rPr>
          <w:rFonts w:ascii="仿宋" w:hAnsi="仿宋" w:eastAsia="仿宋"/>
          <w:sz w:val="32"/>
          <w:szCs w:val="32"/>
        </w:rPr>
        <w:fldChar w:fldCharType="begin"/>
      </w:r>
      <w:r>
        <w:rPr>
          <w:rStyle w:val="13"/>
          <w:rFonts w:ascii="仿宋" w:hAnsi="仿宋" w:eastAsia="仿宋"/>
          <w:sz w:val="32"/>
          <w:szCs w:val="32"/>
        </w:rPr>
        <w:instrText xml:space="preserve">MERGEFIELD ${page400644146.ds215660413_REP_BGT_T_HC1100002019_DXQ02_XMZCQKJJ}</w:instrText>
      </w:r>
      <w:r>
        <w:rPr>
          <w:rFonts w:ascii="仿宋" w:hAnsi="仿宋" w:eastAsia="仿宋"/>
          <w:sz w:val="32"/>
          <w:szCs w:val="32"/>
        </w:rPr>
        <w:fldChar w:fldCharType="separate"/>
      </w:r>
      <w:r>
        <w:fldChar w:fldCharType="end"/>
      </w:r>
      <w:r>
        <w:rPr>
          <w:rFonts w:hint="eastAsia" w:ascii="Adobe 仿宋 Std R" w:hAnsi="Adobe 仿宋 Std R" w:eastAsia="Adobe 仿宋 Std R" w:cs="黑体"/>
          <w:kern w:val="2"/>
          <w:sz w:val="32"/>
          <w:szCs w:val="30"/>
          <w:lang w:val="en-US" w:eastAsia="zh-CN"/>
        </w:rPr>
        <w:t>没有使用政府性基金预算拨款安排的支出。</w:t>
      </w:r>
    </w:p>
    <w:p>
      <w:pPr>
        <w:ind w:firstLine="643" w:firstLineChars="200"/>
        <w:rPr>
          <w:rStyle w:val="13"/>
          <w:rFonts w:ascii="Adobe 仿宋 Std R" w:hAnsi="Adobe 仿宋 Std R" w:eastAsia="Adobe 仿宋 Std R"/>
          <w:b/>
          <w:sz w:val="32"/>
          <w:szCs w:val="32"/>
        </w:rPr>
      </w:pPr>
      <w:r>
        <w:rPr>
          <w:rStyle w:val="13"/>
          <w:rFonts w:hint="eastAsia" w:ascii="Adobe 仿宋 Std R" w:hAnsi="Adobe 仿宋 Std R" w:eastAsia="Adobe 仿宋 Std R"/>
          <w:b/>
          <w:sz w:val="32"/>
          <w:szCs w:val="32"/>
        </w:rPr>
        <w:t>（五）国有资本经营情况</w:t>
      </w:r>
    </w:p>
    <w:p>
      <w:pPr>
        <w:ind w:firstLine="640" w:firstLineChars="200"/>
        <w:rPr>
          <w:rStyle w:val="13"/>
          <w:rFonts w:ascii="仿宋" w:hAnsi="仿宋" w:eastAsia="仿宋"/>
          <w:sz w:val="32"/>
          <w:szCs w:val="32"/>
        </w:rPr>
      </w:pPr>
      <w:r>
        <w:rPr>
          <w:rFonts w:hint="eastAsia" w:ascii="仿宋" w:hAnsi="仿宋" w:eastAsia="仿宋" w:cstheme="minorBidi"/>
          <w:kern w:val="0"/>
          <w:sz w:val="32"/>
          <w:szCs w:val="32"/>
        </w:rPr>
        <w:t>2022年本部门</w:t>
      </w:r>
      <w:r>
        <w:rPr>
          <w:rStyle w:val="13"/>
          <w:rFonts w:hint="eastAsia" w:ascii="仿宋" w:hAnsi="仿宋" w:eastAsia="仿宋"/>
          <w:sz w:val="32"/>
          <w:szCs w:val="32"/>
        </w:rPr>
        <w:t>国有资本经营</w:t>
      </w:r>
      <w:r>
        <w:rPr>
          <w:rStyle w:val="13"/>
          <w:rFonts w:ascii="仿宋" w:hAnsi="仿宋" w:eastAsia="仿宋"/>
          <w:sz w:val="32"/>
          <w:szCs w:val="32"/>
        </w:rPr>
        <w:t>支出预算</w:t>
      </w:r>
      <w:r>
        <w:rPr>
          <w:rStyle w:val="13"/>
          <w:rFonts w:hint="eastAsia" w:ascii="仿宋" w:hAnsi="仿宋" w:eastAsia="仿宋"/>
          <w:sz w:val="32"/>
          <w:szCs w:val="32"/>
        </w:rPr>
        <w:t>为</w:t>
      </w:r>
      <w:r>
        <w:rPr>
          <w:rFonts w:hint="eastAsia" w:ascii="仿宋" w:hAnsi="仿宋" w:eastAsia="仿宋" w:cs="Times New Roman"/>
          <w:kern w:val="0"/>
          <w:sz w:val="32"/>
          <w:szCs w:val="32"/>
          <w:lang w:val="en-US" w:eastAsia="zh-CN"/>
        </w:rPr>
        <w:t>0。</w:t>
      </w:r>
      <w:r>
        <w:rPr>
          <w:rFonts w:ascii="仿宋" w:hAnsi="仿宋" w:eastAsia="仿宋"/>
          <w:sz w:val="32"/>
          <w:szCs w:val="32"/>
        </w:rPr>
        <w:fldChar w:fldCharType="begin"/>
      </w:r>
      <w:r>
        <w:rPr>
          <w:rStyle w:val="13"/>
          <w:rFonts w:ascii="仿宋" w:hAnsi="仿宋" w:eastAsia="仿宋"/>
          <w:sz w:val="32"/>
          <w:szCs w:val="32"/>
        </w:rPr>
        <w:instrText xml:space="preserve">MERGEFIELD ${page400644146.ds215660413_REP_BGT_T_HC1100002019_DXQ02_S_AMTGYZBJYYSZJ}</w:instrText>
      </w:r>
      <w:r>
        <w:rPr>
          <w:rFonts w:ascii="仿宋" w:hAnsi="仿宋" w:eastAsia="仿宋"/>
          <w:sz w:val="32"/>
          <w:szCs w:val="32"/>
        </w:rPr>
        <w:fldChar w:fldCharType="separate"/>
      </w:r>
      <w:r>
        <w:fldChar w:fldCharType="end"/>
      </w:r>
    </w:p>
    <w:p>
      <w:pPr>
        <w:ind w:firstLine="640" w:firstLineChars="200"/>
        <w:rPr>
          <w:rStyle w:val="13"/>
          <w:rFonts w:ascii="仿宋" w:hAnsi="仿宋" w:eastAsia="仿宋"/>
          <w:sz w:val="32"/>
          <w:szCs w:val="32"/>
        </w:rPr>
      </w:pPr>
      <w:r>
        <w:rPr>
          <w:rStyle w:val="13"/>
          <w:rFonts w:hint="eastAsia" w:ascii="仿宋" w:hAnsi="仿宋" w:eastAsia="仿宋"/>
          <w:sz w:val="32"/>
          <w:szCs w:val="32"/>
        </w:rPr>
        <w:t>按支出项目类别划分：</w:t>
      </w:r>
      <w:r>
        <w:rPr>
          <w:rFonts w:ascii="仿宋" w:hAnsi="仿宋" w:eastAsia="仿宋"/>
          <w:sz w:val="32"/>
          <w:szCs w:val="32"/>
        </w:rPr>
        <w:fldChar w:fldCharType="begin"/>
      </w:r>
      <w:r>
        <w:rPr>
          <w:rStyle w:val="13"/>
          <w:rFonts w:ascii="仿宋" w:hAnsi="仿宋" w:eastAsia="仿宋"/>
          <w:sz w:val="32"/>
          <w:szCs w:val="32"/>
        </w:rPr>
        <w:instrText xml:space="preserve">MERGEFIELD ${page400644146.ds215660413_REP_BGT_T_HC1100002019_DXQ02_JBZCQKGY}</w:instrText>
      </w:r>
      <w:r>
        <w:rPr>
          <w:rFonts w:ascii="仿宋" w:hAnsi="仿宋" w:eastAsia="仿宋"/>
          <w:sz w:val="32"/>
          <w:szCs w:val="32"/>
        </w:rPr>
        <w:fldChar w:fldCharType="separate"/>
      </w:r>
      <w:r>
        <w:fldChar w:fldCharType="end"/>
      </w:r>
      <w:r>
        <w:rPr>
          <w:rFonts w:ascii="仿宋" w:hAnsi="仿宋" w:eastAsia="仿宋"/>
          <w:sz w:val="32"/>
          <w:szCs w:val="32"/>
        </w:rPr>
        <w:fldChar w:fldCharType="begin"/>
      </w:r>
      <w:r>
        <w:rPr>
          <w:rStyle w:val="13"/>
          <w:rFonts w:ascii="仿宋" w:hAnsi="仿宋" w:eastAsia="仿宋"/>
          <w:sz w:val="32"/>
          <w:szCs w:val="32"/>
        </w:rPr>
        <w:instrText xml:space="preserve">MERGEFIELD ${page400644146.ds215660413_REP_BGT_T_HC1100002019_DXQ02_XMZCQKGY}</w:instrText>
      </w:r>
      <w:r>
        <w:rPr>
          <w:rFonts w:ascii="仿宋" w:hAnsi="仿宋" w:eastAsia="仿宋"/>
          <w:sz w:val="32"/>
          <w:szCs w:val="32"/>
        </w:rPr>
        <w:fldChar w:fldCharType="separate"/>
      </w:r>
      <w:r>
        <w:fldChar w:fldCharType="end"/>
      </w:r>
      <w:r>
        <w:rPr>
          <w:rStyle w:val="13"/>
          <w:rFonts w:hint="eastAsia" w:ascii="仿宋" w:hAnsi="仿宋" w:eastAsia="仿宋"/>
          <w:sz w:val="32"/>
          <w:szCs w:val="32"/>
        </w:rPr>
        <w:t>没有使用国有资本经营预算拨款安排的支出</w:t>
      </w:r>
      <w:r>
        <w:rPr>
          <w:rStyle w:val="13"/>
          <w:rFonts w:hint="eastAsia" w:ascii="仿宋" w:hAnsi="仿宋" w:eastAsia="仿宋"/>
          <w:sz w:val="32"/>
          <w:szCs w:val="32"/>
          <w:lang w:eastAsia="zh-CN"/>
        </w:rPr>
        <w:t>。</w:t>
      </w:r>
      <w:r>
        <w:rPr>
          <w:rStyle w:val="13"/>
          <w:rFonts w:ascii="仿宋" w:hAnsi="仿宋" w:eastAsia="仿宋"/>
          <w:sz w:val="32"/>
          <w:szCs w:val="32"/>
        </w:rPr>
        <w:fldChar w:fldCharType="begin"/>
      </w:r>
      <w:r>
        <w:rPr>
          <w:rStyle w:val="13"/>
          <w:rFonts w:ascii="仿宋" w:hAnsi="仿宋" w:eastAsia="仿宋"/>
          <w:sz w:val="32"/>
          <w:szCs w:val="32"/>
        </w:rPr>
        <w:instrText xml:space="preserve">MERGEFIELD ${page400644146.ds215660413_REP_BGT_T_HC1100002019_DXQ02_S_AMTGYZBJYYSZJ}</w:instrText>
      </w:r>
      <w:r>
        <w:rPr>
          <w:rStyle w:val="13"/>
          <w:rFonts w:ascii="仿宋" w:hAnsi="仿宋" w:eastAsia="仿宋"/>
          <w:sz w:val="32"/>
          <w:szCs w:val="32"/>
        </w:rPr>
        <w:fldChar w:fldCharType="separate"/>
      </w:r>
      <w:r>
        <w:fldChar w:fldCharType="end"/>
      </w:r>
    </w:p>
    <w:p>
      <w:pPr>
        <w:pStyle w:val="12"/>
        <w:spacing w:line="560" w:lineRule="exact"/>
        <w:rPr>
          <w:rFonts w:ascii="仿宋" w:hAnsi="仿宋" w:eastAsia="仿宋" w:cstheme="minorBidi"/>
          <w:kern w:val="0"/>
          <w:sz w:val="32"/>
          <w:szCs w:val="32"/>
        </w:rPr>
      </w:pPr>
    </w:p>
    <w:p>
      <w:pPr>
        <w:ind w:firstLine="643" w:firstLineChars="200"/>
        <w:rPr>
          <w:rFonts w:ascii="仿宋" w:hAnsi="仿宋" w:eastAsia="仿宋" w:cs="仿宋"/>
          <w:b/>
          <w:kern w:val="2"/>
          <w:sz w:val="32"/>
          <w:szCs w:val="32"/>
        </w:rPr>
      </w:pPr>
      <w:r>
        <w:rPr>
          <w:rFonts w:hint="eastAsia" w:ascii="Adobe 仿宋 Std R" w:hAnsi="Adobe 仿宋 Std R" w:eastAsia="Adobe 仿宋 Std R" w:cs="黑体"/>
          <w:b/>
          <w:bCs/>
          <w:kern w:val="2"/>
          <w:sz w:val="32"/>
          <w:szCs w:val="30"/>
        </w:rPr>
        <w:t>（六）</w:t>
      </w:r>
      <w:r>
        <w:rPr>
          <w:rFonts w:hint="eastAsia" w:ascii="仿宋" w:hAnsi="仿宋" w:eastAsia="仿宋" w:cs="仿宋"/>
          <w:b/>
          <w:kern w:val="2"/>
          <w:sz w:val="32"/>
          <w:szCs w:val="32"/>
        </w:rPr>
        <w:t>机关运行经费等重要情况说明</w:t>
      </w:r>
    </w:p>
    <w:p>
      <w:pPr>
        <w:pStyle w:val="12"/>
        <w:spacing w:line="560" w:lineRule="exact"/>
        <w:rPr>
          <w:rFonts w:ascii="仿宋" w:hAnsi="仿宋" w:eastAsia="仿宋" w:cstheme="minorBidi"/>
          <w:kern w:val="0"/>
          <w:sz w:val="32"/>
          <w:szCs w:val="32"/>
        </w:rPr>
      </w:pPr>
      <w:r>
        <w:rPr>
          <w:rFonts w:hint="eastAsia" w:ascii="仿宋" w:hAnsi="仿宋" w:eastAsia="仿宋" w:cstheme="minorBidi"/>
          <w:kern w:val="0"/>
          <w:sz w:val="32"/>
          <w:szCs w:val="32"/>
        </w:rPr>
        <w:t>本部门2022年度机关运行经费18万元，较上年下降232.4万元，下降92.81%，主要原因是：由原来基本开支调整为项目开支。其中：办公费10万元，印刷费0.5万元，手续费0.5万元，电费0.5万元，差旅费0.5万元，培训费2万元，邮电费0.5万元,劳务费0.5万元，工会经费3万元。</w:t>
      </w:r>
    </w:p>
    <w:p>
      <w:pPr>
        <w:ind w:firstLine="640" w:firstLineChars="200"/>
        <w:rPr>
          <w:rFonts w:ascii="仿宋" w:hAnsi="仿宋" w:eastAsia="仿宋"/>
          <w:sz w:val="32"/>
          <w:szCs w:val="32"/>
        </w:rPr>
      </w:pPr>
      <w:r>
        <w:rPr>
          <w:rFonts w:hint="eastAsia" w:ascii="仿宋" w:hAnsi="仿宋" w:eastAsia="仿宋" w:cstheme="minorBidi"/>
          <w:kern w:val="0"/>
          <w:sz w:val="32"/>
          <w:szCs w:val="32"/>
          <w:lang w:val="en-US" w:eastAsia="zh-CN" w:bidi="ar-SA"/>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w:t>
      </w:r>
      <w:r>
        <w:rPr>
          <w:rFonts w:hint="eastAsia" w:ascii="仿宋" w:hAnsi="仿宋" w:eastAsia="仿宋"/>
          <w:sz w:val="32"/>
          <w:szCs w:val="32"/>
        </w:rPr>
        <w:t>费用。</w:t>
      </w:r>
    </w:p>
    <w:p>
      <w:pPr>
        <w:ind w:firstLine="643" w:firstLineChars="200"/>
        <w:rPr>
          <w:rFonts w:ascii="仿宋" w:hAnsi="仿宋" w:eastAsia="仿宋" w:cs="仿宋"/>
          <w:b/>
          <w:kern w:val="2"/>
          <w:sz w:val="32"/>
          <w:szCs w:val="32"/>
        </w:rPr>
      </w:pPr>
      <w:r>
        <w:rPr>
          <w:rFonts w:hint="eastAsia" w:ascii="Adobe 仿宋 Std R" w:hAnsi="Adobe 仿宋 Std R" w:eastAsia="Adobe 仿宋 Std R" w:cs="黑体"/>
          <w:b/>
          <w:bCs/>
          <w:kern w:val="2"/>
          <w:sz w:val="32"/>
          <w:szCs w:val="30"/>
        </w:rPr>
        <w:t>（七）</w:t>
      </w:r>
      <w:r>
        <w:rPr>
          <w:rFonts w:hint="eastAsia" w:ascii="仿宋" w:hAnsi="仿宋" w:eastAsia="仿宋" w:cs="仿宋"/>
          <w:b/>
          <w:kern w:val="2"/>
          <w:sz w:val="32"/>
          <w:szCs w:val="32"/>
        </w:rPr>
        <w:t>政府采购情况说明</w:t>
      </w:r>
    </w:p>
    <w:p>
      <w:pPr>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本部门政府采购预算总额</w:t>
      </w:r>
      <w:r>
        <w:rPr>
          <w:rFonts w:ascii="Adobe 仿宋 Std R" w:hAnsi="Adobe 仿宋 Std R" w:eastAsia="Adobe 仿宋 Std R" w:cs="黑体"/>
          <w:kern w:val="2"/>
          <w:sz w:val="32"/>
          <w:szCs w:val="30"/>
        </w:rPr>
        <w:t xml:space="preserve"> 10 </w:t>
      </w:r>
      <w:r>
        <w:rPr>
          <w:rFonts w:hint="eastAsia" w:ascii="Adobe 仿宋 Std R" w:hAnsi="Adobe 仿宋 Std R" w:eastAsia="Adobe 仿宋 Std R" w:cs="黑体"/>
          <w:kern w:val="2"/>
          <w:sz w:val="32"/>
          <w:szCs w:val="30"/>
        </w:rPr>
        <w:t>万元，其中：政府采购货物预算</w:t>
      </w:r>
      <w:r>
        <w:rPr>
          <w:rFonts w:ascii="Adobe 仿宋 Std R" w:hAnsi="Adobe 仿宋 Std R" w:eastAsia="Adobe 仿宋 Std R" w:cs="黑体"/>
          <w:kern w:val="2"/>
          <w:sz w:val="32"/>
          <w:szCs w:val="30"/>
        </w:rPr>
        <w:t xml:space="preserve"> 10 </w:t>
      </w:r>
      <w:r>
        <w:rPr>
          <w:rFonts w:hint="eastAsia" w:ascii="Adobe 仿宋 Std R" w:hAnsi="Adobe 仿宋 Std R" w:eastAsia="Adobe 仿宋 Std R" w:cs="黑体"/>
          <w:kern w:val="2"/>
          <w:sz w:val="32"/>
          <w:szCs w:val="30"/>
        </w:rPr>
        <w:t>万元</w:t>
      </w:r>
      <w:r>
        <w:rPr>
          <w:rFonts w:hint="eastAsia" w:ascii="Adobe 仿宋 Std R" w:hAnsi="Adobe 仿宋 Std R" w:eastAsia="Adobe 仿宋 Std R" w:cs="黑体"/>
          <w:kern w:val="2"/>
          <w:sz w:val="32"/>
          <w:szCs w:val="30"/>
          <w:lang w:eastAsia="zh-CN"/>
        </w:rPr>
        <w:t>，</w:t>
      </w:r>
      <w:r>
        <w:rPr>
          <w:rFonts w:hint="eastAsia" w:ascii="Adobe 仿宋 Std R" w:hAnsi="Adobe 仿宋 Std R" w:eastAsia="Adobe 仿宋 Std R"/>
          <w:sz w:val="32"/>
          <w:szCs w:val="32"/>
        </w:rPr>
        <w:t>政府采购工程预算0万元</w:t>
      </w:r>
      <w:r>
        <w:rPr>
          <w:rFonts w:ascii="Adobe 仿宋 Std R" w:hAnsi="Adobe 仿宋 Std R" w:eastAsia="Adobe 仿宋 Std R"/>
          <w:sz w:val="32"/>
          <w:szCs w:val="32"/>
        </w:rPr>
        <w:t>,</w:t>
      </w:r>
      <w:r>
        <w:rPr>
          <w:rFonts w:hint="eastAsia" w:ascii="Adobe 仿宋 Std R" w:hAnsi="Adobe 仿宋 Std R" w:eastAsia="Adobe 仿宋 Std R"/>
          <w:sz w:val="32"/>
          <w:szCs w:val="32"/>
        </w:rPr>
        <w:t xml:space="preserve"> 政府采购服务预算0万元。</w:t>
      </w:r>
    </w:p>
    <w:p>
      <w:pPr>
        <w:spacing w:line="560" w:lineRule="exact"/>
        <w:ind w:firstLine="642"/>
        <w:rPr>
          <w:rFonts w:ascii="仿宋" w:hAnsi="仿宋" w:eastAsia="仿宋" w:cs="仿宋"/>
          <w:b/>
          <w:kern w:val="2"/>
          <w:sz w:val="32"/>
          <w:szCs w:val="32"/>
        </w:rPr>
      </w:pPr>
      <w:r>
        <w:rPr>
          <w:rFonts w:hint="eastAsia" w:ascii="仿宋" w:hAnsi="仿宋" w:eastAsia="仿宋" w:cs="仿宋"/>
          <w:b/>
          <w:kern w:val="2"/>
          <w:sz w:val="32"/>
          <w:szCs w:val="32"/>
        </w:rPr>
        <w:t>（八）国有资产占有使用情况</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截至202</w:t>
      </w:r>
      <w:r>
        <w:rPr>
          <w:rFonts w:ascii="Adobe 仿宋 Std R" w:hAnsi="Adobe 仿宋 Std R" w:eastAsia="Adobe 仿宋 Std R" w:cs="黑体"/>
          <w:kern w:val="2"/>
          <w:sz w:val="32"/>
          <w:szCs w:val="30"/>
        </w:rPr>
        <w:t>2</w:t>
      </w:r>
      <w:r>
        <w:rPr>
          <w:rFonts w:hint="eastAsia" w:ascii="Adobe 仿宋 Std R" w:hAnsi="Adobe 仿宋 Std R" w:eastAsia="Adobe 仿宋 Std R" w:cs="黑体"/>
          <w:kern w:val="2"/>
          <w:sz w:val="32"/>
          <w:szCs w:val="30"/>
        </w:rPr>
        <w:t xml:space="preserve">年, </w:t>
      </w:r>
      <w:r>
        <w:rPr>
          <w:rFonts w:hint="eastAsia" w:ascii="Adobe 仿宋 Std R" w:hAnsi="Adobe 仿宋 Std R" w:eastAsia="Adobe 仿宋 Std R" w:cs="黑体"/>
          <w:kern w:val="2"/>
          <w:sz w:val="32"/>
          <w:szCs w:val="30"/>
        </w:rPr>
        <w:fldChar w:fldCharType="begin"/>
      </w:r>
      <w:r>
        <w:rPr>
          <w:rFonts w:hint="eastAsia" w:ascii="Adobe 仿宋 Std R" w:hAnsi="Adobe 仿宋 Std R" w:eastAsia="Adobe 仿宋 Std R" w:cs="黑体"/>
          <w:kern w:val="2"/>
          <w:sz w:val="32"/>
          <w:szCs w:val="30"/>
        </w:rPr>
        <w:instrText xml:space="preserve">MERGEFIELD ${page400644146.ds532982397_REP_JX_BAS_AGENCY_INFO_ZYFRS_S_CLSYS}</w:instrText>
      </w:r>
      <w:r>
        <w:rPr>
          <w:rFonts w:hint="eastAsia" w:ascii="Adobe 仿宋 Std R" w:hAnsi="Adobe 仿宋 Std R" w:eastAsia="Adobe 仿宋 Std R" w:cs="黑体"/>
          <w:kern w:val="2"/>
          <w:sz w:val="32"/>
          <w:szCs w:val="30"/>
        </w:rPr>
        <w:fldChar w:fldCharType="separate"/>
      </w:r>
      <w:r>
        <w:rPr>
          <w:rFonts w:hint="eastAsia" w:ascii="Adobe 仿宋 Std R" w:hAnsi="Adobe 仿宋 Std R" w:eastAsia="Adobe 仿宋 Std R" w:cs="黑体"/>
          <w:kern w:val="2"/>
          <w:sz w:val="32"/>
          <w:szCs w:val="30"/>
        </w:rPr>
        <w:t>部门共有车辆</w:t>
      </w:r>
      <w:r>
        <w:rPr>
          <w:rFonts w:hint="eastAsia" w:ascii="Adobe 仿宋 Std R" w:hAnsi="Adobe 仿宋 Std R" w:eastAsia="Adobe 仿宋 Std R" w:cs="黑体"/>
          <w:kern w:val="2"/>
          <w:sz w:val="32"/>
          <w:szCs w:val="30"/>
          <w:lang w:val="en-US" w:eastAsia="zh-CN"/>
        </w:rPr>
        <w:t>0</w:t>
      </w:r>
      <w:r>
        <w:rPr>
          <w:rFonts w:hint="eastAsia" w:ascii="Adobe 仿宋 Std R" w:hAnsi="Adobe 仿宋 Std R" w:eastAsia="Adobe 仿宋 Std R" w:cs="黑体"/>
          <w:kern w:val="2"/>
          <w:sz w:val="32"/>
          <w:szCs w:val="30"/>
        </w:rPr>
        <w:t>辆,其中：一般公务用车实有数</w:t>
      </w:r>
      <w:r>
        <w:rPr>
          <w:rFonts w:hint="eastAsia" w:ascii="Adobe 仿宋 Std R" w:hAnsi="Adobe 仿宋 Std R" w:eastAsia="Adobe 仿宋 Std R" w:cs="黑体"/>
          <w:kern w:val="2"/>
          <w:sz w:val="32"/>
          <w:szCs w:val="30"/>
          <w:lang w:val="en-US" w:eastAsia="zh-CN"/>
        </w:rPr>
        <w:t>0</w:t>
      </w:r>
      <w:r>
        <w:rPr>
          <w:rFonts w:hint="eastAsia" w:ascii="Adobe 仿宋 Std R" w:hAnsi="Adobe 仿宋 Std R" w:eastAsia="Adobe 仿宋 Std R" w:cs="黑体"/>
          <w:kern w:val="2"/>
          <w:sz w:val="32"/>
          <w:szCs w:val="30"/>
        </w:rPr>
        <w:t>辆,执法执勤用车实有数</w:t>
      </w:r>
      <w:r>
        <w:rPr>
          <w:rFonts w:hint="eastAsia" w:ascii="Adobe 仿宋 Std R" w:hAnsi="Adobe 仿宋 Std R" w:eastAsia="Adobe 仿宋 Std R" w:cs="黑体"/>
          <w:kern w:val="2"/>
          <w:sz w:val="32"/>
          <w:szCs w:val="30"/>
          <w:lang w:val="en-US" w:eastAsia="zh-CN"/>
        </w:rPr>
        <w:t>0</w:t>
      </w:r>
      <w:r>
        <w:rPr>
          <w:rFonts w:hint="eastAsia" w:ascii="Adobe 仿宋 Std R" w:hAnsi="Adobe 仿宋 Std R" w:eastAsia="Adobe 仿宋 Std R" w:cs="黑体"/>
          <w:kern w:val="2"/>
          <w:sz w:val="32"/>
          <w:szCs w:val="30"/>
        </w:rPr>
        <w:t>辆。</w:t>
      </w:r>
      <w:r>
        <w:rPr>
          <w:rFonts w:hint="eastAsia" w:ascii="Adobe 仿宋 Std R" w:hAnsi="Adobe 仿宋 Std R" w:eastAsia="Adobe 仿宋 Std R" w:cs="黑体"/>
          <w:kern w:val="2"/>
          <w:sz w:val="32"/>
          <w:szCs w:val="30"/>
        </w:rPr>
        <w:fldChar w:fldCharType="end"/>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2022年部门预算安排购置车辆0 辆，未安排购置单位价值200万元以上大型设备。</w:t>
      </w:r>
    </w:p>
    <w:p>
      <w:pPr>
        <w:ind w:firstLine="643" w:firstLineChars="200"/>
        <w:rPr>
          <w:rFonts w:ascii="仿宋" w:hAnsi="仿宋" w:eastAsia="仿宋" w:cs="仿宋"/>
          <w:b/>
          <w:kern w:val="2"/>
          <w:sz w:val="32"/>
          <w:szCs w:val="32"/>
        </w:rPr>
      </w:pPr>
      <w:r>
        <w:rPr>
          <w:rFonts w:hint="eastAsia" w:ascii="仿宋" w:hAnsi="仿宋" w:eastAsia="仿宋" w:cs="仿宋"/>
          <w:b/>
          <w:kern w:val="2"/>
          <w:sz w:val="32"/>
          <w:szCs w:val="32"/>
        </w:rPr>
        <w:t>（九）</w:t>
      </w:r>
      <w:r>
        <w:rPr>
          <w:rStyle w:val="13"/>
          <w:rFonts w:hint="eastAsia" w:ascii="Adobe 仿宋 Std R" w:hAnsi="Adobe 仿宋 Std R" w:eastAsia="Adobe 仿宋 Std R"/>
          <w:b/>
          <w:sz w:val="32"/>
          <w:szCs w:val="32"/>
        </w:rPr>
        <w:t>项目情况说明</w:t>
      </w:r>
    </w:p>
    <w:p>
      <w:pPr>
        <w:adjustRightInd/>
        <w:snapToGrid/>
        <w:spacing w:line="560" w:lineRule="exact"/>
        <w:ind w:firstLine="803" w:firstLineChars="250"/>
        <w:rPr>
          <w:rFonts w:ascii="Adobe 仿宋 Std R" w:hAnsi="Adobe 仿宋 Std R" w:eastAsia="Adobe 仿宋 Std R" w:cs="黑体"/>
          <w:kern w:val="2"/>
          <w:sz w:val="32"/>
          <w:szCs w:val="30"/>
        </w:rPr>
      </w:pPr>
      <w:r>
        <w:rPr>
          <w:rFonts w:hint="eastAsia" w:ascii="仿宋_GB2312" w:eastAsia="仿宋_GB2312" w:cs="Times New Roman"/>
          <w:b/>
          <w:bCs/>
          <w:kern w:val="2"/>
          <w:sz w:val="32"/>
          <w:szCs w:val="30"/>
        </w:rPr>
        <w:t>1.总体情况</w:t>
      </w:r>
      <w:r>
        <w:rPr>
          <w:rFonts w:hint="eastAsia" w:ascii="仿宋_GB2312" w:eastAsia="仿宋_GB2312" w:cs="Times New Roman"/>
          <w:kern w:val="2"/>
          <w:sz w:val="32"/>
          <w:szCs w:val="30"/>
        </w:rPr>
        <w:t>：</w:t>
      </w:r>
      <w:r>
        <w:rPr>
          <w:rFonts w:hint="eastAsia" w:ascii="Adobe 仿宋 Std R" w:hAnsi="Adobe 仿宋 Std R" w:eastAsia="Adobe 仿宋 Std R" w:cs="黑体"/>
          <w:kern w:val="2"/>
          <w:sz w:val="32"/>
          <w:szCs w:val="30"/>
        </w:rPr>
        <w:t>2022年青云谱区政府办公室绩效目标管理的项目</w:t>
      </w:r>
      <w:r>
        <w:rPr>
          <w:rFonts w:ascii="Adobe 仿宋 Std R" w:hAnsi="Adobe 仿宋 Std R" w:eastAsia="Adobe 仿宋 Std R" w:cs="黑体"/>
          <w:kern w:val="2"/>
          <w:sz w:val="32"/>
          <w:szCs w:val="30"/>
        </w:rPr>
        <w:t>1</w:t>
      </w:r>
      <w:r>
        <w:rPr>
          <w:rFonts w:hint="eastAsia" w:ascii="Adobe 仿宋 Std R" w:hAnsi="Adobe 仿宋 Std R" w:eastAsia="Adobe 仿宋 Std R" w:cs="黑体"/>
          <w:kern w:val="2"/>
          <w:sz w:val="32"/>
          <w:szCs w:val="30"/>
        </w:rPr>
        <w:t>个，涉及资金</w:t>
      </w:r>
      <w:r>
        <w:rPr>
          <w:rFonts w:ascii="Adobe 仿宋 Std R" w:hAnsi="Adobe 仿宋 Std R" w:eastAsia="Adobe 仿宋 Std R" w:cs="黑体"/>
          <w:kern w:val="2"/>
          <w:sz w:val="32"/>
          <w:szCs w:val="30"/>
        </w:rPr>
        <w:t>60</w:t>
      </w:r>
      <w:r>
        <w:rPr>
          <w:rFonts w:hint="eastAsia" w:ascii="Adobe 仿宋 Std R" w:hAnsi="Adobe 仿宋 Std R" w:eastAsia="Adobe 仿宋 Std R" w:cs="黑体"/>
          <w:kern w:val="2"/>
          <w:sz w:val="32"/>
          <w:szCs w:val="30"/>
        </w:rPr>
        <w:t>万元。2022年青云谱区政务公开实行绩效目标管理的项目3个，涉及资金234.25万元。</w:t>
      </w:r>
    </w:p>
    <w:p>
      <w:pPr>
        <w:adjustRightInd/>
        <w:snapToGrid/>
        <w:spacing w:line="560" w:lineRule="exact"/>
        <w:ind w:firstLine="803" w:firstLineChars="250"/>
        <w:rPr>
          <w:rFonts w:ascii="Adobe 仿宋 Std R" w:hAnsi="Adobe 仿宋 Std R" w:eastAsia="Adobe 仿宋 Std R" w:cs="黑体"/>
          <w:kern w:val="2"/>
          <w:sz w:val="32"/>
          <w:szCs w:val="30"/>
        </w:rPr>
      </w:pPr>
      <w:r>
        <w:rPr>
          <w:rFonts w:hint="eastAsia" w:ascii="仿宋_GB2312" w:eastAsia="仿宋_GB2312" w:cs="Times New Roman"/>
          <w:b/>
          <w:bCs/>
          <w:kern w:val="2"/>
          <w:sz w:val="32"/>
          <w:szCs w:val="30"/>
        </w:rPr>
        <w:t>2.重点项目情况：</w:t>
      </w:r>
    </w:p>
    <w:p>
      <w:pPr>
        <w:ind w:firstLine="640" w:firstLineChars="200"/>
        <w:jc w:val="left"/>
        <w:rPr>
          <w:rFonts w:hint="eastAsia" w:ascii="Adobe 仿宋 Std R" w:hAnsi="Adobe 仿宋 Std R" w:eastAsia="Adobe 仿宋 Std R" w:cs="黑体"/>
          <w:b w:val="0"/>
          <w:bCs w:val="0"/>
          <w:kern w:val="2"/>
          <w:sz w:val="32"/>
          <w:szCs w:val="30"/>
        </w:rPr>
      </w:pPr>
      <w:r>
        <w:rPr>
          <w:rFonts w:hint="eastAsia" w:ascii="Adobe 仿宋 Std R" w:hAnsi="Adobe 仿宋 Std R" w:eastAsia="Adobe 仿宋 Std R" w:cs="黑体"/>
          <w:b w:val="0"/>
          <w:bCs w:val="0"/>
          <w:kern w:val="2"/>
          <w:sz w:val="32"/>
          <w:szCs w:val="30"/>
        </w:rPr>
        <w:t>（</w:t>
      </w:r>
      <w:r>
        <w:rPr>
          <w:rFonts w:ascii="Adobe 仿宋 Std R" w:hAnsi="Adobe 仿宋 Std R" w:eastAsia="Adobe 仿宋 Std R" w:cs="黑体"/>
          <w:b w:val="0"/>
          <w:bCs w:val="0"/>
          <w:kern w:val="2"/>
          <w:sz w:val="32"/>
          <w:szCs w:val="30"/>
        </w:rPr>
        <w:t>1</w:t>
      </w:r>
      <w:r>
        <w:rPr>
          <w:rFonts w:hint="eastAsia" w:ascii="Adobe 仿宋 Std R" w:hAnsi="Adobe 仿宋 Std R" w:eastAsia="Adobe 仿宋 Std R" w:cs="黑体"/>
          <w:b w:val="0"/>
          <w:bCs w:val="0"/>
          <w:kern w:val="2"/>
          <w:sz w:val="32"/>
          <w:szCs w:val="30"/>
        </w:rPr>
        <w:t>）</w:t>
      </w:r>
      <w:r>
        <w:rPr>
          <w:rFonts w:hint="eastAsia" w:ascii="仿宋" w:hAnsi="仿宋" w:eastAsia="仿宋"/>
          <w:bCs/>
          <w:sz w:val="32"/>
          <w:szCs w:val="32"/>
        </w:rPr>
        <w:t>外事专项经费（因公出国）项目</w:t>
      </w:r>
      <w:r>
        <w:rPr>
          <w:rFonts w:hint="eastAsia" w:ascii="Adobe 仿宋 Std R" w:hAnsi="Adobe 仿宋 Std R" w:eastAsia="Adobe 仿宋 Std R" w:cs="黑体"/>
          <w:b w:val="0"/>
          <w:bCs w:val="0"/>
          <w:kern w:val="2"/>
          <w:sz w:val="32"/>
          <w:szCs w:val="30"/>
        </w:rPr>
        <w:t>：费用为6</w:t>
      </w:r>
      <w:r>
        <w:rPr>
          <w:rFonts w:ascii="Adobe 仿宋 Std R" w:hAnsi="Adobe 仿宋 Std R" w:eastAsia="Adobe 仿宋 Std R" w:cs="黑体"/>
          <w:b w:val="0"/>
          <w:bCs w:val="0"/>
          <w:kern w:val="2"/>
          <w:sz w:val="32"/>
          <w:szCs w:val="30"/>
        </w:rPr>
        <w:t>0</w:t>
      </w:r>
      <w:r>
        <w:rPr>
          <w:rFonts w:hint="eastAsia" w:ascii="Adobe 仿宋 Std R" w:hAnsi="Adobe 仿宋 Std R" w:eastAsia="Adobe 仿宋 Std R" w:cs="黑体"/>
          <w:b w:val="0"/>
          <w:bCs w:val="0"/>
          <w:kern w:val="2"/>
          <w:sz w:val="32"/>
          <w:szCs w:val="30"/>
        </w:rPr>
        <w:t>万元，深入融合“一带一路”，做好出国（境）交流访问活动，促进我区与沿线国家和区域的对接合作。</w:t>
      </w:r>
    </w:p>
    <w:p>
      <w:pPr>
        <w:ind w:firstLine="640" w:firstLineChars="200"/>
        <w:jc w:val="left"/>
        <w:rPr>
          <w:rFonts w:ascii="仿宋" w:hAnsi="仿宋" w:eastAsia="仿宋"/>
          <w:bCs/>
          <w:sz w:val="32"/>
          <w:szCs w:val="32"/>
        </w:rPr>
      </w:pPr>
      <w:r>
        <w:rPr>
          <w:rFonts w:hint="eastAsia" w:ascii="仿宋" w:hAnsi="仿宋" w:eastAsia="仿宋"/>
          <w:bCs/>
          <w:sz w:val="32"/>
          <w:szCs w:val="32"/>
        </w:rPr>
        <w:t xml:space="preserve">   1）项目概述：负责全区外事工作。贯彻执行党和国家外事工作方针政策，法规；负责外事接待，配合做好独资，合资，合作企业等工作。</w:t>
      </w:r>
      <w:r>
        <w:rPr>
          <w:rFonts w:ascii="仿宋" w:hAnsi="仿宋" w:eastAsia="仿宋"/>
          <w:bCs/>
          <w:sz w:val="32"/>
          <w:szCs w:val="32"/>
        </w:rPr>
        <w:t xml:space="preserve"> </w:t>
      </w:r>
    </w:p>
    <w:p>
      <w:pPr>
        <w:ind w:firstLine="640" w:firstLineChars="200"/>
        <w:jc w:val="left"/>
        <w:rPr>
          <w:rFonts w:ascii="仿宋" w:hAnsi="仿宋" w:eastAsia="仿宋"/>
          <w:bCs/>
          <w:sz w:val="32"/>
          <w:szCs w:val="32"/>
        </w:rPr>
      </w:pPr>
      <w:r>
        <w:rPr>
          <w:rFonts w:hint="eastAsia" w:ascii="仿宋" w:hAnsi="仿宋" w:eastAsia="仿宋"/>
          <w:bCs/>
          <w:sz w:val="32"/>
          <w:szCs w:val="32"/>
        </w:rPr>
        <w:t xml:space="preserve">   2）立项依据：为深入融合“一带一路”，做好出（国）境交流访问活动，促进我区与沿线国家和区域的对接合作。</w:t>
      </w:r>
      <w:r>
        <w:rPr>
          <w:rFonts w:ascii="仿宋" w:hAnsi="仿宋" w:eastAsia="仿宋"/>
          <w:bCs/>
          <w:sz w:val="32"/>
          <w:szCs w:val="32"/>
        </w:rPr>
        <w:t xml:space="preserve"> </w:t>
      </w:r>
    </w:p>
    <w:p>
      <w:pPr>
        <w:ind w:firstLine="640" w:firstLineChars="200"/>
        <w:jc w:val="left"/>
        <w:rPr>
          <w:rFonts w:ascii="仿宋" w:hAnsi="仿宋" w:eastAsia="仿宋"/>
          <w:bCs/>
          <w:sz w:val="32"/>
          <w:szCs w:val="32"/>
        </w:rPr>
      </w:pPr>
      <w:r>
        <w:rPr>
          <w:rFonts w:hint="eastAsia" w:ascii="仿宋" w:hAnsi="仿宋" w:eastAsia="仿宋"/>
          <w:bCs/>
          <w:sz w:val="32"/>
          <w:szCs w:val="32"/>
        </w:rPr>
        <w:t xml:space="preserve">   3）实施主体：青云谱区政府办公室</w:t>
      </w:r>
    </w:p>
    <w:p>
      <w:pPr>
        <w:ind w:firstLine="640" w:firstLineChars="200"/>
        <w:jc w:val="left"/>
        <w:rPr>
          <w:rFonts w:ascii="仿宋" w:hAnsi="仿宋" w:eastAsia="仿宋"/>
          <w:bCs/>
          <w:sz w:val="32"/>
          <w:szCs w:val="32"/>
        </w:rPr>
      </w:pPr>
      <w:r>
        <w:rPr>
          <w:rFonts w:hint="eastAsia" w:ascii="仿宋" w:hAnsi="仿宋" w:eastAsia="仿宋"/>
          <w:bCs/>
          <w:sz w:val="32"/>
          <w:szCs w:val="32"/>
        </w:rPr>
        <w:t xml:space="preserve">   4）实施方案：一是完成项目申报，预算审批，资金拨付；二是完成培训计划；三是开展外事项目活动交流；四是年终考核，总结项目成效。</w:t>
      </w:r>
    </w:p>
    <w:p>
      <w:pPr>
        <w:ind w:firstLine="640" w:firstLineChars="200"/>
        <w:jc w:val="left"/>
        <w:rPr>
          <w:rFonts w:ascii="仿宋" w:hAnsi="仿宋" w:eastAsia="仿宋"/>
          <w:bCs/>
          <w:sz w:val="32"/>
          <w:szCs w:val="32"/>
        </w:rPr>
      </w:pPr>
      <w:r>
        <w:rPr>
          <w:rFonts w:hint="eastAsia" w:ascii="仿宋" w:hAnsi="仿宋" w:eastAsia="仿宋"/>
          <w:bCs/>
          <w:sz w:val="32"/>
          <w:szCs w:val="32"/>
        </w:rPr>
        <w:t xml:space="preserve">   5）实施周期：经常性项目</w:t>
      </w:r>
    </w:p>
    <w:p>
      <w:pPr>
        <w:ind w:firstLine="640" w:firstLineChars="200"/>
        <w:jc w:val="left"/>
        <w:rPr>
          <w:rFonts w:ascii="仿宋" w:hAnsi="仿宋" w:eastAsia="仿宋"/>
          <w:bCs/>
          <w:sz w:val="32"/>
          <w:szCs w:val="32"/>
        </w:rPr>
      </w:pPr>
      <w:r>
        <w:rPr>
          <w:rFonts w:hint="eastAsia" w:ascii="仿宋" w:hAnsi="仿宋" w:eastAsia="仿宋"/>
          <w:bCs/>
          <w:sz w:val="32"/>
          <w:szCs w:val="32"/>
        </w:rPr>
        <w:t xml:space="preserve">   6）年度预算安排：2022年安排财政拨款60万元</w:t>
      </w:r>
    </w:p>
    <w:p>
      <w:pPr>
        <w:ind w:firstLine="640" w:firstLineChars="200"/>
        <w:jc w:val="left"/>
        <w:rPr>
          <w:rFonts w:ascii="仿宋" w:hAnsi="仿宋" w:eastAsia="仿宋"/>
          <w:bCs/>
          <w:sz w:val="32"/>
          <w:szCs w:val="32"/>
        </w:rPr>
      </w:pPr>
      <w:r>
        <w:rPr>
          <w:rFonts w:hint="eastAsia" w:ascii="仿宋" w:hAnsi="仿宋" w:eastAsia="仿宋"/>
          <w:bCs/>
          <w:sz w:val="32"/>
          <w:szCs w:val="32"/>
        </w:rPr>
        <w:t xml:space="preserve">   7）绩效目标和指标</w:t>
      </w:r>
    </w:p>
    <w:p>
      <w:pPr>
        <w:ind w:firstLine="640" w:firstLineChars="200"/>
        <w:jc w:val="left"/>
        <w:rPr>
          <w:rFonts w:ascii="仿宋" w:hAnsi="仿宋" w:eastAsia="仿宋"/>
          <w:bCs/>
          <w:sz w:val="32"/>
          <w:szCs w:val="32"/>
        </w:rPr>
      </w:pPr>
      <w:r>
        <w:rPr>
          <w:rFonts w:hint="eastAsia" w:ascii="仿宋" w:hAnsi="仿宋" w:eastAsia="仿宋"/>
          <w:bCs/>
          <w:sz w:val="32"/>
          <w:szCs w:val="32"/>
        </w:rPr>
        <w:t>数量指标：预计开展两次以上外事培训会议。</w:t>
      </w:r>
    </w:p>
    <w:p>
      <w:pPr>
        <w:ind w:firstLine="640" w:firstLineChars="200"/>
        <w:jc w:val="left"/>
        <w:rPr>
          <w:rFonts w:ascii="仿宋" w:hAnsi="仿宋" w:eastAsia="仿宋"/>
          <w:bCs/>
          <w:sz w:val="32"/>
          <w:szCs w:val="32"/>
        </w:rPr>
      </w:pPr>
      <w:r>
        <w:rPr>
          <w:rFonts w:hint="eastAsia" w:ascii="仿宋" w:hAnsi="仿宋" w:eastAsia="仿宋"/>
          <w:bCs/>
          <w:sz w:val="32"/>
          <w:szCs w:val="32"/>
        </w:rPr>
        <w:t>质量指标：会计培训人员出勤率≥90%。</w:t>
      </w:r>
    </w:p>
    <w:p>
      <w:pPr>
        <w:ind w:firstLine="640" w:firstLineChars="200"/>
        <w:jc w:val="left"/>
        <w:rPr>
          <w:rFonts w:ascii="仿宋" w:hAnsi="仿宋" w:eastAsia="仿宋"/>
          <w:bCs/>
          <w:sz w:val="32"/>
          <w:szCs w:val="32"/>
        </w:rPr>
      </w:pPr>
      <w:r>
        <w:rPr>
          <w:rFonts w:hint="eastAsia" w:ascii="仿宋" w:hAnsi="仿宋" w:eastAsia="仿宋"/>
          <w:bCs/>
          <w:sz w:val="32"/>
          <w:szCs w:val="32"/>
        </w:rPr>
        <w:t>成本指标：总支出控制在单位预算支出内。</w:t>
      </w:r>
    </w:p>
    <w:p>
      <w:pPr>
        <w:ind w:firstLine="640" w:firstLineChars="200"/>
        <w:jc w:val="left"/>
        <w:rPr>
          <w:rFonts w:ascii="仿宋" w:hAnsi="仿宋" w:eastAsia="仿宋"/>
          <w:bCs/>
          <w:sz w:val="32"/>
          <w:szCs w:val="32"/>
        </w:rPr>
      </w:pPr>
      <w:r>
        <w:rPr>
          <w:rFonts w:hint="eastAsia" w:ascii="仿宋" w:hAnsi="仿宋" w:eastAsia="仿宋"/>
          <w:bCs/>
          <w:sz w:val="32"/>
          <w:szCs w:val="32"/>
        </w:rPr>
        <w:t>社会效益指标：向社会各界输送高端会计人才。</w:t>
      </w:r>
    </w:p>
    <w:p>
      <w:pPr>
        <w:pStyle w:val="2"/>
        <w:ind w:firstLine="640" w:firstLineChars="200"/>
      </w:pPr>
      <w:r>
        <w:rPr>
          <w:rFonts w:hint="eastAsia" w:ascii="仿宋" w:hAnsi="仿宋" w:eastAsia="仿宋" w:cstheme="minorBidi"/>
          <w:b w:val="0"/>
          <w:bCs/>
          <w:sz w:val="32"/>
          <w:szCs w:val="32"/>
          <w:lang w:val="en-US" w:eastAsia="zh-CN" w:bidi="ar-SA"/>
        </w:rPr>
        <w:t>满意度指标：高端会计人才对培训工作满意度≥95%。</w:t>
      </w:r>
    </w:p>
    <w:p>
      <w:pPr>
        <w:numPr>
          <w:ilvl w:val="0"/>
          <w:numId w:val="3"/>
        </w:numPr>
        <w:adjustRightInd/>
        <w:snapToGrid/>
        <w:spacing w:line="560" w:lineRule="exact"/>
        <w:rPr>
          <w:rFonts w:hint="eastAsia"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全区基础应用网络费用：费用为46.53万元，按照全省统一部署和统一标准规范，建设“赣服通”3.0政务服务平台南昌分厅（以下简称“南昌分厅”），并与市电子政务共享数据统一交换平台对接，实现“赣服通”3.0省平台相关事项的本地下沉。依托全省一体化在线政务服务平台，以公共服务事项和行政审批事项为重点，通过进一步优化流程、精简材料，推动更多事项网上材料预审、材料核验甚至全程网办，并同步部署至南</w:t>
      </w:r>
      <w:bookmarkStart w:id="0" w:name="_GoBack"/>
      <w:bookmarkEnd w:id="0"/>
      <w:r>
        <w:rPr>
          <w:rFonts w:hint="eastAsia" w:ascii="Adobe 仿宋 Std R" w:hAnsi="Adobe 仿宋 Std R" w:eastAsia="Adobe 仿宋 Std R" w:cs="黑体"/>
          <w:kern w:val="2"/>
          <w:sz w:val="32"/>
          <w:szCs w:val="30"/>
        </w:rPr>
        <w:t>昌分厅，实现掌上办理。</w:t>
      </w:r>
    </w:p>
    <w:p>
      <w:pPr>
        <w:ind w:firstLine="642"/>
        <w:rPr>
          <w:rFonts w:hint="eastAsia" w:ascii="仿宋_GB2312" w:eastAsia="仿宋_GB2312" w:cs="Times New Roman"/>
          <w:kern w:val="2"/>
          <w:sz w:val="32"/>
          <w:szCs w:val="30"/>
        </w:rPr>
      </w:pPr>
      <w:r>
        <w:rPr>
          <w:rFonts w:hint="eastAsia" w:ascii="仿宋_GB2312" w:eastAsia="仿宋_GB2312" w:cs="Times New Roman"/>
          <w:kern w:val="2"/>
          <w:sz w:val="32"/>
          <w:szCs w:val="30"/>
        </w:rPr>
        <w:t>全区基础应用网络费用</w:t>
      </w:r>
    </w:p>
    <w:p>
      <w:pPr>
        <w:spacing w:line="520" w:lineRule="exact"/>
        <w:ind w:firstLine="640" w:firstLineChars="200"/>
        <w:rPr>
          <w:rFonts w:hint="eastAsia" w:ascii="仿宋_GB2312" w:eastAsia="仿宋_GB2312" w:cs="Times New Roman"/>
          <w:kern w:val="2"/>
          <w:sz w:val="32"/>
          <w:szCs w:val="30"/>
        </w:rPr>
      </w:pPr>
      <w:r>
        <w:rPr>
          <w:rFonts w:hint="eastAsia" w:ascii="Adobe 仿宋 Std R" w:hAnsi="Adobe 仿宋 Std R" w:eastAsia="Adobe 仿宋 Std R"/>
          <w:sz w:val="32"/>
          <w:szCs w:val="32"/>
        </w:rPr>
        <w:t xml:space="preserve"> 1）项目概述</w:t>
      </w:r>
      <w:r>
        <w:rPr>
          <w:rFonts w:hint="eastAsia" w:ascii="Adobe 仿宋 Std R" w:hAnsi="Adobe 仿宋 Std R" w:eastAsia="Adobe 仿宋 Std R"/>
          <w:sz w:val="32"/>
          <w:szCs w:val="32"/>
          <w:lang w:eastAsia="zh-CN"/>
        </w:rPr>
        <w:t>：</w:t>
      </w:r>
      <w:r>
        <w:rPr>
          <w:rFonts w:hint="eastAsia" w:ascii="仿宋_GB2312" w:eastAsia="仿宋_GB2312" w:cs="Times New Roman"/>
          <w:kern w:val="2"/>
          <w:sz w:val="32"/>
          <w:szCs w:val="30"/>
        </w:rPr>
        <w:t>按照全省统一部署和统一标准规范，建设“赣服通”3.0政务服务平台南昌分厅（以下简称“南昌分厅”），并与市电子政务共享数据统一交换平台对接，实现“赣服通”3.0省平台相关事项的本地下沉。依托全省一体化在线政务服务平台，以公共服务事项和行政审批事项为重点，通过进一步优化流程、精简材料，推动更多事项网上材料预审、材料核验甚至全程网办，并同步部署至南昌分厅，实现掌上办理。</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2）立项依据</w:t>
      </w:r>
      <w:r>
        <w:rPr>
          <w:rFonts w:hint="eastAsia" w:ascii="Adobe 仿宋 Std R" w:hAnsi="Adobe 仿宋 Std R" w:eastAsia="Adobe 仿宋 Std R"/>
          <w:sz w:val="32"/>
          <w:szCs w:val="32"/>
          <w:lang w:eastAsia="zh-CN"/>
        </w:rPr>
        <w:t>：</w:t>
      </w:r>
      <w:r>
        <w:rPr>
          <w:rFonts w:hint="eastAsia" w:ascii="仿宋" w:hAnsi="仿宋" w:eastAsia="仿宋" w:cs="仿宋"/>
          <w:b w:val="0"/>
          <w:bCs/>
          <w:sz w:val="32"/>
          <w:szCs w:val="32"/>
          <w:highlight w:val="none"/>
          <w:lang w:val="en-US" w:eastAsia="zh-CN"/>
        </w:rPr>
        <w:t>《南昌市人民政府办公厅关于加快推进“赣服通”政务服务平台南昌分厅建设的通知》（洪府厅[2019]90号）、《关于加快推进“赣服通”政务服务平台县区分厅建设的通知》（洪政服字[2019]34号）《南昌市青云谱区人民政府区长办公会议纪要2019年第9次》</w:t>
      </w:r>
    </w:p>
    <w:p>
      <w:pPr>
        <w:spacing w:line="520" w:lineRule="exact"/>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3）实施主体</w:t>
      </w:r>
      <w:r>
        <w:rPr>
          <w:rFonts w:hint="eastAsia" w:ascii="Adobe 仿宋 Std R" w:hAnsi="Adobe 仿宋 Std R" w:eastAsia="Adobe 仿宋 Std R"/>
          <w:sz w:val="32"/>
          <w:szCs w:val="32"/>
          <w:lang w:eastAsia="zh-CN"/>
        </w:rPr>
        <w:t>：区政务公开事务中心。</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4）实施方案</w:t>
      </w:r>
      <w:r>
        <w:rPr>
          <w:rFonts w:hint="eastAsia" w:ascii="仿宋" w:hAnsi="仿宋" w:eastAsia="仿宋" w:cs="仿宋"/>
          <w:b w:val="0"/>
          <w:bCs/>
          <w:sz w:val="32"/>
          <w:szCs w:val="32"/>
          <w:highlight w:val="none"/>
          <w:lang w:val="en-US" w:eastAsia="zh-CN"/>
        </w:rPr>
        <w:t>：我区结合实际情况采取依托省、市资源方式建设，上线21个高频事项和10个高频电子卡证</w:t>
      </w:r>
    </w:p>
    <w:p>
      <w:pPr>
        <w:adjustRightInd w:val="0"/>
        <w:snapToGrid w:val="0"/>
        <w:spacing w:line="420" w:lineRule="atLeast"/>
        <w:ind w:firstLine="640" w:firstLineChars="200"/>
        <w:outlineLvl w:val="0"/>
        <w:rPr>
          <w:rFonts w:ascii="Adobe 仿宋 Std R" w:hAnsi="Adobe 仿宋 Std R" w:eastAsia="Adobe 仿宋 Std R"/>
          <w:sz w:val="32"/>
          <w:szCs w:val="32"/>
        </w:rPr>
      </w:pPr>
      <w:r>
        <w:rPr>
          <w:rFonts w:hint="eastAsia" w:ascii="Adobe 仿宋 Std R" w:hAnsi="Adobe 仿宋 Std R" w:eastAsia="Adobe 仿宋 Std R"/>
          <w:sz w:val="32"/>
          <w:szCs w:val="32"/>
        </w:rPr>
        <w:t xml:space="preserve"> 5）实施周期</w:t>
      </w:r>
      <w:r>
        <w:rPr>
          <w:rFonts w:hint="eastAsia" w:ascii="仿宋" w:hAnsi="仿宋" w:eastAsia="仿宋" w:cs="仿宋"/>
          <w:b w:val="0"/>
          <w:bCs/>
          <w:sz w:val="32"/>
          <w:szCs w:val="32"/>
          <w:highlight w:val="none"/>
          <w:lang w:val="en-US" w:eastAsia="zh-CN"/>
        </w:rPr>
        <w:t>：2022年1月1日-2022年12月31日。</w:t>
      </w:r>
    </w:p>
    <w:p>
      <w:pPr>
        <w:ind w:firstLine="642"/>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 xml:space="preserve"> </w:t>
      </w:r>
      <w:r>
        <w:rPr>
          <w:rFonts w:ascii="Adobe 仿宋 Std R" w:hAnsi="Adobe 仿宋 Std R" w:eastAsia="Adobe 仿宋 Std R"/>
          <w:sz w:val="32"/>
          <w:szCs w:val="32"/>
        </w:rPr>
        <w:t>6</w:t>
      </w:r>
      <w:r>
        <w:rPr>
          <w:rFonts w:hint="eastAsia" w:ascii="Adobe 仿宋 Std R" w:hAnsi="Adobe 仿宋 Std R" w:eastAsia="Adobe 仿宋 Std R"/>
          <w:sz w:val="32"/>
          <w:szCs w:val="32"/>
        </w:rPr>
        <w:t>）年度预算安排</w:t>
      </w:r>
      <w:r>
        <w:rPr>
          <w:rFonts w:hint="eastAsia" w:ascii="Adobe 仿宋 Std R" w:hAnsi="Adobe 仿宋 Std R" w:eastAsia="Adobe 仿宋 Std R"/>
          <w:sz w:val="32"/>
          <w:szCs w:val="32"/>
          <w:lang w:eastAsia="zh-CN"/>
        </w:rPr>
        <w:t>：</w:t>
      </w:r>
      <w:r>
        <w:rPr>
          <w:rFonts w:hint="eastAsia" w:ascii="仿宋" w:hAnsi="仿宋" w:eastAsia="仿宋" w:cs="仿宋"/>
          <w:b w:val="0"/>
          <w:bCs/>
          <w:sz w:val="32"/>
          <w:szCs w:val="32"/>
          <w:highlight w:val="none"/>
          <w:lang w:val="en-US" w:eastAsia="zh-CN"/>
        </w:rPr>
        <w:t>46.53。</w:t>
      </w:r>
    </w:p>
    <w:p>
      <w:pPr>
        <w:adjustRightInd w:val="0"/>
        <w:snapToGrid w:val="0"/>
        <w:spacing w:line="420" w:lineRule="atLeast"/>
        <w:ind w:firstLine="640" w:firstLineChars="200"/>
        <w:outlineLvl w:val="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 xml:space="preserve"> 7）绩效目标和指标</w:t>
      </w:r>
      <w:r>
        <w:rPr>
          <w:rFonts w:hint="eastAsia" w:ascii="仿宋" w:hAnsi="仿宋" w:eastAsia="仿宋" w:cs="仿宋"/>
          <w:b w:val="0"/>
          <w:bCs/>
          <w:sz w:val="32"/>
          <w:szCs w:val="32"/>
          <w:highlight w:val="none"/>
          <w:lang w:val="en-US" w:eastAsia="zh-CN"/>
        </w:rPr>
        <w:t>：为群众和企业提供统一的政务服务移动平台入口，推进政务服务“一号申请、一次登录、一网办理。</w:t>
      </w:r>
    </w:p>
    <w:p>
      <w:pPr>
        <w:numPr>
          <w:ilvl w:val="0"/>
          <w:numId w:val="0"/>
        </w:numPr>
        <w:adjustRightInd/>
        <w:snapToGrid/>
        <w:spacing w:line="560" w:lineRule="exact"/>
        <w:rPr>
          <w:rFonts w:hint="eastAsia"/>
          <w:lang w:val="en-US" w:eastAsia="zh-CN"/>
        </w:rPr>
      </w:pPr>
      <w:r>
        <w:rPr>
          <w:rFonts w:hint="eastAsia" w:ascii="Adobe 仿宋 Std R" w:hAnsi="Adobe 仿宋 Std R" w:eastAsia="Adobe 仿宋 Std R" w:cs="黑体"/>
          <w:kern w:val="2"/>
          <w:sz w:val="32"/>
          <w:szCs w:val="30"/>
        </w:rPr>
        <w:t>（</w:t>
      </w:r>
      <w:r>
        <w:rPr>
          <w:rFonts w:ascii="Adobe 仿宋 Std R" w:hAnsi="Adobe 仿宋 Std R" w:eastAsia="Adobe 仿宋 Std R" w:cs="黑体"/>
          <w:kern w:val="2"/>
          <w:sz w:val="32"/>
          <w:szCs w:val="30"/>
        </w:rPr>
        <w:t>3</w:t>
      </w:r>
      <w:r>
        <w:rPr>
          <w:rFonts w:hint="eastAsia" w:ascii="Adobe 仿宋 Std R" w:hAnsi="Adobe 仿宋 Std R" w:eastAsia="Adobe 仿宋 Std R" w:cs="黑体"/>
          <w:kern w:val="2"/>
          <w:sz w:val="32"/>
          <w:szCs w:val="30"/>
        </w:rPr>
        <w:t>）全区信息化工作经费：费用为70.72万元，保障全区网络畅通，保障青云谱区政府门户网站正常运行。</w:t>
      </w:r>
    </w:p>
    <w:p>
      <w:pPr>
        <w:ind w:firstLine="642"/>
        <w:rPr>
          <w:rFonts w:hint="eastAsia" w:ascii="仿宋_GB2312" w:eastAsia="仿宋_GB2312" w:cs="Times New Roman"/>
          <w:kern w:val="2"/>
          <w:sz w:val="32"/>
          <w:szCs w:val="30"/>
        </w:rPr>
      </w:pPr>
      <w:r>
        <w:rPr>
          <w:rFonts w:hint="eastAsia" w:ascii="仿宋_GB2312" w:eastAsia="仿宋_GB2312" w:cs="Times New Roman"/>
          <w:kern w:val="2"/>
          <w:sz w:val="32"/>
          <w:szCs w:val="30"/>
        </w:rPr>
        <w:t>全区信息化工作经费</w:t>
      </w:r>
    </w:p>
    <w:p>
      <w:pPr>
        <w:spacing w:line="520" w:lineRule="exact"/>
        <w:ind w:firstLine="640" w:firstLineChars="200"/>
        <w:rPr>
          <w:rFonts w:hint="eastAsia" w:ascii="仿宋_GB2312" w:eastAsia="仿宋_GB2312" w:cs="Times New Roman"/>
          <w:kern w:val="2"/>
          <w:sz w:val="32"/>
          <w:szCs w:val="30"/>
        </w:rPr>
      </w:pPr>
      <w:r>
        <w:rPr>
          <w:rFonts w:hint="eastAsia" w:ascii="Adobe 仿宋 Std R" w:hAnsi="Adobe 仿宋 Std R" w:eastAsia="Adobe 仿宋 Std R"/>
          <w:sz w:val="32"/>
          <w:szCs w:val="32"/>
        </w:rPr>
        <w:t xml:space="preserve"> 1）项目概述</w:t>
      </w:r>
      <w:r>
        <w:rPr>
          <w:rFonts w:hint="eastAsia" w:ascii="Adobe 仿宋 Std R" w:hAnsi="Adobe 仿宋 Std R" w:eastAsia="Adobe 仿宋 Std R"/>
          <w:sz w:val="32"/>
          <w:szCs w:val="32"/>
          <w:lang w:eastAsia="zh-CN"/>
        </w:rPr>
        <w:t>：</w:t>
      </w:r>
      <w:r>
        <w:rPr>
          <w:rFonts w:hint="eastAsia" w:ascii="仿宋_GB2312" w:eastAsia="仿宋_GB2312" w:cs="Times New Roman"/>
          <w:kern w:val="2"/>
          <w:sz w:val="32"/>
          <w:szCs w:val="30"/>
        </w:rPr>
        <w:t>保障全区网络畅通，保障青云谱区政府门户网站正常运行。</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2）立项依据</w:t>
      </w:r>
      <w:r>
        <w:rPr>
          <w:rFonts w:hint="eastAsia" w:ascii="Adobe 仿宋 Std R" w:hAnsi="Adobe 仿宋 Std R" w:eastAsia="Adobe 仿宋 Std R"/>
          <w:sz w:val="32"/>
          <w:szCs w:val="32"/>
          <w:lang w:eastAsia="zh-CN"/>
        </w:rPr>
        <w:t>：</w:t>
      </w:r>
      <w:r>
        <w:rPr>
          <w:rFonts w:hint="eastAsia" w:ascii="仿宋" w:hAnsi="仿宋" w:eastAsia="仿宋" w:cs="仿宋"/>
          <w:b w:val="0"/>
          <w:bCs/>
          <w:sz w:val="32"/>
          <w:szCs w:val="32"/>
          <w:highlight w:val="none"/>
          <w:lang w:val="en-US" w:eastAsia="zh-CN"/>
        </w:rPr>
        <w:t>青政办抄字[2012]132号、青政办抄字[2016]96号、青政办抄字[2015]98号、青政办抄字[2011]326号、青政办抄字[2011]464号、《南昌市青云谱区人民政府区长办公会议纪要2008年第13次》、赣财建字[2012]304号</w:t>
      </w:r>
    </w:p>
    <w:p>
      <w:pPr>
        <w:spacing w:line="520" w:lineRule="exact"/>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3）实施主体</w:t>
      </w:r>
      <w:r>
        <w:rPr>
          <w:rFonts w:hint="eastAsia" w:ascii="Adobe 仿宋 Std R" w:hAnsi="Adobe 仿宋 Std R" w:eastAsia="Adobe 仿宋 Std R"/>
          <w:sz w:val="32"/>
          <w:szCs w:val="32"/>
          <w:lang w:eastAsia="zh-CN"/>
        </w:rPr>
        <w:t>：区政务公开事务中心。</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4）实施方案</w:t>
      </w:r>
      <w:r>
        <w:rPr>
          <w:rFonts w:hint="eastAsia" w:ascii="仿宋" w:hAnsi="仿宋" w:eastAsia="仿宋" w:cs="仿宋"/>
          <w:b w:val="0"/>
          <w:bCs/>
          <w:sz w:val="32"/>
          <w:szCs w:val="32"/>
          <w:highlight w:val="none"/>
          <w:lang w:val="en-US" w:eastAsia="zh-CN"/>
        </w:rPr>
        <w:t>：该项目包括全区网络宽带租赁费用、保障全区网络畅通维护费用、青云谱区政府门户网站维护费用。</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5）实施周期</w:t>
      </w:r>
      <w:r>
        <w:rPr>
          <w:rFonts w:hint="eastAsia" w:ascii="仿宋" w:hAnsi="仿宋" w:eastAsia="仿宋" w:cs="仿宋"/>
          <w:b w:val="0"/>
          <w:bCs/>
          <w:sz w:val="32"/>
          <w:szCs w:val="32"/>
          <w:highlight w:val="none"/>
          <w:lang w:val="en-US" w:eastAsia="zh-CN"/>
        </w:rPr>
        <w:t>：2022年1月1日-2022年12月31日。</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ascii="Adobe 仿宋 Std R" w:hAnsi="Adobe 仿宋 Std R" w:eastAsia="Adobe 仿宋 Std R"/>
          <w:sz w:val="32"/>
          <w:szCs w:val="32"/>
        </w:rPr>
        <w:t>6</w:t>
      </w:r>
      <w:r>
        <w:rPr>
          <w:rFonts w:hint="eastAsia" w:ascii="Adobe 仿宋 Std R" w:hAnsi="Adobe 仿宋 Std R" w:eastAsia="Adobe 仿宋 Std R"/>
          <w:sz w:val="32"/>
          <w:szCs w:val="32"/>
        </w:rPr>
        <w:t>）年度预算安排</w:t>
      </w:r>
      <w:r>
        <w:rPr>
          <w:rFonts w:hint="eastAsia" w:ascii="Adobe 仿宋 Std R" w:hAnsi="Adobe 仿宋 Std R" w:eastAsia="Adobe 仿宋 Std R"/>
          <w:sz w:val="32"/>
          <w:szCs w:val="32"/>
          <w:lang w:eastAsia="zh-CN"/>
        </w:rPr>
        <w:t>：</w:t>
      </w:r>
      <w:r>
        <w:rPr>
          <w:rFonts w:hint="eastAsia" w:ascii="仿宋" w:hAnsi="仿宋" w:eastAsia="仿宋" w:cs="仿宋"/>
          <w:b w:val="0"/>
          <w:bCs/>
          <w:sz w:val="32"/>
          <w:szCs w:val="32"/>
          <w:highlight w:val="none"/>
          <w:lang w:val="en-US" w:eastAsia="zh-CN"/>
        </w:rPr>
        <w:t>70.72万元。</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7）绩效目标和指标</w:t>
      </w:r>
      <w:r>
        <w:rPr>
          <w:rFonts w:hint="eastAsia" w:ascii="仿宋" w:hAnsi="仿宋" w:eastAsia="仿宋" w:cs="仿宋"/>
          <w:b w:val="0"/>
          <w:bCs/>
          <w:sz w:val="32"/>
          <w:szCs w:val="32"/>
          <w:highlight w:val="none"/>
          <w:lang w:val="en-US" w:eastAsia="zh-CN"/>
        </w:rPr>
        <w:t>：保障全区网络畅通，保障青云谱区政府门户网站正常运行。</w:t>
      </w:r>
    </w:p>
    <w:p>
      <w:pPr>
        <w:pStyle w:val="2"/>
        <w:rPr>
          <w:rFonts w:hint="eastAsia"/>
          <w:lang w:val="en-US" w:eastAsia="zh-CN"/>
        </w:rPr>
      </w:pPr>
    </w:p>
    <w:p>
      <w:pPr>
        <w:adjustRightInd/>
        <w:snapToGrid/>
        <w:spacing w:line="560" w:lineRule="exact"/>
        <w:ind w:firstLine="320" w:firstLineChars="100"/>
        <w:rPr>
          <w:rFonts w:hint="eastAsia"/>
          <w:lang w:val="en-US" w:eastAsia="zh-CN"/>
        </w:rPr>
      </w:pPr>
      <w:r>
        <w:rPr>
          <w:rFonts w:hint="eastAsia" w:ascii="Adobe 仿宋 Std R" w:hAnsi="Adobe 仿宋 Std R" w:eastAsia="Adobe 仿宋 Std R" w:cs="黑体"/>
          <w:kern w:val="2"/>
          <w:sz w:val="32"/>
          <w:szCs w:val="30"/>
        </w:rPr>
        <w:t>（</w:t>
      </w:r>
      <w:r>
        <w:rPr>
          <w:rFonts w:ascii="Adobe 仿宋 Std R" w:hAnsi="Adobe 仿宋 Std R" w:eastAsia="Adobe 仿宋 Std R" w:cs="黑体"/>
          <w:kern w:val="2"/>
          <w:sz w:val="32"/>
          <w:szCs w:val="30"/>
        </w:rPr>
        <w:t>4</w:t>
      </w:r>
      <w:r>
        <w:rPr>
          <w:rFonts w:hint="eastAsia" w:ascii="Adobe 仿宋 Std R" w:hAnsi="Adobe 仿宋 Std R" w:eastAsia="Adobe 仿宋 Std R" w:cs="黑体"/>
          <w:kern w:val="2"/>
          <w:sz w:val="32"/>
          <w:szCs w:val="30"/>
        </w:rPr>
        <w:t>）赣服通3.0青云谱分厅建设经费：费用为117万元，按照全省统一部署和统一标准规范，建设“赣服通”3.0政务服务平台南昌分厅（以下简称“南昌分厅”），并与市电子政务共享数据统一交换平台对接，实现“赣服通”3.0省平台相关事项的本地下沉。依托全省一体化在线政务服务平台，以公共服务事项和行政审批事项为重点，通过进一步优化流程、精简材料，推动更多事项网上材料预审、材料核验甚至全程网办，并同步部署至南昌分厅，实现掌上办理。</w:t>
      </w:r>
    </w:p>
    <w:p>
      <w:pPr>
        <w:ind w:firstLine="642"/>
        <w:rPr>
          <w:rFonts w:hint="eastAsia" w:ascii="仿宋_GB2312" w:eastAsia="仿宋_GB2312" w:cs="Times New Roman"/>
          <w:kern w:val="2"/>
          <w:sz w:val="32"/>
          <w:szCs w:val="30"/>
        </w:rPr>
      </w:pPr>
      <w:r>
        <w:rPr>
          <w:rFonts w:hint="eastAsia" w:ascii="仿宋_GB2312" w:eastAsia="仿宋_GB2312" w:cs="Times New Roman"/>
          <w:kern w:val="2"/>
          <w:sz w:val="32"/>
          <w:szCs w:val="30"/>
        </w:rPr>
        <w:t>赣服通3.0青云谱分厅建设经费</w:t>
      </w:r>
    </w:p>
    <w:p>
      <w:pPr>
        <w:spacing w:line="520" w:lineRule="exact"/>
        <w:ind w:firstLine="640" w:firstLineChars="200"/>
        <w:rPr>
          <w:rFonts w:hint="eastAsia" w:ascii="仿宋_GB2312" w:eastAsia="仿宋_GB2312" w:cs="Times New Roman"/>
          <w:kern w:val="2"/>
          <w:sz w:val="32"/>
          <w:szCs w:val="30"/>
        </w:rPr>
      </w:pPr>
      <w:r>
        <w:rPr>
          <w:rFonts w:hint="eastAsia" w:ascii="Adobe 仿宋 Std R" w:hAnsi="Adobe 仿宋 Std R" w:eastAsia="Adobe 仿宋 Std R"/>
          <w:sz w:val="32"/>
          <w:szCs w:val="32"/>
        </w:rPr>
        <w:t xml:space="preserve"> 1）项目概述</w:t>
      </w:r>
      <w:r>
        <w:rPr>
          <w:rFonts w:hint="eastAsia" w:ascii="Adobe 仿宋 Std R" w:hAnsi="Adobe 仿宋 Std R" w:eastAsia="Adobe 仿宋 Std R"/>
          <w:sz w:val="32"/>
          <w:szCs w:val="32"/>
          <w:lang w:eastAsia="zh-CN"/>
        </w:rPr>
        <w:t>：</w:t>
      </w:r>
      <w:r>
        <w:rPr>
          <w:rFonts w:hint="eastAsia" w:ascii="仿宋_GB2312" w:eastAsia="仿宋_GB2312" w:cs="Times New Roman"/>
          <w:kern w:val="2"/>
          <w:sz w:val="32"/>
          <w:szCs w:val="30"/>
        </w:rPr>
        <w:t>按照全省统一部署和统一标准规范，建设“赣服通”3.0政务服务平台南昌分厅（以下简称“南昌分厅”），并与市电子政务共享数据统一交换平台对接，实现“赣服通”3.0省平台相关事项的本地下沉。依托全省一体化在线政务服务平台，以公共服务事项和行政审批事项为重点，通过进一步优化流程、精简材料，推动更多事项网上材料预审、材料核验甚至全程网办，并同步部署至南昌分厅，实现掌上办理。</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2）立项依据</w:t>
      </w:r>
      <w:r>
        <w:rPr>
          <w:rFonts w:hint="eastAsia" w:ascii="Adobe 仿宋 Std R" w:hAnsi="Adobe 仿宋 Std R" w:eastAsia="Adobe 仿宋 Std R"/>
          <w:sz w:val="32"/>
          <w:szCs w:val="32"/>
          <w:lang w:eastAsia="zh-CN"/>
        </w:rPr>
        <w:t>：</w:t>
      </w:r>
      <w:r>
        <w:rPr>
          <w:rFonts w:hint="eastAsia" w:ascii="仿宋" w:hAnsi="仿宋" w:eastAsia="仿宋" w:cs="仿宋"/>
          <w:b w:val="0"/>
          <w:bCs/>
          <w:sz w:val="32"/>
          <w:szCs w:val="32"/>
          <w:highlight w:val="none"/>
          <w:lang w:val="en-US" w:eastAsia="zh-CN"/>
        </w:rPr>
        <w:t>《加快推进江西政务服务移动平台“赣服通”建设工作方案》、《关于加强推进“赣服通”3.0版建设工作的通知》（洪政服字[2020]53号）、《关于印发“赣服通”优化提升技术方案的通知》（赣政务明电[2020]40号）、《南昌市青云谱区人民政府区长办公会议纪要2020年第20次》</w:t>
      </w:r>
    </w:p>
    <w:p>
      <w:pPr>
        <w:spacing w:line="520" w:lineRule="exact"/>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3）实施主体</w:t>
      </w:r>
      <w:r>
        <w:rPr>
          <w:rFonts w:hint="eastAsia" w:ascii="Adobe 仿宋 Std R" w:hAnsi="Adobe 仿宋 Std R" w:eastAsia="Adobe 仿宋 Std R"/>
          <w:sz w:val="32"/>
          <w:szCs w:val="32"/>
          <w:lang w:eastAsia="zh-CN"/>
        </w:rPr>
        <w:t>：区政务公开事务中心。</w:t>
      </w:r>
    </w:p>
    <w:p>
      <w:pPr>
        <w:spacing w:line="520" w:lineRule="exact"/>
        <w:ind w:firstLine="640" w:firstLineChars="200"/>
        <w:rPr>
          <w:rFonts w:hint="eastAsia" w:ascii="仿宋_GB2312" w:eastAsia="仿宋_GB2312" w:cs="Times New Roman"/>
          <w:kern w:val="2"/>
          <w:sz w:val="32"/>
          <w:szCs w:val="30"/>
        </w:rPr>
      </w:pPr>
      <w:r>
        <w:rPr>
          <w:rFonts w:hint="eastAsia" w:ascii="Adobe 仿宋 Std R" w:hAnsi="Adobe 仿宋 Std R" w:eastAsia="Adobe 仿宋 Std R"/>
          <w:sz w:val="32"/>
          <w:szCs w:val="32"/>
        </w:rPr>
        <w:t>4）实施方案</w:t>
      </w:r>
      <w:r>
        <w:rPr>
          <w:rFonts w:hint="eastAsia" w:ascii="仿宋" w:hAnsi="仿宋" w:eastAsia="仿宋" w:cs="仿宋"/>
          <w:b w:val="0"/>
          <w:bCs/>
          <w:sz w:val="32"/>
          <w:szCs w:val="32"/>
          <w:highlight w:val="none"/>
          <w:lang w:val="en-US" w:eastAsia="zh-CN"/>
        </w:rPr>
        <w:t>：</w:t>
      </w:r>
      <w:r>
        <w:rPr>
          <w:rFonts w:hint="eastAsia" w:ascii="仿宋_GB2312" w:eastAsia="仿宋_GB2312" w:cs="Times New Roman"/>
          <w:kern w:val="2"/>
          <w:sz w:val="32"/>
          <w:szCs w:val="30"/>
        </w:rPr>
        <w:t>按照全省统一部署和统一标准规范，建设“赣服通”3.0政务服务平台南昌分厅（以下简称“南昌分厅”），并与市电子政务共享数据统一交换平台对接，实现“赣服通”3.0省平台相关事项的本地下沉。依托全省一体化在线政务服务平台，以公共服务事项和行政审批事项为重点，通过进一步优化流程、精简材料，推动更多事项网上材料预审、材料核验甚至全程网办，并同步部署至南昌分厅，实现掌上办理。</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5）实施周期</w:t>
      </w:r>
      <w:r>
        <w:rPr>
          <w:rFonts w:hint="eastAsia" w:ascii="仿宋" w:hAnsi="仿宋" w:eastAsia="仿宋" w:cs="仿宋"/>
          <w:b w:val="0"/>
          <w:bCs/>
          <w:sz w:val="32"/>
          <w:szCs w:val="32"/>
          <w:highlight w:val="none"/>
          <w:lang w:val="en-US" w:eastAsia="zh-CN"/>
        </w:rPr>
        <w:t>：2022年1月1日-2022年12月31日。</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ascii="Adobe 仿宋 Std R" w:hAnsi="Adobe 仿宋 Std R" w:eastAsia="Adobe 仿宋 Std R"/>
          <w:sz w:val="32"/>
          <w:szCs w:val="32"/>
        </w:rPr>
        <w:t>6</w:t>
      </w:r>
      <w:r>
        <w:rPr>
          <w:rFonts w:hint="eastAsia" w:ascii="Adobe 仿宋 Std R" w:hAnsi="Adobe 仿宋 Std R" w:eastAsia="Adobe 仿宋 Std R"/>
          <w:sz w:val="32"/>
          <w:szCs w:val="32"/>
        </w:rPr>
        <w:t>）年度预算安排</w:t>
      </w:r>
      <w:r>
        <w:rPr>
          <w:rFonts w:hint="eastAsia" w:ascii="Adobe 仿宋 Std R" w:hAnsi="Adobe 仿宋 Std R" w:eastAsia="Adobe 仿宋 Std R"/>
          <w:sz w:val="32"/>
          <w:szCs w:val="32"/>
          <w:lang w:eastAsia="zh-CN"/>
        </w:rPr>
        <w:t>：</w:t>
      </w:r>
      <w:r>
        <w:rPr>
          <w:rFonts w:hint="eastAsia" w:ascii="仿宋" w:hAnsi="仿宋" w:eastAsia="仿宋" w:cs="仿宋"/>
          <w:b w:val="0"/>
          <w:bCs/>
          <w:sz w:val="32"/>
          <w:szCs w:val="32"/>
          <w:highlight w:val="none"/>
          <w:lang w:val="en-US" w:eastAsia="zh-CN"/>
        </w:rPr>
        <w:t>117万元。</w:t>
      </w:r>
    </w:p>
    <w:p>
      <w:pPr>
        <w:spacing w:line="520" w:lineRule="exact"/>
        <w:ind w:firstLine="640" w:firstLineChars="200"/>
        <w:rPr>
          <w:rFonts w:ascii="Adobe 仿宋 Std R" w:hAnsi="Adobe 仿宋 Std R" w:eastAsia="Adobe 仿宋 Std R" w:cs="黑体"/>
          <w:b w:val="0"/>
          <w:bCs w:val="0"/>
          <w:kern w:val="2"/>
          <w:sz w:val="32"/>
          <w:szCs w:val="30"/>
        </w:rPr>
      </w:pPr>
      <w:r>
        <w:rPr>
          <w:rFonts w:hint="eastAsia" w:ascii="Adobe 仿宋 Std R" w:hAnsi="Adobe 仿宋 Std R" w:eastAsia="Adobe 仿宋 Std R"/>
          <w:sz w:val="32"/>
          <w:szCs w:val="32"/>
        </w:rPr>
        <w:t>7）绩效目标和指标</w:t>
      </w:r>
      <w:r>
        <w:rPr>
          <w:rFonts w:hint="eastAsia" w:ascii="仿宋" w:hAnsi="仿宋" w:eastAsia="仿宋" w:cs="仿宋"/>
          <w:b w:val="0"/>
          <w:bCs/>
          <w:sz w:val="32"/>
          <w:szCs w:val="32"/>
          <w:highlight w:val="none"/>
          <w:lang w:val="en-US" w:eastAsia="zh-CN"/>
        </w:rPr>
        <w:t>：建设“赣服通”3.0支付宝小程序青云谱分厅，开发并接入县级政务服务应用，对接“赣服通”3.0青云谱分厅系统，制定移动应用开发标准规范，指导各部门进行移动应用开发及接入，对接政务服务管理平台，“赣服通”3.0青云谱分厅数据交换支撑系统，完成100个事项接入，5种无证办理应用。</w:t>
      </w:r>
      <w:r>
        <w:rPr>
          <w:rFonts w:hint="eastAsia" w:ascii="Adobe 仿宋 Std R" w:hAnsi="Adobe 仿宋 Std R" w:eastAsia="Adobe 仿宋 Std R" w:cs="黑体"/>
          <w:b w:val="0"/>
          <w:bCs w:val="0"/>
          <w:kern w:val="2"/>
          <w:sz w:val="32"/>
          <w:szCs w:val="30"/>
        </w:rPr>
        <w:t xml:space="preserve"> </w:t>
      </w:r>
      <w:r>
        <w:rPr>
          <w:rFonts w:ascii="Adobe 仿宋 Std R" w:hAnsi="Adobe 仿宋 Std R" w:eastAsia="Adobe 仿宋 Std R" w:cs="黑体"/>
          <w:b w:val="0"/>
          <w:bCs w:val="0"/>
          <w:kern w:val="2"/>
          <w:sz w:val="32"/>
          <w:szCs w:val="30"/>
        </w:rPr>
        <w:t xml:space="preserve">           </w:t>
      </w:r>
    </w:p>
    <w:p>
      <w:pPr>
        <w:numPr>
          <w:ilvl w:val="0"/>
          <w:numId w:val="4"/>
        </w:numPr>
        <w:spacing w:line="580" w:lineRule="exact"/>
        <w:rPr>
          <w:rFonts w:ascii="黑体" w:hAnsi="黑体" w:eastAsia="黑体" w:cs="黑体"/>
          <w:bCs/>
          <w:sz w:val="32"/>
          <w:szCs w:val="32"/>
        </w:rPr>
      </w:pPr>
      <w:r>
        <w:rPr>
          <w:rFonts w:hint="eastAsia" w:ascii="黑体" w:hAnsi="黑体" w:eastAsia="黑体" w:cs="黑体"/>
          <w:bCs/>
          <w:sz w:val="32"/>
          <w:szCs w:val="32"/>
        </w:rPr>
        <w:t>2022年“三公”经费预算情况说明</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仿宋" w:hAnsi="仿宋" w:eastAsia="仿宋" w:cs="仿宋"/>
          <w:b w:val="0"/>
          <w:bCs/>
          <w:sz w:val="32"/>
          <w:szCs w:val="32"/>
          <w:highlight w:val="none"/>
          <w:lang w:val="en-US" w:eastAsia="zh-CN"/>
        </w:rPr>
        <w:t>2022年区政府办公室部门"三公"经费一般公共预算安排89万元，其中：</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仿宋" w:hAnsi="仿宋" w:eastAsia="仿宋" w:cs="仿宋"/>
          <w:b w:val="0"/>
          <w:bCs/>
          <w:sz w:val="32"/>
          <w:szCs w:val="32"/>
          <w:highlight w:val="none"/>
          <w:lang w:val="en-US" w:eastAsia="zh-CN"/>
        </w:rPr>
        <w:t>因公出国60万元,比上年增（减）0万元，主要原因是无新增出国计划。</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仿宋" w:hAnsi="仿宋" w:eastAsia="仿宋" w:cs="仿宋"/>
          <w:b w:val="0"/>
          <w:bCs/>
          <w:sz w:val="32"/>
          <w:szCs w:val="32"/>
          <w:highlight w:val="none"/>
          <w:lang w:val="en-US" w:eastAsia="zh-CN"/>
        </w:rPr>
        <w:t>公务接待29万元,比上年增（减）0万元，主要原因是控制三公经费支出。</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仿宋" w:hAnsi="仿宋" w:eastAsia="仿宋" w:cs="仿宋"/>
          <w:b w:val="0"/>
          <w:bCs/>
          <w:sz w:val="32"/>
          <w:szCs w:val="32"/>
          <w:highlight w:val="none"/>
          <w:lang w:val="en-US" w:eastAsia="zh-CN"/>
        </w:rPr>
        <w:t>公务用车运行维护费0万元，比上年增（减）0万元，主要原因是公车改革后本单位无公车。</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仿宋" w:hAnsi="仿宋" w:eastAsia="仿宋" w:cs="仿宋"/>
          <w:b w:val="0"/>
          <w:bCs/>
          <w:sz w:val="32"/>
          <w:szCs w:val="32"/>
          <w:highlight w:val="none"/>
          <w:lang w:val="en-US" w:eastAsia="zh-CN"/>
        </w:rPr>
        <w:t>公务用车购置</w:t>
      </w:r>
      <w:r>
        <w:rPr>
          <w:rFonts w:hint="eastAsia" w:ascii="仿宋" w:hAnsi="仿宋" w:eastAsia="仿宋" w:cs="仿宋"/>
          <w:b w:val="0"/>
          <w:bCs/>
          <w:sz w:val="32"/>
          <w:szCs w:val="32"/>
          <w:highlight w:val="none"/>
          <w:lang w:val="en-US" w:eastAsia="zh-CN"/>
        </w:rPr>
        <w:fldChar w:fldCharType="begin"/>
      </w:r>
      <w:r>
        <w:rPr>
          <w:rFonts w:hint="eastAsia" w:ascii="仿宋" w:hAnsi="仿宋" w:eastAsia="仿宋" w:cs="仿宋"/>
          <w:b w:val="0"/>
          <w:bCs/>
          <w:sz w:val="32"/>
          <w:szCs w:val="32"/>
          <w:highlight w:val="none"/>
          <w:lang w:val="en-US" w:eastAsia="zh-CN"/>
        </w:rPr>
        <w:instrText xml:space="preserve">MERGEFIELD ${page400644146.ds215660413_REP_BGT_T_HC1100002019_DXQ02_ZCSGGZ}</w:instrText>
      </w:r>
      <w:r>
        <w:rPr>
          <w:rFonts w:hint="eastAsia" w:ascii="仿宋" w:hAnsi="仿宋" w:eastAsia="仿宋" w:cs="仿宋"/>
          <w:b w:val="0"/>
          <w:bCs/>
          <w:sz w:val="32"/>
          <w:szCs w:val="32"/>
          <w:highlight w:val="none"/>
          <w:lang w:val="en-US" w:eastAsia="zh-CN"/>
        </w:rPr>
        <w:fldChar w:fldCharType="separate"/>
      </w:r>
      <w:r>
        <w:rPr>
          <w:rFonts w:hint="eastAsia" w:ascii="仿宋" w:hAnsi="仿宋" w:eastAsia="仿宋" w:cs="仿宋"/>
          <w:b w:val="0"/>
          <w:bCs/>
          <w:sz w:val="32"/>
          <w:szCs w:val="32"/>
          <w:highlight w:val="none"/>
          <w:lang w:val="en-US" w:eastAsia="zh-CN"/>
        </w:rPr>
        <w:t>0</w:t>
      </w:r>
      <w:r>
        <w:rPr>
          <w:rFonts w:hint="eastAsia" w:ascii="仿宋" w:hAnsi="仿宋" w:eastAsia="仿宋" w:cs="仿宋"/>
          <w:b w:val="0"/>
          <w:bCs/>
          <w:sz w:val="32"/>
          <w:szCs w:val="32"/>
          <w:highlight w:val="none"/>
          <w:lang w:val="en-US" w:eastAsia="zh-CN"/>
        </w:rPr>
        <w:fldChar w:fldCharType="end"/>
      </w:r>
      <w:r>
        <w:rPr>
          <w:rFonts w:hint="eastAsia" w:ascii="仿宋" w:hAnsi="仿宋" w:eastAsia="仿宋" w:cs="仿宋"/>
          <w:b w:val="0"/>
          <w:bCs/>
          <w:sz w:val="32"/>
          <w:szCs w:val="32"/>
          <w:highlight w:val="none"/>
          <w:lang w:val="en-US" w:eastAsia="zh-CN"/>
        </w:rPr>
        <w:t>万元,比上年增（减）0万元，主要原因是无新增购车计划。</w:t>
      </w:r>
    </w:p>
    <w:p>
      <w:pPr>
        <w:pStyle w:val="2"/>
      </w:pPr>
    </w:p>
    <w:p>
      <w:pPr>
        <w:spacing w:line="580" w:lineRule="exact"/>
        <w:ind w:left="640"/>
        <w:rPr>
          <w:rFonts w:ascii="黑体" w:hAnsi="黑体" w:eastAsia="黑体" w:cs="黑体"/>
          <w:bCs/>
          <w:sz w:val="32"/>
          <w:szCs w:val="32"/>
        </w:rPr>
      </w:pPr>
    </w:p>
    <w:p>
      <w:pPr>
        <w:spacing w:line="520" w:lineRule="exact"/>
        <w:jc w:val="center"/>
        <w:rPr>
          <w:rFonts w:ascii="黑体" w:hAnsi="黑体" w:eastAsia="黑体" w:cs="黑体"/>
          <w:bCs/>
          <w:sz w:val="32"/>
          <w:szCs w:val="32"/>
        </w:rPr>
      </w:pPr>
      <w:r>
        <w:rPr>
          <w:rFonts w:hint="eastAsia" w:ascii="黑体" w:hAnsi="黑体" w:eastAsia="黑体" w:cs="黑体"/>
          <w:bCs/>
          <w:sz w:val="32"/>
          <w:szCs w:val="32"/>
        </w:rPr>
        <w:t>第四部分 名词解释</w:t>
      </w:r>
    </w:p>
    <w:p>
      <w:pPr>
        <w:spacing w:line="520" w:lineRule="exact"/>
        <w:jc w:val="center"/>
        <w:rPr>
          <w:rFonts w:ascii="黑体" w:hAnsi="黑体" w:eastAsia="黑体" w:cs="黑体"/>
          <w:bCs/>
          <w:sz w:val="32"/>
          <w:szCs w:val="32"/>
        </w:rPr>
      </w:pPr>
    </w:p>
    <w:p>
      <w:pPr>
        <w:ind w:firstLine="643" w:firstLineChars="200"/>
        <w:rPr>
          <w:rFonts w:ascii="Adobe 仿宋 Std R" w:hAnsi="Adobe 仿宋 Std R" w:eastAsia="Adobe 仿宋 Std R" w:cs="黑体"/>
          <w:b/>
          <w:bCs/>
          <w:kern w:val="2"/>
          <w:sz w:val="32"/>
          <w:szCs w:val="30"/>
        </w:rPr>
      </w:pPr>
      <w:r>
        <w:rPr>
          <w:rFonts w:hint="eastAsia" w:ascii="Adobe 仿宋 Std R" w:hAnsi="Adobe 仿宋 Std R" w:eastAsia="Adobe 仿宋 Std R" w:cs="黑体"/>
          <w:b/>
          <w:bCs/>
          <w:kern w:val="2"/>
          <w:sz w:val="32"/>
          <w:szCs w:val="30"/>
        </w:rPr>
        <w:t>一、收入科目</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（一）财政拨款：指省级财政当年拨付的资金。</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（二）教育收费资金收入：反映实行专项管理的高中以上学费、住宿费，高校委托培养费，函大、电大、夜大及短训班培训费等教育收费取得的收入。</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（三）事业收入：指事业单位开展专业业务活动及辅助活动取得的收入。</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（四）事业单位经营收入：指事业单位在专业业务活动及辅助活动之外开展非独立核算经营活动取得的收入。</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（五）附属单位上缴收入：反映事业单位附属的独立核算单位按规定标准或比例缴纳的各项收入。包括附属的事业单位上缴的收入和附属的企业上缴的利润等。</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（六）上级补助收入：反映事业单位从主管部门和上级单位取得的非财政补助收入。</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（七）其他收入：指除财政拨款、事业收入、事业单位经营收入等以外的各项收入。</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（八）使用非财政拨款结余：填列历年滚存的非限定用途的非统计财政拨款结余弥补2022年收支差额的数额。</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（九）上年结转和结余：填列2021年全部结转和结余的资金数，包括当年结转结余资金和历年滚存结转结余资金。</w:t>
      </w:r>
    </w:p>
    <w:p>
      <w:pPr>
        <w:ind w:firstLine="640" w:firstLineChars="200"/>
        <w:rPr>
          <w:rFonts w:ascii="Adobe 仿宋 Std R" w:hAnsi="Adobe 仿宋 Std R" w:eastAsia="Adobe 仿宋 Std R" w:cs="黑体"/>
          <w:kern w:val="2"/>
          <w:sz w:val="32"/>
          <w:szCs w:val="30"/>
        </w:rPr>
      </w:pPr>
    </w:p>
    <w:p>
      <w:pPr>
        <w:ind w:firstLine="643"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b/>
          <w:bCs/>
          <w:kern w:val="2"/>
          <w:sz w:val="32"/>
          <w:szCs w:val="30"/>
        </w:rPr>
        <w:t>二、支出科目</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（一）行政运行：反映行政单位（包括参公单位）的基本支出。</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（二）一般行政管理事务：反映行政单位（包括参公单位）未单独设置项级科目的其他项目支出。</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（三）机关服务：反映为行政单位（包括参公单位）提供后勤服务的各类后勤服务中心的支出。</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（四）事业运行：反映事业单位的基本支出。</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（五）住房公积金：反映行政事业单位按人力资源和社会保障部、财政部规定的基本工资和津补贴以及规定比例为职工缴纳的住房公积金。</w:t>
      </w:r>
    </w:p>
    <w:p>
      <w:pPr>
        <w:ind w:firstLine="640" w:firstLineChars="200"/>
        <w:rPr>
          <w:rFonts w:ascii="Adobe 仿宋 Std R" w:hAnsi="Adobe 仿宋 Std R" w:eastAsia="Adobe 仿宋 Std R" w:cs="黑体"/>
          <w:kern w:val="2"/>
          <w:sz w:val="32"/>
          <w:szCs w:val="30"/>
        </w:rPr>
      </w:pPr>
    </w:p>
    <w:p>
      <w:pPr>
        <w:ind w:firstLine="643" w:firstLineChars="200"/>
        <w:rPr>
          <w:rFonts w:ascii="Adobe 仿宋 Std R" w:hAnsi="Adobe 仿宋 Std R" w:eastAsia="Adobe 仿宋 Std R" w:cs="黑体"/>
          <w:b/>
          <w:bCs/>
          <w:kern w:val="2"/>
          <w:sz w:val="32"/>
          <w:szCs w:val="30"/>
        </w:rPr>
      </w:pPr>
      <w:r>
        <w:rPr>
          <w:rFonts w:hint="eastAsia" w:ascii="Adobe 仿宋 Std R" w:hAnsi="Adobe 仿宋 Std R" w:eastAsia="Adobe 仿宋 Std R" w:cs="黑体"/>
          <w:b/>
          <w:bCs/>
          <w:kern w:val="2"/>
          <w:sz w:val="32"/>
          <w:szCs w:val="30"/>
        </w:rPr>
        <w:t>三、部门涉及的专业名词</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 xml:space="preserve">（一）“三公”经费：纳入预算管理的“三公”经费，是 指用财政拨款安排的因公出国（境）费、公务用车购置及运 行费和公务接待费。 </w:t>
      </w:r>
    </w:p>
    <w:p>
      <w:pPr>
        <w:ind w:firstLine="640" w:firstLineChars="200"/>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（二）机关运行经费：为保障行政单位（包括参照公务 员法管理事业单位）运行用于购买货物和服务的各项资金， 包括办公及印刷费、邮电费、差旅费、会议费、福利费、日 常维修费、专用材料及一般设备购置费、办公用房水电费、 办公用房取暖费、办公用房物业管理费、公务用车运行维护 费以及其他费用。</w:t>
      </w:r>
    </w:p>
    <w:p>
      <w:pPr>
        <w:spacing w:line="520" w:lineRule="exact"/>
        <w:ind w:firstLine="640" w:firstLineChars="200"/>
        <w:rPr>
          <w:rFonts w:ascii="仿宋_GB2312" w:eastAsia="仿宋_GB2312"/>
          <w:sz w:val="32"/>
          <w:szCs w:val="30"/>
        </w:rPr>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Adobe 仿宋 Std R">
    <w:altName w:val="仿宋"/>
    <w:panose1 w:val="00000000000000000000"/>
    <w:charset w:val="86"/>
    <w:family w:val="auto"/>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Adobe 仿宋 Std R">
    <w:altName w:val="仿宋"/>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A771B9"/>
    <w:multiLevelType w:val="singleLevel"/>
    <w:tmpl w:val="D1A771B9"/>
    <w:lvl w:ilvl="0" w:tentative="0">
      <w:start w:val="2"/>
      <w:numFmt w:val="chineseCounting"/>
      <w:suff w:val="space"/>
      <w:lvlText w:val="第%1部分"/>
      <w:lvlJc w:val="left"/>
      <w:rPr>
        <w:rFonts w:hint="eastAsia"/>
      </w:rPr>
    </w:lvl>
  </w:abstractNum>
  <w:abstractNum w:abstractNumId="1">
    <w:nsid w:val="24EEF834"/>
    <w:multiLevelType w:val="singleLevel"/>
    <w:tmpl w:val="24EEF834"/>
    <w:lvl w:ilvl="0" w:tentative="0">
      <w:start w:val="2"/>
      <w:numFmt w:val="decimal"/>
      <w:suff w:val="nothing"/>
      <w:lvlText w:val="（%1）"/>
      <w:lvlJc w:val="left"/>
    </w:lvl>
  </w:abstractNum>
  <w:abstractNum w:abstractNumId="2">
    <w:nsid w:val="58D0DF02"/>
    <w:multiLevelType w:val="singleLevel"/>
    <w:tmpl w:val="58D0DF02"/>
    <w:lvl w:ilvl="0" w:tentative="0">
      <w:start w:val="3"/>
      <w:numFmt w:val="chineseCounting"/>
      <w:suff w:val="nothing"/>
      <w:lvlText w:val="（%1）"/>
      <w:lvlJc w:val="left"/>
    </w:lvl>
  </w:abstractNum>
  <w:abstractNum w:abstractNumId="3">
    <w:nsid w:val="7E7176A5"/>
    <w:multiLevelType w:val="singleLevel"/>
    <w:tmpl w:val="7E7176A5"/>
    <w:lvl w:ilvl="0" w:tentative="0">
      <w:start w:val="2"/>
      <w:numFmt w:val="chineseCounting"/>
      <w:suff w:val="nothing"/>
      <w:lvlText w:val="%1、"/>
      <w:lvlJc w:val="left"/>
      <w:pPr>
        <w:ind w:left="640" w:firstLine="0"/>
      </w:pPr>
      <w:rPr>
        <w:rFonts w:hint="eastAsi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dlZTljZTA4Njc2ZTc4NGNhOWIxMDE5MjEyYTg5NDgifQ=="/>
  </w:docVars>
  <w:rsids>
    <w:rsidRoot w:val="00D31D50"/>
    <w:rsid w:val="0017265D"/>
    <w:rsid w:val="001E3DD2"/>
    <w:rsid w:val="00323B43"/>
    <w:rsid w:val="003C3ADE"/>
    <w:rsid w:val="003D37D8"/>
    <w:rsid w:val="00426133"/>
    <w:rsid w:val="004358AB"/>
    <w:rsid w:val="00464991"/>
    <w:rsid w:val="00492CF6"/>
    <w:rsid w:val="00691F00"/>
    <w:rsid w:val="006B46F9"/>
    <w:rsid w:val="006E351E"/>
    <w:rsid w:val="0071068B"/>
    <w:rsid w:val="0075291B"/>
    <w:rsid w:val="00863E0C"/>
    <w:rsid w:val="008B3C12"/>
    <w:rsid w:val="008B7726"/>
    <w:rsid w:val="008F41C8"/>
    <w:rsid w:val="009A775D"/>
    <w:rsid w:val="00B32797"/>
    <w:rsid w:val="00B945D5"/>
    <w:rsid w:val="00C058A4"/>
    <w:rsid w:val="00C96383"/>
    <w:rsid w:val="00D23EA4"/>
    <w:rsid w:val="00D31D50"/>
    <w:rsid w:val="00D64741"/>
    <w:rsid w:val="00E11B4D"/>
    <w:rsid w:val="00F06711"/>
    <w:rsid w:val="00F65A47"/>
    <w:rsid w:val="00FD3FAF"/>
    <w:rsid w:val="00FE145D"/>
    <w:rsid w:val="171819CE"/>
    <w:rsid w:val="176D5013"/>
    <w:rsid w:val="267E72A4"/>
    <w:rsid w:val="2DAD6A11"/>
    <w:rsid w:val="35942299"/>
    <w:rsid w:val="370E1BD7"/>
    <w:rsid w:val="3ABF2161"/>
    <w:rsid w:val="3EDA58DB"/>
    <w:rsid w:val="3F736005"/>
    <w:rsid w:val="40295307"/>
    <w:rsid w:val="493303FC"/>
    <w:rsid w:val="49435BBB"/>
    <w:rsid w:val="4CF135DC"/>
    <w:rsid w:val="4E7150CF"/>
    <w:rsid w:val="50CF3FF8"/>
    <w:rsid w:val="515B66EF"/>
    <w:rsid w:val="76454233"/>
    <w:rsid w:val="78727E6D"/>
    <w:rsid w:val="7E8F39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3"/>
    <w:basedOn w:val="1"/>
    <w:next w:val="1"/>
    <w:qFormat/>
    <w:uiPriority w:val="9"/>
    <w:pPr>
      <w:keepNext/>
      <w:keepLines/>
      <w:spacing w:before="260" w:after="260" w:line="416" w:lineRule="auto"/>
      <w:outlineLvl w:val="2"/>
    </w:pPr>
    <w:rPr>
      <w:b/>
      <w:bCs/>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semiHidden/>
    <w:unhideWhenUsed/>
    <w:qFormat/>
    <w:uiPriority w:val="99"/>
    <w:pPr>
      <w:spacing w:after="0"/>
    </w:pPr>
    <w:rPr>
      <w:sz w:val="18"/>
      <w:szCs w:val="18"/>
    </w:rPr>
  </w:style>
  <w:style w:type="paragraph" w:styleId="4">
    <w:name w:val="footer"/>
    <w:basedOn w:val="1"/>
    <w:link w:val="9"/>
    <w:semiHidden/>
    <w:unhideWhenUsed/>
    <w:qFormat/>
    <w:uiPriority w:val="99"/>
    <w:pPr>
      <w:tabs>
        <w:tab w:val="center" w:pos="4153"/>
        <w:tab w:val="right" w:pos="8306"/>
      </w:tabs>
    </w:pPr>
    <w:rPr>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jc w:val="center"/>
    </w:pPr>
    <w:rPr>
      <w:sz w:val="18"/>
      <w:szCs w:val="18"/>
    </w:rPr>
  </w:style>
  <w:style w:type="character" w:customStyle="1" w:styleId="8">
    <w:name w:val="页眉 字符"/>
    <w:basedOn w:val="7"/>
    <w:link w:val="5"/>
    <w:semiHidden/>
    <w:qFormat/>
    <w:uiPriority w:val="99"/>
    <w:rPr>
      <w:rFonts w:ascii="Tahoma" w:hAnsi="Tahoma"/>
      <w:sz w:val="18"/>
      <w:szCs w:val="18"/>
    </w:rPr>
  </w:style>
  <w:style w:type="character" w:customStyle="1" w:styleId="9">
    <w:name w:val="页脚 字符"/>
    <w:basedOn w:val="7"/>
    <w:link w:val="4"/>
    <w:semiHidden/>
    <w:qFormat/>
    <w:uiPriority w:val="99"/>
    <w:rPr>
      <w:rFonts w:ascii="Tahoma" w:hAnsi="Tahoma"/>
      <w:sz w:val="18"/>
      <w:szCs w:val="18"/>
    </w:rPr>
  </w:style>
  <w:style w:type="paragraph" w:customStyle="1" w:styleId="10">
    <w:name w:val="p0"/>
    <w:basedOn w:val="1"/>
    <w:qFormat/>
    <w:uiPriority w:val="0"/>
    <w:pPr>
      <w:adjustRightInd/>
      <w:snapToGrid/>
      <w:spacing w:after="0"/>
      <w:jc w:val="both"/>
    </w:pPr>
    <w:rPr>
      <w:rFonts w:ascii="Times New Roman" w:hAnsi="Times New Roman" w:eastAsia="宋体" w:cs="Times New Roman"/>
      <w:sz w:val="21"/>
      <w:szCs w:val="21"/>
    </w:rPr>
  </w:style>
  <w:style w:type="character" w:customStyle="1" w:styleId="11">
    <w:name w:val="批注框文本 字符"/>
    <w:basedOn w:val="7"/>
    <w:link w:val="3"/>
    <w:semiHidden/>
    <w:qFormat/>
    <w:uiPriority w:val="99"/>
    <w:rPr>
      <w:rFonts w:ascii="Tahoma" w:hAnsi="Tahoma"/>
      <w:sz w:val="18"/>
      <w:szCs w:val="18"/>
    </w:rPr>
  </w:style>
  <w:style w:type="paragraph" w:customStyle="1" w:styleId="12">
    <w:name w:val="正文缩进 + 首行缩进:  2 字符"/>
    <w:basedOn w:val="1"/>
    <w:qFormat/>
    <w:uiPriority w:val="0"/>
    <w:pPr>
      <w:widowControl w:val="0"/>
      <w:adjustRightInd/>
      <w:snapToGrid/>
      <w:spacing w:after="0"/>
      <w:ind w:firstLine="640"/>
      <w:jc w:val="both"/>
    </w:pPr>
    <w:rPr>
      <w:rFonts w:ascii="Times New Roman" w:hAnsi="Times New Roman" w:eastAsia="宋体" w:cs="宋体"/>
      <w:kern w:val="2"/>
      <w:sz w:val="21"/>
      <w:szCs w:val="20"/>
    </w:rPr>
  </w:style>
  <w:style w:type="character" w:customStyle="1" w:styleId="13">
    <w:name w:val="row_tree_level_4"/>
    <w:basedOn w:val="7"/>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5775</Words>
  <Characters>6236</Characters>
  <Lines>32</Lines>
  <Paragraphs>9</Paragraphs>
  <TotalTime>2</TotalTime>
  <ScaleCrop>false</ScaleCrop>
  <LinksUpToDate>false</LinksUpToDate>
  <CharactersWithSpaces>6366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2023-05-10T03:58:00Z</dcterms:created>
  <dc:creator>1</dc:creator>
  <cp:lastModifiedBy>Administrator</cp:lastModifiedBy>
  <dcterms:modified xsi:type="dcterms:W3CDTF">2023-06-05T02:05:58Z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14A02A3E23D94B5B9EB2E5127DB14A56</vt:lpwstr>
  </property>
</Properties>
</file>