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5EBE7">
      <w:pPr>
        <w:spacing w:line="600" w:lineRule="exact"/>
        <w:jc w:val="center"/>
        <w:outlineLvl w:val="0"/>
        <w:rPr>
          <w:rFonts w:hint="eastAsia" w:ascii="宋体" w:hAnsi="宋体" w:cs="宋体"/>
          <w:b/>
          <w:bCs/>
          <w:sz w:val="44"/>
          <w:szCs w:val="36"/>
        </w:rPr>
      </w:pPr>
      <w:r>
        <w:rPr>
          <w:rFonts w:hint="eastAsia" w:ascii="宋体" w:hAnsi="宋体" w:cs="宋体"/>
          <w:b/>
          <w:bCs/>
          <w:sz w:val="44"/>
          <w:szCs w:val="36"/>
          <w:lang w:val="en-US" w:eastAsia="zh-CN"/>
        </w:rPr>
        <w:t>中共青云谱区委党校</w:t>
      </w:r>
      <w:r>
        <w:rPr>
          <w:rFonts w:hint="eastAsia" w:ascii="宋体" w:hAnsi="宋体" w:cs="宋体"/>
          <w:b/>
          <w:bCs/>
          <w:sz w:val="44"/>
          <w:szCs w:val="36"/>
        </w:rPr>
        <w:t>2023年度</w:t>
      </w:r>
      <w:r>
        <w:rPr>
          <w:rFonts w:hint="eastAsia" w:ascii="宋体" w:hAnsi="宋体" w:cs="宋体"/>
          <w:b/>
          <w:bCs/>
          <w:sz w:val="44"/>
          <w:szCs w:val="36"/>
          <w:lang w:val="en-US" w:eastAsia="zh-CN"/>
        </w:rPr>
        <w:t>部门</w:t>
      </w:r>
      <w:r>
        <w:rPr>
          <w:rFonts w:hint="eastAsia" w:ascii="宋体" w:hAnsi="宋体" w:cs="宋体"/>
          <w:b/>
          <w:bCs/>
          <w:sz w:val="44"/>
          <w:szCs w:val="36"/>
        </w:rPr>
        <w:t>决算</w:t>
      </w:r>
    </w:p>
    <w:p w14:paraId="3FF63B59">
      <w:pPr>
        <w:spacing w:line="600" w:lineRule="exact"/>
        <w:jc w:val="center"/>
        <w:rPr>
          <w:rFonts w:hint="eastAsia" w:ascii="黑体" w:eastAsia="黑体"/>
          <w:sz w:val="44"/>
          <w:szCs w:val="36"/>
        </w:rPr>
      </w:pPr>
    </w:p>
    <w:p w14:paraId="3B393C64">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620F846F">
      <w:pPr>
        <w:widowControl/>
        <w:spacing w:line="600" w:lineRule="exact"/>
        <w:ind w:firstLine="640"/>
        <w:jc w:val="left"/>
        <w:rPr>
          <w:rFonts w:hint="eastAsia" w:ascii="仿宋_GB2312" w:eastAsia="仿宋_GB2312"/>
          <w:sz w:val="32"/>
          <w:szCs w:val="30"/>
        </w:rPr>
      </w:pPr>
    </w:p>
    <w:p w14:paraId="462A4FC3">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 xml:space="preserve">第一部分  </w:t>
      </w:r>
      <w:r>
        <w:rPr>
          <w:rFonts w:hint="eastAsia" w:ascii="黑体" w:hAnsi="黑体" w:eastAsia="黑体"/>
          <w:b w:val="0"/>
          <w:bCs/>
          <w:sz w:val="32"/>
          <w:szCs w:val="32"/>
          <w:lang w:val="en-US" w:eastAsia="zh-CN"/>
        </w:rPr>
        <w:t>中共青云谱区委党校</w:t>
      </w:r>
      <w:r>
        <w:rPr>
          <w:rFonts w:hint="eastAsia" w:ascii="黑体" w:hAnsi="黑体" w:eastAsia="黑体"/>
          <w:b w:val="0"/>
          <w:bCs/>
          <w:sz w:val="32"/>
          <w:szCs w:val="32"/>
        </w:rPr>
        <w:t>概况</w:t>
      </w:r>
    </w:p>
    <w:p w14:paraId="1FC1B58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部门</w:t>
      </w:r>
      <w:r>
        <w:rPr>
          <w:rFonts w:hint="eastAsia" w:ascii="仿宋_GB2312" w:hAnsi="仿宋_GB2312" w:eastAsia="仿宋_GB2312"/>
          <w:sz w:val="32"/>
          <w:szCs w:val="30"/>
        </w:rPr>
        <w:t>主要职责</w:t>
      </w:r>
    </w:p>
    <w:p w14:paraId="57276BC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0AC4B5D5">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部门</w:t>
      </w:r>
      <w:r>
        <w:rPr>
          <w:rFonts w:hint="eastAsia" w:ascii="黑体" w:hAnsi="黑体" w:eastAsia="黑体"/>
          <w:sz w:val="32"/>
          <w:szCs w:val="32"/>
        </w:rPr>
        <w:t>决算表</w:t>
      </w:r>
    </w:p>
    <w:p w14:paraId="15D09B7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078C7E7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24295F3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522A690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6916047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6AC5B6A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5633A45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4D16750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25BFFA7B">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1D3353F0">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7CB05546">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部门</w:t>
      </w:r>
      <w:r>
        <w:rPr>
          <w:rFonts w:hint="eastAsia" w:ascii="黑体" w:hAnsi="黑体" w:eastAsia="黑体"/>
          <w:sz w:val="32"/>
          <w:szCs w:val="32"/>
        </w:rPr>
        <w:t>决算情况说明</w:t>
      </w:r>
    </w:p>
    <w:p w14:paraId="797F543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1070C48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4F04FD1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048A006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1CD49AC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5FCD7AE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4040154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2D1EFDC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14B699C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270E9E9E">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04E652F0">
      <w:pPr>
        <w:bidi w:val="0"/>
        <w:rPr>
          <w:rFonts w:hint="eastAsia"/>
        </w:rPr>
      </w:pPr>
    </w:p>
    <w:p w14:paraId="2708903F">
      <w:pPr>
        <w:bidi w:val="0"/>
        <w:rPr>
          <w:rFonts w:hint="eastAsia"/>
        </w:rPr>
      </w:pPr>
    </w:p>
    <w:p w14:paraId="705C1343">
      <w:pPr>
        <w:bidi w:val="0"/>
        <w:rPr>
          <w:rFonts w:hint="eastAsia"/>
        </w:rPr>
      </w:pPr>
    </w:p>
    <w:p w14:paraId="688BD1AE">
      <w:pPr>
        <w:bidi w:val="0"/>
        <w:rPr>
          <w:rFonts w:hint="eastAsia"/>
        </w:rPr>
      </w:pPr>
    </w:p>
    <w:p w14:paraId="718E3100">
      <w:pPr>
        <w:bidi w:val="0"/>
        <w:rPr>
          <w:rFonts w:hint="eastAsia"/>
        </w:rPr>
      </w:pPr>
    </w:p>
    <w:p w14:paraId="3D183EE9">
      <w:pPr>
        <w:bidi w:val="0"/>
        <w:rPr>
          <w:rFonts w:hint="eastAsia"/>
        </w:rPr>
      </w:pPr>
    </w:p>
    <w:p w14:paraId="6D1B3B6E">
      <w:pPr>
        <w:bidi w:val="0"/>
        <w:rPr>
          <w:rFonts w:hint="eastAsia"/>
        </w:rPr>
      </w:pPr>
    </w:p>
    <w:p w14:paraId="4744B81C">
      <w:pPr>
        <w:bidi w:val="0"/>
        <w:rPr>
          <w:rFonts w:hint="eastAsia"/>
        </w:rPr>
      </w:pPr>
    </w:p>
    <w:p w14:paraId="23D8D290">
      <w:pPr>
        <w:bidi w:val="0"/>
        <w:rPr>
          <w:rFonts w:hint="eastAsia"/>
        </w:rPr>
      </w:pPr>
    </w:p>
    <w:p w14:paraId="596BBFE1">
      <w:pPr>
        <w:bidi w:val="0"/>
        <w:rPr>
          <w:rFonts w:hint="eastAsia"/>
        </w:rPr>
      </w:pPr>
    </w:p>
    <w:p w14:paraId="016EA9E7">
      <w:pPr>
        <w:bidi w:val="0"/>
        <w:rPr>
          <w:rFonts w:hint="eastAsia"/>
        </w:rPr>
      </w:pPr>
    </w:p>
    <w:p w14:paraId="78D68B11">
      <w:pPr>
        <w:bidi w:val="0"/>
        <w:rPr>
          <w:rFonts w:hint="eastAsia"/>
        </w:rPr>
      </w:pPr>
    </w:p>
    <w:p w14:paraId="26D0CDA1">
      <w:pPr>
        <w:bidi w:val="0"/>
        <w:rPr>
          <w:rFonts w:hint="eastAsia"/>
        </w:rPr>
      </w:pPr>
    </w:p>
    <w:p w14:paraId="65B48644">
      <w:pPr>
        <w:bidi w:val="0"/>
        <w:rPr>
          <w:rFonts w:hint="eastAsia"/>
        </w:rPr>
      </w:pPr>
    </w:p>
    <w:p w14:paraId="3B52DED7">
      <w:pPr>
        <w:bidi w:val="0"/>
        <w:rPr>
          <w:rFonts w:hint="eastAsia"/>
        </w:rPr>
      </w:pPr>
    </w:p>
    <w:p w14:paraId="10154E93">
      <w:pPr>
        <w:bidi w:val="0"/>
        <w:rPr>
          <w:rFonts w:hint="eastAsia"/>
        </w:rPr>
      </w:pPr>
    </w:p>
    <w:p w14:paraId="7995B349">
      <w:pPr>
        <w:bidi w:val="0"/>
        <w:rPr>
          <w:rFonts w:hint="eastAsia"/>
        </w:rPr>
      </w:pPr>
    </w:p>
    <w:p w14:paraId="5F547EEC">
      <w:pPr>
        <w:bidi w:val="0"/>
        <w:rPr>
          <w:rFonts w:hint="eastAsia"/>
        </w:rPr>
      </w:pPr>
    </w:p>
    <w:p w14:paraId="7C01998C">
      <w:pPr>
        <w:bidi w:val="0"/>
        <w:rPr>
          <w:rFonts w:hint="eastAsia"/>
        </w:rPr>
      </w:pPr>
    </w:p>
    <w:p w14:paraId="11E8B939">
      <w:pPr>
        <w:bidi w:val="0"/>
        <w:rPr>
          <w:rFonts w:hint="eastAsia"/>
        </w:rPr>
      </w:pPr>
    </w:p>
    <w:p w14:paraId="51890A9C">
      <w:pPr>
        <w:bidi w:val="0"/>
        <w:rPr>
          <w:rFonts w:hint="eastAsia"/>
        </w:rPr>
      </w:pPr>
    </w:p>
    <w:p w14:paraId="4EC4A72E">
      <w:pPr>
        <w:bidi w:val="0"/>
        <w:rPr>
          <w:rFonts w:hint="eastAsia"/>
        </w:rPr>
      </w:pPr>
    </w:p>
    <w:p w14:paraId="705609F0">
      <w:pPr>
        <w:bidi w:val="0"/>
        <w:rPr>
          <w:rFonts w:hint="eastAsia"/>
        </w:rPr>
      </w:pPr>
    </w:p>
    <w:p w14:paraId="1C409F52">
      <w:pPr>
        <w:bidi w:val="0"/>
        <w:rPr>
          <w:rFonts w:hint="eastAsia"/>
        </w:rPr>
      </w:pPr>
    </w:p>
    <w:p w14:paraId="69AF97B7">
      <w:pPr>
        <w:pStyle w:val="4"/>
        <w:rPr>
          <w:rFonts w:hint="eastAsia"/>
        </w:rPr>
      </w:pPr>
    </w:p>
    <w:p w14:paraId="12AC8F0F">
      <w:pPr>
        <w:rPr>
          <w:rFonts w:hint="eastAsia"/>
        </w:rPr>
      </w:pPr>
    </w:p>
    <w:p w14:paraId="03C8E4EB">
      <w:pPr>
        <w:pStyle w:val="4"/>
        <w:rPr>
          <w:rFonts w:hint="eastAsia"/>
        </w:rPr>
      </w:pPr>
    </w:p>
    <w:p w14:paraId="57B95145">
      <w:pPr>
        <w:bidi w:val="0"/>
        <w:rPr>
          <w:rFonts w:hint="eastAsia"/>
        </w:rPr>
      </w:pPr>
    </w:p>
    <w:p w14:paraId="3E25B0C4">
      <w:pPr>
        <w:bidi w:val="0"/>
        <w:rPr>
          <w:rFonts w:hint="eastAsia" w:ascii="仿宋_GB2312" w:hAnsi="仿宋_GB2312" w:eastAsia="仿宋_GB2312" w:cs="Times New Roman"/>
          <w:sz w:val="32"/>
          <w:szCs w:val="30"/>
          <w:lang w:val="en-US" w:eastAsia="zh-CN"/>
        </w:rPr>
      </w:pPr>
    </w:p>
    <w:p w14:paraId="00233D39">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5704E41C">
      <w:pPr>
        <w:widowControl/>
        <w:numPr>
          <w:ilvl w:val="0"/>
          <w:numId w:val="1"/>
        </w:numPr>
        <w:spacing w:line="580" w:lineRule="exact"/>
        <w:jc w:val="center"/>
        <w:outlineLvl w:val="0"/>
        <w:rPr>
          <w:rFonts w:hint="eastAsia" w:ascii="宋体" w:hAnsi="宋体" w:cs="宋体"/>
          <w:b/>
          <w:sz w:val="44"/>
          <w:szCs w:val="44"/>
        </w:rPr>
      </w:pPr>
      <w:r>
        <w:rPr>
          <w:rFonts w:hint="eastAsia" w:ascii="宋体" w:hAnsi="宋体" w:cs="宋体"/>
          <w:b/>
          <w:sz w:val="44"/>
          <w:szCs w:val="44"/>
          <w:lang w:val="en-US" w:eastAsia="zh-CN"/>
        </w:rPr>
        <w:t>中共青云谱区委党校</w:t>
      </w:r>
      <w:r>
        <w:rPr>
          <w:rFonts w:hint="eastAsia" w:ascii="宋体" w:hAnsi="宋体" w:cs="宋体"/>
          <w:b/>
          <w:sz w:val="44"/>
          <w:szCs w:val="44"/>
        </w:rPr>
        <w:t>概况</w:t>
      </w:r>
    </w:p>
    <w:p w14:paraId="03847125">
      <w:pPr>
        <w:pStyle w:val="4"/>
        <w:numPr>
          <w:ilvl w:val="0"/>
          <w:numId w:val="0"/>
        </w:numPr>
        <w:rPr>
          <w:rFonts w:hint="eastAsia"/>
        </w:rPr>
      </w:pPr>
    </w:p>
    <w:p w14:paraId="232108ED">
      <w:pPr>
        <w:ind w:firstLine="630"/>
        <w:jc w:val="center"/>
        <w:rPr>
          <w:rFonts w:hint="eastAsia"/>
          <w:sz w:val="32"/>
          <w:szCs w:val="32"/>
        </w:rPr>
      </w:pPr>
    </w:p>
    <w:p w14:paraId="411C5D82">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部门</w:t>
      </w:r>
      <w:r>
        <w:rPr>
          <w:rFonts w:hint="eastAsia" w:ascii="黑体" w:hAnsi="黑体" w:eastAsia="黑体"/>
          <w:sz w:val="32"/>
          <w:szCs w:val="32"/>
        </w:rPr>
        <w:t>主要职责</w:t>
      </w:r>
    </w:p>
    <w:p w14:paraId="713072D1">
      <w:pPr>
        <w:snapToGrid/>
        <w:spacing w:line="560" w:lineRule="exact"/>
        <w:ind w:firstLine="640" w:firstLineChars="200"/>
        <w:rPr>
          <w:rFonts w:hint="eastAsia" w:ascii="仿宋" w:hAnsi="仿宋" w:eastAsia="仿宋" w:cs="Times New Roman"/>
          <w:b w:val="0"/>
          <w:color w:val="000000"/>
          <w:sz w:val="32"/>
          <w:szCs w:val="32"/>
          <w:lang w:eastAsia="zh-CN"/>
        </w:rPr>
      </w:pP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lang w:val="en-US" w:eastAsia="zh-CN"/>
        </w:rPr>
        <w:t>1</w:t>
      </w: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rPr>
        <w:t>坚持党校姓党的原则，开展党的理论教育和党性教育，发挥干部培训、思想引领、理论建设、决策咨询作用</w:t>
      </w:r>
      <w:r>
        <w:rPr>
          <w:rFonts w:hint="eastAsia" w:ascii="仿宋" w:hAnsi="仿宋" w:eastAsia="仿宋" w:cs="Times New Roman"/>
          <w:b w:val="0"/>
          <w:color w:val="000000"/>
          <w:sz w:val="32"/>
          <w:szCs w:val="32"/>
          <w:lang w:eastAsia="zh-CN"/>
        </w:rPr>
        <w:t>；</w:t>
      </w:r>
    </w:p>
    <w:p w14:paraId="28043496">
      <w:pPr>
        <w:snapToGrid/>
        <w:spacing w:line="560" w:lineRule="exact"/>
        <w:ind w:firstLine="640" w:firstLineChars="200"/>
        <w:rPr>
          <w:rFonts w:hint="eastAsia" w:ascii="仿宋" w:hAnsi="仿宋" w:eastAsia="仿宋" w:cs="Times New Roman"/>
          <w:b w:val="0"/>
          <w:color w:val="000000"/>
          <w:sz w:val="32"/>
          <w:szCs w:val="32"/>
          <w:lang w:eastAsia="zh-CN"/>
        </w:rPr>
      </w:pP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lang w:val="en-US" w:eastAsia="zh-CN"/>
        </w:rPr>
        <w:t>2</w:t>
      </w: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rPr>
        <w:t>重点培训全区科级以上党政领导干部、公务员、事业单位领导人员、年轻干部、理论宣传骨干、高层次人才、基层干部、党员、村（社区）党支部书记</w:t>
      </w:r>
      <w:r>
        <w:rPr>
          <w:rFonts w:hint="eastAsia" w:ascii="仿宋" w:hAnsi="仿宋" w:eastAsia="仿宋" w:cs="Times New Roman"/>
          <w:b w:val="0"/>
          <w:color w:val="000000"/>
          <w:sz w:val="32"/>
          <w:szCs w:val="32"/>
          <w:lang w:eastAsia="zh-CN"/>
        </w:rPr>
        <w:t>；</w:t>
      </w:r>
    </w:p>
    <w:p w14:paraId="797AEC32">
      <w:pPr>
        <w:snapToGrid/>
        <w:spacing w:line="560" w:lineRule="exact"/>
        <w:ind w:firstLine="640" w:firstLineChars="200"/>
        <w:rPr>
          <w:rFonts w:hint="eastAsia" w:ascii="仿宋" w:hAnsi="仿宋" w:eastAsia="仿宋" w:cs="Times New Roman"/>
          <w:b w:val="0"/>
          <w:color w:val="000000"/>
          <w:sz w:val="32"/>
          <w:szCs w:val="32"/>
          <w:lang w:eastAsia="zh-CN"/>
        </w:rPr>
      </w:pP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lang w:val="en-US" w:eastAsia="zh-CN"/>
        </w:rPr>
        <w:t>3</w:t>
      </w: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rPr>
        <w:t>承办区委、区政府举办的专题研讨班、开展多种形式的专题培训及与其他部门合作举办的培训班</w:t>
      </w:r>
      <w:r>
        <w:rPr>
          <w:rFonts w:hint="eastAsia" w:ascii="仿宋" w:hAnsi="仿宋" w:eastAsia="仿宋" w:cs="Times New Roman"/>
          <w:b w:val="0"/>
          <w:color w:val="000000"/>
          <w:sz w:val="32"/>
          <w:szCs w:val="32"/>
          <w:lang w:eastAsia="zh-CN"/>
        </w:rPr>
        <w:t>；</w:t>
      </w:r>
    </w:p>
    <w:p w14:paraId="77E62FC0">
      <w:pPr>
        <w:snapToGrid/>
        <w:spacing w:line="560" w:lineRule="exact"/>
        <w:ind w:firstLine="640" w:firstLineChars="200"/>
        <w:rPr>
          <w:rFonts w:hint="eastAsia" w:ascii="仿宋" w:hAnsi="仿宋" w:eastAsia="仿宋" w:cs="Times New Roman"/>
          <w:b w:val="0"/>
          <w:color w:val="000000"/>
          <w:sz w:val="32"/>
          <w:szCs w:val="32"/>
          <w:lang w:eastAsia="zh-CN"/>
        </w:rPr>
      </w:pP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lang w:val="en-US" w:eastAsia="zh-CN"/>
        </w:rPr>
        <w:t>4</w:t>
      </w: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rPr>
        <w:t>开展重大理论和现实问题研究，承担区委、区政府决策咨询服务</w:t>
      </w: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lang w:eastAsia="zh-CN"/>
        </w:rPr>
        <w:br w:type="textWrapping"/>
      </w:r>
      <w:r>
        <w:rPr>
          <w:rFonts w:hint="eastAsia" w:ascii="仿宋" w:hAnsi="仿宋" w:eastAsia="仿宋" w:cs="Times New Roman"/>
          <w:b w:val="0"/>
          <w:color w:val="000000"/>
          <w:sz w:val="32"/>
          <w:szCs w:val="32"/>
          <w:lang w:val="en-US" w:eastAsia="zh-CN"/>
        </w:rPr>
        <w:t xml:space="preserve">    （5）</w:t>
      </w:r>
      <w:r>
        <w:rPr>
          <w:rFonts w:hint="eastAsia" w:ascii="仿宋" w:hAnsi="仿宋" w:eastAsia="仿宋" w:cs="Times New Roman"/>
          <w:b w:val="0"/>
          <w:color w:val="000000"/>
          <w:sz w:val="32"/>
          <w:szCs w:val="32"/>
        </w:rPr>
        <w:t>协同组织部门，对学员在校期间进行考核、考察</w:t>
      </w:r>
      <w:r>
        <w:rPr>
          <w:rFonts w:hint="eastAsia" w:ascii="仿宋" w:hAnsi="仿宋" w:eastAsia="仿宋" w:cs="Times New Roman"/>
          <w:b w:val="0"/>
          <w:color w:val="000000"/>
          <w:sz w:val="32"/>
          <w:szCs w:val="32"/>
          <w:lang w:eastAsia="zh-CN"/>
        </w:rPr>
        <w:t>；</w:t>
      </w:r>
    </w:p>
    <w:p w14:paraId="1D8AD82B">
      <w:pPr>
        <w:snapToGrid/>
        <w:spacing w:line="560" w:lineRule="exact"/>
        <w:ind w:firstLine="640" w:firstLineChars="200"/>
        <w:rPr>
          <w:rFonts w:hint="eastAsia" w:ascii="仿宋" w:hAnsi="仿宋" w:eastAsia="仿宋" w:cs="Times New Roman"/>
          <w:color w:val="000000"/>
          <w:sz w:val="32"/>
          <w:szCs w:val="32"/>
        </w:rPr>
      </w:pP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lang w:val="en-US" w:eastAsia="zh-CN"/>
        </w:rPr>
        <w:t>6</w:t>
      </w:r>
      <w:r>
        <w:rPr>
          <w:rFonts w:hint="eastAsia" w:ascii="仿宋" w:hAnsi="仿宋" w:eastAsia="仿宋" w:cs="Times New Roman"/>
          <w:b w:val="0"/>
          <w:color w:val="000000"/>
          <w:sz w:val="32"/>
          <w:szCs w:val="32"/>
          <w:lang w:eastAsia="zh-CN"/>
        </w:rPr>
        <w:t>）</w:t>
      </w:r>
      <w:r>
        <w:rPr>
          <w:rFonts w:hint="eastAsia" w:ascii="仿宋" w:hAnsi="仿宋" w:eastAsia="仿宋" w:cs="Times New Roman"/>
          <w:b w:val="0"/>
          <w:color w:val="000000"/>
          <w:sz w:val="32"/>
          <w:szCs w:val="32"/>
        </w:rPr>
        <w:t xml:space="preserve">完成区委、区政府交办的其他任务。 </w:t>
      </w:r>
    </w:p>
    <w:p w14:paraId="4A42D2AA">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6E6AA9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Times New Roman"/>
          <w:b w:val="0"/>
          <w:color w:val="000000"/>
          <w:kern w:val="2"/>
          <w:sz w:val="32"/>
          <w:szCs w:val="32"/>
          <w:lang w:val="en-US" w:eastAsia="zh-CN" w:bidi="ar-SA"/>
        </w:rPr>
      </w:pPr>
      <w:r>
        <w:rPr>
          <w:rFonts w:hint="eastAsia" w:ascii="仿宋" w:hAnsi="仿宋" w:eastAsia="仿宋" w:cs="Times New Roman"/>
          <w:b w:val="0"/>
          <w:color w:val="000000"/>
          <w:kern w:val="2"/>
          <w:sz w:val="32"/>
          <w:szCs w:val="32"/>
          <w:lang w:val="en-US" w:eastAsia="zh-CN" w:bidi="ar-SA"/>
        </w:rPr>
        <w:t>纳入本套部门决算汇编范围的单位共1个，即中共青云谱区委党校。本级部门内设职能部门为：</w:t>
      </w:r>
    </w:p>
    <w:p w14:paraId="28FE86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Times New Roman"/>
          <w:b w:val="0"/>
          <w:color w:val="000000"/>
          <w:kern w:val="2"/>
          <w:sz w:val="32"/>
          <w:szCs w:val="32"/>
          <w:lang w:val="en-US" w:eastAsia="zh-CN" w:bidi="ar-SA"/>
        </w:rPr>
      </w:pPr>
      <w:r>
        <w:rPr>
          <w:rFonts w:hint="eastAsia" w:ascii="仿宋" w:hAnsi="仿宋" w:eastAsia="仿宋" w:cs="Times New Roman"/>
          <w:b w:val="0"/>
          <w:color w:val="000000"/>
          <w:kern w:val="2"/>
          <w:sz w:val="32"/>
          <w:szCs w:val="32"/>
          <w:lang w:val="en-US" w:eastAsia="zh-CN" w:bidi="ar-SA"/>
        </w:rPr>
        <w:t>（一）办公室。协助校领导组织校内日常工作的运转；负责校内外的联系与综合协调；做好各类文件的收发、登记、立卷归档、保管、利用以及保密工作；负责会议、机要、档案、信访、保密、保卫等工作；负责本校办班的后勤服务、基础设施建设、公共财务的购置和保管及财务管理等工作；负责本校人事管理；做好校领导交办的其他工作。</w:t>
      </w:r>
    </w:p>
    <w:p w14:paraId="64EECD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Times New Roman"/>
          <w:b w:val="0"/>
          <w:color w:val="000000"/>
          <w:kern w:val="2"/>
          <w:sz w:val="32"/>
          <w:szCs w:val="32"/>
          <w:lang w:val="en-US" w:eastAsia="zh-CN" w:bidi="ar-SA"/>
        </w:rPr>
      </w:pPr>
      <w:r>
        <w:rPr>
          <w:rFonts w:hint="eastAsia" w:ascii="仿宋" w:hAnsi="仿宋" w:eastAsia="仿宋" w:cs="Times New Roman"/>
          <w:b w:val="0"/>
          <w:color w:val="000000"/>
          <w:kern w:val="2"/>
          <w:sz w:val="32"/>
          <w:szCs w:val="32"/>
          <w:lang w:val="en-US" w:eastAsia="zh-CN" w:bidi="ar-SA"/>
        </w:rPr>
        <w:t>（二）组教教研室（教务科）。编制教学计划，安排课程，做好组织教学培训工作；开展社会调查，丰富实践知识，撰写调查报告或学术论文，积极参加有关理论研讨会；收集整理教学科研资料，组织评估教学和科研成果；指导学员开展社会调查，做好学员的思想政治工作；协同做好学员在校期间的考核、考察工作；做好校领导交办的其他工作。</w:t>
      </w:r>
    </w:p>
    <w:p w14:paraId="00A71D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Times New Roman"/>
          <w:b w:val="0"/>
          <w:color w:val="000000"/>
          <w:kern w:val="2"/>
          <w:sz w:val="32"/>
          <w:szCs w:val="32"/>
          <w:lang w:val="en-US" w:eastAsia="zh-CN" w:bidi="ar-SA"/>
        </w:rPr>
      </w:pPr>
      <w:r>
        <w:rPr>
          <w:rFonts w:hint="eastAsia" w:ascii="仿宋" w:hAnsi="仿宋" w:eastAsia="仿宋" w:cs="Times New Roman"/>
          <w:b w:val="0"/>
          <w:color w:val="000000"/>
          <w:kern w:val="2"/>
          <w:sz w:val="32"/>
          <w:szCs w:val="32"/>
          <w:lang w:val="en-US" w:eastAsia="zh-CN" w:bidi="ar-SA"/>
        </w:rPr>
        <w:t>（三）图书资料室。负责各类图书文献、报刊资料、电子资料的征订、收集、整理、借阅、开发和管理，为教学、科研提供咨询和信息服务；做好校领导交办的其他工作。</w:t>
      </w:r>
    </w:p>
    <w:p w14:paraId="1106E49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Times New Roman"/>
          <w:b w:val="0"/>
          <w:color w:val="000000"/>
          <w:kern w:val="2"/>
          <w:sz w:val="32"/>
          <w:szCs w:val="32"/>
          <w:lang w:val="en-US" w:eastAsia="zh-CN" w:bidi="ar-SA"/>
        </w:rPr>
      </w:pPr>
      <w:r>
        <w:rPr>
          <w:rFonts w:hint="eastAsia" w:ascii="仿宋" w:hAnsi="仿宋" w:eastAsia="仿宋" w:cs="Times New Roman"/>
          <w:b w:val="0"/>
          <w:color w:val="000000"/>
          <w:kern w:val="2"/>
          <w:sz w:val="32"/>
          <w:szCs w:val="32"/>
          <w:lang w:val="en-US" w:eastAsia="zh-CN" w:bidi="ar-SA"/>
        </w:rPr>
        <w:t>本部门年末在职人员 8人，离退休人员0 人（不含由养老保险基金发放养老金的离退休人员），其他人员0人。由养老保险基金发放养老金的离退休人员2人。</w:t>
      </w:r>
    </w:p>
    <w:p w14:paraId="7895B53E">
      <w:pPr>
        <w:pStyle w:val="7"/>
        <w:spacing w:before="0" w:beforeAutospacing="0" w:after="0" w:afterAutospacing="0" w:line="240" w:lineRule="auto"/>
        <w:ind w:firstLine="640" w:firstLineChars="200"/>
        <w:rPr>
          <w:rFonts w:hint="eastAsia" w:ascii="仿宋" w:hAnsi="仿宋" w:eastAsia="仿宋" w:cs="Times New Roman"/>
          <w:b w:val="0"/>
          <w:color w:val="000000"/>
          <w:kern w:val="2"/>
          <w:sz w:val="32"/>
          <w:szCs w:val="32"/>
          <w:lang w:val="en-US" w:eastAsia="zh-CN" w:bidi="ar-SA"/>
        </w:rPr>
      </w:pPr>
    </w:p>
    <w:p w14:paraId="7553A494">
      <w:pPr>
        <w:pStyle w:val="7"/>
        <w:spacing w:before="0" w:beforeAutospacing="0" w:line="520" w:lineRule="exact"/>
        <w:rPr>
          <w:rFonts w:hint="eastAsia" w:ascii="仿宋_GB2312" w:hAnsi="仿宋_GB2312" w:eastAsia="仿宋_GB2312" w:cs="仿宋_GB2312"/>
          <w:kern w:val="2"/>
          <w:sz w:val="32"/>
          <w:szCs w:val="30"/>
          <w:lang w:val="en-US" w:eastAsia="zh-CN" w:bidi="ar-SA"/>
        </w:rPr>
      </w:pPr>
    </w:p>
    <w:p w14:paraId="31F50A69">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1ECCA132">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cs="宋体"/>
          <w:b/>
          <w:sz w:val="44"/>
          <w:szCs w:val="44"/>
        </w:rPr>
      </w:pPr>
      <w:r>
        <w:rPr>
          <w:rFonts w:hint="eastAsia" w:ascii="宋体" w:hAnsi="宋体" w:cs="宋体"/>
          <w:b/>
          <w:sz w:val="44"/>
          <w:szCs w:val="44"/>
        </w:rPr>
        <w:t xml:space="preserve"> 2023年度</w:t>
      </w:r>
      <w:r>
        <w:rPr>
          <w:rFonts w:hint="eastAsia" w:ascii="宋体" w:hAnsi="宋体" w:cs="宋体"/>
          <w:b/>
          <w:sz w:val="44"/>
          <w:szCs w:val="44"/>
          <w:lang w:val="en-US" w:eastAsia="zh-CN"/>
        </w:rPr>
        <w:t>部门</w:t>
      </w:r>
      <w:r>
        <w:rPr>
          <w:rFonts w:hint="eastAsia" w:ascii="宋体" w:hAnsi="宋体" w:cs="宋体"/>
          <w:b/>
          <w:sz w:val="44"/>
          <w:szCs w:val="44"/>
        </w:rPr>
        <w:t>决算表</w:t>
      </w:r>
    </w:p>
    <w:p w14:paraId="0D7CF509">
      <w:pPr>
        <w:pStyle w:val="4"/>
        <w:numPr>
          <w:ilvl w:val="0"/>
          <w:numId w:val="0"/>
        </w:numPr>
        <w:ind w:leftChars="0"/>
        <w:rPr>
          <w:rFonts w:hint="eastAsia"/>
        </w:rPr>
      </w:pPr>
    </w:p>
    <w:p w14:paraId="54A09B9C">
      <w:pPr>
        <w:pStyle w:val="7"/>
        <w:spacing w:before="0" w:beforeAutospacing="0" w:line="520" w:lineRule="exact"/>
        <w:rPr>
          <w:rFonts w:hint="eastAsia" w:ascii="仿宋_GB2312" w:hAnsi="仿宋_GB2312" w:eastAsia="仿宋_GB2312" w:cs="仿宋_GB2312"/>
          <w:kern w:val="2"/>
          <w:sz w:val="32"/>
          <w:szCs w:val="30"/>
          <w:lang w:val="en-US" w:eastAsia="zh-CN" w:bidi="ar-SA"/>
        </w:rPr>
      </w:pPr>
    </w:p>
    <w:p w14:paraId="73738FB8">
      <w:pPr>
        <w:pStyle w:val="7"/>
        <w:spacing w:before="0" w:beforeAutospacing="0" w:after="0" w:afterAutospacing="0" w:line="240" w:lineRule="auto"/>
        <w:ind w:firstLine="0" w:firstLineChars="0"/>
        <w:rPr>
          <w:rFonts w:hint="eastAsia" w:ascii="仿宋_GB2312" w:hAnsi="仿宋_GB2312" w:eastAsia="仿宋_GB2312" w:cs="仿宋_GB2312"/>
          <w:kern w:val="2"/>
          <w:sz w:val="32"/>
          <w:szCs w:val="30"/>
          <w:lang w:val="en-US" w:eastAsia="zh-CN" w:bidi="ar-SA"/>
        </w:rPr>
      </w:pPr>
      <w:r>
        <w:drawing>
          <wp:inline distT="0" distB="0" distL="114300" distR="114300">
            <wp:extent cx="5267960" cy="5267960"/>
            <wp:effectExtent l="0" t="0" r="5080" b="508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5"/>
                    <a:stretch>
                      <a:fillRect/>
                    </a:stretch>
                  </pic:blipFill>
                  <pic:spPr>
                    <a:xfrm>
                      <a:off x="0" y="0"/>
                      <a:ext cx="5267960" cy="5267960"/>
                    </a:xfrm>
                    <a:prstGeom prst="rect">
                      <a:avLst/>
                    </a:prstGeom>
                    <a:noFill/>
                    <a:ln>
                      <a:noFill/>
                    </a:ln>
                  </pic:spPr>
                </pic:pic>
              </a:graphicData>
            </a:graphic>
          </wp:inline>
        </w:drawing>
      </w:r>
    </w:p>
    <w:p w14:paraId="7315689D">
      <w:pPr>
        <w:pStyle w:val="7"/>
        <w:spacing w:before="0" w:beforeAutospacing="0" w:line="520" w:lineRule="exact"/>
        <w:ind w:firstLine="960" w:firstLineChars="300"/>
        <w:rPr>
          <w:rFonts w:hint="eastAsia" w:ascii="仿宋_GB2312" w:hAnsi="仿宋_GB2312" w:eastAsia="仿宋_GB2312" w:cs="仿宋_GB2312"/>
          <w:kern w:val="2"/>
          <w:sz w:val="32"/>
          <w:szCs w:val="30"/>
          <w:lang w:val="en-US" w:eastAsia="zh-CN" w:bidi="ar-SA"/>
        </w:rPr>
      </w:pPr>
    </w:p>
    <w:p w14:paraId="03F9D880">
      <w:pPr>
        <w:pStyle w:val="7"/>
        <w:spacing w:before="0" w:beforeAutospacing="0" w:line="520" w:lineRule="exact"/>
        <w:ind w:firstLine="960" w:firstLineChars="300"/>
        <w:rPr>
          <w:rFonts w:hint="eastAsia" w:ascii="仿宋_GB2312" w:hAnsi="仿宋_GB2312" w:eastAsia="仿宋_GB2312" w:cs="仿宋_GB2312"/>
          <w:kern w:val="2"/>
          <w:sz w:val="32"/>
          <w:szCs w:val="30"/>
          <w:lang w:val="en-US" w:eastAsia="zh-CN" w:bidi="ar-SA"/>
        </w:rPr>
      </w:pPr>
    </w:p>
    <w:p w14:paraId="515B6968">
      <w:pPr>
        <w:pStyle w:val="7"/>
        <w:spacing w:before="0" w:beforeAutospacing="0" w:line="520" w:lineRule="exact"/>
        <w:rPr>
          <w:rFonts w:hint="eastAsia" w:ascii="仿宋_GB2312" w:hAnsi="仿宋_GB2312" w:eastAsia="仿宋_GB2312" w:cs="仿宋_GB2312"/>
          <w:kern w:val="2"/>
          <w:sz w:val="32"/>
          <w:szCs w:val="30"/>
          <w:lang w:val="en-US" w:eastAsia="zh-CN" w:bidi="ar-SA"/>
        </w:rPr>
      </w:pPr>
    </w:p>
    <w:p w14:paraId="065AA9E3">
      <w:pPr>
        <w:pStyle w:val="7"/>
        <w:bidi w:val="0"/>
        <w:spacing w:before="0" w:beforeAutospacing="0" w:after="0" w:afterAutospacing="0"/>
        <w:ind w:right="0" w:rightChars="0"/>
        <w:jc w:val="center"/>
        <w:rPr>
          <w:rFonts w:hint="eastAsia"/>
          <w:lang w:val="en-US" w:eastAsia="zh-CN"/>
        </w:rPr>
      </w:pPr>
    </w:p>
    <w:p w14:paraId="7C1A088C">
      <w:pPr>
        <w:pStyle w:val="7"/>
        <w:bidi w:val="0"/>
        <w:spacing w:before="0" w:beforeAutospacing="0" w:after="0" w:afterAutospacing="0"/>
        <w:ind w:right="0" w:rightChars="0"/>
        <w:jc w:val="center"/>
        <w:rPr>
          <w:rFonts w:hint="eastAsia"/>
          <w:lang w:val="en-US" w:eastAsia="zh-CN"/>
        </w:rPr>
      </w:pPr>
    </w:p>
    <w:p w14:paraId="221020DB">
      <w:pPr>
        <w:pStyle w:val="7"/>
        <w:bidi w:val="0"/>
        <w:spacing w:before="0" w:beforeAutospacing="0" w:after="0" w:afterAutospacing="0"/>
        <w:ind w:right="0" w:rightChars="0"/>
        <w:jc w:val="center"/>
        <w:rPr>
          <w:rFonts w:hint="eastAsia"/>
          <w:lang w:val="en-US" w:eastAsia="zh-CN"/>
        </w:rPr>
      </w:pPr>
    </w:p>
    <w:p w14:paraId="73B22B0C">
      <w:pPr>
        <w:pStyle w:val="7"/>
        <w:bidi w:val="0"/>
        <w:spacing w:before="0" w:beforeAutospacing="0" w:after="0" w:afterAutospacing="0"/>
        <w:ind w:right="0" w:rightChars="0"/>
        <w:jc w:val="center"/>
        <w:rPr>
          <w:rFonts w:hint="eastAsia"/>
          <w:lang w:val="en-US" w:eastAsia="zh-CN"/>
        </w:rPr>
      </w:pPr>
    </w:p>
    <w:p w14:paraId="62061226">
      <w:pPr>
        <w:pStyle w:val="7"/>
        <w:bidi w:val="0"/>
        <w:spacing w:before="0" w:beforeAutospacing="0" w:after="0" w:afterAutospacing="0"/>
        <w:ind w:right="0" w:rightChars="0"/>
        <w:jc w:val="center"/>
      </w:pPr>
      <w:r>
        <w:drawing>
          <wp:inline distT="0" distB="0" distL="114300" distR="114300">
            <wp:extent cx="5748020" cy="2108835"/>
            <wp:effectExtent l="0" t="0" r="12700" b="9525"/>
            <wp:docPr id="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3"/>
                    <pic:cNvPicPr>
                      <a:picLocks noChangeAspect="1"/>
                    </pic:cNvPicPr>
                  </pic:nvPicPr>
                  <pic:blipFill>
                    <a:blip r:embed="rId6"/>
                    <a:stretch>
                      <a:fillRect/>
                    </a:stretch>
                  </pic:blipFill>
                  <pic:spPr>
                    <a:xfrm>
                      <a:off x="0" y="0"/>
                      <a:ext cx="5748020" cy="2108835"/>
                    </a:xfrm>
                    <a:prstGeom prst="rect">
                      <a:avLst/>
                    </a:prstGeom>
                    <a:noFill/>
                    <a:ln>
                      <a:noFill/>
                    </a:ln>
                  </pic:spPr>
                </pic:pic>
              </a:graphicData>
            </a:graphic>
          </wp:inline>
        </w:drawing>
      </w:r>
    </w:p>
    <w:p w14:paraId="304F351C">
      <w:pPr>
        <w:pStyle w:val="7"/>
        <w:bidi w:val="0"/>
        <w:spacing w:before="0" w:beforeAutospacing="0" w:after="0" w:afterAutospacing="0"/>
        <w:ind w:right="0" w:rightChars="0"/>
        <w:jc w:val="center"/>
      </w:pPr>
    </w:p>
    <w:p w14:paraId="04EAAC02">
      <w:pPr>
        <w:pStyle w:val="7"/>
        <w:bidi w:val="0"/>
        <w:spacing w:before="0" w:beforeAutospacing="0" w:after="0" w:afterAutospacing="0"/>
        <w:ind w:right="0" w:rightChars="0"/>
        <w:jc w:val="center"/>
      </w:pPr>
    </w:p>
    <w:p w14:paraId="54EBA1AB">
      <w:pPr>
        <w:pStyle w:val="7"/>
        <w:bidi w:val="0"/>
        <w:spacing w:before="0" w:beforeAutospacing="0" w:after="0" w:afterAutospacing="0"/>
        <w:ind w:right="0" w:rightChars="0"/>
        <w:jc w:val="center"/>
      </w:pPr>
    </w:p>
    <w:p w14:paraId="733C2FB5">
      <w:pPr>
        <w:pStyle w:val="7"/>
        <w:bidi w:val="0"/>
        <w:spacing w:before="0" w:beforeAutospacing="0" w:after="0" w:afterAutospacing="0"/>
        <w:ind w:right="0" w:rightChars="0"/>
        <w:jc w:val="center"/>
      </w:pPr>
    </w:p>
    <w:p w14:paraId="1E1CFC63">
      <w:pPr>
        <w:pStyle w:val="7"/>
        <w:bidi w:val="0"/>
        <w:spacing w:before="0" w:beforeAutospacing="0" w:after="0" w:afterAutospacing="0"/>
        <w:ind w:right="0" w:rightChars="0"/>
        <w:jc w:val="center"/>
      </w:pPr>
    </w:p>
    <w:p w14:paraId="546FA016">
      <w:pPr>
        <w:pStyle w:val="7"/>
        <w:bidi w:val="0"/>
        <w:spacing w:before="0" w:beforeAutospacing="0" w:after="0" w:afterAutospacing="0"/>
        <w:ind w:right="0" w:rightChars="0"/>
        <w:jc w:val="center"/>
      </w:pPr>
    </w:p>
    <w:p w14:paraId="6D20B43D">
      <w:pPr>
        <w:pStyle w:val="7"/>
        <w:bidi w:val="0"/>
        <w:spacing w:before="0" w:beforeAutospacing="0" w:after="0" w:afterAutospacing="0"/>
        <w:ind w:right="0" w:rightChars="0"/>
        <w:jc w:val="center"/>
      </w:pPr>
    </w:p>
    <w:p w14:paraId="4643CC11">
      <w:pPr>
        <w:pStyle w:val="7"/>
        <w:bidi w:val="0"/>
        <w:spacing w:before="0" w:beforeAutospacing="0" w:after="0" w:afterAutospacing="0"/>
        <w:ind w:right="0" w:rightChars="0"/>
        <w:jc w:val="center"/>
      </w:pPr>
    </w:p>
    <w:p w14:paraId="6A04F0A6">
      <w:pPr>
        <w:pStyle w:val="7"/>
        <w:bidi w:val="0"/>
        <w:spacing w:before="0" w:beforeAutospacing="0" w:after="0" w:afterAutospacing="0"/>
        <w:ind w:right="0" w:rightChars="0"/>
        <w:jc w:val="center"/>
      </w:pPr>
    </w:p>
    <w:p w14:paraId="2D613509">
      <w:pPr>
        <w:pStyle w:val="7"/>
        <w:bidi w:val="0"/>
        <w:spacing w:before="0" w:beforeAutospacing="0" w:after="0" w:afterAutospacing="0"/>
        <w:ind w:right="0" w:rightChars="0"/>
        <w:jc w:val="center"/>
      </w:pPr>
    </w:p>
    <w:p w14:paraId="1D848C7A">
      <w:pPr>
        <w:pStyle w:val="7"/>
        <w:bidi w:val="0"/>
        <w:spacing w:before="0" w:beforeAutospacing="0" w:after="0" w:afterAutospacing="0"/>
        <w:ind w:right="0" w:rightChars="0"/>
        <w:jc w:val="center"/>
      </w:pPr>
    </w:p>
    <w:p w14:paraId="5592D664">
      <w:pPr>
        <w:pStyle w:val="7"/>
        <w:bidi w:val="0"/>
        <w:spacing w:before="0" w:beforeAutospacing="0" w:after="0" w:afterAutospacing="0"/>
        <w:ind w:right="0" w:rightChars="0"/>
        <w:jc w:val="center"/>
      </w:pPr>
    </w:p>
    <w:p w14:paraId="6560C848">
      <w:pPr>
        <w:pStyle w:val="7"/>
        <w:bidi w:val="0"/>
        <w:spacing w:before="0" w:beforeAutospacing="0" w:after="0" w:afterAutospacing="0"/>
        <w:ind w:right="0" w:rightChars="0"/>
        <w:jc w:val="center"/>
      </w:pPr>
      <w:r>
        <w:drawing>
          <wp:inline distT="0" distB="0" distL="114300" distR="114300">
            <wp:extent cx="5581650" cy="1623060"/>
            <wp:effectExtent l="0" t="0" r="1143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581650" cy="1623060"/>
                    </a:xfrm>
                    <a:prstGeom prst="rect">
                      <a:avLst/>
                    </a:prstGeom>
                    <a:noFill/>
                    <a:ln>
                      <a:noFill/>
                    </a:ln>
                  </pic:spPr>
                </pic:pic>
              </a:graphicData>
            </a:graphic>
          </wp:inline>
        </w:drawing>
      </w:r>
    </w:p>
    <w:p w14:paraId="7CF08FC2">
      <w:pPr>
        <w:pStyle w:val="7"/>
        <w:bidi w:val="0"/>
        <w:spacing w:before="0" w:beforeAutospacing="0" w:after="0" w:afterAutospacing="0"/>
        <w:ind w:right="0" w:rightChars="0"/>
        <w:jc w:val="center"/>
      </w:pPr>
    </w:p>
    <w:p w14:paraId="44CA0D33">
      <w:pPr>
        <w:pStyle w:val="7"/>
        <w:bidi w:val="0"/>
        <w:spacing w:before="0" w:beforeAutospacing="0" w:after="0" w:afterAutospacing="0"/>
        <w:ind w:right="0" w:rightChars="0"/>
        <w:jc w:val="center"/>
      </w:pPr>
    </w:p>
    <w:p w14:paraId="735A6CBB">
      <w:pPr>
        <w:pStyle w:val="7"/>
        <w:bidi w:val="0"/>
        <w:spacing w:before="0" w:beforeAutospacing="0" w:after="0" w:afterAutospacing="0"/>
        <w:ind w:right="0" w:rightChars="0"/>
        <w:jc w:val="center"/>
      </w:pPr>
    </w:p>
    <w:p w14:paraId="55AFE3DF">
      <w:pPr>
        <w:pStyle w:val="7"/>
        <w:bidi w:val="0"/>
        <w:spacing w:before="0" w:beforeAutospacing="0" w:after="0" w:afterAutospacing="0"/>
        <w:ind w:right="0" w:rightChars="0"/>
        <w:jc w:val="center"/>
      </w:pPr>
      <w:r>
        <w:drawing>
          <wp:inline distT="0" distB="0" distL="114300" distR="114300">
            <wp:extent cx="5269865" cy="5252720"/>
            <wp:effectExtent l="0" t="0" r="3175"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69865" cy="5252720"/>
                    </a:xfrm>
                    <a:prstGeom prst="rect">
                      <a:avLst/>
                    </a:prstGeom>
                    <a:noFill/>
                    <a:ln>
                      <a:noFill/>
                    </a:ln>
                  </pic:spPr>
                </pic:pic>
              </a:graphicData>
            </a:graphic>
          </wp:inline>
        </w:drawing>
      </w:r>
    </w:p>
    <w:p w14:paraId="1885A85E">
      <w:pPr>
        <w:pStyle w:val="7"/>
        <w:bidi w:val="0"/>
        <w:spacing w:before="0" w:beforeAutospacing="0" w:after="0" w:afterAutospacing="0"/>
        <w:ind w:right="0" w:rightChars="0"/>
        <w:jc w:val="center"/>
      </w:pPr>
    </w:p>
    <w:p w14:paraId="4B0BA124">
      <w:pPr>
        <w:pStyle w:val="7"/>
        <w:bidi w:val="0"/>
        <w:spacing w:before="0" w:beforeAutospacing="0" w:after="0" w:afterAutospacing="0"/>
        <w:ind w:right="0" w:rightChars="0"/>
        <w:jc w:val="center"/>
      </w:pPr>
    </w:p>
    <w:p w14:paraId="5360B391">
      <w:pPr>
        <w:pStyle w:val="7"/>
        <w:bidi w:val="0"/>
        <w:spacing w:before="0" w:beforeAutospacing="0" w:after="0" w:afterAutospacing="0"/>
        <w:ind w:right="0" w:rightChars="0"/>
        <w:jc w:val="center"/>
      </w:pPr>
    </w:p>
    <w:p w14:paraId="479E47CD">
      <w:pPr>
        <w:pStyle w:val="7"/>
        <w:bidi w:val="0"/>
        <w:spacing w:before="0" w:beforeAutospacing="0" w:after="0" w:afterAutospacing="0"/>
        <w:ind w:right="0" w:rightChars="0"/>
        <w:jc w:val="center"/>
      </w:pPr>
      <w:r>
        <w:drawing>
          <wp:inline distT="0" distB="0" distL="114300" distR="114300">
            <wp:extent cx="5273675" cy="2060575"/>
            <wp:effectExtent l="0" t="0" r="14605"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73675" cy="2060575"/>
                    </a:xfrm>
                    <a:prstGeom prst="rect">
                      <a:avLst/>
                    </a:prstGeom>
                    <a:noFill/>
                    <a:ln>
                      <a:noFill/>
                    </a:ln>
                  </pic:spPr>
                </pic:pic>
              </a:graphicData>
            </a:graphic>
          </wp:inline>
        </w:drawing>
      </w:r>
    </w:p>
    <w:p w14:paraId="646F933E">
      <w:pPr>
        <w:pStyle w:val="7"/>
        <w:bidi w:val="0"/>
        <w:spacing w:before="0" w:beforeAutospacing="0" w:after="0" w:afterAutospacing="0"/>
        <w:ind w:right="0" w:rightChars="0"/>
        <w:jc w:val="center"/>
      </w:pPr>
    </w:p>
    <w:p w14:paraId="6E1676D1">
      <w:pPr>
        <w:pStyle w:val="7"/>
        <w:bidi w:val="0"/>
        <w:spacing w:before="0" w:beforeAutospacing="0" w:after="0" w:afterAutospacing="0"/>
        <w:ind w:right="0" w:rightChars="0"/>
        <w:jc w:val="center"/>
      </w:pPr>
    </w:p>
    <w:p w14:paraId="7E8EB662">
      <w:pPr>
        <w:pStyle w:val="7"/>
        <w:bidi w:val="0"/>
        <w:spacing w:before="0" w:beforeAutospacing="0" w:after="0" w:afterAutospacing="0"/>
        <w:ind w:right="0" w:rightChars="0"/>
        <w:jc w:val="center"/>
      </w:pPr>
    </w:p>
    <w:p w14:paraId="4AEBBDCF">
      <w:pPr>
        <w:pStyle w:val="7"/>
        <w:bidi w:val="0"/>
        <w:spacing w:before="0" w:beforeAutospacing="0" w:after="0" w:afterAutospacing="0"/>
        <w:ind w:right="0" w:rightChars="0"/>
        <w:jc w:val="center"/>
      </w:pPr>
      <w:r>
        <w:drawing>
          <wp:inline distT="0" distB="0" distL="114300" distR="114300">
            <wp:extent cx="5381625" cy="8106410"/>
            <wp:effectExtent l="0" t="0" r="1333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381625" cy="8106410"/>
                    </a:xfrm>
                    <a:prstGeom prst="rect">
                      <a:avLst/>
                    </a:prstGeom>
                    <a:noFill/>
                    <a:ln>
                      <a:noFill/>
                    </a:ln>
                  </pic:spPr>
                </pic:pic>
              </a:graphicData>
            </a:graphic>
          </wp:inline>
        </w:drawing>
      </w:r>
    </w:p>
    <w:p w14:paraId="215A3190">
      <w:pPr>
        <w:pStyle w:val="7"/>
        <w:bidi w:val="0"/>
        <w:spacing w:before="0" w:beforeAutospacing="0" w:after="0" w:afterAutospacing="0"/>
        <w:ind w:right="0" w:rightChars="0"/>
        <w:jc w:val="center"/>
      </w:pPr>
    </w:p>
    <w:p w14:paraId="7F1C1652">
      <w:pPr>
        <w:pStyle w:val="7"/>
        <w:bidi w:val="0"/>
        <w:spacing w:before="0" w:beforeAutospacing="0" w:after="0" w:afterAutospacing="0"/>
        <w:ind w:right="0" w:rightChars="0"/>
        <w:jc w:val="center"/>
      </w:pPr>
    </w:p>
    <w:p w14:paraId="7A4BCB1E">
      <w:pPr>
        <w:pStyle w:val="7"/>
        <w:bidi w:val="0"/>
        <w:spacing w:before="0" w:beforeAutospacing="0" w:after="0" w:afterAutospacing="0"/>
        <w:ind w:right="0" w:rightChars="0"/>
        <w:jc w:val="center"/>
      </w:pPr>
    </w:p>
    <w:p w14:paraId="7A618433">
      <w:pPr>
        <w:pStyle w:val="7"/>
        <w:bidi w:val="0"/>
        <w:spacing w:before="0" w:beforeAutospacing="0" w:after="0" w:afterAutospacing="0"/>
        <w:ind w:right="0" w:rightChars="0"/>
        <w:jc w:val="center"/>
      </w:pPr>
    </w:p>
    <w:p w14:paraId="2262D967">
      <w:pPr>
        <w:pStyle w:val="7"/>
        <w:bidi w:val="0"/>
        <w:spacing w:before="0" w:beforeAutospacing="0" w:after="0" w:afterAutospacing="0"/>
        <w:ind w:right="0" w:rightChars="0"/>
        <w:jc w:val="center"/>
      </w:pPr>
    </w:p>
    <w:p w14:paraId="39163699">
      <w:pPr>
        <w:pStyle w:val="7"/>
        <w:bidi w:val="0"/>
        <w:spacing w:before="0" w:beforeAutospacing="0" w:after="0" w:afterAutospacing="0"/>
        <w:ind w:right="0" w:rightChars="0"/>
        <w:jc w:val="center"/>
      </w:pPr>
    </w:p>
    <w:p w14:paraId="2416E0C1">
      <w:pPr>
        <w:pStyle w:val="7"/>
        <w:bidi w:val="0"/>
        <w:spacing w:before="0" w:beforeAutospacing="0" w:after="0" w:afterAutospacing="0"/>
        <w:ind w:right="0" w:rightChars="0"/>
        <w:jc w:val="center"/>
      </w:pPr>
      <w:r>
        <w:drawing>
          <wp:inline distT="0" distB="0" distL="114300" distR="114300">
            <wp:extent cx="5271770" cy="2193290"/>
            <wp:effectExtent l="0" t="0" r="1270"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5271770" cy="2193290"/>
                    </a:xfrm>
                    <a:prstGeom prst="rect">
                      <a:avLst/>
                    </a:prstGeom>
                    <a:noFill/>
                    <a:ln>
                      <a:noFill/>
                    </a:ln>
                  </pic:spPr>
                </pic:pic>
              </a:graphicData>
            </a:graphic>
          </wp:inline>
        </w:drawing>
      </w:r>
    </w:p>
    <w:p w14:paraId="6B00E9F5">
      <w:pPr>
        <w:pStyle w:val="7"/>
        <w:bidi w:val="0"/>
        <w:spacing w:before="0" w:beforeAutospacing="0" w:after="0" w:afterAutospacing="0"/>
        <w:ind w:right="0" w:rightChars="0"/>
        <w:jc w:val="center"/>
      </w:pPr>
    </w:p>
    <w:p w14:paraId="474ABBBD">
      <w:pPr>
        <w:pStyle w:val="7"/>
        <w:bidi w:val="0"/>
        <w:spacing w:before="0" w:beforeAutospacing="0" w:after="0" w:afterAutospacing="0"/>
        <w:ind w:right="0" w:rightChars="0"/>
        <w:jc w:val="center"/>
      </w:pPr>
    </w:p>
    <w:p w14:paraId="0946805C">
      <w:pPr>
        <w:pStyle w:val="7"/>
        <w:bidi w:val="0"/>
        <w:spacing w:before="0" w:beforeAutospacing="0" w:after="0" w:afterAutospacing="0"/>
        <w:ind w:right="0" w:rightChars="0"/>
        <w:jc w:val="center"/>
      </w:pPr>
    </w:p>
    <w:p w14:paraId="6B2A1B5E">
      <w:pPr>
        <w:pStyle w:val="7"/>
        <w:bidi w:val="0"/>
        <w:spacing w:before="0" w:beforeAutospacing="0" w:after="0" w:afterAutospacing="0"/>
        <w:ind w:right="0" w:rightChars="0"/>
        <w:jc w:val="center"/>
      </w:pPr>
    </w:p>
    <w:p w14:paraId="383E6138">
      <w:pPr>
        <w:pStyle w:val="7"/>
        <w:bidi w:val="0"/>
        <w:spacing w:before="0" w:beforeAutospacing="0" w:after="0" w:afterAutospacing="0"/>
        <w:ind w:right="0" w:rightChars="0"/>
        <w:jc w:val="center"/>
      </w:pPr>
    </w:p>
    <w:p w14:paraId="54EEF981">
      <w:pPr>
        <w:pStyle w:val="7"/>
        <w:bidi w:val="0"/>
        <w:spacing w:before="0" w:beforeAutospacing="0" w:after="0" w:afterAutospacing="0"/>
        <w:ind w:right="0" w:rightChars="0"/>
        <w:jc w:val="center"/>
      </w:pPr>
    </w:p>
    <w:p w14:paraId="016CCAB0">
      <w:pPr>
        <w:pStyle w:val="7"/>
        <w:bidi w:val="0"/>
        <w:spacing w:before="0" w:beforeAutospacing="0" w:after="0" w:afterAutospacing="0"/>
        <w:ind w:right="0" w:rightChars="0"/>
        <w:jc w:val="center"/>
      </w:pPr>
    </w:p>
    <w:p w14:paraId="0A6BC446">
      <w:pPr>
        <w:pStyle w:val="7"/>
        <w:bidi w:val="0"/>
        <w:spacing w:before="0" w:beforeAutospacing="0" w:after="0" w:afterAutospacing="0"/>
        <w:ind w:right="0" w:rightChars="0"/>
        <w:jc w:val="center"/>
      </w:pPr>
    </w:p>
    <w:p w14:paraId="2D18A7DF">
      <w:pPr>
        <w:pStyle w:val="7"/>
        <w:bidi w:val="0"/>
        <w:spacing w:before="0" w:beforeAutospacing="0" w:after="0" w:afterAutospacing="0"/>
        <w:ind w:right="0" w:rightChars="0"/>
        <w:jc w:val="center"/>
      </w:pPr>
    </w:p>
    <w:p w14:paraId="69BA3606">
      <w:pPr>
        <w:pStyle w:val="7"/>
        <w:bidi w:val="0"/>
        <w:spacing w:before="0" w:beforeAutospacing="0" w:after="0" w:afterAutospacing="0"/>
        <w:ind w:right="0" w:rightChars="0"/>
        <w:jc w:val="center"/>
      </w:pPr>
    </w:p>
    <w:p w14:paraId="4F9810F2">
      <w:pPr>
        <w:pStyle w:val="7"/>
        <w:bidi w:val="0"/>
        <w:spacing w:before="0" w:beforeAutospacing="0" w:after="0" w:afterAutospacing="0"/>
        <w:ind w:right="0" w:rightChars="0"/>
        <w:jc w:val="center"/>
      </w:pPr>
    </w:p>
    <w:p w14:paraId="56FE6021">
      <w:pPr>
        <w:pStyle w:val="7"/>
        <w:bidi w:val="0"/>
        <w:spacing w:before="0" w:beforeAutospacing="0" w:after="0" w:afterAutospacing="0"/>
        <w:ind w:right="0" w:rightChars="0"/>
        <w:jc w:val="center"/>
      </w:pPr>
    </w:p>
    <w:p w14:paraId="2425F249">
      <w:pPr>
        <w:pStyle w:val="7"/>
        <w:bidi w:val="0"/>
        <w:spacing w:before="0" w:beforeAutospacing="0" w:after="0" w:afterAutospacing="0"/>
        <w:ind w:right="0" w:rightChars="0"/>
        <w:jc w:val="center"/>
      </w:pPr>
      <w:r>
        <w:drawing>
          <wp:inline distT="0" distB="0" distL="114300" distR="114300">
            <wp:extent cx="5269865" cy="2371725"/>
            <wp:effectExtent l="0" t="0" r="3175" b="571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269865" cy="2371725"/>
                    </a:xfrm>
                    <a:prstGeom prst="rect">
                      <a:avLst/>
                    </a:prstGeom>
                    <a:noFill/>
                    <a:ln>
                      <a:noFill/>
                    </a:ln>
                  </pic:spPr>
                </pic:pic>
              </a:graphicData>
            </a:graphic>
          </wp:inline>
        </w:drawing>
      </w:r>
    </w:p>
    <w:p w14:paraId="4BE25A25">
      <w:pPr>
        <w:pStyle w:val="7"/>
        <w:bidi w:val="0"/>
        <w:spacing w:before="0" w:beforeAutospacing="0" w:after="0" w:afterAutospacing="0"/>
        <w:ind w:right="0" w:rightChars="0"/>
        <w:jc w:val="center"/>
      </w:pPr>
    </w:p>
    <w:p w14:paraId="090E2495">
      <w:pPr>
        <w:pStyle w:val="7"/>
        <w:bidi w:val="0"/>
        <w:spacing w:before="0" w:beforeAutospacing="0" w:after="0" w:afterAutospacing="0"/>
        <w:ind w:right="0" w:rightChars="0"/>
        <w:jc w:val="center"/>
      </w:pPr>
    </w:p>
    <w:p w14:paraId="52CDA457">
      <w:pPr>
        <w:pStyle w:val="7"/>
        <w:bidi w:val="0"/>
        <w:spacing w:before="0" w:beforeAutospacing="0" w:after="0" w:afterAutospacing="0"/>
        <w:ind w:right="0" w:rightChars="0"/>
        <w:jc w:val="center"/>
      </w:pPr>
    </w:p>
    <w:p w14:paraId="26EC59BC">
      <w:pPr>
        <w:pStyle w:val="7"/>
        <w:bidi w:val="0"/>
        <w:spacing w:before="0" w:beforeAutospacing="0" w:after="0" w:afterAutospacing="0"/>
        <w:ind w:right="0" w:rightChars="0"/>
        <w:jc w:val="center"/>
      </w:pPr>
      <w:r>
        <w:drawing>
          <wp:inline distT="0" distB="0" distL="114300" distR="114300">
            <wp:extent cx="5273675" cy="5212080"/>
            <wp:effectExtent l="0" t="0" r="1460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tretch>
                      <a:fillRect/>
                    </a:stretch>
                  </pic:blipFill>
                  <pic:spPr>
                    <a:xfrm>
                      <a:off x="0" y="0"/>
                      <a:ext cx="5273675" cy="5212080"/>
                    </a:xfrm>
                    <a:prstGeom prst="rect">
                      <a:avLst/>
                    </a:prstGeom>
                    <a:noFill/>
                    <a:ln>
                      <a:noFill/>
                    </a:ln>
                  </pic:spPr>
                </pic:pic>
              </a:graphicData>
            </a:graphic>
          </wp:inline>
        </w:drawing>
      </w:r>
    </w:p>
    <w:p w14:paraId="5FECFAA7">
      <w:pPr>
        <w:pStyle w:val="7"/>
        <w:bidi w:val="0"/>
        <w:spacing w:before="0" w:beforeAutospacing="0" w:after="0" w:afterAutospacing="0"/>
        <w:ind w:right="0" w:rightChars="0"/>
        <w:jc w:val="center"/>
      </w:pPr>
    </w:p>
    <w:p w14:paraId="384DDB32">
      <w:pPr>
        <w:pStyle w:val="7"/>
        <w:bidi w:val="0"/>
        <w:spacing w:before="0" w:beforeAutospacing="0" w:after="0" w:afterAutospacing="0"/>
        <w:ind w:right="0" w:rightChars="0"/>
        <w:jc w:val="center"/>
      </w:pPr>
    </w:p>
    <w:p w14:paraId="7BBD75C9">
      <w:pPr>
        <w:pStyle w:val="7"/>
        <w:bidi w:val="0"/>
        <w:spacing w:before="0" w:beforeAutospacing="0" w:after="0" w:afterAutospacing="0"/>
        <w:ind w:right="0" w:rightChars="0"/>
        <w:jc w:val="center"/>
      </w:pPr>
    </w:p>
    <w:p w14:paraId="1C0A9CF4">
      <w:pPr>
        <w:pStyle w:val="7"/>
        <w:bidi w:val="0"/>
        <w:spacing w:before="0" w:beforeAutospacing="0" w:after="0" w:afterAutospacing="0"/>
        <w:ind w:right="0" w:rightChars="0"/>
        <w:jc w:val="center"/>
      </w:pPr>
    </w:p>
    <w:p w14:paraId="4EDDC121">
      <w:pPr>
        <w:pStyle w:val="7"/>
        <w:bidi w:val="0"/>
        <w:spacing w:before="0" w:beforeAutospacing="0" w:after="0" w:afterAutospacing="0"/>
        <w:ind w:right="0" w:rightChars="0"/>
        <w:jc w:val="center"/>
      </w:pPr>
    </w:p>
    <w:p w14:paraId="7BE9FB14">
      <w:pPr>
        <w:pStyle w:val="7"/>
        <w:bidi w:val="0"/>
        <w:spacing w:before="0" w:beforeAutospacing="0" w:after="0" w:afterAutospacing="0"/>
        <w:ind w:right="0" w:rightChars="0"/>
        <w:jc w:val="center"/>
      </w:pPr>
    </w:p>
    <w:p w14:paraId="41633A3B">
      <w:pPr>
        <w:pStyle w:val="7"/>
        <w:bidi w:val="0"/>
        <w:spacing w:before="0" w:beforeAutospacing="0" w:after="0" w:afterAutospacing="0"/>
        <w:ind w:right="0" w:rightChars="0"/>
        <w:jc w:val="center"/>
      </w:pPr>
    </w:p>
    <w:p w14:paraId="6897A9CA">
      <w:pPr>
        <w:pStyle w:val="7"/>
        <w:bidi w:val="0"/>
        <w:spacing w:before="0" w:beforeAutospacing="0" w:after="0" w:afterAutospacing="0"/>
        <w:ind w:right="0" w:rightChars="0"/>
        <w:jc w:val="center"/>
      </w:pPr>
    </w:p>
    <w:p w14:paraId="217CD35D">
      <w:pPr>
        <w:pStyle w:val="7"/>
        <w:bidi w:val="0"/>
        <w:spacing w:before="0" w:beforeAutospacing="0" w:after="0" w:afterAutospacing="0"/>
        <w:ind w:right="0" w:rightChars="0"/>
        <w:jc w:val="center"/>
      </w:pPr>
    </w:p>
    <w:p w14:paraId="7E5939A8">
      <w:pPr>
        <w:pStyle w:val="7"/>
        <w:bidi w:val="0"/>
        <w:spacing w:before="0" w:beforeAutospacing="0" w:after="0" w:afterAutospacing="0"/>
        <w:ind w:right="0" w:rightChars="0"/>
        <w:jc w:val="center"/>
      </w:pPr>
    </w:p>
    <w:p w14:paraId="1416385A">
      <w:pPr>
        <w:pStyle w:val="7"/>
        <w:bidi w:val="0"/>
        <w:spacing w:before="0" w:beforeAutospacing="0" w:after="0" w:afterAutospacing="0"/>
        <w:ind w:right="0" w:rightChars="0"/>
        <w:jc w:val="center"/>
      </w:pPr>
    </w:p>
    <w:p w14:paraId="430B3EFF">
      <w:pPr>
        <w:pStyle w:val="7"/>
        <w:bidi w:val="0"/>
        <w:spacing w:before="0" w:beforeAutospacing="0" w:after="0" w:afterAutospacing="0"/>
        <w:ind w:right="0" w:rightChars="0"/>
        <w:jc w:val="center"/>
      </w:pPr>
    </w:p>
    <w:p w14:paraId="6D8FB4C1">
      <w:pPr>
        <w:pStyle w:val="7"/>
        <w:bidi w:val="0"/>
        <w:spacing w:before="0" w:beforeAutospacing="0" w:after="0" w:afterAutospacing="0"/>
        <w:ind w:right="0" w:rightChars="0"/>
        <w:jc w:val="center"/>
      </w:pPr>
    </w:p>
    <w:p w14:paraId="773D1C26">
      <w:pPr>
        <w:pStyle w:val="7"/>
        <w:bidi w:val="0"/>
        <w:spacing w:before="0" w:beforeAutospacing="0" w:after="0" w:afterAutospacing="0"/>
        <w:ind w:right="0" w:rightChars="0"/>
        <w:jc w:val="center"/>
      </w:pPr>
    </w:p>
    <w:p w14:paraId="0897EBB8">
      <w:pPr>
        <w:pStyle w:val="7"/>
        <w:bidi w:val="0"/>
        <w:spacing w:before="0" w:beforeAutospacing="0" w:after="0" w:afterAutospacing="0"/>
        <w:ind w:right="0" w:rightChars="0"/>
        <w:jc w:val="center"/>
      </w:pPr>
    </w:p>
    <w:p w14:paraId="2A38A9E7">
      <w:pPr>
        <w:pStyle w:val="7"/>
        <w:bidi w:val="0"/>
        <w:spacing w:before="0" w:beforeAutospacing="0" w:after="0" w:afterAutospacing="0"/>
        <w:ind w:right="0" w:rightChars="0"/>
        <w:jc w:val="center"/>
      </w:pPr>
    </w:p>
    <w:p w14:paraId="0F48953E">
      <w:pPr>
        <w:pStyle w:val="7"/>
        <w:bidi w:val="0"/>
        <w:spacing w:before="0" w:beforeAutospacing="0" w:after="0" w:afterAutospacing="0"/>
        <w:ind w:right="0" w:rightChars="0"/>
        <w:jc w:val="center"/>
      </w:pPr>
    </w:p>
    <w:p w14:paraId="41066D06">
      <w:pPr>
        <w:pStyle w:val="7"/>
        <w:bidi w:val="0"/>
        <w:spacing w:before="0" w:beforeAutospacing="0" w:after="0" w:afterAutospacing="0"/>
        <w:ind w:right="0" w:rightChars="0"/>
        <w:jc w:val="center"/>
      </w:pPr>
    </w:p>
    <w:tbl>
      <w:tblPr>
        <w:tblStyle w:val="8"/>
        <w:tblW w:w="789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6"/>
        <w:gridCol w:w="987"/>
        <w:gridCol w:w="2046"/>
      </w:tblGrid>
      <w:tr w14:paraId="50081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7899" w:type="dxa"/>
            <w:gridSpan w:val="3"/>
            <w:tcBorders>
              <w:top w:val="nil"/>
              <w:left w:val="nil"/>
              <w:bottom w:val="nil"/>
              <w:right w:val="nil"/>
            </w:tcBorders>
            <w:shd w:val="clear" w:color="auto" w:fill="auto"/>
            <w:noWrap/>
            <w:vAlign w:val="bottom"/>
          </w:tcPr>
          <w:p w14:paraId="0AB21674">
            <w:pPr>
              <w:keepNext w:val="0"/>
              <w:keepLines w:val="0"/>
              <w:widowControl/>
              <w:suppressLineNumbers w:val="0"/>
              <w:jc w:val="center"/>
              <w:textAlignment w:val="bottom"/>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国有资产占用情况表</w:t>
            </w:r>
          </w:p>
        </w:tc>
      </w:tr>
      <w:tr w14:paraId="17E4A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6046D8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F52552">
            <w:pPr>
              <w:rPr>
                <w:rFonts w:hint="eastAsia" w:ascii="宋体" w:hAnsi="宋体" w:eastAsia="宋体" w:cs="宋体"/>
                <w:i w:val="0"/>
                <w:iCs w:val="0"/>
                <w:color w:val="000000"/>
                <w:sz w:val="22"/>
                <w:szCs w:val="22"/>
                <w:u w:val="none"/>
              </w:rPr>
            </w:pPr>
          </w:p>
        </w:tc>
        <w:tc>
          <w:tcPr>
            <w:tcW w:w="2033" w:type="dxa"/>
            <w:tcBorders>
              <w:top w:val="nil"/>
              <w:left w:val="nil"/>
              <w:bottom w:val="nil"/>
              <w:right w:val="nil"/>
            </w:tcBorders>
            <w:shd w:val="clear" w:color="auto" w:fill="auto"/>
            <w:noWrap/>
            <w:vAlign w:val="bottom"/>
          </w:tcPr>
          <w:p w14:paraId="1F6E1F2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公开10表</w:t>
            </w:r>
          </w:p>
        </w:tc>
      </w:tr>
      <w:tr w14:paraId="42EB6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bottom"/>
          </w:tcPr>
          <w:p w14:paraId="66FB6482">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部门（单位）：中共南昌市青云谱区委党校</w:t>
            </w:r>
          </w:p>
        </w:tc>
        <w:tc>
          <w:tcPr>
            <w:tcW w:w="0" w:type="auto"/>
            <w:tcBorders>
              <w:top w:val="nil"/>
              <w:left w:val="nil"/>
              <w:bottom w:val="nil"/>
              <w:right w:val="nil"/>
            </w:tcBorders>
            <w:shd w:val="clear" w:color="auto" w:fill="auto"/>
            <w:noWrap/>
            <w:vAlign w:val="bottom"/>
          </w:tcPr>
          <w:p w14:paraId="0BCC5BCA">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c>
          <w:tcPr>
            <w:tcW w:w="2033" w:type="dxa"/>
            <w:tcBorders>
              <w:top w:val="nil"/>
              <w:left w:val="nil"/>
              <w:bottom w:val="nil"/>
              <w:right w:val="nil"/>
            </w:tcBorders>
            <w:shd w:val="clear" w:color="auto" w:fill="auto"/>
            <w:noWrap/>
            <w:vAlign w:val="bottom"/>
          </w:tcPr>
          <w:p w14:paraId="6B267DFA">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金额单位：台、辆、套</w:t>
            </w:r>
          </w:p>
        </w:tc>
      </w:tr>
      <w:tr w14:paraId="6A004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single" w:color="D4D4D4" w:sz="4" w:space="0"/>
              <w:right w:val="single" w:color="D4D4D4" w:sz="4" w:space="0"/>
            </w:tcBorders>
            <w:shd w:val="clear" w:color="auto" w:fill="F1F1F1"/>
            <w:noWrap/>
            <w:vAlign w:val="center"/>
          </w:tcPr>
          <w:p w14:paraId="3B7A5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0" w:type="auto"/>
            <w:tcBorders>
              <w:top w:val="nil"/>
              <w:left w:val="nil"/>
              <w:bottom w:val="single" w:color="D4D4D4" w:sz="4" w:space="0"/>
              <w:right w:val="single" w:color="D4D4D4" w:sz="4" w:space="0"/>
            </w:tcBorders>
            <w:shd w:val="clear" w:color="auto" w:fill="F1F1F1"/>
            <w:noWrap/>
            <w:vAlign w:val="center"/>
          </w:tcPr>
          <w:p w14:paraId="1449C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033" w:type="dxa"/>
            <w:tcBorders>
              <w:top w:val="nil"/>
              <w:left w:val="nil"/>
              <w:bottom w:val="single" w:color="D4D4D4" w:sz="4" w:space="0"/>
              <w:right w:val="single" w:color="D4D4D4" w:sz="4" w:space="0"/>
            </w:tcBorders>
            <w:shd w:val="clear" w:color="auto" w:fill="F1F1F1"/>
            <w:noWrap/>
            <w:vAlign w:val="center"/>
          </w:tcPr>
          <w:p w14:paraId="15283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1A3D6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0F6A19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一、车辆数合计(台、辆)</w:t>
            </w:r>
          </w:p>
        </w:tc>
        <w:tc>
          <w:tcPr>
            <w:tcW w:w="0" w:type="auto"/>
            <w:tcBorders>
              <w:top w:val="nil"/>
              <w:left w:val="nil"/>
              <w:bottom w:val="single" w:color="D4D4D4" w:sz="4" w:space="0"/>
              <w:right w:val="single" w:color="D4D4D4" w:sz="4" w:space="0"/>
            </w:tcBorders>
            <w:shd w:val="clear" w:color="auto" w:fill="F1F1F1"/>
            <w:noWrap/>
            <w:vAlign w:val="center"/>
          </w:tcPr>
          <w:p w14:paraId="513FE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33" w:type="dxa"/>
            <w:tcBorders>
              <w:top w:val="nil"/>
              <w:left w:val="nil"/>
              <w:bottom w:val="single" w:color="D4D4D4" w:sz="4" w:space="0"/>
              <w:right w:val="single" w:color="D4D4D4" w:sz="4" w:space="0"/>
            </w:tcBorders>
            <w:shd w:val="clear" w:color="auto" w:fill="FFFFFF"/>
            <w:noWrap/>
            <w:vAlign w:val="center"/>
          </w:tcPr>
          <w:p w14:paraId="278E4B15">
            <w:pPr>
              <w:jc w:val="right"/>
              <w:rPr>
                <w:rFonts w:hint="eastAsia" w:ascii="宋体" w:hAnsi="宋体" w:eastAsia="宋体" w:cs="宋体"/>
                <w:i w:val="0"/>
                <w:iCs w:val="0"/>
                <w:color w:val="000000"/>
                <w:sz w:val="22"/>
                <w:szCs w:val="22"/>
                <w:u w:val="none"/>
              </w:rPr>
            </w:pPr>
          </w:p>
        </w:tc>
      </w:tr>
      <w:tr w14:paraId="281AD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6F3915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1.副部（省）级及以上领导用车</w:t>
            </w:r>
          </w:p>
        </w:tc>
        <w:tc>
          <w:tcPr>
            <w:tcW w:w="0" w:type="auto"/>
            <w:tcBorders>
              <w:top w:val="nil"/>
              <w:left w:val="nil"/>
              <w:bottom w:val="single" w:color="D4D4D4" w:sz="4" w:space="0"/>
              <w:right w:val="single" w:color="D4D4D4" w:sz="4" w:space="0"/>
            </w:tcBorders>
            <w:shd w:val="clear" w:color="auto" w:fill="F1F1F1"/>
            <w:noWrap/>
            <w:vAlign w:val="center"/>
          </w:tcPr>
          <w:p w14:paraId="2FCC1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33" w:type="dxa"/>
            <w:tcBorders>
              <w:top w:val="nil"/>
              <w:left w:val="nil"/>
              <w:bottom w:val="single" w:color="D4D4D4" w:sz="4" w:space="0"/>
              <w:right w:val="single" w:color="D4D4D4" w:sz="4" w:space="0"/>
            </w:tcBorders>
            <w:shd w:val="clear" w:color="auto" w:fill="FFFFFF"/>
            <w:noWrap/>
            <w:vAlign w:val="center"/>
          </w:tcPr>
          <w:p w14:paraId="7D15FA7D">
            <w:pPr>
              <w:jc w:val="right"/>
              <w:rPr>
                <w:rFonts w:hint="eastAsia" w:ascii="宋体" w:hAnsi="宋体" w:eastAsia="宋体" w:cs="宋体"/>
                <w:i w:val="0"/>
                <w:iCs w:val="0"/>
                <w:color w:val="000000"/>
                <w:sz w:val="22"/>
                <w:szCs w:val="22"/>
                <w:u w:val="none"/>
              </w:rPr>
            </w:pPr>
          </w:p>
        </w:tc>
      </w:tr>
      <w:tr w14:paraId="56DA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29765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2.主要负责人用车</w:t>
            </w:r>
          </w:p>
        </w:tc>
        <w:tc>
          <w:tcPr>
            <w:tcW w:w="0" w:type="auto"/>
            <w:tcBorders>
              <w:top w:val="nil"/>
              <w:left w:val="nil"/>
              <w:bottom w:val="single" w:color="D4D4D4" w:sz="4" w:space="0"/>
              <w:right w:val="single" w:color="D4D4D4" w:sz="4" w:space="0"/>
            </w:tcBorders>
            <w:shd w:val="clear" w:color="auto" w:fill="F1F1F1"/>
            <w:noWrap/>
            <w:vAlign w:val="center"/>
          </w:tcPr>
          <w:p w14:paraId="0B090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33" w:type="dxa"/>
            <w:tcBorders>
              <w:top w:val="nil"/>
              <w:left w:val="nil"/>
              <w:bottom w:val="single" w:color="D4D4D4" w:sz="4" w:space="0"/>
              <w:right w:val="single" w:color="D4D4D4" w:sz="4" w:space="0"/>
            </w:tcBorders>
            <w:shd w:val="clear" w:color="auto" w:fill="FFFFFF"/>
            <w:noWrap/>
            <w:vAlign w:val="center"/>
          </w:tcPr>
          <w:p w14:paraId="2DEBB6B9">
            <w:pPr>
              <w:jc w:val="right"/>
              <w:rPr>
                <w:rFonts w:hint="eastAsia" w:ascii="宋体" w:hAnsi="宋体" w:eastAsia="宋体" w:cs="宋体"/>
                <w:i w:val="0"/>
                <w:iCs w:val="0"/>
                <w:color w:val="000000"/>
                <w:sz w:val="22"/>
                <w:szCs w:val="22"/>
                <w:u w:val="none"/>
              </w:rPr>
            </w:pPr>
          </w:p>
        </w:tc>
      </w:tr>
      <w:tr w14:paraId="736B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2AAFD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3.机要通信用车</w:t>
            </w:r>
          </w:p>
        </w:tc>
        <w:tc>
          <w:tcPr>
            <w:tcW w:w="0" w:type="auto"/>
            <w:tcBorders>
              <w:top w:val="nil"/>
              <w:left w:val="nil"/>
              <w:bottom w:val="single" w:color="D4D4D4" w:sz="4" w:space="0"/>
              <w:right w:val="single" w:color="D4D4D4" w:sz="4" w:space="0"/>
            </w:tcBorders>
            <w:shd w:val="clear" w:color="auto" w:fill="F1F1F1"/>
            <w:noWrap/>
            <w:vAlign w:val="center"/>
          </w:tcPr>
          <w:p w14:paraId="4C929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33" w:type="dxa"/>
            <w:tcBorders>
              <w:top w:val="nil"/>
              <w:left w:val="nil"/>
              <w:bottom w:val="single" w:color="D4D4D4" w:sz="4" w:space="0"/>
              <w:right w:val="single" w:color="D4D4D4" w:sz="4" w:space="0"/>
            </w:tcBorders>
            <w:shd w:val="clear" w:color="auto" w:fill="FFFFFF"/>
            <w:noWrap/>
            <w:vAlign w:val="center"/>
          </w:tcPr>
          <w:p w14:paraId="55A51C05">
            <w:pPr>
              <w:jc w:val="right"/>
              <w:rPr>
                <w:rFonts w:hint="eastAsia" w:ascii="宋体" w:hAnsi="宋体" w:eastAsia="宋体" w:cs="宋体"/>
                <w:i w:val="0"/>
                <w:iCs w:val="0"/>
                <w:color w:val="000000"/>
                <w:sz w:val="22"/>
                <w:szCs w:val="22"/>
                <w:u w:val="none"/>
              </w:rPr>
            </w:pPr>
          </w:p>
        </w:tc>
      </w:tr>
      <w:tr w14:paraId="09D1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7130B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4.应急保障用车</w:t>
            </w:r>
          </w:p>
        </w:tc>
        <w:tc>
          <w:tcPr>
            <w:tcW w:w="0" w:type="auto"/>
            <w:tcBorders>
              <w:top w:val="nil"/>
              <w:left w:val="nil"/>
              <w:bottom w:val="single" w:color="D4D4D4" w:sz="4" w:space="0"/>
              <w:right w:val="single" w:color="D4D4D4" w:sz="4" w:space="0"/>
            </w:tcBorders>
            <w:shd w:val="clear" w:color="auto" w:fill="F1F1F1"/>
            <w:noWrap/>
            <w:vAlign w:val="center"/>
          </w:tcPr>
          <w:p w14:paraId="73FDD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33" w:type="dxa"/>
            <w:tcBorders>
              <w:top w:val="nil"/>
              <w:left w:val="nil"/>
              <w:bottom w:val="single" w:color="D4D4D4" w:sz="4" w:space="0"/>
              <w:right w:val="single" w:color="D4D4D4" w:sz="4" w:space="0"/>
            </w:tcBorders>
            <w:shd w:val="clear" w:color="auto" w:fill="FFFFFF"/>
            <w:noWrap/>
            <w:vAlign w:val="center"/>
          </w:tcPr>
          <w:p w14:paraId="6C846A26">
            <w:pPr>
              <w:jc w:val="right"/>
              <w:rPr>
                <w:rFonts w:hint="eastAsia" w:ascii="宋体" w:hAnsi="宋体" w:eastAsia="宋体" w:cs="宋体"/>
                <w:i w:val="0"/>
                <w:iCs w:val="0"/>
                <w:color w:val="000000"/>
                <w:sz w:val="22"/>
                <w:szCs w:val="22"/>
                <w:u w:val="none"/>
              </w:rPr>
            </w:pPr>
          </w:p>
        </w:tc>
      </w:tr>
      <w:tr w14:paraId="6E456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54ABF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5.执法执勤用车</w:t>
            </w:r>
          </w:p>
        </w:tc>
        <w:tc>
          <w:tcPr>
            <w:tcW w:w="0" w:type="auto"/>
            <w:tcBorders>
              <w:top w:val="nil"/>
              <w:left w:val="nil"/>
              <w:bottom w:val="single" w:color="D4D4D4" w:sz="4" w:space="0"/>
              <w:right w:val="single" w:color="D4D4D4" w:sz="4" w:space="0"/>
            </w:tcBorders>
            <w:shd w:val="clear" w:color="auto" w:fill="F1F1F1"/>
            <w:noWrap/>
            <w:vAlign w:val="center"/>
          </w:tcPr>
          <w:p w14:paraId="59F45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033" w:type="dxa"/>
            <w:tcBorders>
              <w:top w:val="nil"/>
              <w:left w:val="nil"/>
              <w:bottom w:val="single" w:color="D4D4D4" w:sz="4" w:space="0"/>
              <w:right w:val="single" w:color="D4D4D4" w:sz="4" w:space="0"/>
            </w:tcBorders>
            <w:shd w:val="clear" w:color="auto" w:fill="FFFFFF"/>
            <w:noWrap/>
            <w:vAlign w:val="center"/>
          </w:tcPr>
          <w:p w14:paraId="39239A63">
            <w:pPr>
              <w:jc w:val="right"/>
              <w:rPr>
                <w:rFonts w:hint="eastAsia" w:ascii="宋体" w:hAnsi="宋体" w:eastAsia="宋体" w:cs="宋体"/>
                <w:i w:val="0"/>
                <w:iCs w:val="0"/>
                <w:color w:val="000000"/>
                <w:sz w:val="22"/>
                <w:szCs w:val="22"/>
                <w:u w:val="none"/>
              </w:rPr>
            </w:pPr>
          </w:p>
        </w:tc>
      </w:tr>
      <w:tr w14:paraId="604C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3346B2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6.特种专业技术用车</w:t>
            </w:r>
          </w:p>
        </w:tc>
        <w:tc>
          <w:tcPr>
            <w:tcW w:w="0" w:type="auto"/>
            <w:tcBorders>
              <w:top w:val="nil"/>
              <w:left w:val="nil"/>
              <w:bottom w:val="single" w:color="D4D4D4" w:sz="4" w:space="0"/>
              <w:right w:val="single" w:color="D4D4D4" w:sz="4" w:space="0"/>
            </w:tcBorders>
            <w:shd w:val="clear" w:color="auto" w:fill="F1F1F1"/>
            <w:noWrap/>
            <w:vAlign w:val="center"/>
          </w:tcPr>
          <w:p w14:paraId="56991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033" w:type="dxa"/>
            <w:tcBorders>
              <w:top w:val="nil"/>
              <w:left w:val="nil"/>
              <w:bottom w:val="single" w:color="D4D4D4" w:sz="4" w:space="0"/>
              <w:right w:val="single" w:color="D4D4D4" w:sz="4" w:space="0"/>
            </w:tcBorders>
            <w:shd w:val="clear" w:color="auto" w:fill="FFFFFF"/>
            <w:noWrap/>
            <w:vAlign w:val="center"/>
          </w:tcPr>
          <w:p w14:paraId="34BAEFD2">
            <w:pPr>
              <w:jc w:val="right"/>
              <w:rPr>
                <w:rFonts w:hint="eastAsia" w:ascii="宋体" w:hAnsi="宋体" w:eastAsia="宋体" w:cs="宋体"/>
                <w:i w:val="0"/>
                <w:iCs w:val="0"/>
                <w:color w:val="000000"/>
                <w:sz w:val="22"/>
                <w:szCs w:val="22"/>
                <w:u w:val="none"/>
              </w:rPr>
            </w:pPr>
          </w:p>
        </w:tc>
      </w:tr>
      <w:tr w14:paraId="1FA13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0E592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7.离退休干部服务用车</w:t>
            </w:r>
          </w:p>
        </w:tc>
        <w:tc>
          <w:tcPr>
            <w:tcW w:w="0" w:type="auto"/>
            <w:tcBorders>
              <w:top w:val="nil"/>
              <w:left w:val="nil"/>
              <w:bottom w:val="single" w:color="D4D4D4" w:sz="4" w:space="0"/>
              <w:right w:val="single" w:color="D4D4D4" w:sz="4" w:space="0"/>
            </w:tcBorders>
            <w:shd w:val="clear" w:color="auto" w:fill="F1F1F1"/>
            <w:noWrap/>
            <w:vAlign w:val="center"/>
          </w:tcPr>
          <w:p w14:paraId="39F5E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033" w:type="dxa"/>
            <w:tcBorders>
              <w:top w:val="nil"/>
              <w:left w:val="nil"/>
              <w:bottom w:val="single" w:color="D4D4D4" w:sz="4" w:space="0"/>
              <w:right w:val="single" w:color="D4D4D4" w:sz="4" w:space="0"/>
            </w:tcBorders>
            <w:shd w:val="clear" w:color="auto" w:fill="FFFFFF"/>
            <w:noWrap/>
            <w:vAlign w:val="center"/>
          </w:tcPr>
          <w:p w14:paraId="694DFEC6">
            <w:pPr>
              <w:jc w:val="right"/>
              <w:rPr>
                <w:rFonts w:hint="eastAsia" w:ascii="宋体" w:hAnsi="宋体" w:eastAsia="宋体" w:cs="宋体"/>
                <w:i w:val="0"/>
                <w:iCs w:val="0"/>
                <w:color w:val="000000"/>
                <w:sz w:val="22"/>
                <w:szCs w:val="22"/>
                <w:u w:val="none"/>
              </w:rPr>
            </w:pPr>
          </w:p>
        </w:tc>
      </w:tr>
      <w:tr w14:paraId="60CCD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666FD8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8.其他用车</w:t>
            </w:r>
          </w:p>
        </w:tc>
        <w:tc>
          <w:tcPr>
            <w:tcW w:w="0" w:type="auto"/>
            <w:tcBorders>
              <w:top w:val="nil"/>
              <w:left w:val="nil"/>
              <w:bottom w:val="single" w:color="D4D4D4" w:sz="4" w:space="0"/>
              <w:right w:val="single" w:color="D4D4D4" w:sz="4" w:space="0"/>
            </w:tcBorders>
            <w:shd w:val="clear" w:color="auto" w:fill="F1F1F1"/>
            <w:noWrap/>
            <w:vAlign w:val="center"/>
          </w:tcPr>
          <w:p w14:paraId="77201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033" w:type="dxa"/>
            <w:tcBorders>
              <w:top w:val="nil"/>
              <w:left w:val="nil"/>
              <w:bottom w:val="single" w:color="D4D4D4" w:sz="4" w:space="0"/>
              <w:right w:val="single" w:color="D4D4D4" w:sz="4" w:space="0"/>
            </w:tcBorders>
            <w:shd w:val="clear" w:color="auto" w:fill="FFFFFF"/>
            <w:noWrap/>
            <w:vAlign w:val="center"/>
          </w:tcPr>
          <w:p w14:paraId="1A2C20DB">
            <w:pPr>
              <w:jc w:val="right"/>
              <w:rPr>
                <w:rFonts w:hint="eastAsia" w:ascii="宋体" w:hAnsi="宋体" w:eastAsia="宋体" w:cs="宋体"/>
                <w:i w:val="0"/>
                <w:iCs w:val="0"/>
                <w:color w:val="000000"/>
                <w:sz w:val="22"/>
                <w:szCs w:val="22"/>
                <w:u w:val="none"/>
              </w:rPr>
            </w:pPr>
          </w:p>
        </w:tc>
      </w:tr>
      <w:tr w14:paraId="7EDA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D4D4D4" w:sz="4" w:space="0"/>
              <w:right w:val="single" w:color="D4D4D4" w:sz="4" w:space="0"/>
            </w:tcBorders>
            <w:shd w:val="clear" w:color="auto" w:fill="F1F1F1"/>
            <w:noWrap/>
            <w:vAlign w:val="center"/>
          </w:tcPr>
          <w:p w14:paraId="4486ED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二、单价100万元（含）以上设备（不含车辆）</w:t>
            </w:r>
          </w:p>
        </w:tc>
        <w:tc>
          <w:tcPr>
            <w:tcW w:w="0" w:type="auto"/>
            <w:tcBorders>
              <w:top w:val="nil"/>
              <w:left w:val="nil"/>
              <w:bottom w:val="single" w:color="D4D4D4" w:sz="4" w:space="0"/>
              <w:right w:val="single" w:color="D4D4D4" w:sz="4" w:space="0"/>
            </w:tcBorders>
            <w:shd w:val="clear" w:color="auto" w:fill="F1F1F1"/>
            <w:noWrap/>
            <w:vAlign w:val="center"/>
          </w:tcPr>
          <w:p w14:paraId="03C88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33" w:type="dxa"/>
            <w:tcBorders>
              <w:top w:val="nil"/>
              <w:left w:val="nil"/>
              <w:bottom w:val="single" w:color="D4D4D4" w:sz="4" w:space="0"/>
              <w:right w:val="single" w:color="D4D4D4" w:sz="4" w:space="0"/>
            </w:tcBorders>
            <w:shd w:val="clear" w:color="auto" w:fill="FFFFFF"/>
            <w:noWrap/>
            <w:vAlign w:val="center"/>
          </w:tcPr>
          <w:p w14:paraId="0345EA76">
            <w:pPr>
              <w:jc w:val="right"/>
              <w:rPr>
                <w:rFonts w:hint="eastAsia" w:ascii="宋体" w:hAnsi="宋体" w:eastAsia="宋体" w:cs="宋体"/>
                <w:i w:val="0"/>
                <w:iCs w:val="0"/>
                <w:color w:val="000000"/>
                <w:sz w:val="22"/>
                <w:szCs w:val="22"/>
                <w:u w:val="none"/>
              </w:rPr>
            </w:pPr>
          </w:p>
        </w:tc>
      </w:tr>
      <w:tr w14:paraId="5A1C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7899" w:type="dxa"/>
            <w:gridSpan w:val="3"/>
            <w:tcBorders>
              <w:top w:val="nil"/>
              <w:left w:val="nil"/>
              <w:bottom w:val="nil"/>
              <w:right w:val="single" w:color="D4D4D4" w:sz="4" w:space="0"/>
            </w:tcBorders>
            <w:shd w:val="clear" w:color="auto" w:fill="FFFFFF"/>
            <w:vAlign w:val="center"/>
          </w:tcPr>
          <w:p w14:paraId="3FAAF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注：1.本表反映截止2023年12月31日，部门(单位)占用的国有资产情况。</w:t>
            </w:r>
          </w:p>
        </w:tc>
      </w:tr>
      <w:tr w14:paraId="08DE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99" w:type="dxa"/>
            <w:gridSpan w:val="3"/>
            <w:tcBorders>
              <w:top w:val="nil"/>
              <w:left w:val="nil"/>
              <w:bottom w:val="single" w:color="D4D4D4" w:sz="4" w:space="0"/>
              <w:right w:val="single" w:color="D4D4D4" w:sz="4" w:space="0"/>
            </w:tcBorders>
            <w:shd w:val="clear" w:color="auto" w:fill="FFFFFF"/>
            <w:vAlign w:val="center"/>
          </w:tcPr>
          <w:p w14:paraId="0B0994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2.当此表数据为空时，即本部门（单位）无相关资产。</w:t>
            </w:r>
          </w:p>
        </w:tc>
      </w:tr>
    </w:tbl>
    <w:p w14:paraId="516B960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4DB590E">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6280D0B">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C94ADCD">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35BA41B0">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03616E9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05FDB5C4">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768256C">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7A2894CB">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2806B29E">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4B18F5E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7D0362E3">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284C411D">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1397361C">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3FEF47C7">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部门</w:t>
      </w:r>
      <w:r>
        <w:rPr>
          <w:rFonts w:hint="eastAsia" w:ascii="宋体" w:hAnsi="宋体" w:cs="宋体"/>
          <w:b/>
          <w:sz w:val="44"/>
          <w:szCs w:val="44"/>
        </w:rPr>
        <w:t>决算情况说明</w:t>
      </w:r>
    </w:p>
    <w:p w14:paraId="3F258BDD">
      <w:pPr>
        <w:ind w:firstLine="630"/>
        <w:jc w:val="left"/>
        <w:rPr>
          <w:rFonts w:hint="eastAsia" w:ascii="仿宋_GB2312" w:hAnsi="仿宋_GB2312" w:eastAsia="仿宋_GB2312"/>
          <w:sz w:val="30"/>
          <w:szCs w:val="30"/>
        </w:rPr>
      </w:pPr>
    </w:p>
    <w:p w14:paraId="7070C319">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7CFE97E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2023年度收入总计</w:t>
      </w:r>
      <w:r>
        <w:rPr>
          <w:rFonts w:hint="eastAsia" w:ascii="仿宋_GB2312" w:hAnsi="仿宋_GB2312" w:eastAsia="仿宋_GB2312"/>
          <w:sz w:val="32"/>
          <w:szCs w:val="32"/>
          <w:lang w:val="en-US" w:eastAsia="zh-CN"/>
        </w:rPr>
        <w:t>232.18</w:t>
      </w:r>
      <w:r>
        <w:rPr>
          <w:rFonts w:hint="eastAsia" w:ascii="仿宋_GB2312" w:hAnsi="仿宋_GB2312" w:eastAsia="仿宋_GB2312"/>
          <w:sz w:val="32"/>
          <w:szCs w:val="32"/>
        </w:rPr>
        <w:t>万元，其中年初结转和结余0.00万元，与上年持平；使用非财政拨款结余和专用结余0.00万元，与上年持平；本年收入合计</w:t>
      </w:r>
      <w:r>
        <w:rPr>
          <w:rFonts w:hint="eastAsia" w:ascii="仿宋_GB2312" w:hAnsi="仿宋_GB2312" w:eastAsia="仿宋_GB2312"/>
          <w:sz w:val="32"/>
          <w:szCs w:val="32"/>
          <w:lang w:val="en-US" w:eastAsia="zh-CN"/>
        </w:rPr>
        <w:t>232.18</w:t>
      </w:r>
      <w:r>
        <w:rPr>
          <w:rFonts w:hint="eastAsia" w:ascii="仿宋_GB2312" w:hAnsi="仿宋_GB2312" w:eastAsia="仿宋_GB2312"/>
          <w:sz w:val="32"/>
          <w:szCs w:val="32"/>
        </w:rPr>
        <w:t>万元，比上年增加</w:t>
      </w:r>
      <w:r>
        <w:rPr>
          <w:rFonts w:hint="eastAsia" w:ascii="仿宋_GB2312" w:hAnsi="仿宋_GB2312" w:eastAsia="仿宋_GB2312"/>
          <w:sz w:val="32"/>
          <w:szCs w:val="32"/>
          <w:lang w:val="en-US" w:eastAsia="zh-CN"/>
        </w:rPr>
        <w:t>38.27</w:t>
      </w:r>
      <w:r>
        <w:rPr>
          <w:rFonts w:hint="eastAsia" w:ascii="仿宋_GB2312" w:hAnsi="仿宋_GB2312" w:eastAsia="仿宋_GB2312"/>
          <w:sz w:val="32"/>
          <w:szCs w:val="32"/>
        </w:rPr>
        <w:t>万元</w:t>
      </w:r>
      <w:r>
        <w:rPr>
          <w:rFonts w:hint="eastAsia" w:ascii="仿宋_GB2312" w:hAnsi="仿宋_GB2312" w:eastAsia="仿宋_GB2312" w:cs="Times New Roman"/>
          <w:sz w:val="32"/>
          <w:szCs w:val="32"/>
        </w:rPr>
        <w:t>，增长</w:t>
      </w:r>
      <w:r>
        <w:rPr>
          <w:rFonts w:hint="eastAsia" w:ascii="仿宋_GB2312" w:hAnsi="仿宋_GB2312" w:eastAsia="仿宋_GB2312" w:cs="Times New Roman"/>
          <w:sz w:val="32"/>
          <w:szCs w:val="32"/>
          <w:lang w:val="en-US" w:eastAsia="zh-CN"/>
        </w:rPr>
        <w:t>16.48</w:t>
      </w:r>
      <w:r>
        <w:rPr>
          <w:rFonts w:hint="eastAsia" w:ascii="仿宋_GB2312" w:hAnsi="仿宋_GB2312" w:eastAsia="仿宋_GB2312" w:cs="Times New Roman"/>
          <w:sz w:val="32"/>
          <w:szCs w:val="32"/>
        </w:rPr>
        <w:t>%</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财政增拨</w:t>
      </w:r>
      <w:r>
        <w:rPr>
          <w:rFonts w:hint="eastAsia" w:ascii="仿宋_GB2312" w:hAnsi="仿宋_GB2312" w:eastAsia="仿宋_GB2312"/>
          <w:sz w:val="32"/>
          <w:szCs w:val="32"/>
          <w:lang w:val="en-US" w:eastAsia="zh-CN"/>
        </w:rPr>
        <w:t>2人（含招录、调入公务员）人员</w:t>
      </w:r>
      <w:r>
        <w:rPr>
          <w:rFonts w:hint="eastAsia" w:ascii="仿宋_GB2312" w:hAnsi="仿宋_GB2312" w:eastAsia="仿宋_GB2312"/>
          <w:sz w:val="32"/>
          <w:szCs w:val="32"/>
          <w:lang w:eastAsia="zh-CN"/>
        </w:rPr>
        <w:t>经费</w:t>
      </w:r>
      <w:r>
        <w:rPr>
          <w:rFonts w:hint="eastAsia" w:ascii="仿宋_GB2312" w:hAnsi="仿宋_GB2312" w:eastAsia="仿宋_GB2312"/>
          <w:sz w:val="32"/>
          <w:szCs w:val="32"/>
        </w:rPr>
        <w:t>。</w:t>
      </w:r>
    </w:p>
    <w:p w14:paraId="1BF6D95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本年收入的具体构成：财政拨款收入</w:t>
      </w:r>
      <w:r>
        <w:rPr>
          <w:rFonts w:hint="eastAsia" w:ascii="仿宋_GB2312" w:hAnsi="仿宋_GB2312" w:eastAsia="仿宋_GB2312"/>
          <w:sz w:val="32"/>
          <w:szCs w:val="32"/>
          <w:lang w:val="en-US" w:eastAsia="zh-CN"/>
        </w:rPr>
        <w:t>215.00</w:t>
      </w:r>
      <w:r>
        <w:rPr>
          <w:rFonts w:hint="eastAsia" w:ascii="仿宋_GB2312" w:hAnsi="仿宋_GB2312" w:eastAsia="仿宋_GB2312"/>
          <w:sz w:val="32"/>
          <w:szCs w:val="32"/>
        </w:rPr>
        <w:t>万元，占</w:t>
      </w:r>
      <w:r>
        <w:rPr>
          <w:rFonts w:hint="eastAsia" w:ascii="仿宋_GB2312" w:hAnsi="仿宋_GB2312" w:eastAsia="仿宋_GB2312"/>
          <w:sz w:val="32"/>
          <w:szCs w:val="32"/>
          <w:lang w:val="en-US" w:eastAsia="zh-CN"/>
        </w:rPr>
        <w:t>92.60</w:t>
      </w:r>
      <w:r>
        <w:rPr>
          <w:rFonts w:hint="eastAsia" w:ascii="仿宋_GB2312" w:hAnsi="仿宋_GB2312" w:eastAsia="仿宋_GB2312"/>
          <w:sz w:val="32"/>
          <w:szCs w:val="32"/>
        </w:rPr>
        <w:t>%；事业收入0.00万元，占0.00%；经营收入0.00万元，占0.00%；上级补助收入0.00万元，占0.00%；附属单位上缴收入0.00万元，占0.00%；其他收入</w:t>
      </w:r>
      <w:r>
        <w:rPr>
          <w:rFonts w:hint="eastAsia" w:ascii="仿宋_GB2312" w:hAnsi="仿宋_GB2312" w:eastAsia="仿宋_GB2312"/>
          <w:sz w:val="32"/>
          <w:szCs w:val="32"/>
          <w:lang w:val="en-US" w:eastAsia="zh-CN"/>
        </w:rPr>
        <w:t>17.18</w:t>
      </w:r>
      <w:r>
        <w:rPr>
          <w:rFonts w:hint="eastAsia" w:ascii="仿宋_GB2312" w:hAnsi="仿宋_GB2312" w:eastAsia="仿宋_GB2312"/>
          <w:sz w:val="32"/>
          <w:szCs w:val="32"/>
        </w:rPr>
        <w:t>万元，占</w:t>
      </w:r>
      <w:r>
        <w:rPr>
          <w:rFonts w:hint="eastAsia" w:ascii="仿宋_GB2312" w:hAnsi="仿宋_GB2312" w:eastAsia="仿宋_GB2312"/>
          <w:sz w:val="32"/>
          <w:szCs w:val="32"/>
          <w:lang w:val="en-US" w:eastAsia="zh-CN"/>
        </w:rPr>
        <w:t>7</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4</w:t>
      </w:r>
      <w:r>
        <w:rPr>
          <w:rFonts w:hint="eastAsia" w:ascii="仿宋_GB2312" w:hAnsi="仿宋_GB2312" w:eastAsia="仿宋_GB2312"/>
          <w:sz w:val="32"/>
          <w:szCs w:val="32"/>
        </w:rPr>
        <w:t xml:space="preserve">0%。  </w:t>
      </w:r>
    </w:p>
    <w:p w14:paraId="16EFC554">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45321F17">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2023年度支出总计</w:t>
      </w:r>
      <w:r>
        <w:rPr>
          <w:rFonts w:hint="eastAsia" w:ascii="仿宋_GB2312" w:hAnsi="仿宋_GB2312" w:eastAsia="仿宋_GB2312"/>
          <w:sz w:val="32"/>
          <w:szCs w:val="32"/>
          <w:lang w:val="en-US" w:eastAsia="zh-CN"/>
        </w:rPr>
        <w:t>232.18</w:t>
      </w:r>
      <w:r>
        <w:rPr>
          <w:rFonts w:hint="eastAsia" w:ascii="仿宋_GB2312" w:hAnsi="仿宋_GB2312" w:eastAsia="仿宋_GB2312"/>
          <w:sz w:val="32"/>
          <w:szCs w:val="32"/>
        </w:rPr>
        <w:t>万元，其中本年支出合计</w:t>
      </w:r>
      <w:r>
        <w:rPr>
          <w:rFonts w:hint="eastAsia" w:ascii="仿宋_GB2312" w:hAnsi="仿宋_GB2312" w:eastAsia="仿宋_GB2312"/>
          <w:sz w:val="32"/>
          <w:szCs w:val="32"/>
          <w:lang w:val="en-US" w:eastAsia="zh-CN"/>
        </w:rPr>
        <w:t>232.18</w:t>
      </w:r>
      <w:r>
        <w:rPr>
          <w:rFonts w:hint="eastAsia" w:ascii="仿宋_GB2312" w:hAnsi="仿宋_GB2312" w:eastAsia="仿宋_GB2312"/>
          <w:sz w:val="32"/>
          <w:szCs w:val="32"/>
        </w:rPr>
        <w:t>万元，比上年增加</w:t>
      </w:r>
      <w:r>
        <w:rPr>
          <w:rFonts w:hint="eastAsia" w:ascii="仿宋_GB2312" w:hAnsi="仿宋_GB2312" w:eastAsia="仿宋_GB2312"/>
          <w:sz w:val="32"/>
          <w:szCs w:val="32"/>
          <w:lang w:val="en-US" w:eastAsia="zh-CN"/>
        </w:rPr>
        <w:t>64.26</w:t>
      </w:r>
      <w:r>
        <w:rPr>
          <w:rFonts w:hint="eastAsia" w:ascii="仿宋_GB2312" w:hAnsi="仿宋_GB2312" w:eastAsia="仿宋_GB2312"/>
          <w:sz w:val="32"/>
          <w:szCs w:val="32"/>
        </w:rPr>
        <w:t>万元</w:t>
      </w:r>
      <w:r>
        <w:rPr>
          <w:rFonts w:hint="eastAsia" w:ascii="仿宋_GB2312" w:hAnsi="仿宋_GB2312" w:eastAsia="仿宋_GB2312" w:cs="Times New Roman"/>
          <w:sz w:val="32"/>
          <w:szCs w:val="32"/>
        </w:rPr>
        <w:t>，增长3</w:t>
      </w:r>
      <w:r>
        <w:rPr>
          <w:rFonts w:hint="eastAsia" w:ascii="仿宋_GB2312" w:hAnsi="仿宋_GB2312" w:eastAsia="仿宋_GB2312" w:cs="Times New Roman"/>
          <w:sz w:val="32"/>
          <w:szCs w:val="32"/>
          <w:lang w:val="en-US" w:eastAsia="zh-CN"/>
        </w:rPr>
        <w:t>8.27</w:t>
      </w:r>
      <w:r>
        <w:rPr>
          <w:rFonts w:hint="eastAsia" w:ascii="仿宋_GB2312" w:hAnsi="仿宋_GB2312" w:eastAsia="仿宋_GB2312" w:cs="Times New Roman"/>
          <w:sz w:val="32"/>
          <w:szCs w:val="32"/>
        </w:rPr>
        <w:t>%</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工作需要，</w:t>
      </w:r>
      <w:r>
        <w:rPr>
          <w:rFonts w:hint="eastAsia" w:ascii="仿宋_GB2312" w:hAnsi="仿宋_GB2312" w:eastAsia="仿宋_GB2312"/>
          <w:sz w:val="32"/>
          <w:szCs w:val="32"/>
          <w:lang w:eastAsia="zh-CN"/>
        </w:rPr>
        <w:t>必要经费支出</w:t>
      </w: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财政资金以支定收，无结余</w:t>
      </w:r>
      <w:r>
        <w:rPr>
          <w:rFonts w:hint="eastAsia" w:ascii="仿宋_GB2312" w:hAnsi="仿宋_GB2312" w:eastAsia="仿宋_GB2312"/>
          <w:sz w:val="32"/>
          <w:szCs w:val="32"/>
        </w:rPr>
        <w:t>。</w:t>
      </w:r>
    </w:p>
    <w:p w14:paraId="504AC544">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基本支出</w:t>
      </w:r>
      <w:r>
        <w:rPr>
          <w:rFonts w:hint="eastAsia" w:ascii="仿宋_GB2312" w:hAnsi="仿宋_GB2312" w:eastAsia="仿宋_GB2312"/>
          <w:sz w:val="32"/>
          <w:szCs w:val="32"/>
          <w:lang w:val="en-US" w:eastAsia="zh-CN"/>
        </w:rPr>
        <w:t>199.49</w:t>
      </w:r>
      <w:r>
        <w:rPr>
          <w:rFonts w:hint="eastAsia" w:ascii="仿宋_GB2312" w:hAnsi="仿宋_GB2312" w:eastAsia="仿宋_GB2312"/>
          <w:sz w:val="32"/>
          <w:szCs w:val="32"/>
        </w:rPr>
        <w:t>万元，占</w:t>
      </w:r>
      <w:r>
        <w:rPr>
          <w:rFonts w:hint="eastAsia" w:ascii="仿宋_GB2312" w:hAnsi="仿宋_GB2312" w:eastAsia="仿宋_GB2312"/>
          <w:sz w:val="32"/>
          <w:szCs w:val="32"/>
          <w:lang w:val="en-US" w:eastAsia="zh-CN"/>
        </w:rPr>
        <w:t>85.92</w:t>
      </w:r>
      <w:r>
        <w:rPr>
          <w:rFonts w:hint="eastAsia" w:ascii="仿宋_GB2312" w:hAnsi="仿宋_GB2312" w:eastAsia="仿宋_GB2312"/>
          <w:sz w:val="32"/>
          <w:szCs w:val="32"/>
        </w:rPr>
        <w:t>%；项目支出</w:t>
      </w:r>
      <w:r>
        <w:rPr>
          <w:rFonts w:hint="eastAsia" w:ascii="仿宋_GB2312" w:hAnsi="仿宋_GB2312" w:eastAsia="仿宋_GB2312"/>
          <w:sz w:val="32"/>
          <w:szCs w:val="32"/>
          <w:lang w:val="en-US" w:eastAsia="zh-CN"/>
        </w:rPr>
        <w:t>32.69</w:t>
      </w:r>
      <w:r>
        <w:rPr>
          <w:rFonts w:hint="eastAsia" w:ascii="仿宋_GB2312" w:hAnsi="仿宋_GB2312" w:eastAsia="仿宋_GB2312"/>
          <w:sz w:val="32"/>
          <w:szCs w:val="32"/>
        </w:rPr>
        <w:t>万元，占</w:t>
      </w:r>
      <w:r>
        <w:rPr>
          <w:rFonts w:hint="eastAsia" w:ascii="仿宋_GB2312" w:hAnsi="仿宋_GB2312" w:eastAsia="仿宋_GB2312"/>
          <w:sz w:val="32"/>
          <w:szCs w:val="32"/>
          <w:lang w:val="en-US" w:eastAsia="zh-CN"/>
        </w:rPr>
        <w:t>14</w:t>
      </w:r>
      <w:r>
        <w:rPr>
          <w:rFonts w:hint="eastAsia" w:ascii="仿宋_GB2312" w:hAnsi="仿宋_GB2312" w:eastAsia="仿宋_GB2312"/>
          <w:sz w:val="32"/>
          <w:szCs w:val="32"/>
        </w:rPr>
        <w:t>.0</w:t>
      </w:r>
      <w:r>
        <w:rPr>
          <w:rFonts w:hint="eastAsia" w:ascii="仿宋_GB2312" w:hAnsi="仿宋_GB2312" w:eastAsia="仿宋_GB2312"/>
          <w:sz w:val="32"/>
          <w:szCs w:val="32"/>
          <w:lang w:val="en-US" w:eastAsia="zh-CN"/>
        </w:rPr>
        <w:t>8</w:t>
      </w:r>
      <w:r>
        <w:rPr>
          <w:rFonts w:hint="eastAsia" w:ascii="仿宋_GB2312" w:hAnsi="仿宋_GB2312" w:eastAsia="仿宋_GB2312"/>
          <w:sz w:val="32"/>
          <w:szCs w:val="32"/>
        </w:rPr>
        <w:t>%；经营支出0.00万元，占0.00%；上缴上级支出0.00万元，占0.00%；对附属单位补助支出0.00万元，占0.00%。</w:t>
      </w:r>
    </w:p>
    <w:p w14:paraId="1BF38AF6">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4FAC7D0C">
      <w:pPr>
        <w:ind w:firstLine="630"/>
        <w:jc w:val="left"/>
        <w:rPr>
          <w:rFonts w:hint="eastAsia" w:ascii="仿宋_GB2312" w:hAnsi="仿宋_GB2312" w:eastAsia="仿宋_GB2312"/>
          <w:color w:val="FF0000"/>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2023年度财政拨款本年支出年初预算数</w:t>
      </w:r>
      <w:r>
        <w:rPr>
          <w:rFonts w:hint="eastAsia" w:ascii="仿宋_GB2312" w:hAnsi="仿宋_GB2312" w:eastAsia="仿宋_GB2312"/>
          <w:sz w:val="32"/>
          <w:szCs w:val="32"/>
          <w:lang w:val="en-US" w:eastAsia="zh-CN"/>
        </w:rPr>
        <w:t>150.46</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215.00</w:t>
      </w:r>
      <w:r>
        <w:rPr>
          <w:rFonts w:hint="eastAsia" w:ascii="仿宋_GB2312" w:hAnsi="仿宋_GB2312" w:eastAsia="仿宋_GB2312"/>
          <w:sz w:val="32"/>
          <w:szCs w:val="32"/>
        </w:rPr>
        <w:t>万元，完成年初预算的1</w:t>
      </w:r>
      <w:r>
        <w:rPr>
          <w:rFonts w:hint="eastAsia" w:ascii="仿宋_GB2312" w:hAnsi="仿宋_GB2312" w:eastAsia="仿宋_GB2312"/>
          <w:sz w:val="32"/>
          <w:szCs w:val="32"/>
          <w:lang w:val="en-US" w:eastAsia="zh-CN"/>
        </w:rPr>
        <w:t>42</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90</w:t>
      </w:r>
      <w:r>
        <w:rPr>
          <w:rFonts w:hint="eastAsia" w:ascii="仿宋_GB2312" w:hAnsi="仿宋_GB2312" w:eastAsia="仿宋_GB2312"/>
          <w:sz w:val="32"/>
          <w:szCs w:val="32"/>
        </w:rPr>
        <w:t>%。其中：</w:t>
      </w:r>
    </w:p>
    <w:p w14:paraId="23AAB6B5">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（一）</w:t>
      </w:r>
      <w:r>
        <w:rPr>
          <w:rFonts w:hint="eastAsia" w:ascii="仿宋_GB2312" w:hAnsi="仿宋_GB2312" w:eastAsia="仿宋_GB2312" w:cs="Times New Roman"/>
          <w:sz w:val="32"/>
          <w:szCs w:val="32"/>
          <w:lang w:val="en-US" w:eastAsia="zh-CN"/>
        </w:rPr>
        <w:t>教育支出</w:t>
      </w:r>
      <w:r>
        <w:rPr>
          <w:rFonts w:hint="eastAsia" w:ascii="仿宋_GB2312" w:hAnsi="仿宋_GB2312" w:eastAsia="仿宋_GB2312" w:cs="Times New Roman"/>
          <w:sz w:val="32"/>
          <w:szCs w:val="32"/>
        </w:rPr>
        <w:t>（类）年初预算数</w:t>
      </w:r>
      <w:r>
        <w:rPr>
          <w:rFonts w:hint="eastAsia" w:ascii="仿宋_GB2312" w:hAnsi="仿宋_GB2312" w:eastAsia="仿宋_GB2312" w:cs="Times New Roman"/>
          <w:sz w:val="32"/>
          <w:szCs w:val="32"/>
          <w:lang w:val="en-US" w:eastAsia="zh-CN"/>
        </w:rPr>
        <w:t>150.46</w:t>
      </w:r>
      <w:r>
        <w:rPr>
          <w:rFonts w:hint="eastAsia" w:ascii="仿宋_GB2312" w:hAnsi="仿宋_GB2312" w:eastAsia="仿宋_GB2312" w:cs="Times New Roman"/>
          <w:sz w:val="32"/>
          <w:szCs w:val="32"/>
        </w:rPr>
        <w:t>万元，决算数</w:t>
      </w:r>
      <w:r>
        <w:rPr>
          <w:rFonts w:hint="eastAsia" w:ascii="仿宋_GB2312" w:hAnsi="仿宋_GB2312" w:eastAsia="仿宋_GB2312" w:cs="Times New Roman"/>
          <w:sz w:val="32"/>
          <w:szCs w:val="32"/>
          <w:lang w:val="en-US" w:eastAsia="zh-CN"/>
        </w:rPr>
        <w:t>215.00</w:t>
      </w:r>
      <w:r>
        <w:rPr>
          <w:rFonts w:hint="eastAsia" w:ascii="仿宋_GB2312" w:hAnsi="仿宋_GB2312" w:eastAsia="仿宋_GB2312" w:cs="Times New Roman"/>
          <w:sz w:val="32"/>
          <w:szCs w:val="32"/>
        </w:rPr>
        <w:t>万元，完成年初预算的</w:t>
      </w:r>
      <w:r>
        <w:rPr>
          <w:rFonts w:hint="eastAsia" w:ascii="仿宋_GB2312" w:hAnsi="仿宋_GB2312" w:eastAsia="仿宋_GB2312" w:cs="Times New Roman"/>
          <w:sz w:val="32"/>
          <w:szCs w:val="32"/>
          <w:lang w:val="en-US" w:eastAsia="zh-CN"/>
        </w:rPr>
        <w:t>142.90</w:t>
      </w:r>
      <w:r>
        <w:rPr>
          <w:rFonts w:hint="eastAsia" w:ascii="仿宋_GB2312" w:hAnsi="仿宋_GB2312" w:eastAsia="仿宋_GB2312" w:cs="Times New Roman"/>
          <w:sz w:val="32"/>
          <w:szCs w:val="32"/>
        </w:rPr>
        <w:t>%。预决算差异主要原因：</w:t>
      </w:r>
      <w:r>
        <w:rPr>
          <w:rFonts w:hint="eastAsia" w:ascii="仿宋_GB2312" w:hAnsi="仿宋_GB2312" w:eastAsia="仿宋_GB2312" w:cs="Times New Roman"/>
          <w:sz w:val="32"/>
          <w:szCs w:val="32"/>
          <w:lang w:val="en-US" w:eastAsia="zh-CN"/>
        </w:rPr>
        <w:t>培训办班较2022年正常开展，财政追加经费</w:t>
      </w:r>
      <w:r>
        <w:rPr>
          <w:rFonts w:hint="eastAsia" w:ascii="仿宋_GB2312" w:hAnsi="仿宋_GB2312" w:eastAsia="仿宋_GB2312" w:cs="Times New Roman"/>
          <w:sz w:val="32"/>
          <w:szCs w:val="32"/>
        </w:rPr>
        <w:t xml:space="preserve">。 </w:t>
      </w:r>
    </w:p>
    <w:p w14:paraId="690A5FC0">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55EE5CA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2023年度一般公共预算财政拨款基本支出</w:t>
      </w:r>
      <w:r>
        <w:rPr>
          <w:rFonts w:hint="eastAsia" w:ascii="仿宋_GB2312" w:hAnsi="仿宋_GB2312" w:eastAsia="仿宋_GB2312"/>
          <w:sz w:val="32"/>
          <w:szCs w:val="32"/>
          <w:lang w:val="en-US" w:eastAsia="zh-CN"/>
        </w:rPr>
        <w:t>215.00</w:t>
      </w:r>
      <w:r>
        <w:rPr>
          <w:rFonts w:hint="eastAsia" w:ascii="仿宋_GB2312" w:hAnsi="仿宋_GB2312" w:eastAsia="仿宋_GB2312"/>
          <w:sz w:val="32"/>
          <w:szCs w:val="32"/>
        </w:rPr>
        <w:t>万元，其中：</w:t>
      </w:r>
    </w:p>
    <w:p w14:paraId="2AE494D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w:t>
      </w:r>
      <w:r>
        <w:rPr>
          <w:rFonts w:hint="eastAsia" w:ascii="仿宋_GB2312" w:hAnsi="仿宋_GB2312" w:eastAsia="仿宋_GB2312"/>
          <w:sz w:val="32"/>
          <w:szCs w:val="32"/>
          <w:lang w:val="en-US" w:eastAsia="zh-CN"/>
        </w:rPr>
        <w:t>干部教育</w:t>
      </w:r>
      <w:r>
        <w:rPr>
          <w:rFonts w:hint="eastAsia" w:ascii="仿宋_GB2312" w:hAnsi="仿宋_GB2312" w:eastAsia="仿宋_GB2312"/>
          <w:sz w:val="32"/>
          <w:szCs w:val="32"/>
        </w:rPr>
        <w:t>支出</w:t>
      </w:r>
      <w:r>
        <w:rPr>
          <w:rFonts w:hint="eastAsia" w:ascii="仿宋_GB2312" w:hAnsi="仿宋_GB2312" w:eastAsia="仿宋_GB2312"/>
          <w:sz w:val="32"/>
          <w:szCs w:val="32"/>
          <w:lang w:val="en-US" w:eastAsia="zh-CN"/>
        </w:rPr>
        <w:t>176</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88</w:t>
      </w:r>
      <w:r>
        <w:rPr>
          <w:rFonts w:hint="eastAsia" w:ascii="仿宋_GB2312" w:hAnsi="仿宋_GB2312" w:eastAsia="仿宋_GB2312"/>
          <w:sz w:val="32"/>
          <w:szCs w:val="32"/>
        </w:rPr>
        <w:t>万元，比上年增加</w:t>
      </w:r>
      <w:r>
        <w:rPr>
          <w:rFonts w:hint="eastAsia" w:ascii="仿宋_GB2312" w:hAnsi="仿宋_GB2312" w:eastAsia="仿宋_GB2312"/>
          <w:sz w:val="32"/>
          <w:szCs w:val="32"/>
          <w:lang w:val="en-US" w:eastAsia="zh-CN"/>
        </w:rPr>
        <w:t>35.12</w:t>
      </w:r>
      <w:r>
        <w:rPr>
          <w:rFonts w:hint="eastAsia" w:ascii="仿宋_GB2312" w:hAnsi="仿宋_GB2312" w:eastAsia="仿宋_GB2312"/>
          <w:sz w:val="32"/>
          <w:szCs w:val="32"/>
        </w:rPr>
        <w:t>万元</w:t>
      </w:r>
      <w:r>
        <w:rPr>
          <w:rFonts w:hint="eastAsia" w:ascii="仿宋_GB2312" w:hAnsi="仿宋_GB2312" w:eastAsia="仿宋_GB2312" w:cs="Times New Roman"/>
          <w:sz w:val="32"/>
          <w:szCs w:val="32"/>
        </w:rPr>
        <w:t>，增长</w:t>
      </w:r>
      <w:r>
        <w:rPr>
          <w:rFonts w:hint="eastAsia" w:ascii="仿宋_GB2312" w:hAnsi="仿宋_GB2312" w:eastAsia="仿宋_GB2312" w:cs="Times New Roman"/>
          <w:sz w:val="32"/>
          <w:szCs w:val="32"/>
          <w:lang w:val="en-US" w:eastAsia="zh-CN"/>
        </w:rPr>
        <w:t>24.77</w:t>
      </w:r>
      <w:r>
        <w:rPr>
          <w:rFonts w:hint="eastAsia" w:ascii="仿宋_GB2312" w:hAnsi="仿宋_GB2312" w:eastAsia="仿宋_GB2312" w:cs="Times New Roman"/>
          <w:sz w:val="32"/>
          <w:szCs w:val="32"/>
        </w:rPr>
        <w:t>%</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人员增加，所需经费增加，财政追加经费</w:t>
      </w:r>
      <w:r>
        <w:rPr>
          <w:rFonts w:hint="eastAsia" w:ascii="仿宋_GB2312" w:hAnsi="仿宋_GB2312" w:eastAsia="仿宋_GB2312"/>
          <w:sz w:val="32"/>
          <w:szCs w:val="32"/>
        </w:rPr>
        <w:t>。</w:t>
      </w:r>
    </w:p>
    <w:p w14:paraId="0AF1E7C1">
      <w:pPr>
        <w:ind w:firstLine="585"/>
        <w:jc w:val="left"/>
        <w:rPr>
          <w:rFonts w:hint="default" w:ascii="仿宋_GB2312" w:hAnsi="仿宋_GB2312" w:eastAsia="仿宋_GB2312"/>
          <w:sz w:val="32"/>
          <w:szCs w:val="32"/>
          <w:lang w:val="en-US" w:eastAsia="zh-CN"/>
        </w:rPr>
      </w:pPr>
      <w:r>
        <w:rPr>
          <w:rFonts w:hint="eastAsia" w:ascii="仿宋_GB2312" w:hAnsi="仿宋_GB2312" w:eastAsia="仿宋_GB2312"/>
          <w:sz w:val="32"/>
          <w:szCs w:val="32"/>
        </w:rPr>
        <w:t>（二）</w:t>
      </w:r>
      <w:r>
        <w:rPr>
          <w:rFonts w:hint="eastAsia" w:ascii="仿宋_GB2312" w:hAnsi="仿宋_GB2312" w:eastAsia="仿宋_GB2312"/>
          <w:sz w:val="32"/>
          <w:szCs w:val="32"/>
          <w:lang w:val="en-US" w:eastAsia="zh-CN"/>
        </w:rPr>
        <w:t>其他进修及培训38.12万元，比上年增加38.02万元，增长392.16%，主要原因：2022年因疫情原因开展其他进修培训较少，2023年其他培训支出增加。</w:t>
      </w:r>
    </w:p>
    <w:p w14:paraId="59AA2A9F">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635C7C66">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4857AAD0">
      <w:pPr>
        <w:ind w:firstLine="640" w:firstLineChars="20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年初未做此类预算安排，本年度也未发生此类支出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。全年安排因公出国（境）团组0个，累计0人次。</w:t>
      </w:r>
    </w:p>
    <w:p w14:paraId="1D0847AE">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0699997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年初未做此类预算安排，本年度也未发生此类支出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。全年使用财政拨款购置公务用车0辆。</w:t>
      </w:r>
    </w:p>
    <w:p w14:paraId="7C64AFED">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年初未做此类预算安排，本年度也未发生此类支出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。年末使用财政拨款负担费用的公务用车保有量0辆。</w:t>
      </w:r>
    </w:p>
    <w:p w14:paraId="3629E3AD">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年</w:t>
      </w:r>
      <w:r>
        <w:rPr>
          <w:rFonts w:hint="eastAsia" w:ascii="仿宋_GB2312" w:hAnsi="仿宋_GB2312" w:eastAsia="仿宋_GB2312"/>
          <w:sz w:val="32"/>
          <w:szCs w:val="32"/>
          <w:lang w:eastAsia="zh-CN"/>
        </w:rPr>
        <w:t>初未做此类预算安排，本年度也未发生此类支出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w:t>
      </w:r>
    </w:p>
    <w:p w14:paraId="75A8A24B">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5B3ED500">
      <w:pPr>
        <w:ind w:firstLine="630"/>
        <w:jc w:val="left"/>
        <w:rPr>
          <w:rFonts w:hint="default" w:ascii="仿宋_GB2312" w:hAnsi="仿宋_GB2312" w:eastAsia="仿宋_GB2312"/>
          <w:sz w:val="32"/>
          <w:szCs w:val="32"/>
          <w:highlight w:val="cyan"/>
          <w:lang w:val="en-US"/>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2023年度机关运行经费支出</w:t>
      </w:r>
      <w:r>
        <w:rPr>
          <w:rFonts w:hint="eastAsia" w:ascii="仿宋_GB2312" w:hAnsi="仿宋_GB2312" w:eastAsia="仿宋_GB2312"/>
          <w:sz w:val="32"/>
          <w:szCs w:val="32"/>
          <w:lang w:val="en-US" w:eastAsia="zh-CN"/>
        </w:rPr>
        <w:t>38.32</w:t>
      </w:r>
      <w:r>
        <w:rPr>
          <w:rFonts w:hint="eastAsia" w:ascii="仿宋_GB2312" w:hAnsi="仿宋_GB2312" w:eastAsia="仿宋_GB2312"/>
          <w:sz w:val="32"/>
          <w:szCs w:val="32"/>
        </w:rPr>
        <w:t>万元，决算数比上年增加</w:t>
      </w:r>
      <w:r>
        <w:rPr>
          <w:rFonts w:hint="eastAsia" w:ascii="仿宋_GB2312" w:hAnsi="仿宋_GB2312" w:eastAsia="仿宋_GB2312"/>
          <w:sz w:val="32"/>
          <w:szCs w:val="32"/>
          <w:lang w:val="en-US" w:eastAsia="zh-CN"/>
        </w:rPr>
        <w:t>16.83</w:t>
      </w:r>
      <w:r>
        <w:rPr>
          <w:rFonts w:hint="eastAsia" w:ascii="仿宋_GB2312" w:hAnsi="仿宋_GB2312" w:eastAsia="仿宋_GB2312"/>
          <w:sz w:val="32"/>
          <w:szCs w:val="32"/>
        </w:rPr>
        <w:t>万元</w:t>
      </w:r>
      <w:r>
        <w:rPr>
          <w:rFonts w:hint="eastAsia" w:ascii="仿宋_GB2312" w:hAnsi="仿宋_GB2312" w:eastAsia="仿宋_GB2312" w:cs="Times New Roman"/>
          <w:sz w:val="32"/>
          <w:szCs w:val="32"/>
        </w:rPr>
        <w:t>，增长</w:t>
      </w:r>
      <w:r>
        <w:rPr>
          <w:rFonts w:hint="eastAsia" w:ascii="仿宋_GB2312" w:hAnsi="仿宋_GB2312" w:eastAsia="仿宋_GB2312" w:cs="Times New Roman"/>
          <w:sz w:val="32"/>
          <w:szCs w:val="32"/>
          <w:lang w:val="en-US" w:eastAsia="zh-CN"/>
        </w:rPr>
        <w:t>78.32</w:t>
      </w:r>
      <w:r>
        <w:rPr>
          <w:rFonts w:hint="eastAsia" w:ascii="仿宋_GB2312" w:hAnsi="仿宋_GB2312" w:eastAsia="仿宋_GB2312" w:cs="Times New Roman"/>
          <w:sz w:val="32"/>
          <w:szCs w:val="32"/>
        </w:rPr>
        <w:t>%</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财政调整预算项目</w:t>
      </w:r>
      <w:bookmarkStart w:id="0" w:name="_GoBack"/>
      <w:bookmarkEnd w:id="0"/>
      <w:r>
        <w:rPr>
          <w:rFonts w:hint="eastAsia" w:ascii="仿宋_GB2312" w:hAnsi="仿宋_GB2312" w:eastAsia="仿宋_GB2312"/>
          <w:sz w:val="32"/>
          <w:szCs w:val="32"/>
          <w:lang w:val="en-US" w:eastAsia="zh-CN"/>
        </w:rPr>
        <w:t>，将弥补公积金列入机关运行经费支出中。</w:t>
      </w:r>
    </w:p>
    <w:p w14:paraId="7567102F">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1C42ADE3">
      <w:pPr>
        <w:pStyle w:val="10"/>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lang w:eastAsia="zh-CN"/>
        </w:rPr>
        <w:t>本</w:t>
      </w:r>
      <w:r>
        <w:rPr>
          <w:rFonts w:hint="eastAsia" w:ascii="仿宋_GB2312" w:hAnsi="仿宋_GB2312" w:eastAsia="仿宋_GB2312"/>
          <w:kern w:val="2"/>
          <w:sz w:val="32"/>
          <w:szCs w:val="32"/>
          <w:lang w:val="en-US" w:eastAsia="zh-CN"/>
        </w:rPr>
        <w:t>部门</w:t>
      </w:r>
      <w:r>
        <w:rPr>
          <w:rFonts w:hint="eastAsia" w:ascii="仿宋_GB2312" w:hAnsi="仿宋_GB2312" w:eastAsia="仿宋_GB2312"/>
          <w:kern w:val="2"/>
          <w:sz w:val="32"/>
          <w:szCs w:val="32"/>
        </w:rPr>
        <w:t>2023年度政府采购支出总额</w:t>
      </w:r>
      <w:r>
        <w:rPr>
          <w:rFonts w:hint="eastAsia" w:ascii="仿宋_GB2312" w:hAnsi="仿宋_GB2312" w:eastAsia="仿宋_GB2312"/>
          <w:kern w:val="2"/>
          <w:sz w:val="32"/>
          <w:szCs w:val="32"/>
          <w:lang w:val="en-US" w:eastAsia="zh-CN"/>
        </w:rPr>
        <w:t>3.79</w:t>
      </w:r>
      <w:r>
        <w:rPr>
          <w:rFonts w:hint="eastAsia" w:ascii="仿宋_GB2312" w:hAnsi="仿宋_GB2312" w:eastAsia="仿宋_GB2312"/>
          <w:kern w:val="2"/>
          <w:sz w:val="32"/>
          <w:szCs w:val="32"/>
        </w:rPr>
        <w:t>万元，其中：政府采购货物支出</w:t>
      </w:r>
      <w:r>
        <w:rPr>
          <w:rFonts w:hint="eastAsia" w:ascii="仿宋_GB2312" w:hAnsi="仿宋_GB2312" w:eastAsia="仿宋_GB2312"/>
          <w:kern w:val="2"/>
          <w:sz w:val="32"/>
          <w:szCs w:val="32"/>
          <w:lang w:val="en-US" w:eastAsia="zh-CN"/>
        </w:rPr>
        <w:t>3.79</w:t>
      </w:r>
      <w:r>
        <w:rPr>
          <w:rFonts w:hint="eastAsia" w:ascii="仿宋_GB2312" w:hAnsi="仿宋_GB2312" w:eastAsia="仿宋_GB2312"/>
          <w:kern w:val="2"/>
          <w:sz w:val="32"/>
          <w:szCs w:val="32"/>
        </w:rPr>
        <w:t>万元、政府采购工程支出0.00万元、政府采购服务支出0.00万元。授予中小企业合同金额0.00万元，占政府采购支出总额的0.00%，其中：授予小微企业合同金额</w:t>
      </w:r>
      <w:r>
        <w:rPr>
          <w:rFonts w:hint="eastAsia" w:ascii="仿宋_GB2312" w:hAnsi="仿宋_GB2312" w:eastAsia="仿宋_GB2312"/>
          <w:kern w:val="2"/>
          <w:sz w:val="32"/>
          <w:szCs w:val="32"/>
          <w:lang w:val="en-US" w:eastAsia="zh-CN"/>
        </w:rPr>
        <w:t>3.79</w:t>
      </w:r>
      <w:r>
        <w:rPr>
          <w:rFonts w:hint="eastAsia" w:ascii="仿宋_GB2312" w:hAnsi="仿宋_GB2312" w:eastAsia="仿宋_GB2312"/>
          <w:kern w:val="2"/>
          <w:sz w:val="32"/>
          <w:szCs w:val="32"/>
        </w:rPr>
        <w:t>万元，占授予中小企业合同金额的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.00%。</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kern w:val="2"/>
          <w:sz w:val="32"/>
          <w:szCs w:val="32"/>
        </w:rPr>
        <w:t>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%，工程</w:t>
      </w:r>
      <w:r>
        <w:rPr>
          <w:rFonts w:hint="eastAsia" w:ascii="仿宋_GB2312" w:hAnsi="仿宋_GB2312" w:eastAsia="仿宋_GB2312"/>
          <w:sz w:val="32"/>
          <w:szCs w:val="32"/>
        </w:rPr>
        <w:t>采购授予中小企业合同金额占工程支出金额的</w:t>
      </w:r>
      <w:r>
        <w:rPr>
          <w:rFonts w:hint="eastAsia" w:ascii="仿宋_GB2312" w:hAnsi="仿宋_GB2312" w:eastAsia="仿宋_GB2312"/>
          <w:sz w:val="32"/>
          <w:szCs w:val="32"/>
          <w:lang w:val="en-US" w:eastAsia="zh-CN"/>
        </w:rPr>
        <w:t>0.00</w:t>
      </w:r>
      <w:r>
        <w:rPr>
          <w:rFonts w:hint="eastAsia" w:ascii="仿宋_GB2312" w:hAnsi="仿宋_GB2312" w:eastAsia="仿宋_GB2312"/>
          <w:sz w:val="32"/>
          <w:szCs w:val="32"/>
        </w:rPr>
        <w:t>%，服务采购授予中小企业合同金额占服务支出金额的</w:t>
      </w:r>
      <w:r>
        <w:rPr>
          <w:rFonts w:hint="eastAsia" w:ascii="仿宋_GB2312" w:hAnsi="仿宋_GB2312" w:eastAsia="仿宋_GB2312"/>
          <w:sz w:val="32"/>
          <w:szCs w:val="32"/>
          <w:lang w:val="en-US" w:eastAsia="zh-CN"/>
        </w:rPr>
        <w:t>0.00</w:t>
      </w:r>
      <w:r>
        <w:rPr>
          <w:rFonts w:hint="eastAsia" w:ascii="仿宋_GB2312" w:hAnsi="仿宋_GB2312" w:eastAsia="仿宋_GB2312"/>
          <w:sz w:val="32"/>
          <w:szCs w:val="32"/>
        </w:rPr>
        <w:t>%。</w:t>
      </w:r>
    </w:p>
    <w:p w14:paraId="603B64B3">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27EA18B9">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w:t>
      </w:r>
    </w:p>
    <w:p w14:paraId="2BD72D4A">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（一）副部(省)级及以上领导用车0辆；</w:t>
      </w:r>
    </w:p>
    <w:p w14:paraId="6C861F02">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（二）主要领导干部用车0辆；</w:t>
      </w:r>
    </w:p>
    <w:p w14:paraId="7A4A0847">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（三）机要通信用车0辆；</w:t>
      </w:r>
    </w:p>
    <w:p w14:paraId="2B5B4397">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（四）应急保障用车0辆；</w:t>
      </w:r>
    </w:p>
    <w:p w14:paraId="5241BE3A">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（五）执法执勤用车0辆；</w:t>
      </w:r>
    </w:p>
    <w:p w14:paraId="2CAB8A7A">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（六）特种专业技术用车0辆；</w:t>
      </w:r>
    </w:p>
    <w:p w14:paraId="333A4EEC">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（七）离退休干部用车0辆；</w:t>
      </w:r>
    </w:p>
    <w:p w14:paraId="277DC13A">
      <w:pPr>
        <w:ind w:firstLine="630"/>
        <w:jc w:val="left"/>
        <w:rPr>
          <w:rFonts w:hint="eastAsia" w:ascii="仿宋_GB2312" w:hAnsi="仿宋_GB2312" w:eastAsia="仿宋_GB2312"/>
          <w:kern w:val="0"/>
          <w:sz w:val="32"/>
          <w:szCs w:val="32"/>
        </w:rPr>
      </w:pPr>
      <w:r>
        <w:rPr>
          <w:rFonts w:hint="eastAsia" w:ascii="仿宋_GB2312" w:hAnsi="仿宋_GB2312" w:eastAsia="仿宋_GB2312"/>
          <w:kern w:val="0"/>
          <w:sz w:val="32"/>
          <w:szCs w:val="32"/>
        </w:rPr>
        <w:t>（八）其他用车0辆；</w:t>
      </w:r>
    </w:p>
    <w:p w14:paraId="55C93039">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（九）单位价值50万元以上通用设备0台(套);单位价值100万元以上设备0台(套)。</w:t>
      </w:r>
    </w:p>
    <w:p w14:paraId="4FA3AA63">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1E324A58">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71FDEBEF">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部门</w:t>
      </w:r>
      <w:r>
        <w:rPr>
          <w:rFonts w:hint="eastAsia" w:ascii="仿宋_GB2312" w:hAnsi="仿宋_GB2312" w:eastAsia="仿宋_GB2312" w:cs="仿宋_GB2312"/>
          <w:kern w:val="0"/>
          <w:sz w:val="32"/>
          <w:szCs w:val="32"/>
        </w:rPr>
        <w:t>组织对纳入2023年度部门预算范围的二级项目</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 xml:space="preserve">个全面开展绩效自评，共涉及资金   </w:t>
      </w:r>
      <w:r>
        <w:rPr>
          <w:rFonts w:hint="eastAsia" w:ascii="仿宋_GB2312" w:hAnsi="仿宋_GB2312" w:eastAsia="仿宋_GB2312" w:cs="仿宋_GB2312"/>
          <w:kern w:val="0"/>
          <w:sz w:val="32"/>
          <w:szCs w:val="32"/>
          <w:lang w:val="en-US" w:eastAsia="zh-CN"/>
        </w:rPr>
        <w:t xml:space="preserve">       32.69</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个项目评价结果为“优”，</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14:paraId="48F6E2DB">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组织开展部门整体支出绩效评价，涉及一般公共预算支出</w:t>
      </w:r>
      <w:r>
        <w:rPr>
          <w:rFonts w:hint="eastAsia" w:ascii="仿宋_GB2312" w:hAnsi="仿宋_GB2312" w:eastAsia="仿宋_GB2312" w:cs="仿宋_GB2312"/>
          <w:kern w:val="0"/>
          <w:sz w:val="32"/>
          <w:szCs w:val="32"/>
          <w:lang w:val="en-US" w:eastAsia="zh-CN"/>
        </w:rPr>
        <w:t>215.00</w:t>
      </w:r>
      <w:r>
        <w:rPr>
          <w:rFonts w:hint="eastAsia" w:ascii="仿宋_GB2312" w:hAnsi="仿宋_GB2312" w:eastAsia="仿宋_GB2312" w:cs="仿宋_GB2312"/>
          <w:kern w:val="0"/>
          <w:sz w:val="32"/>
          <w:szCs w:val="32"/>
        </w:rPr>
        <w:t>万元，政府性基金预算支出0.00万元，评价结果为“优”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 xml:space="preserve">从评价情况看，一是加强了预算执行。二是健全完善资金管理制度，遵循统筹兼顾、规范公正、突出重点、注重绩效的原则，切实明细资金使用范围，提高经费管理水平和资金使用效益。三是切实加强资金的使用监督，对于下拨的资金要安排跟踪监督检查，按照绩效管理的要求，及时进行绩效检査，达到预期绩效目标。   </w:t>
      </w:r>
    </w:p>
    <w:p w14:paraId="00832486">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部门</w:t>
      </w:r>
      <w:r>
        <w:rPr>
          <w:rFonts w:hint="eastAsia" w:ascii="仿宋_GB2312" w:hAnsi="仿宋_GB2312" w:eastAsia="仿宋_GB2312" w:cs="仿宋_GB2312"/>
          <w:b/>
          <w:bCs/>
          <w:kern w:val="0"/>
          <w:sz w:val="32"/>
          <w:szCs w:val="32"/>
        </w:rPr>
        <w:t>决算中项目绩效自评情况。</w:t>
      </w:r>
    </w:p>
    <w:p w14:paraId="2E2F84BC">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本</w:t>
      </w:r>
      <w:r>
        <w:rPr>
          <w:rFonts w:hint="eastAsia" w:ascii="仿宋_GB2312" w:hAnsi="仿宋_GB2312" w:eastAsia="仿宋_GB2312" w:cs="仿宋_GB2312"/>
          <w:kern w:val="0"/>
          <w:sz w:val="32"/>
          <w:szCs w:val="32"/>
          <w:lang w:val="en-US" w:eastAsia="zh-CN"/>
        </w:rPr>
        <w:t>部门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主体班培训经费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w:t>
      </w:r>
      <w:r>
        <w:rPr>
          <w:rFonts w:hint="eastAsia" w:ascii="仿宋_GB2312" w:hAnsi="仿宋_GB2312" w:eastAsia="仿宋_GB2312" w:cs="仿宋_GB2312"/>
          <w:kern w:val="0"/>
          <w:sz w:val="32"/>
          <w:szCs w:val="32"/>
          <w:lang w:eastAsia="zh-CN"/>
        </w:rPr>
        <w:t>如下：</w:t>
      </w:r>
    </w:p>
    <w:p w14:paraId="4576D554">
      <w:pPr>
        <w:pStyle w:val="4"/>
        <w:rPr>
          <w:rFonts w:hint="eastAsia" w:ascii="仿宋_GB2312" w:hAnsi="仿宋_GB2312" w:eastAsia="仿宋_GB2312" w:cs="仿宋_GB2312"/>
          <w:kern w:val="0"/>
          <w:sz w:val="32"/>
          <w:szCs w:val="32"/>
          <w:lang w:eastAsia="zh-CN"/>
        </w:rPr>
      </w:pPr>
    </w:p>
    <w:p w14:paraId="65462ACA">
      <w:pPr>
        <w:rPr>
          <w:rFonts w:hint="eastAsia" w:ascii="仿宋_GB2312" w:hAnsi="仿宋_GB2312" w:eastAsia="仿宋_GB2312" w:cs="仿宋_GB2312"/>
          <w:kern w:val="0"/>
          <w:sz w:val="32"/>
          <w:szCs w:val="32"/>
          <w:lang w:eastAsia="zh-CN"/>
        </w:rPr>
      </w:pPr>
    </w:p>
    <w:p w14:paraId="00916799">
      <w:pPr>
        <w:rPr>
          <w:rFonts w:hint="eastAsia" w:ascii="仿宋_GB2312" w:hAnsi="仿宋_GB2312" w:eastAsia="仿宋_GB2312" w:cs="仿宋_GB2312"/>
          <w:kern w:val="0"/>
          <w:sz w:val="32"/>
          <w:szCs w:val="32"/>
          <w:lang w:eastAsia="zh-CN"/>
        </w:rPr>
      </w:pPr>
    </w:p>
    <w:p w14:paraId="79FD6326">
      <w:pPr>
        <w:pStyle w:val="4"/>
        <w:ind w:left="0" w:leftChars="0" w:firstLine="0" w:firstLineChars="0"/>
        <w:rPr>
          <w:rFonts w:hint="eastAsia" w:ascii="仿宋_GB2312" w:hAnsi="仿宋_GB2312" w:eastAsia="仿宋_GB2312" w:cs="仿宋_GB2312"/>
          <w:kern w:val="0"/>
          <w:sz w:val="32"/>
          <w:szCs w:val="32"/>
          <w:lang w:eastAsia="zh-CN"/>
        </w:rPr>
      </w:pPr>
    </w:p>
    <w:p w14:paraId="4F6C6EA2">
      <w:pPr>
        <w:rPr>
          <w:rFonts w:hint="eastAsia"/>
          <w:lang w:eastAsia="zh-CN"/>
        </w:rPr>
      </w:pPr>
    </w:p>
    <w:tbl>
      <w:tblPr>
        <w:tblStyle w:val="8"/>
        <w:tblW w:w="11039" w:type="dxa"/>
        <w:tblInd w:w="-10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9"/>
        <w:gridCol w:w="575"/>
        <w:gridCol w:w="599"/>
        <w:gridCol w:w="1611"/>
        <w:gridCol w:w="1382"/>
        <w:gridCol w:w="200"/>
        <w:gridCol w:w="1259"/>
        <w:gridCol w:w="1141"/>
        <w:gridCol w:w="554"/>
        <w:gridCol w:w="656"/>
        <w:gridCol w:w="656"/>
        <w:gridCol w:w="617"/>
      </w:tblGrid>
      <w:tr w14:paraId="79C7A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1039" w:type="dxa"/>
            <w:gridSpan w:val="12"/>
            <w:tcBorders>
              <w:top w:val="nil"/>
              <w:left w:val="nil"/>
              <w:bottom w:val="nil"/>
              <w:right w:val="nil"/>
            </w:tcBorders>
            <w:shd w:val="clear" w:color="auto" w:fill="auto"/>
            <w:vAlign w:val="center"/>
          </w:tcPr>
          <w:p w14:paraId="6AC43734">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0767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1039" w:type="dxa"/>
            <w:gridSpan w:val="12"/>
            <w:tcBorders>
              <w:top w:val="nil"/>
              <w:left w:val="nil"/>
              <w:bottom w:val="nil"/>
              <w:right w:val="nil"/>
            </w:tcBorders>
            <w:shd w:val="clear" w:color="auto" w:fill="auto"/>
            <w:vAlign w:val="center"/>
          </w:tcPr>
          <w:p w14:paraId="43C44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7EEE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2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C9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96D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主体班培训经费</w:t>
            </w:r>
          </w:p>
        </w:tc>
      </w:tr>
      <w:tr w14:paraId="09B0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5F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05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0EF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中共南昌市青云谱区委党校(部门)</w:t>
            </w: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CD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AF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中共南昌市青云谱区委党校</w:t>
            </w:r>
          </w:p>
        </w:tc>
      </w:tr>
      <w:tr w14:paraId="61E7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CF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C892F">
            <w:pPr>
              <w:jc w:val="center"/>
              <w:rPr>
                <w:rFonts w:hint="eastAsia" w:ascii="宋体" w:hAnsi="宋体" w:eastAsia="宋体" w:cs="宋体"/>
                <w:i w:val="0"/>
                <w:iCs w:val="0"/>
                <w:color w:val="000000"/>
                <w:sz w:val="22"/>
                <w:szCs w:val="22"/>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37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41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FA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B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4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9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0732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905D6">
            <w:pPr>
              <w:jc w:val="center"/>
              <w:rPr>
                <w:rFonts w:hint="eastAsia" w:ascii="宋体" w:hAnsi="宋体" w:eastAsia="宋体" w:cs="宋体"/>
                <w:i w:val="0"/>
                <w:iCs w:val="0"/>
                <w:color w:val="000000"/>
                <w:sz w:val="18"/>
                <w:szCs w:val="18"/>
                <w:u w:val="none"/>
              </w:rPr>
            </w:pPr>
          </w:p>
        </w:tc>
        <w:tc>
          <w:tcPr>
            <w:tcW w:w="22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985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8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7</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F3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7</w:t>
            </w: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ED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32.69</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3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D0E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98.6</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0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5F66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63B86">
            <w:pPr>
              <w:jc w:val="center"/>
              <w:rPr>
                <w:rFonts w:hint="eastAsia" w:ascii="宋体" w:hAnsi="宋体" w:eastAsia="宋体" w:cs="宋体"/>
                <w:i w:val="0"/>
                <w:iCs w:val="0"/>
                <w:color w:val="000000"/>
                <w:sz w:val="18"/>
                <w:szCs w:val="18"/>
                <w:u w:val="none"/>
              </w:rPr>
            </w:pPr>
          </w:p>
        </w:tc>
        <w:tc>
          <w:tcPr>
            <w:tcW w:w="22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580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6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7</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08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7</w:t>
            </w: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9A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32.690415</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C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29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98.6</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2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DC89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10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04B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6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45D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1F3D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E9A0B">
            <w:pPr>
              <w:jc w:val="center"/>
              <w:rPr>
                <w:rFonts w:hint="eastAsia" w:ascii="宋体" w:hAnsi="宋体" w:eastAsia="宋体" w:cs="宋体"/>
                <w:i w:val="0"/>
                <w:iCs w:val="0"/>
                <w:color w:val="000000"/>
                <w:sz w:val="18"/>
                <w:szCs w:val="18"/>
                <w:u w:val="none"/>
              </w:rPr>
            </w:pPr>
          </w:p>
        </w:tc>
        <w:tc>
          <w:tcPr>
            <w:tcW w:w="56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9DB75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抓好领导干部党性教育和思想理论建设，培养造就忠诚干净担当的高素质专业化队伍，充分发挥全区干部教育培训主阵地和党性锤炼大熔炉作用。</w:t>
            </w:r>
          </w:p>
        </w:tc>
        <w:tc>
          <w:tcPr>
            <w:tcW w:w="36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C36C2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2023年举办了秋季中青年干部政治理论培训班</w:t>
            </w:r>
            <w:r>
              <w:rPr>
                <w:rFonts w:hint="eastAsia" w:ascii="宋体" w:hAnsi="宋体" w:cs="宋体"/>
                <w:i w:val="0"/>
                <w:iCs w:val="0"/>
                <w:color w:val="000000"/>
                <w:kern w:val="0"/>
                <w:sz w:val="22"/>
                <w:szCs w:val="22"/>
                <w:u w:val="none"/>
                <w:lang w:val="en-US" w:eastAsia="zh-CN" w:bidi="ar"/>
              </w:rPr>
              <w:t>，培训了46名科级干部，其中包括4名党外干部，授课39节；组织了为期一周的异地培训，其中专题教学5节，圆满完成了培训任务</w:t>
            </w:r>
          </w:p>
        </w:tc>
      </w:tr>
      <w:tr w14:paraId="77FC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7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5DA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D1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9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BD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1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7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5C1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56"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6192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41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3648D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AFF1F1">
            <w:pPr>
              <w:jc w:val="center"/>
              <w:rPr>
                <w:rFonts w:hint="eastAsia" w:ascii="宋体" w:hAnsi="宋体" w:eastAsia="宋体" w:cs="宋体"/>
                <w:i w:val="0"/>
                <w:iCs w:val="0"/>
                <w:color w:val="000000"/>
                <w:sz w:val="18"/>
                <w:szCs w:val="18"/>
                <w:u w:val="none"/>
              </w:rPr>
            </w:pPr>
          </w:p>
        </w:tc>
        <w:tc>
          <w:tcPr>
            <w:tcW w:w="11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E7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3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E58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项目预算控制数（万））</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4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33.1</w:t>
            </w:r>
            <w:r>
              <w:rPr>
                <w:rFonts w:hint="eastAsia" w:ascii="宋体" w:hAnsi="宋体" w:eastAsia="宋体" w:cs="宋体"/>
                <w:i w:val="0"/>
                <w:iCs w:val="0"/>
                <w:color w:val="000000"/>
                <w:kern w:val="0"/>
                <w:sz w:val="22"/>
                <w:szCs w:val="22"/>
                <w:u w:val="none"/>
                <w:lang w:val="en-US" w:eastAsia="zh-CN" w:bidi="ar"/>
              </w:rPr>
              <w:t>7万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2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32.69</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A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2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45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经费支出控制在预算指标内</w:t>
            </w:r>
          </w:p>
        </w:tc>
      </w:tr>
      <w:tr w14:paraId="6530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8359C9">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52D1C">
            <w:pPr>
              <w:jc w:val="center"/>
              <w:rPr>
                <w:rFonts w:hint="eastAsia" w:ascii="宋体" w:hAnsi="宋体" w:eastAsia="宋体" w:cs="宋体"/>
                <w:i w:val="0"/>
                <w:iCs w:val="0"/>
                <w:color w:val="000000"/>
                <w:sz w:val="18"/>
                <w:szCs w:val="18"/>
                <w:u w:val="none"/>
              </w:rPr>
            </w:pP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C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94775">
            <w:pPr>
              <w:jc w:val="left"/>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02E8">
            <w:pPr>
              <w:jc w:val="center"/>
              <w:rPr>
                <w:rFonts w:hint="eastAsia" w:ascii="宋体" w:hAnsi="宋体" w:eastAsia="宋体" w:cs="宋体"/>
                <w:i w:val="0"/>
                <w:iCs w:val="0"/>
                <w:color w:val="000000"/>
                <w:sz w:val="22"/>
                <w:szCs w:val="22"/>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B3B5">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05F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DB0D">
            <w:pPr>
              <w:jc w:val="center"/>
              <w:rPr>
                <w:rFonts w:hint="eastAsia" w:ascii="宋体" w:hAnsi="宋体" w:eastAsia="宋体" w:cs="宋体"/>
                <w:i w:val="0"/>
                <w:iCs w:val="0"/>
                <w:color w:val="000000"/>
                <w:sz w:val="22"/>
                <w:szCs w:val="22"/>
                <w:u w:val="none"/>
              </w:rPr>
            </w:pP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731D1">
            <w:pPr>
              <w:jc w:val="center"/>
              <w:rPr>
                <w:rFonts w:hint="eastAsia" w:ascii="宋体" w:hAnsi="宋体" w:eastAsia="宋体" w:cs="宋体"/>
                <w:i w:val="0"/>
                <w:iCs w:val="0"/>
                <w:color w:val="000000"/>
                <w:sz w:val="22"/>
                <w:szCs w:val="22"/>
                <w:u w:val="none"/>
              </w:rPr>
            </w:pPr>
          </w:p>
        </w:tc>
      </w:tr>
      <w:tr w14:paraId="54E90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A4CA0C">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246FA">
            <w:pPr>
              <w:jc w:val="center"/>
              <w:rPr>
                <w:rFonts w:hint="eastAsia" w:ascii="宋体" w:hAnsi="宋体" w:eastAsia="宋体" w:cs="宋体"/>
                <w:i w:val="0"/>
                <w:iCs w:val="0"/>
                <w:color w:val="000000"/>
                <w:sz w:val="18"/>
                <w:szCs w:val="18"/>
                <w:u w:val="none"/>
              </w:rPr>
            </w:pP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0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AE74C">
            <w:pPr>
              <w:jc w:val="left"/>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5AD3">
            <w:pPr>
              <w:jc w:val="center"/>
              <w:rPr>
                <w:rFonts w:hint="eastAsia" w:ascii="宋体" w:hAnsi="宋体" w:eastAsia="宋体" w:cs="宋体"/>
                <w:i w:val="0"/>
                <w:iCs w:val="0"/>
                <w:color w:val="000000"/>
                <w:sz w:val="22"/>
                <w:szCs w:val="22"/>
                <w:u w:val="none"/>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D24D">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7E4A">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369C">
            <w:pPr>
              <w:jc w:val="center"/>
              <w:rPr>
                <w:rFonts w:hint="eastAsia" w:ascii="宋体" w:hAnsi="宋体" w:eastAsia="宋体" w:cs="宋体"/>
                <w:i w:val="0"/>
                <w:iCs w:val="0"/>
                <w:color w:val="000000"/>
                <w:sz w:val="22"/>
                <w:szCs w:val="22"/>
                <w:u w:val="none"/>
              </w:rPr>
            </w:pP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D3A6E">
            <w:pPr>
              <w:jc w:val="center"/>
              <w:rPr>
                <w:rFonts w:hint="eastAsia" w:ascii="宋体" w:hAnsi="宋体" w:eastAsia="宋体" w:cs="宋体"/>
                <w:i w:val="0"/>
                <w:iCs w:val="0"/>
                <w:color w:val="000000"/>
                <w:sz w:val="22"/>
                <w:szCs w:val="22"/>
                <w:u w:val="none"/>
              </w:rPr>
            </w:pPr>
          </w:p>
        </w:tc>
      </w:tr>
      <w:tr w14:paraId="1393C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BAB6A6C">
            <w:pPr>
              <w:jc w:val="center"/>
              <w:rPr>
                <w:rFonts w:hint="eastAsia" w:ascii="宋体" w:hAnsi="宋体" w:eastAsia="宋体" w:cs="宋体"/>
                <w:i w:val="0"/>
                <w:iCs w:val="0"/>
                <w:color w:val="000000"/>
                <w:sz w:val="18"/>
                <w:szCs w:val="18"/>
                <w:u w:val="none"/>
              </w:rPr>
            </w:pPr>
          </w:p>
        </w:tc>
        <w:tc>
          <w:tcPr>
            <w:tcW w:w="11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98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ED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4C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培训人数（人））</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B95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40≤培训人数≤50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97D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F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4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796E1">
            <w:pPr>
              <w:jc w:val="center"/>
              <w:rPr>
                <w:rFonts w:hint="eastAsia" w:ascii="宋体" w:hAnsi="宋体" w:eastAsia="宋体" w:cs="宋体"/>
                <w:i w:val="0"/>
                <w:iCs w:val="0"/>
                <w:color w:val="000000"/>
                <w:sz w:val="22"/>
                <w:szCs w:val="22"/>
                <w:u w:val="none"/>
              </w:rPr>
            </w:pPr>
          </w:p>
        </w:tc>
      </w:tr>
      <w:tr w14:paraId="0409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D641D7">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10207">
            <w:pPr>
              <w:jc w:val="center"/>
              <w:rPr>
                <w:rFonts w:hint="eastAsia" w:ascii="宋体" w:hAnsi="宋体" w:eastAsia="宋体" w:cs="宋体"/>
                <w:i w:val="0"/>
                <w:iCs w:val="0"/>
                <w:color w:val="000000"/>
                <w:sz w:val="18"/>
                <w:szCs w:val="18"/>
                <w:u w:val="none"/>
              </w:rPr>
            </w:pPr>
          </w:p>
        </w:tc>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7525A">
            <w:pPr>
              <w:jc w:val="center"/>
              <w:rPr>
                <w:rFonts w:hint="eastAsia" w:ascii="宋体" w:hAnsi="宋体" w:eastAsia="宋体" w:cs="宋体"/>
                <w:i w:val="0"/>
                <w:iCs w:val="0"/>
                <w:color w:val="000000"/>
                <w:sz w:val="18"/>
                <w:szCs w:val="18"/>
                <w:u w:val="none"/>
              </w:rPr>
            </w:pP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D95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培训次数（次））</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6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次</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74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1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8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E21A9">
            <w:pPr>
              <w:jc w:val="center"/>
              <w:rPr>
                <w:rFonts w:hint="eastAsia" w:ascii="宋体" w:hAnsi="宋体" w:eastAsia="宋体" w:cs="宋体"/>
                <w:i w:val="0"/>
                <w:iCs w:val="0"/>
                <w:color w:val="000000"/>
                <w:sz w:val="22"/>
                <w:szCs w:val="22"/>
                <w:u w:val="none"/>
              </w:rPr>
            </w:pPr>
          </w:p>
        </w:tc>
      </w:tr>
      <w:tr w14:paraId="2754F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BF02E5E">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68FD">
            <w:pPr>
              <w:jc w:val="center"/>
              <w:rPr>
                <w:rFonts w:hint="eastAsia" w:ascii="宋体" w:hAnsi="宋体" w:eastAsia="宋体" w:cs="宋体"/>
                <w:i w:val="0"/>
                <w:iCs w:val="0"/>
                <w:color w:val="000000"/>
                <w:sz w:val="18"/>
                <w:szCs w:val="18"/>
                <w:u w:val="none"/>
              </w:rPr>
            </w:pP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F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4B1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培训资料发放人数达标率</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F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DE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B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0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0374E">
            <w:pPr>
              <w:jc w:val="center"/>
              <w:rPr>
                <w:rFonts w:hint="eastAsia" w:ascii="宋体" w:hAnsi="宋体" w:eastAsia="宋体" w:cs="宋体"/>
                <w:i w:val="0"/>
                <w:iCs w:val="0"/>
                <w:color w:val="000000"/>
                <w:sz w:val="22"/>
                <w:szCs w:val="22"/>
                <w:u w:val="none"/>
              </w:rPr>
            </w:pPr>
          </w:p>
        </w:tc>
      </w:tr>
      <w:tr w14:paraId="1ED38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ECB199">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1B783">
            <w:pPr>
              <w:jc w:val="center"/>
              <w:rPr>
                <w:rFonts w:hint="eastAsia" w:ascii="宋体" w:hAnsi="宋体" w:eastAsia="宋体" w:cs="宋体"/>
                <w:i w:val="0"/>
                <w:iCs w:val="0"/>
                <w:color w:val="000000"/>
                <w:sz w:val="18"/>
                <w:szCs w:val="18"/>
                <w:u w:val="none"/>
              </w:rPr>
            </w:pP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7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8DF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规划按时完成率</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3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F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3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9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53E01">
            <w:pPr>
              <w:jc w:val="center"/>
              <w:rPr>
                <w:rFonts w:hint="eastAsia" w:ascii="宋体" w:hAnsi="宋体" w:eastAsia="宋体" w:cs="宋体"/>
                <w:i w:val="0"/>
                <w:iCs w:val="0"/>
                <w:color w:val="000000"/>
                <w:sz w:val="22"/>
                <w:szCs w:val="22"/>
                <w:u w:val="none"/>
              </w:rPr>
            </w:pPr>
          </w:p>
        </w:tc>
      </w:tr>
      <w:tr w14:paraId="48493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AC1454">
            <w:pPr>
              <w:jc w:val="center"/>
              <w:rPr>
                <w:rFonts w:hint="eastAsia" w:ascii="宋体" w:hAnsi="宋体" w:eastAsia="宋体" w:cs="宋体"/>
                <w:i w:val="0"/>
                <w:iCs w:val="0"/>
                <w:color w:val="000000"/>
                <w:sz w:val="18"/>
                <w:szCs w:val="18"/>
                <w:u w:val="none"/>
              </w:rPr>
            </w:pPr>
          </w:p>
        </w:tc>
        <w:tc>
          <w:tcPr>
            <w:tcW w:w="11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1A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C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B68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资金使用合理化</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3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B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8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6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B66A9">
            <w:pPr>
              <w:jc w:val="center"/>
              <w:rPr>
                <w:rFonts w:hint="eastAsia" w:ascii="宋体" w:hAnsi="宋体" w:eastAsia="宋体" w:cs="宋体"/>
                <w:i w:val="0"/>
                <w:iCs w:val="0"/>
                <w:color w:val="000000"/>
                <w:sz w:val="22"/>
                <w:szCs w:val="22"/>
                <w:u w:val="none"/>
              </w:rPr>
            </w:pPr>
          </w:p>
        </w:tc>
      </w:tr>
      <w:tr w14:paraId="45EF2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64A1AD">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B144F">
            <w:pPr>
              <w:jc w:val="center"/>
              <w:rPr>
                <w:rFonts w:hint="eastAsia" w:ascii="宋体" w:hAnsi="宋体" w:eastAsia="宋体" w:cs="宋体"/>
                <w:i w:val="0"/>
                <w:iCs w:val="0"/>
                <w:color w:val="000000"/>
                <w:sz w:val="18"/>
                <w:szCs w:val="18"/>
                <w:u w:val="none"/>
              </w:rPr>
            </w:pP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6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B7D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培训普及率</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2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C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6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D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77A15">
            <w:pPr>
              <w:jc w:val="center"/>
              <w:rPr>
                <w:rFonts w:hint="eastAsia" w:ascii="宋体" w:hAnsi="宋体" w:eastAsia="宋体" w:cs="宋体"/>
                <w:i w:val="0"/>
                <w:iCs w:val="0"/>
                <w:color w:val="000000"/>
                <w:sz w:val="22"/>
                <w:szCs w:val="22"/>
                <w:u w:val="none"/>
              </w:rPr>
            </w:pPr>
          </w:p>
        </w:tc>
      </w:tr>
      <w:tr w14:paraId="6D8B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E28FCB">
            <w:pPr>
              <w:jc w:val="center"/>
              <w:rPr>
                <w:rFonts w:hint="eastAsia" w:ascii="宋体" w:hAnsi="宋体" w:eastAsia="宋体" w:cs="宋体"/>
                <w:i w:val="0"/>
                <w:iCs w:val="0"/>
                <w:color w:val="000000"/>
                <w:sz w:val="18"/>
                <w:szCs w:val="18"/>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81BB6">
            <w:pPr>
              <w:jc w:val="center"/>
              <w:rPr>
                <w:rFonts w:hint="eastAsia" w:ascii="宋体" w:hAnsi="宋体" w:eastAsia="宋体" w:cs="宋体"/>
                <w:i w:val="0"/>
                <w:iCs w:val="0"/>
                <w:color w:val="000000"/>
                <w:sz w:val="18"/>
                <w:szCs w:val="18"/>
                <w:u w:val="none"/>
              </w:rPr>
            </w:pP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7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252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项目的可持续性</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E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A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C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D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85DD3">
            <w:pPr>
              <w:jc w:val="center"/>
              <w:rPr>
                <w:rFonts w:hint="eastAsia" w:ascii="宋体" w:hAnsi="宋体" w:eastAsia="宋体" w:cs="宋体"/>
                <w:i w:val="0"/>
                <w:iCs w:val="0"/>
                <w:color w:val="000000"/>
                <w:sz w:val="22"/>
                <w:szCs w:val="22"/>
                <w:u w:val="none"/>
              </w:rPr>
            </w:pPr>
          </w:p>
        </w:tc>
      </w:tr>
      <w:tr w14:paraId="6476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1789" w:type="dxa"/>
            <w:tcBorders>
              <w:top w:val="single" w:color="000000" w:sz="4" w:space="0"/>
              <w:left w:val="single" w:color="000000" w:sz="4" w:space="0"/>
              <w:right w:val="single" w:color="000000" w:sz="4" w:space="0"/>
            </w:tcBorders>
            <w:shd w:val="clear" w:color="auto" w:fill="auto"/>
            <w:textDirection w:val="tbRlV"/>
            <w:vAlign w:val="center"/>
          </w:tcPr>
          <w:p w14:paraId="1BBBD113">
            <w:pPr>
              <w:jc w:val="center"/>
              <w:rPr>
                <w:rFonts w:hint="eastAsia" w:ascii="宋体" w:hAnsi="宋体" w:eastAsia="宋体" w:cs="宋体"/>
                <w:i w:val="0"/>
                <w:iCs w:val="0"/>
                <w:color w:val="000000"/>
                <w:sz w:val="18"/>
                <w:szCs w:val="18"/>
                <w:u w:val="none"/>
              </w:rPr>
            </w:pP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66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3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163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4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B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6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D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3CEFD">
            <w:pPr>
              <w:jc w:val="center"/>
              <w:rPr>
                <w:rFonts w:hint="eastAsia" w:ascii="宋体" w:hAnsi="宋体" w:eastAsia="宋体" w:cs="宋体"/>
                <w:i w:val="0"/>
                <w:iCs w:val="0"/>
                <w:color w:val="000000"/>
                <w:sz w:val="22"/>
                <w:szCs w:val="22"/>
                <w:u w:val="none"/>
              </w:rPr>
            </w:pPr>
          </w:p>
        </w:tc>
      </w:tr>
      <w:tr w14:paraId="17E77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85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CE2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A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2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82.6</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4EF77">
            <w:pPr>
              <w:jc w:val="center"/>
              <w:rPr>
                <w:rFonts w:hint="eastAsia" w:ascii="宋体" w:hAnsi="宋体" w:eastAsia="宋体" w:cs="宋体"/>
                <w:i w:val="0"/>
                <w:iCs w:val="0"/>
                <w:color w:val="000000"/>
                <w:sz w:val="22"/>
                <w:szCs w:val="22"/>
                <w:u w:val="none"/>
              </w:rPr>
            </w:pPr>
          </w:p>
        </w:tc>
      </w:tr>
    </w:tbl>
    <w:p w14:paraId="578E030C">
      <w:pPr>
        <w:keepNext w:val="0"/>
        <w:keepLines w:val="0"/>
        <w:pageBreakBefore w:val="0"/>
        <w:widowControl/>
        <w:kinsoku/>
        <w:wordWrap/>
        <w:overflowPunct/>
        <w:topLinePunct w:val="0"/>
        <w:autoSpaceDE/>
        <w:autoSpaceDN/>
        <w:bidi w:val="0"/>
        <w:adjustRightInd/>
        <w:snapToGrid/>
        <w:spacing w:line="600" w:lineRule="exact"/>
        <w:jc w:val="both"/>
        <w:textAlignment w:val="auto"/>
        <w:outlineLvl w:val="0"/>
      </w:pPr>
    </w:p>
    <w:p w14:paraId="26127406">
      <w:pPr>
        <w:pStyle w:val="4"/>
        <w:ind w:left="0" w:leftChars="0"/>
      </w:pPr>
      <w:r>
        <w:drawing>
          <wp:inline distT="0" distB="0" distL="114300" distR="114300">
            <wp:extent cx="5474335" cy="7070090"/>
            <wp:effectExtent l="0" t="0" r="12065" b="1270"/>
            <wp:docPr id="1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3"/>
                    <pic:cNvPicPr>
                      <a:picLocks noChangeAspect="1"/>
                    </pic:cNvPicPr>
                  </pic:nvPicPr>
                  <pic:blipFill>
                    <a:blip r:embed="rId14"/>
                    <a:stretch>
                      <a:fillRect/>
                    </a:stretch>
                  </pic:blipFill>
                  <pic:spPr>
                    <a:xfrm>
                      <a:off x="0" y="0"/>
                      <a:ext cx="5474335" cy="7070090"/>
                    </a:xfrm>
                    <a:prstGeom prst="rect">
                      <a:avLst/>
                    </a:prstGeom>
                    <a:noFill/>
                    <a:ln>
                      <a:noFill/>
                    </a:ln>
                  </pic:spPr>
                </pic:pic>
              </a:graphicData>
            </a:graphic>
          </wp:inline>
        </w:drawing>
      </w:r>
    </w:p>
    <w:p w14:paraId="10DA6275"/>
    <w:p w14:paraId="23734EE2">
      <w:pPr>
        <w:pStyle w:val="4"/>
      </w:pPr>
    </w:p>
    <w:p w14:paraId="0DA1B9F8"/>
    <w:p w14:paraId="1CD66F57">
      <w:pPr>
        <w:pStyle w:val="4"/>
      </w:pPr>
    </w:p>
    <w:p w14:paraId="48669AEB"/>
    <w:p w14:paraId="25305450"/>
    <w:p w14:paraId="13E8D04C">
      <w:pPr>
        <w:pStyle w:val="4"/>
      </w:pPr>
    </w:p>
    <w:p w14:paraId="0438C437"/>
    <w:p w14:paraId="37513C00">
      <w:pPr>
        <w:pStyle w:val="4"/>
        <w:rPr>
          <w:rFonts w:hint="eastAsia"/>
        </w:rPr>
      </w:pPr>
    </w:p>
    <w:p w14:paraId="1230FEE3">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428DD14F">
      <w:pPr>
        <w:pStyle w:val="10"/>
        <w:spacing w:line="600" w:lineRule="atLeast"/>
        <w:ind w:firstLine="600"/>
        <w:rPr>
          <w:rFonts w:hint="eastAsia" w:ascii="仿宋_GB2312" w:hAnsi="仿宋_GB2312" w:eastAsia="仿宋_GB2312"/>
          <w:sz w:val="30"/>
          <w:szCs w:val="30"/>
        </w:rPr>
      </w:pPr>
    </w:p>
    <w:p w14:paraId="1A6C8AA4">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6E215F6F">
      <w:pPr>
        <w:widowControl/>
        <w:spacing w:line="560" w:lineRule="exact"/>
        <w:ind w:firstLine="643" w:firstLineChars="200"/>
        <w:rPr>
          <w:rFonts w:hint="eastAsia" w:ascii="仿宋" w:hAnsi="仿宋" w:eastAsia="仿宋"/>
          <w:sz w:val="32"/>
          <w:szCs w:val="32"/>
        </w:rPr>
      </w:pPr>
      <w:r>
        <w:rPr>
          <w:rFonts w:hint="eastAsia" w:ascii="仿宋_GB2312" w:hAnsi="仿宋_GB2312" w:eastAsia="仿宋_GB2312" w:cs="仿宋_GB2312"/>
          <w:b/>
          <w:bCs/>
          <w:kern w:val="0"/>
          <w:sz w:val="32"/>
          <w:szCs w:val="32"/>
        </w:rPr>
        <w:t>(一)财政拨款：</w:t>
      </w:r>
      <w:r>
        <w:rPr>
          <w:rFonts w:hint="eastAsia" w:ascii="仿宋" w:hAnsi="仿宋" w:eastAsia="仿宋"/>
          <w:sz w:val="32"/>
          <w:szCs w:val="32"/>
        </w:rPr>
        <w:t>指</w:t>
      </w:r>
      <w:r>
        <w:rPr>
          <w:rFonts w:hint="eastAsia" w:ascii="仿宋" w:hAnsi="仿宋" w:eastAsia="仿宋"/>
          <w:sz w:val="32"/>
          <w:szCs w:val="32"/>
          <w:lang w:eastAsia="zh-CN"/>
        </w:rPr>
        <w:t>区</w:t>
      </w:r>
      <w:r>
        <w:rPr>
          <w:rFonts w:hint="eastAsia" w:ascii="仿宋" w:hAnsi="仿宋" w:eastAsia="仿宋"/>
          <w:sz w:val="32"/>
          <w:szCs w:val="32"/>
        </w:rPr>
        <w:t>级财政当年拨付的资金。</w:t>
      </w:r>
    </w:p>
    <w:p w14:paraId="3F0A115A">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04A5970B">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430990C3">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6B156A58">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51BFBD65">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4F2AC567">
      <w:pPr>
        <w:spacing w:line="520" w:lineRule="exact"/>
        <w:ind w:firstLine="640" w:firstLineChars="200"/>
        <w:rPr>
          <w:rFonts w:ascii="仿宋_GB2312" w:eastAsia="仿宋_GB2312"/>
          <w:color w:val="000000"/>
          <w:sz w:val="32"/>
          <w:szCs w:val="30"/>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175A2D51">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75CE0D55">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3EA58F7D">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076BD9A7">
      <w:pPr>
        <w:bidi w:val="0"/>
        <w:rPr>
          <w:rFonts w:hint="eastAsia"/>
        </w:rPr>
      </w:pPr>
    </w:p>
    <w:p w14:paraId="199A08C0">
      <w:pPr>
        <w:bidi w:val="0"/>
        <w:rPr>
          <w:rFonts w:hint="eastAsia"/>
        </w:rPr>
      </w:pPr>
    </w:p>
    <w:p w14:paraId="54058B4C">
      <w:pPr>
        <w:bidi w:val="0"/>
        <w:rPr>
          <w:rFonts w:hint="eastAsia"/>
        </w:rPr>
      </w:pPr>
    </w:p>
    <w:p w14:paraId="4CE6E365">
      <w:pPr>
        <w:bidi w:val="0"/>
        <w:rPr>
          <w:rFonts w:hint="eastAsia"/>
        </w:rPr>
      </w:pPr>
    </w:p>
    <w:p w14:paraId="77415E2D">
      <w:pPr>
        <w:bidi w:val="0"/>
        <w:rPr>
          <w:rFonts w:hint="eastAsia"/>
        </w:rPr>
      </w:pPr>
    </w:p>
    <w:p w14:paraId="487DCBAC">
      <w:pPr>
        <w:bidi w:val="0"/>
        <w:rPr>
          <w:rFonts w:hint="eastAsia"/>
        </w:rPr>
      </w:pPr>
    </w:p>
    <w:p w14:paraId="7CE98743">
      <w:pPr>
        <w:bidi w:val="0"/>
        <w:rPr>
          <w:rFonts w:hint="eastAsia"/>
        </w:rPr>
      </w:pPr>
    </w:p>
    <w:p w14:paraId="16829C58">
      <w:pPr>
        <w:bidi w:val="0"/>
        <w:rPr>
          <w:rFonts w:hint="eastAsia"/>
        </w:rPr>
      </w:pPr>
    </w:p>
    <w:p w14:paraId="6C66D3C2">
      <w:pPr>
        <w:bidi w:val="0"/>
        <w:rPr>
          <w:rFonts w:hint="eastAsia"/>
        </w:rPr>
      </w:pPr>
    </w:p>
    <w:p w14:paraId="4AEE6144">
      <w:pPr>
        <w:bidi w:val="0"/>
        <w:rPr>
          <w:rFonts w:hint="eastAsia"/>
        </w:rPr>
      </w:pPr>
    </w:p>
    <w:p w14:paraId="530A8423">
      <w:pPr>
        <w:bidi w:val="0"/>
        <w:rPr>
          <w:rFonts w:hint="eastAsia"/>
        </w:rPr>
      </w:pPr>
    </w:p>
    <w:p w14:paraId="09F74ECF">
      <w:pPr>
        <w:bidi w:val="0"/>
        <w:rPr>
          <w:rFonts w:hint="eastAsia"/>
        </w:rPr>
      </w:pPr>
    </w:p>
    <w:p w14:paraId="1486CA4C">
      <w:pPr>
        <w:bidi w:val="0"/>
        <w:rPr>
          <w:rFonts w:hint="eastAsia"/>
        </w:rPr>
      </w:pPr>
    </w:p>
    <w:p w14:paraId="6707936B">
      <w:pPr>
        <w:bidi w:val="0"/>
        <w:rPr>
          <w:rFonts w:hint="eastAsia"/>
        </w:rPr>
      </w:pPr>
    </w:p>
    <w:p w14:paraId="577E1410">
      <w:pPr>
        <w:bidi w:val="0"/>
        <w:rPr>
          <w:rFonts w:hint="eastAsia"/>
        </w:rPr>
      </w:pPr>
    </w:p>
    <w:p w14:paraId="7FF9DC31">
      <w:pPr>
        <w:bidi w:val="0"/>
        <w:rPr>
          <w:rFonts w:hint="eastAsia"/>
        </w:rPr>
      </w:pPr>
    </w:p>
    <w:p w14:paraId="0849CD2A">
      <w:pPr>
        <w:bidi w:val="0"/>
        <w:rPr>
          <w:rFonts w:hint="eastAsia"/>
        </w:rPr>
      </w:pPr>
    </w:p>
    <w:p w14:paraId="73286124">
      <w:pPr>
        <w:bidi w:val="0"/>
        <w:rPr>
          <w:rFonts w:hint="eastAsia"/>
        </w:rPr>
      </w:pPr>
    </w:p>
    <w:p w14:paraId="6DF11108">
      <w:pPr>
        <w:bidi w:val="0"/>
        <w:rPr>
          <w:rFonts w:hint="eastAsia"/>
        </w:rPr>
      </w:pPr>
    </w:p>
    <w:p w14:paraId="0D2B0096">
      <w:pPr>
        <w:bidi w:val="0"/>
        <w:rPr>
          <w:rFonts w:hint="eastAsia"/>
        </w:rPr>
      </w:pPr>
    </w:p>
    <w:p w14:paraId="06DFA3B0">
      <w:pPr>
        <w:pStyle w:val="7"/>
        <w:bidi w:val="0"/>
        <w:spacing w:before="0" w:beforeAutospacing="0" w:after="0" w:afterAutospacing="0"/>
        <w:ind w:right="0" w:rightChars="0"/>
        <w:jc w:val="center"/>
        <w:rPr>
          <w:rFonts w:hint="eastAsia"/>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CDC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CCE80">
                          <w:pPr>
                            <w:pStyle w:val="5"/>
                            <w:rPr>
                              <w:sz w:val="28"/>
                              <w:szCs w:val="40"/>
                            </w:rPr>
                          </w:pPr>
                          <w:r>
                            <w:rPr>
                              <w:sz w:val="28"/>
                              <w:szCs w:val="40"/>
                            </w:rPr>
                            <w:fldChar w:fldCharType="begin"/>
                          </w:r>
                          <w:r>
                            <w:rPr>
                              <w:sz w:val="28"/>
                              <w:szCs w:val="40"/>
                            </w:rPr>
                            <w:instrText xml:space="preserve"> PAGE  \* MERGEFORMAT </w:instrText>
                          </w:r>
                          <w:r>
                            <w:rPr>
                              <w:sz w:val="28"/>
                              <w:szCs w:val="40"/>
                            </w:rPr>
                            <w:fldChar w:fldCharType="separate"/>
                          </w:r>
                          <w:r>
                            <w:rPr>
                              <w:sz w:val="28"/>
                              <w:szCs w:val="40"/>
                            </w:rPr>
                            <w:t>1</w:t>
                          </w:r>
                          <w:r>
                            <w:rPr>
                              <w:sz w:val="28"/>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AECCE80">
                    <w:pPr>
                      <w:pStyle w:val="5"/>
                      <w:rPr>
                        <w:sz w:val="28"/>
                        <w:szCs w:val="40"/>
                      </w:rPr>
                    </w:pPr>
                    <w:r>
                      <w:rPr>
                        <w:sz w:val="28"/>
                        <w:szCs w:val="40"/>
                      </w:rPr>
                      <w:fldChar w:fldCharType="begin"/>
                    </w:r>
                    <w:r>
                      <w:rPr>
                        <w:sz w:val="28"/>
                        <w:szCs w:val="40"/>
                      </w:rPr>
                      <w:instrText xml:space="preserve"> PAGE  \* MERGEFORMAT </w:instrText>
                    </w:r>
                    <w:r>
                      <w:rPr>
                        <w:sz w:val="28"/>
                        <w:szCs w:val="40"/>
                      </w:rPr>
                      <w:fldChar w:fldCharType="separate"/>
                    </w:r>
                    <w:r>
                      <w:rPr>
                        <w:sz w:val="28"/>
                        <w:szCs w:val="40"/>
                      </w:rPr>
                      <w:t>1</w:t>
                    </w:r>
                    <w:r>
                      <w:rPr>
                        <w:sz w:val="28"/>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E1F5C0"/>
    <w:multiLevelType w:val="singleLevel"/>
    <w:tmpl w:val="D5E1F5C0"/>
    <w:lvl w:ilvl="0" w:tentative="0">
      <w:start w:val="1"/>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wMjdjYTIyMDBiZWMyOTMxMzZjMGRkNjE2NDg3MDkifQ=="/>
  </w:docVars>
  <w:rsids>
    <w:rsidRoot w:val="00172A27"/>
    <w:rsid w:val="08896B42"/>
    <w:rsid w:val="0C512D14"/>
    <w:rsid w:val="257E4E4A"/>
    <w:rsid w:val="2B0C17A3"/>
    <w:rsid w:val="302C2355"/>
    <w:rsid w:val="38313FBC"/>
    <w:rsid w:val="3F4B2523"/>
    <w:rsid w:val="61C471B3"/>
    <w:rsid w:val="678E3D16"/>
    <w:rsid w:val="68994E7E"/>
    <w:rsid w:val="68DC4DE2"/>
    <w:rsid w:val="776B228D"/>
    <w:rsid w:val="783E1A56"/>
    <w:rsid w:val="7D910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4">
    <w:name w:val="table of authorities"/>
    <w:basedOn w:val="1"/>
    <w:next w:val="1"/>
    <w:unhideWhenUsed/>
    <w:qFormat/>
    <w:uiPriority w:val="99"/>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cs="宋体"/>
      <w:kern w:val="0"/>
      <w:sz w:val="24"/>
    </w:rPr>
  </w:style>
  <w:style w:type="paragraph" w:customStyle="1" w:styleId="10">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emf"/><Relationship Id="rId12" Type="http://schemas.openxmlformats.org/officeDocument/2006/relationships/image" Target="media/image8.emf"/><Relationship Id="rId11" Type="http://schemas.openxmlformats.org/officeDocument/2006/relationships/image" Target="media/image7.emf"/><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4511</Words>
  <Characters>4982</Characters>
  <Lines>0</Lines>
  <Paragraphs>0</Paragraphs>
  <TotalTime>51</TotalTime>
  <ScaleCrop>false</ScaleCrop>
  <LinksUpToDate>false</LinksUpToDate>
  <CharactersWithSpaces>5055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2024-10-22T01:12:00Z</dcterms:created>
  <dc:creator>Lenovo</dc:creator>
  <cp:lastModifiedBy>8208208820</cp:lastModifiedBy>
  <cp:lastPrinted>2025-09-01T02:39:35Z</cp:lastPrinted>
  <dcterms:modified xsi:type="dcterms:W3CDTF">2025-09-01T02:49:18Z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8978A698AA104D73AEF0C65108B4AEAA_13</vt:lpwstr>
  </property>
  <property fmtid="{D5CDD505-2E9C-101B-9397-08002B2CF9AE}" pid="4" name="KSOTemplateDocerSaveRecord">
    <vt:lpwstr>eyJoZGlkIjoiNTk5MTBhYjA2MWU0YzgzNzUxNjg2MThiODA2ODg4NTAiLCJ1c2VySWQiOiI2MTExNDU5OTQifQ==</vt:lpwstr>
  </property>
</Properties>
</file>