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86D17C3">
      <w:pPr>
        <w:spacing w:line="600" w:lineRule="exact"/>
        <w:jc w:val="center"/>
        <w:outlineLvl w:val="0"/>
        <w:rPr>
          <w:rFonts w:hint="eastAsia" w:ascii="宋体" w:hAnsi="宋体" w:cs="宋体"/>
          <w:b/>
          <w:bCs/>
          <w:sz w:val="44"/>
          <w:szCs w:val="36"/>
        </w:rPr>
      </w:pPr>
      <w:r>
        <w:rPr>
          <w:rFonts w:hint="eastAsia" w:ascii="宋体" w:hAnsi="宋体" w:cs="宋体"/>
          <w:b/>
          <w:bCs/>
          <w:sz w:val="44"/>
          <w:szCs w:val="36"/>
        </w:rPr>
        <w:t>南昌市青云谱区住房和城乡建设局2023年度部门决算</w:t>
      </w:r>
    </w:p>
    <w:p w14:paraId="7EB4A8A8">
      <w:pPr>
        <w:spacing w:line="600" w:lineRule="exact"/>
        <w:jc w:val="center"/>
        <w:rPr>
          <w:rFonts w:hint="eastAsia" w:ascii="黑体" w:eastAsia="黑体"/>
          <w:sz w:val="44"/>
          <w:szCs w:val="36"/>
        </w:rPr>
      </w:pPr>
    </w:p>
    <w:p w14:paraId="7A15BCFB">
      <w:pPr>
        <w:spacing w:line="600" w:lineRule="exact"/>
        <w:jc w:val="center"/>
        <w:outlineLvl w:val="0"/>
        <w:rPr>
          <w:rFonts w:hint="eastAsia" w:ascii="宋体" w:hAnsi="宋体" w:cs="宋体"/>
          <w:b/>
          <w:bCs/>
          <w:sz w:val="36"/>
          <w:szCs w:val="36"/>
        </w:rPr>
      </w:pPr>
      <w:r>
        <w:rPr>
          <w:rFonts w:hint="eastAsia" w:ascii="宋体" w:hAnsi="宋体" w:cs="宋体"/>
          <w:b/>
          <w:bCs/>
          <w:sz w:val="36"/>
          <w:szCs w:val="36"/>
        </w:rPr>
        <w:t>目    录</w:t>
      </w:r>
    </w:p>
    <w:p w14:paraId="409BFD5C">
      <w:pPr>
        <w:widowControl/>
        <w:spacing w:line="600" w:lineRule="exact"/>
        <w:ind w:firstLine="640"/>
        <w:jc w:val="left"/>
        <w:rPr>
          <w:rFonts w:hint="eastAsia" w:ascii="仿宋_GB2312" w:eastAsia="仿宋_GB2312"/>
          <w:sz w:val="32"/>
          <w:szCs w:val="30"/>
        </w:rPr>
      </w:pPr>
    </w:p>
    <w:p w14:paraId="3CA97A72">
      <w:pPr>
        <w:widowControl/>
        <w:spacing w:line="600" w:lineRule="exact"/>
        <w:ind w:firstLine="640"/>
        <w:jc w:val="left"/>
        <w:outlineLvl w:val="0"/>
        <w:rPr>
          <w:rFonts w:hint="eastAsia" w:ascii="黑体" w:hAnsi="黑体" w:eastAsia="黑体"/>
          <w:b/>
          <w:sz w:val="32"/>
          <w:szCs w:val="32"/>
        </w:rPr>
      </w:pPr>
      <w:r>
        <w:rPr>
          <w:rFonts w:hint="eastAsia" w:ascii="黑体" w:hAnsi="黑体" w:eastAsia="黑体"/>
          <w:b w:val="0"/>
          <w:bCs/>
          <w:sz w:val="32"/>
          <w:szCs w:val="32"/>
        </w:rPr>
        <w:t>第一部分  南昌市青云谱区住房和城乡建设局概况</w:t>
      </w:r>
    </w:p>
    <w:p w14:paraId="1B2D4E77">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一、部门主要职责</w:t>
      </w:r>
    </w:p>
    <w:p w14:paraId="5327E85B">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二、机构设置及人员情况</w:t>
      </w:r>
    </w:p>
    <w:p w14:paraId="5D75A08D">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第二部分  2023年度部门决算表</w:t>
      </w:r>
    </w:p>
    <w:p w14:paraId="6D03B9CF">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一、收入支出决算总表</w:t>
      </w:r>
    </w:p>
    <w:p w14:paraId="50473316">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二、收入决算表</w:t>
      </w:r>
    </w:p>
    <w:p w14:paraId="25700BA5">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三、支出决算表</w:t>
      </w:r>
    </w:p>
    <w:p w14:paraId="5C186421">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四、财政拨款收入支出决算总表</w:t>
      </w:r>
    </w:p>
    <w:p w14:paraId="5D4DE436">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五、一般公共预算财政拨款支出决算表</w:t>
      </w:r>
    </w:p>
    <w:p w14:paraId="02F43075">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六、一般公共预算财政拨款基本支出决算表</w:t>
      </w:r>
    </w:p>
    <w:p w14:paraId="301897B6">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七、政府性基金预算财政拨款收入支出决算表</w:t>
      </w:r>
    </w:p>
    <w:p w14:paraId="7D310C93">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八、国有资本经营预算财政拨款支出决算表</w:t>
      </w:r>
    </w:p>
    <w:p w14:paraId="24DCC933">
      <w:pPr>
        <w:widowControl/>
        <w:spacing w:line="600" w:lineRule="exact"/>
        <w:ind w:firstLine="1280" w:firstLineChars="400"/>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九、财政拨款“三公”经费支出决算表</w:t>
      </w:r>
    </w:p>
    <w:p w14:paraId="01BA43A6">
      <w:pPr>
        <w:widowControl/>
        <w:spacing w:line="600" w:lineRule="exact"/>
        <w:ind w:firstLine="1292" w:firstLineChars="404"/>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十、国有资产占用情况表</w:t>
      </w:r>
    </w:p>
    <w:p w14:paraId="537BC844">
      <w:pPr>
        <w:widowControl/>
        <w:spacing w:line="600" w:lineRule="exact"/>
        <w:jc w:val="left"/>
        <w:outlineLvl w:val="0"/>
        <w:rPr>
          <w:rFonts w:hint="eastAsia" w:ascii="黑体" w:hAnsi="黑体" w:eastAsia="黑体"/>
          <w:sz w:val="32"/>
          <w:szCs w:val="32"/>
        </w:rPr>
      </w:pPr>
      <w:r>
        <w:rPr>
          <w:rFonts w:hint="eastAsia" w:ascii="仿宋_GB2312" w:hAnsi="仿宋_GB2312" w:eastAsia="仿宋_GB2312" w:cs="宋体"/>
          <w:kern w:val="0"/>
          <w:sz w:val="32"/>
          <w:szCs w:val="32"/>
        </w:rPr>
        <w:t xml:space="preserve">    </w:t>
      </w:r>
      <w:r>
        <w:rPr>
          <w:rFonts w:hint="eastAsia" w:ascii="黑体" w:hAnsi="黑体" w:eastAsia="黑体"/>
          <w:sz w:val="32"/>
          <w:szCs w:val="32"/>
        </w:rPr>
        <w:t>第三部分  2023年度部门决算情况说明</w:t>
      </w:r>
    </w:p>
    <w:p w14:paraId="695362DD">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一、收入决算情况说明</w:t>
      </w:r>
    </w:p>
    <w:p w14:paraId="243A4DB3">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二、支出决算情况说明</w:t>
      </w:r>
    </w:p>
    <w:p w14:paraId="32193932">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三、财政拨款支出决算情况说明</w:t>
      </w:r>
    </w:p>
    <w:p w14:paraId="1AD7CA69">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四、一般公共预算财政拨款基本支出决算情况说明</w:t>
      </w:r>
    </w:p>
    <w:p w14:paraId="3C4FD645">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五、财政拨款“三公”经费支出决算情况说明</w:t>
      </w:r>
    </w:p>
    <w:p w14:paraId="5E1E67BF">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六、机关运行经费支出情况说明</w:t>
      </w:r>
    </w:p>
    <w:p w14:paraId="65C702BE">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七、政府采购支出情况说明</w:t>
      </w:r>
    </w:p>
    <w:p w14:paraId="1E1F686C">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八、国有资产占用情况说明</w:t>
      </w:r>
    </w:p>
    <w:p w14:paraId="2987D1AF">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九、预算绩效情况说明</w:t>
      </w:r>
    </w:p>
    <w:p w14:paraId="1F795F9F">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第四部分  名词解释</w:t>
      </w:r>
    </w:p>
    <w:p w14:paraId="23750B2E">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第五部分  附件</w:t>
      </w:r>
    </w:p>
    <w:p w14:paraId="5E96C050">
      <w:pPr>
        <w:bidi w:val="0"/>
        <w:rPr>
          <w:rFonts w:hint="eastAsia"/>
        </w:rPr>
      </w:pPr>
    </w:p>
    <w:p w14:paraId="5C62E4C5">
      <w:pPr>
        <w:bidi w:val="0"/>
        <w:rPr>
          <w:rFonts w:hint="eastAsia"/>
        </w:rPr>
      </w:pPr>
    </w:p>
    <w:p w14:paraId="24FB165C">
      <w:pPr>
        <w:bidi w:val="0"/>
        <w:rPr>
          <w:rFonts w:hint="eastAsia"/>
        </w:rPr>
      </w:pPr>
    </w:p>
    <w:p w14:paraId="40D43D51">
      <w:pPr>
        <w:bidi w:val="0"/>
        <w:rPr>
          <w:rFonts w:hint="eastAsia"/>
        </w:rPr>
      </w:pPr>
    </w:p>
    <w:p w14:paraId="1BE8C9ED">
      <w:pPr>
        <w:bidi w:val="0"/>
        <w:rPr>
          <w:rFonts w:hint="eastAsia"/>
        </w:rPr>
      </w:pPr>
    </w:p>
    <w:p w14:paraId="0F159381">
      <w:pPr>
        <w:bidi w:val="0"/>
        <w:rPr>
          <w:rFonts w:hint="eastAsia"/>
        </w:rPr>
      </w:pPr>
    </w:p>
    <w:p w14:paraId="3F832AE2">
      <w:pPr>
        <w:bidi w:val="0"/>
        <w:rPr>
          <w:rFonts w:hint="eastAsia"/>
        </w:rPr>
      </w:pPr>
    </w:p>
    <w:p w14:paraId="72FD7188">
      <w:pPr>
        <w:bidi w:val="0"/>
        <w:rPr>
          <w:rFonts w:hint="eastAsia"/>
        </w:rPr>
      </w:pPr>
    </w:p>
    <w:p w14:paraId="62B0CFC7">
      <w:pPr>
        <w:bidi w:val="0"/>
        <w:rPr>
          <w:rFonts w:hint="eastAsia"/>
        </w:rPr>
      </w:pPr>
    </w:p>
    <w:p w14:paraId="4D539DCC">
      <w:pPr>
        <w:bidi w:val="0"/>
        <w:rPr>
          <w:rFonts w:hint="eastAsia"/>
        </w:rPr>
      </w:pPr>
    </w:p>
    <w:p w14:paraId="10EEC556">
      <w:pPr>
        <w:bidi w:val="0"/>
        <w:rPr>
          <w:rFonts w:hint="eastAsia"/>
        </w:rPr>
      </w:pPr>
    </w:p>
    <w:p w14:paraId="21C490FD">
      <w:pPr>
        <w:bidi w:val="0"/>
        <w:rPr>
          <w:rFonts w:hint="eastAsia"/>
        </w:rPr>
      </w:pPr>
    </w:p>
    <w:p w14:paraId="5696704E">
      <w:pPr>
        <w:bidi w:val="0"/>
        <w:rPr>
          <w:rFonts w:hint="eastAsia"/>
        </w:rPr>
      </w:pPr>
    </w:p>
    <w:p w14:paraId="38AF9A76">
      <w:pPr>
        <w:bidi w:val="0"/>
        <w:rPr>
          <w:rFonts w:hint="eastAsia"/>
        </w:rPr>
      </w:pPr>
    </w:p>
    <w:p w14:paraId="4F5F4FED">
      <w:pPr>
        <w:bidi w:val="0"/>
        <w:rPr>
          <w:rFonts w:hint="eastAsia"/>
        </w:rPr>
      </w:pPr>
    </w:p>
    <w:p w14:paraId="029DBCB4">
      <w:pPr>
        <w:bidi w:val="0"/>
        <w:rPr>
          <w:rFonts w:hint="eastAsia"/>
        </w:rPr>
      </w:pPr>
    </w:p>
    <w:p w14:paraId="183DEA32">
      <w:pPr>
        <w:bidi w:val="0"/>
        <w:rPr>
          <w:rFonts w:hint="eastAsia"/>
        </w:rPr>
      </w:pPr>
    </w:p>
    <w:p w14:paraId="1B121E6A">
      <w:pPr>
        <w:bidi w:val="0"/>
        <w:rPr>
          <w:rFonts w:hint="eastAsia"/>
        </w:rPr>
      </w:pPr>
    </w:p>
    <w:p w14:paraId="7BE89E20">
      <w:pPr>
        <w:bidi w:val="0"/>
        <w:rPr>
          <w:rFonts w:hint="eastAsia"/>
        </w:rPr>
      </w:pPr>
    </w:p>
    <w:p w14:paraId="163990E1">
      <w:pPr>
        <w:bidi w:val="0"/>
        <w:rPr>
          <w:rFonts w:hint="eastAsia"/>
        </w:rPr>
      </w:pPr>
    </w:p>
    <w:p w14:paraId="626EEF41">
      <w:pPr>
        <w:bidi w:val="0"/>
        <w:rPr>
          <w:rFonts w:hint="eastAsia"/>
        </w:rPr>
      </w:pPr>
    </w:p>
    <w:p w14:paraId="77E55E7D">
      <w:pPr>
        <w:bidi w:val="0"/>
        <w:rPr>
          <w:rFonts w:hint="eastAsia"/>
        </w:rPr>
      </w:pPr>
    </w:p>
    <w:p w14:paraId="617CE899">
      <w:pPr>
        <w:bidi w:val="0"/>
        <w:rPr>
          <w:rFonts w:hint="eastAsia"/>
        </w:rPr>
      </w:pPr>
    </w:p>
    <w:p w14:paraId="284CCAA2">
      <w:pPr>
        <w:bidi w:val="0"/>
        <w:rPr>
          <w:rFonts w:hint="eastAsia"/>
        </w:rPr>
      </w:pPr>
    </w:p>
    <w:p w14:paraId="1BC58283">
      <w:pPr>
        <w:bidi w:val="0"/>
        <w:rPr>
          <w:rFonts w:hint="eastAsia"/>
        </w:rPr>
      </w:pPr>
    </w:p>
    <w:p w14:paraId="681A631A">
      <w:pPr>
        <w:bidi w:val="0"/>
        <w:rPr>
          <w:rFonts w:hint="eastAsia"/>
          <w:sz w:val="32"/>
          <w:szCs w:val="32"/>
        </w:rPr>
      </w:pPr>
      <w:r>
        <w:rPr>
          <w:rFonts w:hint="eastAsia" w:ascii="仿宋_GB2312" w:hAnsi="仿宋_GB2312" w:eastAsia="仿宋_GB2312" w:cs="Times New Roman"/>
          <w:sz w:val="32"/>
          <w:szCs w:val="30"/>
          <w:lang w:val="en-US" w:eastAsia="zh-CN"/>
        </w:rPr>
        <w:t>注：本报告因金额单位转换原因可能存在尾数误差。</w:t>
      </w:r>
    </w:p>
    <w:p w14:paraId="3BDBD326">
      <w:pPr>
        <w:widowControl/>
        <w:spacing w:line="580" w:lineRule="exact"/>
        <w:jc w:val="center"/>
        <w:outlineLvl w:val="0"/>
        <w:rPr>
          <w:rFonts w:hint="eastAsia" w:ascii="宋体" w:hAnsi="宋体" w:cs="宋体"/>
          <w:b/>
          <w:sz w:val="44"/>
          <w:szCs w:val="44"/>
        </w:rPr>
      </w:pPr>
      <w:r>
        <w:rPr>
          <w:rFonts w:hint="eastAsia" w:ascii="宋体" w:hAnsi="宋体" w:cs="宋体"/>
          <w:b/>
          <w:sz w:val="44"/>
          <w:szCs w:val="44"/>
        </w:rPr>
        <w:t>第一部分 南昌市青云谱区住房和城乡建设局概况</w:t>
      </w:r>
    </w:p>
    <w:p w14:paraId="563385B7">
      <w:pPr>
        <w:ind w:firstLine="630"/>
        <w:jc w:val="center"/>
        <w:rPr>
          <w:rFonts w:hint="eastAsia"/>
          <w:sz w:val="32"/>
          <w:szCs w:val="32"/>
        </w:rPr>
      </w:pPr>
    </w:p>
    <w:p w14:paraId="31292550">
      <w:pPr>
        <w:ind w:firstLine="630"/>
        <w:jc w:val="left"/>
        <w:outlineLvl w:val="1"/>
        <w:rPr>
          <w:rFonts w:hint="eastAsia" w:ascii="黑体" w:hAnsi="黑体" w:eastAsia="黑体"/>
          <w:sz w:val="32"/>
          <w:szCs w:val="32"/>
        </w:rPr>
      </w:pPr>
      <w:r>
        <w:rPr>
          <w:rFonts w:hint="eastAsia" w:ascii="黑体" w:hAnsi="黑体" w:eastAsia="黑体"/>
          <w:sz w:val="32"/>
          <w:szCs w:val="32"/>
        </w:rPr>
        <w:t>一、部门主要职责</w:t>
      </w:r>
    </w:p>
    <w:p w14:paraId="49EAA1C2">
      <w:pPr>
        <w:pStyle w:val="27"/>
        <w:rPr>
          <w:rFonts w:hint="eastAsia" w:ascii="仿宋" w:hAnsi="仿宋" w:eastAsia="仿宋" w:cs="Times New Roman"/>
          <w:b w:val="0"/>
          <w:bCs/>
          <w:sz w:val="32"/>
          <w:szCs w:val="30"/>
        </w:rPr>
      </w:pPr>
      <w:r>
        <w:rPr>
          <w:rFonts w:hint="eastAsia" w:ascii="仿宋" w:hAnsi="仿宋" w:eastAsia="仿宋" w:cs="Times New Roman"/>
          <w:b w:val="0"/>
          <w:bCs/>
          <w:sz w:val="32"/>
          <w:szCs w:val="30"/>
        </w:rPr>
        <w:t>（一）贯彻执行国家、省、市、区有关住房和城乡建设制度改革方针政策和法律、法规；提出全区住房和城乡建设的中长期规划及年度计划建议并实施；指导村镇建设与规划。</w:t>
      </w:r>
    </w:p>
    <w:p w14:paraId="1F43F05E">
      <w:pPr>
        <w:pStyle w:val="27"/>
        <w:rPr>
          <w:rFonts w:hint="eastAsia" w:ascii="仿宋" w:hAnsi="仿宋" w:eastAsia="仿宋" w:cs="Times New Roman"/>
          <w:b w:val="0"/>
          <w:bCs/>
          <w:sz w:val="32"/>
          <w:szCs w:val="30"/>
        </w:rPr>
      </w:pPr>
      <w:r>
        <w:rPr>
          <w:rFonts w:hint="eastAsia" w:ascii="仿宋" w:hAnsi="仿宋" w:eastAsia="仿宋" w:cs="Times New Roman"/>
          <w:b w:val="0"/>
          <w:bCs/>
          <w:sz w:val="32"/>
          <w:szCs w:val="30"/>
        </w:rPr>
        <w:t>（二）管理和规范辖区建筑市场，实施对建筑市场的监督检查；管理和规范工程建设招标投标工作，指导监督建设市场主体各方的交易行为；管理和规范工程建设项目的安全生产和文明施工；负责对装饰装修工程进行施工许可审批；指导区属建筑企业积极开拓建设市场。</w:t>
      </w:r>
    </w:p>
    <w:p w14:paraId="233E7532">
      <w:pPr>
        <w:pStyle w:val="27"/>
        <w:rPr>
          <w:rFonts w:hint="eastAsia" w:ascii="仿宋" w:hAnsi="仿宋" w:eastAsia="仿宋" w:cs="Times New Roman"/>
          <w:b w:val="0"/>
          <w:bCs/>
          <w:sz w:val="32"/>
          <w:szCs w:val="30"/>
        </w:rPr>
      </w:pPr>
      <w:r>
        <w:rPr>
          <w:rFonts w:hint="eastAsia" w:ascii="仿宋" w:hAnsi="仿宋" w:eastAsia="仿宋" w:cs="Times New Roman"/>
          <w:b w:val="0"/>
          <w:bCs/>
          <w:sz w:val="32"/>
          <w:szCs w:val="30"/>
        </w:rPr>
        <w:t>（三）按照全市城乡建设规划负责全区基础设施建设。</w:t>
      </w:r>
    </w:p>
    <w:p w14:paraId="6D2C1AFA">
      <w:pPr>
        <w:pStyle w:val="27"/>
        <w:rPr>
          <w:rFonts w:hint="eastAsia" w:ascii="仿宋" w:hAnsi="仿宋" w:eastAsia="仿宋" w:cs="Times New Roman"/>
          <w:b w:val="0"/>
          <w:bCs/>
          <w:sz w:val="32"/>
          <w:szCs w:val="30"/>
        </w:rPr>
      </w:pPr>
      <w:r>
        <w:rPr>
          <w:rFonts w:hint="eastAsia" w:ascii="仿宋" w:hAnsi="仿宋" w:eastAsia="仿宋" w:cs="Times New Roman"/>
          <w:b w:val="0"/>
          <w:bCs/>
          <w:sz w:val="32"/>
          <w:szCs w:val="30"/>
        </w:rPr>
        <w:t>（四）负责全区城镇低收入家庭的住房保障工作；负责全区保障性住房相关政策的宣传和组织实施；协助有关部门做好全区保障性住房资金的安排和监管；负责全区保障性住房建设管理的相关政策的宣传和组织实施。</w:t>
      </w:r>
    </w:p>
    <w:p w14:paraId="036079F8">
      <w:pPr>
        <w:pStyle w:val="27"/>
        <w:rPr>
          <w:rFonts w:hint="eastAsia" w:ascii="仿宋" w:hAnsi="仿宋" w:eastAsia="仿宋" w:cs="Times New Roman"/>
          <w:b w:val="0"/>
          <w:bCs/>
          <w:sz w:val="32"/>
          <w:szCs w:val="30"/>
        </w:rPr>
      </w:pPr>
      <w:r>
        <w:rPr>
          <w:rFonts w:hint="eastAsia" w:ascii="仿宋" w:hAnsi="仿宋" w:eastAsia="仿宋" w:cs="Times New Roman"/>
          <w:b w:val="0"/>
          <w:bCs/>
          <w:sz w:val="32"/>
          <w:szCs w:val="30"/>
        </w:rPr>
        <w:t>（五）负责全区集体土地上各类房屋产籍档案和登记</w:t>
      </w:r>
      <w:r>
        <w:rPr>
          <w:rFonts w:hint="eastAsia" w:ascii="仿宋" w:hAnsi="仿宋" w:cs="Times New Roman"/>
          <w:b w:val="0"/>
          <w:bCs/>
          <w:sz w:val="32"/>
          <w:szCs w:val="30"/>
          <w:lang w:val="en-US" w:eastAsia="zh-CN"/>
        </w:rPr>
        <w:t>簿</w:t>
      </w:r>
      <w:r>
        <w:rPr>
          <w:rFonts w:hint="eastAsia" w:ascii="仿宋" w:hAnsi="仿宋" w:eastAsia="仿宋" w:cs="Times New Roman"/>
          <w:b w:val="0"/>
          <w:bCs/>
          <w:sz w:val="32"/>
          <w:szCs w:val="30"/>
        </w:rPr>
        <w:t>的建立、管理和使用；负责全区集体土地房屋普查、统计工作。</w:t>
      </w:r>
    </w:p>
    <w:p w14:paraId="2E48DF3F">
      <w:pPr>
        <w:pStyle w:val="27"/>
        <w:rPr>
          <w:rFonts w:hint="eastAsia" w:ascii="仿宋" w:hAnsi="仿宋" w:eastAsia="仿宋" w:cs="Times New Roman"/>
          <w:b w:val="0"/>
          <w:bCs/>
          <w:sz w:val="32"/>
          <w:szCs w:val="30"/>
        </w:rPr>
      </w:pPr>
      <w:r>
        <w:rPr>
          <w:rFonts w:hint="eastAsia" w:ascii="仿宋" w:hAnsi="仿宋" w:eastAsia="仿宋" w:cs="Times New Roman"/>
          <w:b w:val="0"/>
          <w:bCs/>
          <w:sz w:val="32"/>
          <w:szCs w:val="30"/>
        </w:rPr>
        <w:t>（六）负责全区旧城改造普查、统计工作；会同区有关部门拟订全区旧城改造计划并组织实施。</w:t>
      </w:r>
    </w:p>
    <w:p w14:paraId="79D84938">
      <w:pPr>
        <w:pStyle w:val="27"/>
        <w:rPr>
          <w:rFonts w:hint="eastAsia" w:ascii="仿宋" w:hAnsi="仿宋" w:eastAsia="仿宋" w:cs="Times New Roman"/>
          <w:b w:val="0"/>
          <w:bCs/>
          <w:sz w:val="32"/>
          <w:szCs w:val="30"/>
        </w:rPr>
      </w:pPr>
      <w:r>
        <w:rPr>
          <w:rFonts w:hint="eastAsia" w:ascii="仿宋" w:hAnsi="仿宋" w:eastAsia="仿宋" w:cs="Times New Roman"/>
          <w:b w:val="0"/>
          <w:bCs/>
          <w:sz w:val="32"/>
          <w:szCs w:val="30"/>
        </w:rPr>
        <w:t>（七）负责全区城市房屋征收补偿安置管理工作；负责指导、检查和监督征收单位的征收补偿安置工作；发布《房屋征收公告》，裁决征收纠纷；负责审核全区建设项目征收补偿安置方案，测算、核定具体征收项目的征收补偿安置成本。</w:t>
      </w:r>
    </w:p>
    <w:p w14:paraId="5EBAF895">
      <w:pPr>
        <w:pStyle w:val="27"/>
        <w:rPr>
          <w:rFonts w:hint="eastAsia" w:ascii="仿宋" w:hAnsi="仿宋" w:eastAsia="仿宋" w:cs="Times New Roman"/>
          <w:b w:val="0"/>
          <w:bCs/>
          <w:sz w:val="32"/>
          <w:szCs w:val="30"/>
        </w:rPr>
      </w:pPr>
      <w:r>
        <w:rPr>
          <w:rFonts w:hint="eastAsia" w:ascii="仿宋" w:hAnsi="仿宋" w:eastAsia="仿宋" w:cs="Times New Roman"/>
          <w:b w:val="0"/>
          <w:bCs/>
          <w:sz w:val="32"/>
          <w:szCs w:val="30"/>
        </w:rPr>
        <w:t>（八）负责办理房屋租赁登记备案。</w:t>
      </w:r>
    </w:p>
    <w:p w14:paraId="181F9A0F">
      <w:pPr>
        <w:pStyle w:val="27"/>
        <w:rPr>
          <w:rFonts w:hint="eastAsia" w:ascii="仿宋" w:hAnsi="仿宋" w:eastAsia="仿宋" w:cs="Times New Roman"/>
          <w:b w:val="0"/>
          <w:bCs/>
          <w:sz w:val="32"/>
          <w:szCs w:val="30"/>
        </w:rPr>
      </w:pPr>
      <w:r>
        <w:rPr>
          <w:rFonts w:hint="eastAsia" w:ascii="仿宋" w:hAnsi="仿宋" w:eastAsia="仿宋" w:cs="Times New Roman"/>
          <w:b w:val="0"/>
          <w:bCs/>
          <w:sz w:val="32"/>
          <w:szCs w:val="30"/>
        </w:rPr>
        <w:t>（九）负责全区建设工程招标投标监管工作；负责全区物业管理活动的监督管理工作；协助上级部门实施物业服务机构的资质管理和前期物业管理招投标的指导监督；负责指导和推动业主委员会的组建工作。</w:t>
      </w:r>
    </w:p>
    <w:p w14:paraId="10EC4678">
      <w:pPr>
        <w:pStyle w:val="27"/>
        <w:rPr>
          <w:rFonts w:hint="eastAsia" w:ascii="仿宋" w:hAnsi="仿宋" w:eastAsia="仿宋" w:cs="Times New Roman"/>
          <w:b w:val="0"/>
          <w:bCs/>
          <w:sz w:val="32"/>
          <w:szCs w:val="30"/>
        </w:rPr>
      </w:pPr>
      <w:r>
        <w:rPr>
          <w:rFonts w:hint="eastAsia" w:ascii="仿宋" w:hAnsi="仿宋" w:eastAsia="仿宋" w:cs="Times New Roman"/>
          <w:b w:val="0"/>
          <w:bCs/>
          <w:sz w:val="32"/>
          <w:szCs w:val="30"/>
        </w:rPr>
        <w:t>（十）借助上级部门实施全区房屋安全使用管理工作；负责全区直管公有住房的安全管理；负责全区住宅（建筑面积500平方米以下）装饰装修的行政审批。</w:t>
      </w:r>
    </w:p>
    <w:p w14:paraId="71E947E2">
      <w:pPr>
        <w:pStyle w:val="27"/>
        <w:rPr>
          <w:rFonts w:hint="eastAsia" w:ascii="仿宋" w:hAnsi="仿宋" w:eastAsia="仿宋" w:cs="Times New Roman"/>
          <w:b w:val="0"/>
          <w:bCs/>
          <w:sz w:val="32"/>
          <w:szCs w:val="30"/>
        </w:rPr>
      </w:pPr>
      <w:r>
        <w:rPr>
          <w:rFonts w:hint="eastAsia" w:ascii="仿宋" w:hAnsi="仿宋" w:eastAsia="仿宋" w:cs="Times New Roman"/>
          <w:b w:val="0"/>
          <w:bCs/>
          <w:sz w:val="32"/>
          <w:szCs w:val="30"/>
        </w:rPr>
        <w:t>（十一）协助上级部门组织实施公有住房出售和公有住房租金标准的相关政策。</w:t>
      </w:r>
    </w:p>
    <w:p w14:paraId="4DB97342">
      <w:pPr>
        <w:pStyle w:val="27"/>
        <w:rPr>
          <w:rFonts w:hint="eastAsia" w:ascii="仿宋" w:hAnsi="仿宋" w:eastAsia="仿宋" w:cs="Times New Roman"/>
          <w:b w:val="0"/>
          <w:bCs/>
          <w:sz w:val="32"/>
          <w:szCs w:val="30"/>
        </w:rPr>
      </w:pPr>
      <w:r>
        <w:rPr>
          <w:rFonts w:hint="eastAsia" w:ascii="仿宋" w:hAnsi="仿宋" w:eastAsia="仿宋" w:cs="Times New Roman"/>
          <w:b w:val="0"/>
          <w:bCs/>
          <w:sz w:val="32"/>
          <w:szCs w:val="30"/>
        </w:rPr>
        <w:t>（十二）负责辖区公路、运输站场等交通建设和管理；负责公路路政、道路运政管理工作；负责实施道路运输行政许可；负责城区道路运输的行业管理。</w:t>
      </w:r>
    </w:p>
    <w:p w14:paraId="5FAC3B2A">
      <w:pPr>
        <w:pStyle w:val="27"/>
        <w:rPr>
          <w:rFonts w:hint="eastAsia" w:ascii="仿宋" w:hAnsi="仿宋" w:eastAsia="仿宋" w:cs="Times New Roman"/>
          <w:b w:val="0"/>
          <w:bCs/>
          <w:sz w:val="32"/>
          <w:szCs w:val="30"/>
        </w:rPr>
      </w:pPr>
      <w:r>
        <w:rPr>
          <w:rFonts w:hint="eastAsia" w:ascii="仿宋" w:hAnsi="仿宋" w:eastAsia="仿宋" w:cs="Times New Roman"/>
          <w:b w:val="0"/>
          <w:bCs/>
          <w:sz w:val="32"/>
          <w:szCs w:val="30"/>
        </w:rPr>
        <w:t>（十三）负责对接市水利局，协调水利相关事宜，同时负责传达市水利局有关精神，完成上级河长办布置工作任务。</w:t>
      </w:r>
    </w:p>
    <w:p w14:paraId="7A8B261D">
      <w:pPr>
        <w:pStyle w:val="27"/>
        <w:rPr>
          <w:rFonts w:hint="eastAsia" w:ascii="仿宋" w:hAnsi="仿宋" w:eastAsia="仿宋" w:cs="Times New Roman"/>
          <w:b w:val="0"/>
          <w:bCs/>
          <w:sz w:val="32"/>
          <w:szCs w:val="30"/>
        </w:rPr>
      </w:pPr>
      <w:r>
        <w:rPr>
          <w:rFonts w:hint="eastAsia" w:ascii="仿宋" w:hAnsi="仿宋" w:eastAsia="仿宋" w:cs="Times New Roman"/>
          <w:b w:val="0"/>
          <w:bCs/>
          <w:sz w:val="32"/>
          <w:szCs w:val="30"/>
        </w:rPr>
        <w:t>（十四）负责全区住房和城乡建设的行政执法工作。</w:t>
      </w:r>
    </w:p>
    <w:p w14:paraId="35BA86D5">
      <w:pPr>
        <w:pStyle w:val="27"/>
        <w:rPr>
          <w:rFonts w:hint="eastAsia" w:ascii="仿宋" w:hAnsi="仿宋" w:eastAsia="仿宋" w:cs="Times New Roman"/>
          <w:b w:val="0"/>
          <w:bCs/>
          <w:sz w:val="32"/>
          <w:szCs w:val="30"/>
        </w:rPr>
      </w:pPr>
      <w:r>
        <w:rPr>
          <w:rFonts w:hint="eastAsia" w:ascii="仿宋" w:hAnsi="仿宋" w:eastAsia="仿宋" w:cs="Times New Roman"/>
          <w:b w:val="0"/>
          <w:bCs/>
          <w:sz w:val="32"/>
          <w:szCs w:val="30"/>
        </w:rPr>
        <w:t>（十五）负责本系统安全管理工作，负责职责范围内的安全生产监管工作。</w:t>
      </w:r>
    </w:p>
    <w:p w14:paraId="02272066">
      <w:pPr>
        <w:pStyle w:val="27"/>
        <w:rPr>
          <w:rFonts w:hint="eastAsia" w:ascii="仿宋_GB2312" w:hAnsi="仿宋_GB2312" w:eastAsia="仿宋_GB2312"/>
          <w:sz w:val="32"/>
          <w:szCs w:val="32"/>
        </w:rPr>
      </w:pPr>
      <w:r>
        <w:rPr>
          <w:rFonts w:hint="eastAsia" w:ascii="仿宋" w:hAnsi="仿宋" w:eastAsia="仿宋" w:cs="Times New Roman"/>
          <w:b w:val="0"/>
          <w:bCs/>
          <w:sz w:val="32"/>
          <w:szCs w:val="30"/>
        </w:rPr>
        <w:t>（十六）完成区委、区政府、区人武部和区国防动员委员会交办的其他任务。</w:t>
      </w:r>
    </w:p>
    <w:p w14:paraId="3CFF26BE">
      <w:pPr>
        <w:ind w:firstLine="630"/>
        <w:jc w:val="left"/>
        <w:outlineLvl w:val="1"/>
        <w:rPr>
          <w:rFonts w:hint="eastAsia" w:ascii="黑体" w:hAnsi="黑体" w:eastAsia="黑体"/>
          <w:sz w:val="32"/>
          <w:szCs w:val="32"/>
        </w:rPr>
      </w:pPr>
      <w:r>
        <w:rPr>
          <w:rFonts w:hint="eastAsia" w:ascii="黑体" w:hAnsi="黑体" w:eastAsia="黑体"/>
          <w:sz w:val="32"/>
          <w:szCs w:val="32"/>
        </w:rPr>
        <w:t>二、机构设置及人员情况</w:t>
      </w:r>
    </w:p>
    <w:p w14:paraId="59E2F37B">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纳入本套部门决算汇编范围的单位共</w:t>
      </w:r>
      <w:r>
        <w:rPr>
          <w:rFonts w:hint="eastAsia" w:ascii="仿宋_GB2312" w:eastAsia="仿宋_GB2312" w:cs="仿宋_GB2312"/>
          <w:sz w:val="32"/>
          <w:szCs w:val="32"/>
          <w:lang w:bidi="en-AU"/>
        </w:rPr>
        <w:t>4</w:t>
      </w:r>
      <w:r>
        <w:rPr>
          <w:rFonts w:hint="eastAsia" w:ascii="仿宋_GB2312" w:hAnsi="仿宋_GB2312" w:eastAsia="仿宋_GB2312"/>
          <w:sz w:val="32"/>
          <w:szCs w:val="32"/>
        </w:rPr>
        <w:t>个，包括：</w:t>
      </w:r>
    </w:p>
    <w:tbl>
      <w:tblPr>
        <w:tblStyle w:val="17"/>
        <w:tblW w:w="0" w:type="auto"/>
        <w:tblInd w:w="2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000"/>
        <w:gridCol w:w="4769"/>
        <w:gridCol w:w="2348"/>
      </w:tblGrid>
      <w:tr w14:paraId="2B858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00" w:type="dxa"/>
            <w:shd w:val="clear" w:color="auto" w:fill="auto"/>
            <w:noWrap w:val="0"/>
            <w:vAlign w:val="top"/>
          </w:tcPr>
          <w:p w14:paraId="3DB5FE31">
            <w:pPr>
              <w:jc w:val="center"/>
              <w:rPr>
                <w:rFonts w:hint="eastAsia" w:ascii="仿宋_GB2312" w:hAnsi="仿宋_GB2312" w:eastAsia="仿宋_GB2312"/>
                <w:sz w:val="32"/>
                <w:szCs w:val="32"/>
              </w:rPr>
            </w:pPr>
            <w:r>
              <w:rPr>
                <w:rFonts w:hint="eastAsia" w:ascii="仿宋_GB2312" w:hAnsi="仿宋_GB2312" w:eastAsia="仿宋_GB2312"/>
                <w:sz w:val="32"/>
                <w:szCs w:val="32"/>
              </w:rPr>
              <w:t>序号</w:t>
            </w:r>
          </w:p>
        </w:tc>
        <w:tc>
          <w:tcPr>
            <w:tcW w:w="4769" w:type="dxa"/>
            <w:shd w:val="clear" w:color="auto" w:fill="auto"/>
            <w:noWrap w:val="0"/>
            <w:vAlign w:val="top"/>
          </w:tcPr>
          <w:p w14:paraId="4F248602">
            <w:pPr>
              <w:jc w:val="center"/>
              <w:rPr>
                <w:rFonts w:hint="eastAsia" w:ascii="仿宋_GB2312" w:hAnsi="仿宋_GB2312" w:eastAsia="仿宋_GB2312"/>
                <w:sz w:val="32"/>
                <w:szCs w:val="32"/>
              </w:rPr>
            </w:pPr>
            <w:r>
              <w:rPr>
                <w:rFonts w:hint="eastAsia" w:ascii="仿宋_GB2312" w:hAnsi="仿宋_GB2312" w:eastAsia="仿宋_GB2312"/>
                <w:sz w:val="32"/>
                <w:szCs w:val="32"/>
              </w:rPr>
              <w:t>单位名称</w:t>
            </w:r>
          </w:p>
        </w:tc>
        <w:tc>
          <w:tcPr>
            <w:tcW w:w="2348" w:type="dxa"/>
            <w:shd w:val="clear" w:color="auto" w:fill="auto"/>
            <w:noWrap w:val="0"/>
            <w:vAlign w:val="top"/>
          </w:tcPr>
          <w:p w14:paraId="07A66573">
            <w:pPr>
              <w:jc w:val="center"/>
              <w:rPr>
                <w:rFonts w:hint="eastAsia" w:ascii="仿宋_GB2312" w:hAnsi="仿宋_GB2312" w:eastAsia="仿宋_GB2312"/>
                <w:sz w:val="32"/>
                <w:szCs w:val="32"/>
              </w:rPr>
            </w:pPr>
            <w:r>
              <w:rPr>
                <w:rFonts w:hint="eastAsia" w:ascii="仿宋_GB2312" w:hAnsi="仿宋_GB2312" w:eastAsia="仿宋_GB2312"/>
                <w:sz w:val="32"/>
                <w:szCs w:val="32"/>
              </w:rPr>
              <w:t>预算级次</w:t>
            </w:r>
          </w:p>
        </w:tc>
      </w:tr>
      <w:tr w14:paraId="18798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noWrap w:val="0"/>
            <w:vAlign w:val="center"/>
          </w:tcPr>
          <w:p w14:paraId="2A3BD417">
            <w:pPr>
              <w:jc w:val="center"/>
              <w:rPr>
                <w:rFonts w:hint="eastAsia" w:ascii="仿宋_GB2312" w:hAnsi="仿宋_GB2312" w:eastAsia="仿宋_GB2312"/>
                <w:sz w:val="30"/>
                <w:szCs w:val="30"/>
                <w:highlight w:val="none"/>
                <w:lang w:val="en-US" w:eastAsia="zh-CN"/>
              </w:rPr>
            </w:pPr>
            <w:r>
              <w:rPr>
                <w:rFonts w:hint="eastAsia" w:ascii="仿宋_GB2312" w:hAnsi="仿宋_GB2312" w:eastAsia="仿宋_GB2312"/>
                <w:sz w:val="30"/>
                <w:szCs w:val="30"/>
                <w:highlight w:val="none"/>
                <w:lang w:val="en-US" w:eastAsia="zh-CN"/>
              </w:rPr>
              <w:t>1</w:t>
            </w:r>
          </w:p>
        </w:tc>
        <w:tc>
          <w:tcPr>
            <w:tcW w:w="4769" w:type="dxa"/>
            <w:shd w:val="clear" w:color="auto" w:fill="auto"/>
            <w:noWrap w:val="0"/>
            <w:vAlign w:val="center"/>
          </w:tcPr>
          <w:p w14:paraId="5ECCA5D4">
            <w:pPr>
              <w:jc w:val="center"/>
              <w:rPr>
                <w:rFonts w:hint="default" w:ascii="仿宋_GB2312" w:hAnsi="仿宋_GB2312" w:eastAsia="仿宋_GB2312"/>
                <w:sz w:val="30"/>
                <w:szCs w:val="30"/>
                <w:highlight w:val="none"/>
                <w:lang w:val="en-US" w:eastAsia="zh-CN"/>
              </w:rPr>
            </w:pPr>
            <w:r>
              <w:rPr>
                <w:rFonts w:hint="eastAsia" w:ascii="仿宋_GB2312" w:hAnsi="仿宋_GB2312" w:eastAsia="仿宋_GB2312"/>
                <w:sz w:val="30"/>
                <w:szCs w:val="30"/>
                <w:highlight w:val="none"/>
                <w:lang w:val="en-US" w:eastAsia="zh-CN"/>
              </w:rPr>
              <w:t>南昌市青云谱区住房和城乡建设局</w:t>
            </w:r>
          </w:p>
        </w:tc>
        <w:tc>
          <w:tcPr>
            <w:tcW w:w="2348" w:type="dxa"/>
            <w:shd w:val="clear" w:color="auto" w:fill="auto"/>
            <w:noWrap w:val="0"/>
            <w:vAlign w:val="center"/>
          </w:tcPr>
          <w:p w14:paraId="21728EA0">
            <w:pPr>
              <w:jc w:val="center"/>
              <w:rPr>
                <w:rFonts w:hint="default" w:ascii="仿宋_GB2312" w:hAnsi="仿宋_GB2312" w:eastAsia="仿宋_GB2312"/>
                <w:sz w:val="30"/>
                <w:szCs w:val="30"/>
                <w:highlight w:val="none"/>
                <w:lang w:val="en-US" w:eastAsia="zh-CN"/>
              </w:rPr>
            </w:pPr>
            <w:r>
              <w:rPr>
                <w:rFonts w:hint="eastAsia" w:ascii="仿宋_GB2312" w:hAnsi="仿宋_GB2312" w:eastAsia="仿宋_GB2312"/>
                <w:sz w:val="30"/>
                <w:szCs w:val="30"/>
                <w:highlight w:val="none"/>
                <w:lang w:val="en-US" w:eastAsia="zh-CN"/>
              </w:rPr>
              <w:t>一级</w:t>
            </w:r>
          </w:p>
        </w:tc>
      </w:tr>
      <w:tr w14:paraId="2B82B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noWrap w:val="0"/>
            <w:vAlign w:val="center"/>
          </w:tcPr>
          <w:p w14:paraId="207CBD46">
            <w:pPr>
              <w:jc w:val="center"/>
              <w:rPr>
                <w:rFonts w:ascii="仿宋_GB2312" w:hAnsi="仿宋_GB2312" w:eastAsia="仿宋_GB2312"/>
                <w:sz w:val="30"/>
                <w:szCs w:val="30"/>
              </w:rPr>
            </w:pPr>
            <w:r>
              <w:rPr>
                <w:rFonts w:hint="eastAsia" w:ascii="仿宋_GB2312" w:hAnsi="仿宋_GB2312" w:eastAsia="仿宋_GB2312"/>
                <w:sz w:val="30"/>
                <w:szCs w:val="30"/>
                <w:lang w:val="en-US" w:eastAsia="zh-CN"/>
              </w:rPr>
              <w:t>2</w:t>
            </w:r>
          </w:p>
        </w:tc>
        <w:tc>
          <w:tcPr>
            <w:tcW w:w="4769" w:type="dxa"/>
            <w:shd w:val="clear" w:color="auto" w:fill="auto"/>
            <w:noWrap w:val="0"/>
            <w:vAlign w:val="center"/>
          </w:tcPr>
          <w:p w14:paraId="212A7B24">
            <w:pPr>
              <w:jc w:val="center"/>
              <w:rPr>
                <w:rFonts w:hint="default" w:ascii="仿宋_GB2312" w:hAnsi="仿宋_GB2312" w:eastAsia="仿宋_GB2312"/>
                <w:sz w:val="30"/>
                <w:szCs w:val="30"/>
                <w:lang w:val="en-US" w:eastAsia="zh-CN"/>
              </w:rPr>
            </w:pPr>
            <w:r>
              <w:rPr>
                <w:rFonts w:hint="eastAsia" w:ascii="仿宋_GB2312" w:hAnsi="仿宋_GB2312" w:eastAsia="仿宋_GB2312"/>
                <w:sz w:val="30"/>
                <w:szCs w:val="30"/>
                <w:lang w:val="en-US" w:eastAsia="zh-CN"/>
              </w:rPr>
              <w:t>南昌市青云谱区市政园林养护中心</w:t>
            </w:r>
          </w:p>
        </w:tc>
        <w:tc>
          <w:tcPr>
            <w:tcW w:w="2348" w:type="dxa"/>
            <w:shd w:val="clear" w:color="auto" w:fill="auto"/>
            <w:noWrap w:val="0"/>
            <w:vAlign w:val="center"/>
          </w:tcPr>
          <w:p w14:paraId="2A5BE788">
            <w:pPr>
              <w:jc w:val="center"/>
              <w:rPr>
                <w:rFonts w:hint="default" w:ascii="仿宋_GB2312" w:hAnsi="仿宋_GB2312" w:eastAsia="仿宋_GB2312"/>
                <w:sz w:val="30"/>
                <w:szCs w:val="30"/>
                <w:lang w:val="en-US" w:eastAsia="zh-CN"/>
              </w:rPr>
            </w:pPr>
            <w:r>
              <w:rPr>
                <w:rFonts w:hint="eastAsia" w:ascii="仿宋_GB2312" w:hAnsi="仿宋_GB2312" w:eastAsia="仿宋_GB2312"/>
                <w:sz w:val="30"/>
                <w:szCs w:val="30"/>
                <w:lang w:val="en-US" w:eastAsia="zh-CN"/>
              </w:rPr>
              <w:t>二级</w:t>
            </w:r>
          </w:p>
        </w:tc>
      </w:tr>
      <w:tr w14:paraId="25E55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1000" w:type="dxa"/>
            <w:shd w:val="clear" w:color="auto" w:fill="auto"/>
            <w:noWrap w:val="0"/>
            <w:vAlign w:val="center"/>
          </w:tcPr>
          <w:p w14:paraId="4E7ACBD3">
            <w:pPr>
              <w:jc w:val="center"/>
              <w:rPr>
                <w:rFonts w:hint="eastAsia" w:ascii="仿宋_GB2312" w:hAnsi="仿宋_GB2312" w:eastAsia="仿宋_GB2312"/>
                <w:sz w:val="30"/>
                <w:szCs w:val="30"/>
                <w:highlight w:val="none"/>
                <w:lang w:val="en-US" w:eastAsia="zh-CN"/>
              </w:rPr>
            </w:pPr>
            <w:r>
              <w:rPr>
                <w:rFonts w:hint="eastAsia" w:ascii="仿宋_GB2312" w:hAnsi="仿宋_GB2312" w:eastAsia="仿宋_GB2312"/>
                <w:sz w:val="30"/>
                <w:szCs w:val="30"/>
                <w:highlight w:val="none"/>
                <w:lang w:val="en-US" w:eastAsia="zh-CN"/>
              </w:rPr>
              <w:t>3</w:t>
            </w:r>
          </w:p>
        </w:tc>
        <w:tc>
          <w:tcPr>
            <w:tcW w:w="4769" w:type="dxa"/>
            <w:shd w:val="clear" w:color="auto" w:fill="auto"/>
            <w:noWrap w:val="0"/>
            <w:vAlign w:val="center"/>
          </w:tcPr>
          <w:p w14:paraId="3C5A1DC1">
            <w:pPr>
              <w:jc w:val="center"/>
              <w:rPr>
                <w:rFonts w:hint="default" w:ascii="仿宋_GB2312" w:hAnsi="仿宋_GB2312" w:eastAsia="仿宋_GB2312"/>
                <w:sz w:val="30"/>
                <w:szCs w:val="30"/>
                <w:highlight w:val="none"/>
                <w:lang w:val="en-US" w:eastAsia="zh-CN"/>
              </w:rPr>
            </w:pPr>
            <w:r>
              <w:rPr>
                <w:rFonts w:hint="eastAsia" w:ascii="仿宋_GB2312" w:hAnsi="仿宋_GB2312" w:eastAsia="仿宋_GB2312"/>
                <w:sz w:val="30"/>
                <w:szCs w:val="30"/>
                <w:highlight w:val="none"/>
                <w:lang w:val="en-US" w:eastAsia="zh-CN"/>
              </w:rPr>
              <w:t>南昌市青云谱区建筑工程质量和安全服务中心</w:t>
            </w:r>
          </w:p>
        </w:tc>
        <w:tc>
          <w:tcPr>
            <w:tcW w:w="2348" w:type="dxa"/>
            <w:shd w:val="clear" w:color="auto" w:fill="auto"/>
            <w:noWrap w:val="0"/>
            <w:vAlign w:val="center"/>
          </w:tcPr>
          <w:p w14:paraId="10FD9E5F">
            <w:pPr>
              <w:jc w:val="center"/>
              <w:rPr>
                <w:rFonts w:hint="default" w:ascii="仿宋_GB2312" w:hAnsi="仿宋_GB2312" w:eastAsia="仿宋_GB2312"/>
                <w:sz w:val="30"/>
                <w:szCs w:val="30"/>
                <w:highlight w:val="none"/>
                <w:lang w:val="en-US" w:eastAsia="zh-CN"/>
              </w:rPr>
            </w:pPr>
            <w:r>
              <w:rPr>
                <w:rFonts w:hint="eastAsia" w:ascii="仿宋_GB2312" w:hAnsi="仿宋_GB2312" w:eastAsia="仿宋_GB2312"/>
                <w:sz w:val="30"/>
                <w:szCs w:val="30"/>
                <w:highlight w:val="none"/>
                <w:lang w:val="en-US" w:eastAsia="zh-CN"/>
              </w:rPr>
              <w:t>二级</w:t>
            </w:r>
          </w:p>
        </w:tc>
      </w:tr>
      <w:tr w14:paraId="16794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noWrap w:val="0"/>
            <w:vAlign w:val="center"/>
          </w:tcPr>
          <w:p w14:paraId="10376F06">
            <w:pPr>
              <w:jc w:val="center"/>
              <w:rPr>
                <w:rFonts w:hint="eastAsia" w:ascii="仿宋_GB2312" w:hAnsi="仿宋_GB2312" w:eastAsia="仿宋_GB2312"/>
                <w:sz w:val="30"/>
                <w:szCs w:val="30"/>
                <w:highlight w:val="none"/>
                <w:lang w:val="en-US" w:eastAsia="zh-CN"/>
              </w:rPr>
            </w:pPr>
            <w:r>
              <w:rPr>
                <w:rFonts w:hint="eastAsia" w:ascii="仿宋_GB2312" w:hAnsi="仿宋_GB2312" w:eastAsia="仿宋_GB2312"/>
                <w:sz w:val="30"/>
                <w:szCs w:val="30"/>
                <w:highlight w:val="none"/>
                <w:lang w:val="en-US" w:eastAsia="zh-CN"/>
              </w:rPr>
              <w:t>4</w:t>
            </w:r>
          </w:p>
        </w:tc>
        <w:tc>
          <w:tcPr>
            <w:tcW w:w="4769" w:type="dxa"/>
            <w:shd w:val="clear" w:color="auto" w:fill="auto"/>
            <w:noWrap w:val="0"/>
            <w:vAlign w:val="center"/>
          </w:tcPr>
          <w:p w14:paraId="51EB8EBB">
            <w:pPr>
              <w:jc w:val="center"/>
              <w:rPr>
                <w:rFonts w:hint="default" w:ascii="仿宋_GB2312" w:hAnsi="仿宋_GB2312" w:eastAsia="仿宋_GB2312"/>
                <w:sz w:val="30"/>
                <w:szCs w:val="30"/>
                <w:highlight w:val="none"/>
                <w:lang w:val="en-US" w:eastAsia="zh-CN"/>
              </w:rPr>
            </w:pPr>
            <w:r>
              <w:rPr>
                <w:rFonts w:hint="eastAsia" w:ascii="仿宋_GB2312" w:hAnsi="仿宋_GB2312" w:eastAsia="仿宋_GB2312"/>
                <w:sz w:val="30"/>
                <w:szCs w:val="30"/>
                <w:highlight w:val="none"/>
                <w:lang w:val="en-US" w:eastAsia="zh-CN"/>
              </w:rPr>
              <w:t>南昌市青云谱区国有土地上房屋征收与补偿中心</w:t>
            </w:r>
          </w:p>
        </w:tc>
        <w:tc>
          <w:tcPr>
            <w:tcW w:w="2348" w:type="dxa"/>
            <w:shd w:val="clear" w:color="auto" w:fill="auto"/>
            <w:noWrap w:val="0"/>
            <w:vAlign w:val="center"/>
          </w:tcPr>
          <w:p w14:paraId="6CC01A89">
            <w:pPr>
              <w:jc w:val="center"/>
              <w:rPr>
                <w:rFonts w:hint="eastAsia" w:ascii="仿宋_GB2312" w:hAnsi="仿宋_GB2312" w:eastAsia="仿宋_GB2312"/>
                <w:sz w:val="30"/>
                <w:szCs w:val="30"/>
                <w:highlight w:val="none"/>
                <w:lang w:val="en-US" w:eastAsia="zh-CN"/>
              </w:rPr>
            </w:pPr>
            <w:r>
              <w:rPr>
                <w:rFonts w:hint="eastAsia" w:ascii="仿宋_GB2312" w:hAnsi="仿宋_GB2312" w:eastAsia="仿宋_GB2312"/>
                <w:sz w:val="30"/>
                <w:szCs w:val="30"/>
                <w:highlight w:val="none"/>
                <w:lang w:val="en-US" w:eastAsia="zh-CN"/>
              </w:rPr>
              <w:t>二级</w:t>
            </w:r>
          </w:p>
        </w:tc>
      </w:tr>
    </w:tbl>
    <w:p w14:paraId="2CF4D340">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本部门年末在职人员119人，离退休人员</w:t>
      </w:r>
      <w:r>
        <w:rPr>
          <w:rFonts w:hint="eastAsia" w:ascii="仿宋_GB2312" w:eastAsia="仿宋_GB2312" w:cs="仿宋_GB2312"/>
          <w:sz w:val="32"/>
          <w:szCs w:val="32"/>
          <w:lang w:bidi="en-AU"/>
        </w:rPr>
        <w:t>0</w:t>
      </w:r>
      <w:r>
        <w:rPr>
          <w:rFonts w:hint="eastAsia" w:ascii="仿宋_GB2312" w:hAnsi="仿宋_GB2312" w:eastAsia="仿宋_GB2312"/>
          <w:sz w:val="32"/>
          <w:szCs w:val="32"/>
        </w:rPr>
        <w:t>人（不含由养老保险基金发放养老金的离退休人员），其他人员0人。由养老保险基金发放养老金的离退休人员161人。</w:t>
      </w:r>
    </w:p>
    <w:p w14:paraId="4C0E0935">
      <w:pPr>
        <w:pStyle w:val="9"/>
        <w:rPr>
          <w:rFonts w:hint="eastAsia" w:ascii="仿宋_GB2312" w:hAnsi="仿宋_GB2312" w:eastAsia="仿宋_GB2312"/>
          <w:sz w:val="32"/>
          <w:szCs w:val="32"/>
        </w:rPr>
      </w:pPr>
    </w:p>
    <w:p w14:paraId="527335AF">
      <w:pPr>
        <w:rPr>
          <w:rFonts w:hint="eastAsia" w:ascii="仿宋_GB2312" w:hAnsi="仿宋_GB2312" w:eastAsia="仿宋_GB2312"/>
          <w:sz w:val="32"/>
          <w:szCs w:val="32"/>
        </w:rPr>
      </w:pPr>
    </w:p>
    <w:p w14:paraId="2FA93021">
      <w:pPr>
        <w:pStyle w:val="2"/>
        <w:rPr>
          <w:rFonts w:hint="eastAsia" w:ascii="仿宋_GB2312" w:hAnsi="仿宋_GB2312" w:eastAsia="仿宋_GB2312"/>
          <w:sz w:val="32"/>
          <w:szCs w:val="32"/>
        </w:rPr>
      </w:pPr>
    </w:p>
    <w:p w14:paraId="6E75A89E">
      <w:pPr>
        <w:pStyle w:val="2"/>
        <w:rPr>
          <w:rFonts w:hint="eastAsia" w:ascii="仿宋_GB2312" w:hAnsi="仿宋_GB2312" w:eastAsia="仿宋_GB2312"/>
          <w:sz w:val="32"/>
          <w:szCs w:val="32"/>
        </w:rPr>
      </w:pPr>
    </w:p>
    <w:p w14:paraId="35502F5A">
      <w:pPr>
        <w:pStyle w:val="9"/>
        <w:rPr>
          <w:rFonts w:hint="eastAsia" w:ascii="仿宋_GB2312" w:hAnsi="仿宋_GB2312" w:eastAsia="仿宋_GB2312"/>
          <w:sz w:val="32"/>
          <w:szCs w:val="32"/>
        </w:rPr>
      </w:pPr>
    </w:p>
    <w:p w14:paraId="26DDED56">
      <w:pPr>
        <w:rPr>
          <w:rFonts w:hint="eastAsia"/>
        </w:rPr>
      </w:pPr>
    </w:p>
    <w:p w14:paraId="2AEED6B1">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rPr>
      </w:pPr>
      <w:r>
        <w:rPr>
          <w:rFonts w:hint="eastAsia" w:ascii="宋体" w:hAnsi="宋体" w:cs="宋体"/>
          <w:b/>
          <w:sz w:val="44"/>
          <w:szCs w:val="44"/>
        </w:rPr>
        <w:t>第二部分  2023年度部门决算表</w:t>
      </w:r>
    </w:p>
    <w:p w14:paraId="57E6973B">
      <w:pPr>
        <w:bidi w:val="0"/>
        <w:rPr>
          <w:rFonts w:hint="eastAsia"/>
        </w:rPr>
      </w:pPr>
    </w:p>
    <w:p w14:paraId="42280941">
      <w:pPr>
        <w:ind w:firstLine="2880" w:firstLineChars="900"/>
        <w:jc w:val="left"/>
        <w:outlineLvl w:val="1"/>
        <w:rPr>
          <w:rFonts w:hint="eastAsia" w:ascii="黑体" w:hAnsi="黑体" w:eastAsia="黑体" w:cs="黑体"/>
          <w:sz w:val="36"/>
          <w:szCs w:val="36"/>
        </w:rPr>
      </w:pPr>
      <w:r>
        <w:rPr>
          <w:rFonts w:hint="eastAsia" w:ascii="黑体" w:hAnsi="宋体" w:eastAsia="黑体" w:cs="黑体"/>
          <w:sz w:val="32"/>
          <w:szCs w:val="32"/>
          <w:lang w:bidi="en-AU"/>
        </w:rPr>
        <w:t>收入支出决算总表</w:t>
      </w:r>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3E4AD28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23E2FC15">
            <w:pPr>
              <w:jc w:val="right"/>
            </w:pPr>
            <w:r>
              <w:rPr>
                <w:rFonts w:ascii="宋体" w:hAnsi="宋体" w:eastAsia="宋体" w:cs="宋体"/>
                <w:sz w:val="20"/>
              </w:rPr>
              <w:t>公开01表</w:t>
            </w:r>
          </w:p>
        </w:tc>
      </w:tr>
      <w:tr w14:paraId="081B0C6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673232C3">
            <w:pPr>
              <w:jc w:val="left"/>
            </w:pPr>
            <w:r>
              <w:rPr>
                <w:rFonts w:ascii="宋体" w:hAnsi="宋体" w:eastAsia="宋体" w:cs="宋体"/>
                <w:sz w:val="20"/>
              </w:rPr>
              <w:t>部门：南昌市青云谱区住房和城乡建设局</w:t>
            </w:r>
          </w:p>
        </w:tc>
        <w:tc>
          <w:tcPr>
            <w:tcW w:w="2000" w:type="dxa"/>
          </w:tcPr>
          <w:p w14:paraId="5F3727BC">
            <w:pPr>
              <w:jc w:val="center"/>
            </w:pPr>
            <w:r>
              <w:rPr>
                <w:rFonts w:ascii="宋体" w:hAnsi="宋体" w:eastAsia="宋体" w:cs="宋体"/>
                <w:sz w:val="20"/>
              </w:rPr>
              <w:t>2023年度</w:t>
            </w:r>
          </w:p>
        </w:tc>
        <w:tc>
          <w:tcPr>
            <w:tcW w:w="3153" w:type="dxa"/>
          </w:tcPr>
          <w:p w14:paraId="113D6AEE">
            <w:pPr>
              <w:jc w:val="right"/>
            </w:pPr>
            <w:r>
              <w:rPr>
                <w:rFonts w:ascii="宋体" w:hAnsi="宋体" w:eastAsia="宋体" w:cs="宋体"/>
                <w:sz w:val="20"/>
              </w:rPr>
              <w:t>金额单位：万元</w:t>
            </w:r>
          </w:p>
        </w:tc>
      </w:tr>
    </w:tbl>
    <w:p w14:paraId="538DBC55">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20"/>
        <w:gridCol w:w="460"/>
        <w:gridCol w:w="1220"/>
        <w:gridCol w:w="2340"/>
        <w:gridCol w:w="460"/>
        <w:gridCol w:w="1206"/>
      </w:tblGrid>
      <w:tr w14:paraId="49DDC5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gridSpan w:val="3"/>
            <w:vAlign w:val="center"/>
          </w:tcPr>
          <w:p w14:paraId="265D9CEC">
            <w:pPr>
              <w:jc w:val="center"/>
            </w:pPr>
            <w:r>
              <w:rPr>
                <w:rFonts w:ascii="宋体" w:hAnsi="宋体" w:eastAsia="宋体" w:cs="宋体"/>
                <w:b w:val="0"/>
                <w:i w:val="0"/>
                <w:color w:val="000000"/>
                <w:sz w:val="14"/>
              </w:rPr>
              <w:t>收入</w:t>
            </w:r>
          </w:p>
        </w:tc>
        <w:tc>
          <w:tcPr>
            <w:tcW w:w="2340" w:type="dxa"/>
            <w:gridSpan w:val="3"/>
            <w:vAlign w:val="center"/>
          </w:tcPr>
          <w:p w14:paraId="24FBA8A1">
            <w:pPr>
              <w:jc w:val="center"/>
            </w:pPr>
            <w:r>
              <w:rPr>
                <w:rFonts w:ascii="宋体" w:hAnsi="宋体" w:eastAsia="宋体" w:cs="宋体"/>
                <w:b w:val="0"/>
                <w:i w:val="0"/>
                <w:color w:val="000000"/>
                <w:sz w:val="14"/>
              </w:rPr>
              <w:t>支出</w:t>
            </w:r>
          </w:p>
        </w:tc>
      </w:tr>
      <w:tr w14:paraId="62C701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vAlign w:val="center"/>
          </w:tcPr>
          <w:p w14:paraId="4EF57776">
            <w:pPr>
              <w:jc w:val="center"/>
            </w:pPr>
            <w:r>
              <w:rPr>
                <w:rFonts w:ascii="宋体" w:hAnsi="宋体" w:eastAsia="宋体" w:cs="宋体"/>
                <w:b w:val="0"/>
                <w:i w:val="0"/>
                <w:color w:val="000000"/>
                <w:sz w:val="14"/>
              </w:rPr>
              <w:t>项    目</w:t>
            </w:r>
          </w:p>
        </w:tc>
        <w:tc>
          <w:tcPr>
            <w:tcW w:w="460" w:type="dxa"/>
            <w:vAlign w:val="center"/>
          </w:tcPr>
          <w:p w14:paraId="01F28E2F">
            <w:pPr>
              <w:jc w:val="center"/>
            </w:pPr>
            <w:r>
              <w:rPr>
                <w:rFonts w:ascii="宋体" w:hAnsi="宋体" w:eastAsia="宋体" w:cs="宋体"/>
                <w:b w:val="0"/>
                <w:i w:val="0"/>
                <w:color w:val="000000"/>
                <w:sz w:val="14"/>
              </w:rPr>
              <w:t>行次</w:t>
            </w:r>
          </w:p>
        </w:tc>
        <w:tc>
          <w:tcPr>
            <w:tcW w:w="1220" w:type="dxa"/>
            <w:vAlign w:val="center"/>
          </w:tcPr>
          <w:p w14:paraId="5602F69D">
            <w:pPr>
              <w:jc w:val="center"/>
            </w:pPr>
            <w:r>
              <w:rPr>
                <w:rFonts w:ascii="宋体" w:hAnsi="宋体" w:eastAsia="宋体" w:cs="宋体"/>
                <w:b w:val="0"/>
                <w:i w:val="0"/>
                <w:color w:val="000000"/>
                <w:sz w:val="14"/>
              </w:rPr>
              <w:t>决算数</w:t>
            </w:r>
          </w:p>
        </w:tc>
        <w:tc>
          <w:tcPr>
            <w:tcW w:w="2340" w:type="dxa"/>
            <w:vAlign w:val="center"/>
          </w:tcPr>
          <w:p w14:paraId="700B3E0C">
            <w:pPr>
              <w:jc w:val="center"/>
            </w:pPr>
            <w:r>
              <w:rPr>
                <w:rFonts w:ascii="宋体" w:hAnsi="宋体" w:eastAsia="宋体" w:cs="宋体"/>
                <w:b w:val="0"/>
                <w:i w:val="0"/>
                <w:color w:val="000000"/>
                <w:sz w:val="14"/>
              </w:rPr>
              <w:t>项目（按功能分类）</w:t>
            </w:r>
          </w:p>
        </w:tc>
        <w:tc>
          <w:tcPr>
            <w:tcW w:w="460" w:type="dxa"/>
            <w:vAlign w:val="center"/>
          </w:tcPr>
          <w:p w14:paraId="3A5929CA">
            <w:pPr>
              <w:jc w:val="center"/>
            </w:pPr>
            <w:r>
              <w:rPr>
                <w:rFonts w:ascii="宋体" w:hAnsi="宋体" w:eastAsia="宋体" w:cs="宋体"/>
                <w:b w:val="0"/>
                <w:i w:val="0"/>
                <w:color w:val="000000"/>
                <w:sz w:val="14"/>
              </w:rPr>
              <w:t>行次</w:t>
            </w:r>
          </w:p>
        </w:tc>
        <w:tc>
          <w:tcPr>
            <w:tcW w:w="1206" w:type="dxa"/>
            <w:vAlign w:val="center"/>
          </w:tcPr>
          <w:p w14:paraId="1508764A">
            <w:pPr>
              <w:jc w:val="center"/>
            </w:pPr>
            <w:r>
              <w:rPr>
                <w:rFonts w:ascii="宋体" w:hAnsi="宋体" w:eastAsia="宋体" w:cs="宋体"/>
                <w:b w:val="0"/>
                <w:i w:val="0"/>
                <w:color w:val="000000"/>
                <w:sz w:val="14"/>
              </w:rPr>
              <w:t>决算数</w:t>
            </w:r>
          </w:p>
        </w:tc>
      </w:tr>
      <w:tr w14:paraId="6663B7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vAlign w:val="center"/>
          </w:tcPr>
          <w:p w14:paraId="33B9E52D">
            <w:pPr>
              <w:jc w:val="center"/>
            </w:pPr>
            <w:r>
              <w:rPr>
                <w:rFonts w:ascii="宋体" w:hAnsi="宋体" w:eastAsia="宋体" w:cs="宋体"/>
                <w:b w:val="0"/>
                <w:i w:val="0"/>
                <w:color w:val="000000"/>
                <w:sz w:val="14"/>
              </w:rPr>
              <w:t>栏    次</w:t>
            </w:r>
          </w:p>
        </w:tc>
        <w:tc>
          <w:tcPr>
            <w:tcW w:w="460" w:type="dxa"/>
            <w:vAlign w:val="center"/>
          </w:tcPr>
          <w:p w14:paraId="6D7C4EF3"/>
        </w:tc>
        <w:tc>
          <w:tcPr>
            <w:tcW w:w="1220" w:type="dxa"/>
            <w:vAlign w:val="center"/>
          </w:tcPr>
          <w:p w14:paraId="2589CC9C">
            <w:pPr>
              <w:jc w:val="center"/>
            </w:pPr>
            <w:r>
              <w:rPr>
                <w:rFonts w:ascii="宋体" w:hAnsi="宋体" w:eastAsia="宋体" w:cs="宋体"/>
                <w:b w:val="0"/>
                <w:i w:val="0"/>
                <w:color w:val="000000"/>
                <w:sz w:val="14"/>
              </w:rPr>
              <w:t>1</w:t>
            </w:r>
          </w:p>
        </w:tc>
        <w:tc>
          <w:tcPr>
            <w:tcW w:w="2340" w:type="dxa"/>
            <w:vAlign w:val="center"/>
          </w:tcPr>
          <w:p w14:paraId="752FE5D2">
            <w:pPr>
              <w:jc w:val="center"/>
            </w:pPr>
            <w:r>
              <w:rPr>
                <w:rFonts w:ascii="宋体" w:hAnsi="宋体" w:eastAsia="宋体" w:cs="宋体"/>
                <w:b w:val="0"/>
                <w:i w:val="0"/>
                <w:color w:val="000000"/>
                <w:sz w:val="14"/>
              </w:rPr>
              <w:t>栏    次</w:t>
            </w:r>
          </w:p>
        </w:tc>
        <w:tc>
          <w:tcPr>
            <w:tcW w:w="460" w:type="dxa"/>
            <w:vAlign w:val="center"/>
          </w:tcPr>
          <w:p w14:paraId="6607137C"/>
        </w:tc>
        <w:tc>
          <w:tcPr>
            <w:tcW w:w="1206" w:type="dxa"/>
            <w:vAlign w:val="center"/>
          </w:tcPr>
          <w:p w14:paraId="1742CAE9">
            <w:pPr>
              <w:jc w:val="center"/>
            </w:pPr>
            <w:r>
              <w:rPr>
                <w:rFonts w:ascii="宋体" w:hAnsi="宋体" w:eastAsia="宋体" w:cs="宋体"/>
                <w:b w:val="0"/>
                <w:i w:val="0"/>
                <w:color w:val="000000"/>
                <w:sz w:val="14"/>
              </w:rPr>
              <w:t>2</w:t>
            </w:r>
          </w:p>
        </w:tc>
      </w:tr>
      <w:tr w14:paraId="644C6A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BF99E47">
            <w:pPr>
              <w:jc w:val="left"/>
            </w:pPr>
            <w:r>
              <w:rPr>
                <w:rFonts w:ascii="宋体" w:hAnsi="宋体" w:eastAsia="宋体" w:cs="宋体"/>
                <w:b w:val="0"/>
                <w:i w:val="0"/>
                <w:color w:val="000000"/>
                <w:sz w:val="14"/>
              </w:rPr>
              <w:t>一、一般公共预算财政拨款收入</w:t>
            </w:r>
          </w:p>
        </w:tc>
        <w:tc>
          <w:tcPr>
            <w:tcW w:w="460" w:type="dxa"/>
            <w:vAlign w:val="center"/>
          </w:tcPr>
          <w:p w14:paraId="6F123682">
            <w:pPr>
              <w:jc w:val="center"/>
            </w:pPr>
            <w:r>
              <w:rPr>
                <w:rFonts w:ascii="宋体" w:hAnsi="宋体" w:eastAsia="宋体" w:cs="宋体"/>
                <w:b w:val="0"/>
                <w:i w:val="0"/>
                <w:color w:val="000000"/>
                <w:sz w:val="14"/>
              </w:rPr>
              <w:t>1</w:t>
            </w:r>
          </w:p>
        </w:tc>
        <w:tc>
          <w:tcPr>
            <w:tcW w:w="1220" w:type="dxa"/>
            <w:vAlign w:val="center"/>
          </w:tcPr>
          <w:p w14:paraId="0E44EFBB">
            <w:pPr>
              <w:jc w:val="right"/>
            </w:pPr>
            <w:r>
              <w:rPr>
                <w:rFonts w:ascii="宋体" w:hAnsi="宋体" w:eastAsia="宋体" w:cs="宋体"/>
                <w:b w:val="0"/>
                <w:i w:val="0"/>
                <w:color w:val="000000"/>
                <w:sz w:val="14"/>
              </w:rPr>
              <w:t>14,453.45</w:t>
            </w:r>
          </w:p>
        </w:tc>
        <w:tc>
          <w:tcPr>
            <w:tcW w:w="2340" w:type="dxa"/>
            <w:vAlign w:val="center"/>
          </w:tcPr>
          <w:p w14:paraId="7D44E4B3">
            <w:pPr>
              <w:jc w:val="left"/>
            </w:pPr>
            <w:r>
              <w:rPr>
                <w:rFonts w:ascii="宋体" w:hAnsi="宋体" w:eastAsia="宋体" w:cs="宋体"/>
                <w:b w:val="0"/>
                <w:i w:val="0"/>
                <w:color w:val="000000"/>
                <w:sz w:val="14"/>
              </w:rPr>
              <w:t>一、一般公共服务支出</w:t>
            </w:r>
          </w:p>
        </w:tc>
        <w:tc>
          <w:tcPr>
            <w:tcW w:w="460" w:type="dxa"/>
            <w:vAlign w:val="center"/>
          </w:tcPr>
          <w:p w14:paraId="4F21C1E8">
            <w:pPr>
              <w:jc w:val="center"/>
            </w:pPr>
            <w:r>
              <w:rPr>
                <w:rFonts w:ascii="宋体" w:hAnsi="宋体" w:eastAsia="宋体" w:cs="宋体"/>
                <w:b w:val="0"/>
                <w:i w:val="0"/>
                <w:color w:val="000000"/>
                <w:sz w:val="14"/>
              </w:rPr>
              <w:t>32</w:t>
            </w:r>
          </w:p>
        </w:tc>
        <w:tc>
          <w:tcPr>
            <w:tcW w:w="1206" w:type="dxa"/>
            <w:vAlign w:val="center"/>
          </w:tcPr>
          <w:p w14:paraId="3C81144C">
            <w:pPr>
              <w:jc w:val="right"/>
            </w:pPr>
            <w:r>
              <w:rPr>
                <w:rFonts w:ascii="宋体" w:hAnsi="宋体" w:eastAsia="宋体" w:cs="宋体"/>
                <w:b w:val="0"/>
                <w:i w:val="0"/>
                <w:color w:val="000000"/>
                <w:sz w:val="14"/>
              </w:rPr>
              <w:t>10.00</w:t>
            </w:r>
          </w:p>
        </w:tc>
      </w:tr>
      <w:tr w14:paraId="19CE35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6D2A22C">
            <w:pPr>
              <w:jc w:val="left"/>
            </w:pPr>
            <w:r>
              <w:rPr>
                <w:rFonts w:ascii="宋体" w:hAnsi="宋体" w:eastAsia="宋体" w:cs="宋体"/>
                <w:b w:val="0"/>
                <w:i w:val="0"/>
                <w:color w:val="000000"/>
                <w:sz w:val="14"/>
              </w:rPr>
              <w:t>二、政府性基金预算财政拨款收入</w:t>
            </w:r>
          </w:p>
        </w:tc>
        <w:tc>
          <w:tcPr>
            <w:tcW w:w="460" w:type="dxa"/>
            <w:vAlign w:val="center"/>
          </w:tcPr>
          <w:p w14:paraId="65020CD2">
            <w:pPr>
              <w:jc w:val="center"/>
            </w:pPr>
            <w:r>
              <w:rPr>
                <w:rFonts w:ascii="宋体" w:hAnsi="宋体" w:eastAsia="宋体" w:cs="宋体"/>
                <w:b w:val="0"/>
                <w:i w:val="0"/>
                <w:color w:val="000000"/>
                <w:sz w:val="14"/>
              </w:rPr>
              <w:t>2</w:t>
            </w:r>
          </w:p>
        </w:tc>
        <w:tc>
          <w:tcPr>
            <w:tcW w:w="1220" w:type="dxa"/>
            <w:vAlign w:val="center"/>
          </w:tcPr>
          <w:p w14:paraId="41464D2C">
            <w:pPr>
              <w:jc w:val="right"/>
            </w:pPr>
            <w:r>
              <w:rPr>
                <w:rFonts w:ascii="宋体" w:hAnsi="宋体" w:eastAsia="宋体" w:cs="宋体"/>
                <w:b w:val="0"/>
                <w:i w:val="0"/>
                <w:color w:val="000000"/>
                <w:sz w:val="14"/>
              </w:rPr>
              <w:t>32,990.00</w:t>
            </w:r>
          </w:p>
        </w:tc>
        <w:tc>
          <w:tcPr>
            <w:tcW w:w="2340" w:type="dxa"/>
            <w:vAlign w:val="center"/>
          </w:tcPr>
          <w:p w14:paraId="69FFB249">
            <w:pPr>
              <w:jc w:val="left"/>
            </w:pPr>
            <w:r>
              <w:rPr>
                <w:rFonts w:ascii="宋体" w:hAnsi="宋体" w:eastAsia="宋体" w:cs="宋体"/>
                <w:b w:val="0"/>
                <w:i w:val="0"/>
                <w:color w:val="000000"/>
                <w:sz w:val="14"/>
              </w:rPr>
              <w:t>二、外交支出</w:t>
            </w:r>
          </w:p>
        </w:tc>
        <w:tc>
          <w:tcPr>
            <w:tcW w:w="460" w:type="dxa"/>
            <w:vAlign w:val="center"/>
          </w:tcPr>
          <w:p w14:paraId="2510BCC9">
            <w:pPr>
              <w:jc w:val="center"/>
            </w:pPr>
            <w:r>
              <w:rPr>
                <w:rFonts w:ascii="宋体" w:hAnsi="宋体" w:eastAsia="宋体" w:cs="宋体"/>
                <w:b w:val="0"/>
                <w:i w:val="0"/>
                <w:color w:val="000000"/>
                <w:sz w:val="14"/>
              </w:rPr>
              <w:t>33</w:t>
            </w:r>
          </w:p>
        </w:tc>
        <w:tc>
          <w:tcPr>
            <w:tcW w:w="1206" w:type="dxa"/>
            <w:vAlign w:val="center"/>
          </w:tcPr>
          <w:p w14:paraId="4F463E04"/>
        </w:tc>
      </w:tr>
      <w:tr w14:paraId="6402DC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8FD7461">
            <w:pPr>
              <w:jc w:val="left"/>
            </w:pPr>
            <w:r>
              <w:rPr>
                <w:rFonts w:ascii="宋体" w:hAnsi="宋体" w:eastAsia="宋体" w:cs="宋体"/>
                <w:b w:val="0"/>
                <w:i w:val="0"/>
                <w:color w:val="000000"/>
                <w:sz w:val="14"/>
              </w:rPr>
              <w:t>三、国有资本经营预算财政拨款收入</w:t>
            </w:r>
          </w:p>
        </w:tc>
        <w:tc>
          <w:tcPr>
            <w:tcW w:w="460" w:type="dxa"/>
            <w:vAlign w:val="center"/>
          </w:tcPr>
          <w:p w14:paraId="30D2C186">
            <w:pPr>
              <w:jc w:val="center"/>
            </w:pPr>
            <w:r>
              <w:rPr>
                <w:rFonts w:ascii="宋体" w:hAnsi="宋体" w:eastAsia="宋体" w:cs="宋体"/>
                <w:b w:val="0"/>
                <w:i w:val="0"/>
                <w:color w:val="000000"/>
                <w:sz w:val="14"/>
              </w:rPr>
              <w:t>3</w:t>
            </w:r>
          </w:p>
        </w:tc>
        <w:tc>
          <w:tcPr>
            <w:tcW w:w="1220" w:type="dxa"/>
            <w:vAlign w:val="center"/>
          </w:tcPr>
          <w:p w14:paraId="0B28FFAB"/>
        </w:tc>
        <w:tc>
          <w:tcPr>
            <w:tcW w:w="2340" w:type="dxa"/>
            <w:vAlign w:val="center"/>
          </w:tcPr>
          <w:p w14:paraId="6524D1C6">
            <w:pPr>
              <w:jc w:val="left"/>
            </w:pPr>
            <w:r>
              <w:rPr>
                <w:rFonts w:ascii="宋体" w:hAnsi="宋体" w:eastAsia="宋体" w:cs="宋体"/>
                <w:b w:val="0"/>
                <w:i w:val="0"/>
                <w:color w:val="000000"/>
                <w:sz w:val="14"/>
              </w:rPr>
              <w:t>三、国防支出</w:t>
            </w:r>
          </w:p>
        </w:tc>
        <w:tc>
          <w:tcPr>
            <w:tcW w:w="460" w:type="dxa"/>
            <w:vAlign w:val="center"/>
          </w:tcPr>
          <w:p w14:paraId="02DCECBC">
            <w:pPr>
              <w:jc w:val="center"/>
            </w:pPr>
            <w:r>
              <w:rPr>
                <w:rFonts w:ascii="宋体" w:hAnsi="宋体" w:eastAsia="宋体" w:cs="宋体"/>
                <w:b w:val="0"/>
                <w:i w:val="0"/>
                <w:color w:val="000000"/>
                <w:sz w:val="14"/>
              </w:rPr>
              <w:t>34</w:t>
            </w:r>
          </w:p>
        </w:tc>
        <w:tc>
          <w:tcPr>
            <w:tcW w:w="1206" w:type="dxa"/>
            <w:vAlign w:val="center"/>
          </w:tcPr>
          <w:p w14:paraId="4D38EFC0"/>
        </w:tc>
      </w:tr>
      <w:tr w14:paraId="0CAFD3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8947416">
            <w:pPr>
              <w:jc w:val="left"/>
            </w:pPr>
            <w:r>
              <w:rPr>
                <w:rFonts w:ascii="宋体" w:hAnsi="宋体" w:eastAsia="宋体" w:cs="宋体"/>
                <w:b w:val="0"/>
                <w:i w:val="0"/>
                <w:color w:val="000000"/>
                <w:sz w:val="14"/>
              </w:rPr>
              <w:t>四、上级补助收入</w:t>
            </w:r>
          </w:p>
        </w:tc>
        <w:tc>
          <w:tcPr>
            <w:tcW w:w="460" w:type="dxa"/>
            <w:vAlign w:val="center"/>
          </w:tcPr>
          <w:p w14:paraId="4F26EA0E">
            <w:pPr>
              <w:jc w:val="center"/>
            </w:pPr>
            <w:r>
              <w:rPr>
                <w:rFonts w:ascii="宋体" w:hAnsi="宋体" w:eastAsia="宋体" w:cs="宋体"/>
                <w:b w:val="0"/>
                <w:i w:val="0"/>
                <w:color w:val="000000"/>
                <w:sz w:val="14"/>
              </w:rPr>
              <w:t>4</w:t>
            </w:r>
          </w:p>
        </w:tc>
        <w:tc>
          <w:tcPr>
            <w:tcW w:w="1220" w:type="dxa"/>
            <w:vAlign w:val="center"/>
          </w:tcPr>
          <w:p w14:paraId="4D40971D"/>
        </w:tc>
        <w:tc>
          <w:tcPr>
            <w:tcW w:w="2340" w:type="dxa"/>
            <w:vAlign w:val="center"/>
          </w:tcPr>
          <w:p w14:paraId="7CC86927">
            <w:pPr>
              <w:jc w:val="left"/>
            </w:pPr>
            <w:r>
              <w:rPr>
                <w:rFonts w:ascii="宋体" w:hAnsi="宋体" w:eastAsia="宋体" w:cs="宋体"/>
                <w:b w:val="0"/>
                <w:i w:val="0"/>
                <w:color w:val="000000"/>
                <w:sz w:val="14"/>
              </w:rPr>
              <w:t>四、公共安全支出</w:t>
            </w:r>
          </w:p>
        </w:tc>
        <w:tc>
          <w:tcPr>
            <w:tcW w:w="460" w:type="dxa"/>
            <w:vAlign w:val="center"/>
          </w:tcPr>
          <w:p w14:paraId="2BBDACCA">
            <w:pPr>
              <w:jc w:val="center"/>
            </w:pPr>
            <w:r>
              <w:rPr>
                <w:rFonts w:ascii="宋体" w:hAnsi="宋体" w:eastAsia="宋体" w:cs="宋体"/>
                <w:b w:val="0"/>
                <w:i w:val="0"/>
                <w:color w:val="000000"/>
                <w:sz w:val="14"/>
              </w:rPr>
              <w:t>35</w:t>
            </w:r>
          </w:p>
        </w:tc>
        <w:tc>
          <w:tcPr>
            <w:tcW w:w="1206" w:type="dxa"/>
            <w:vAlign w:val="center"/>
          </w:tcPr>
          <w:p w14:paraId="538941CA"/>
        </w:tc>
      </w:tr>
      <w:tr w14:paraId="6D0B4D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261C9B2">
            <w:pPr>
              <w:jc w:val="left"/>
            </w:pPr>
            <w:r>
              <w:rPr>
                <w:rFonts w:ascii="宋体" w:hAnsi="宋体" w:eastAsia="宋体" w:cs="宋体"/>
                <w:b w:val="0"/>
                <w:i w:val="0"/>
                <w:color w:val="000000"/>
                <w:sz w:val="14"/>
              </w:rPr>
              <w:t>五、事业收入</w:t>
            </w:r>
          </w:p>
        </w:tc>
        <w:tc>
          <w:tcPr>
            <w:tcW w:w="460" w:type="dxa"/>
            <w:vAlign w:val="center"/>
          </w:tcPr>
          <w:p w14:paraId="10626DC5">
            <w:pPr>
              <w:jc w:val="center"/>
            </w:pPr>
            <w:r>
              <w:rPr>
                <w:rFonts w:ascii="宋体" w:hAnsi="宋体" w:eastAsia="宋体" w:cs="宋体"/>
                <w:b w:val="0"/>
                <w:i w:val="0"/>
                <w:color w:val="000000"/>
                <w:sz w:val="14"/>
              </w:rPr>
              <w:t>5</w:t>
            </w:r>
          </w:p>
        </w:tc>
        <w:tc>
          <w:tcPr>
            <w:tcW w:w="1220" w:type="dxa"/>
            <w:vAlign w:val="center"/>
          </w:tcPr>
          <w:p w14:paraId="6F1533E6"/>
        </w:tc>
        <w:tc>
          <w:tcPr>
            <w:tcW w:w="2340" w:type="dxa"/>
            <w:vAlign w:val="center"/>
          </w:tcPr>
          <w:p w14:paraId="62BD9CD4">
            <w:pPr>
              <w:jc w:val="left"/>
            </w:pPr>
            <w:r>
              <w:rPr>
                <w:rFonts w:ascii="宋体" w:hAnsi="宋体" w:eastAsia="宋体" w:cs="宋体"/>
                <w:b w:val="0"/>
                <w:i w:val="0"/>
                <w:color w:val="000000"/>
                <w:sz w:val="14"/>
              </w:rPr>
              <w:t>五、教育支出</w:t>
            </w:r>
          </w:p>
        </w:tc>
        <w:tc>
          <w:tcPr>
            <w:tcW w:w="460" w:type="dxa"/>
            <w:vAlign w:val="center"/>
          </w:tcPr>
          <w:p w14:paraId="6FCCAA22">
            <w:pPr>
              <w:jc w:val="center"/>
            </w:pPr>
            <w:r>
              <w:rPr>
                <w:rFonts w:ascii="宋体" w:hAnsi="宋体" w:eastAsia="宋体" w:cs="宋体"/>
                <w:b w:val="0"/>
                <w:i w:val="0"/>
                <w:color w:val="000000"/>
                <w:sz w:val="14"/>
              </w:rPr>
              <w:t>36</w:t>
            </w:r>
          </w:p>
        </w:tc>
        <w:tc>
          <w:tcPr>
            <w:tcW w:w="1206" w:type="dxa"/>
            <w:vAlign w:val="center"/>
          </w:tcPr>
          <w:p w14:paraId="7981DC3B"/>
        </w:tc>
      </w:tr>
      <w:tr w14:paraId="748AE5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80F4CA9">
            <w:pPr>
              <w:jc w:val="left"/>
            </w:pPr>
            <w:r>
              <w:rPr>
                <w:rFonts w:ascii="宋体" w:hAnsi="宋体" w:eastAsia="宋体" w:cs="宋体"/>
                <w:b w:val="0"/>
                <w:i w:val="0"/>
                <w:color w:val="000000"/>
                <w:sz w:val="14"/>
              </w:rPr>
              <w:t>六、经营收入</w:t>
            </w:r>
          </w:p>
        </w:tc>
        <w:tc>
          <w:tcPr>
            <w:tcW w:w="460" w:type="dxa"/>
            <w:vAlign w:val="center"/>
          </w:tcPr>
          <w:p w14:paraId="32E93F43">
            <w:pPr>
              <w:jc w:val="center"/>
            </w:pPr>
            <w:r>
              <w:rPr>
                <w:rFonts w:ascii="宋体" w:hAnsi="宋体" w:eastAsia="宋体" w:cs="宋体"/>
                <w:b w:val="0"/>
                <w:i w:val="0"/>
                <w:color w:val="000000"/>
                <w:sz w:val="14"/>
              </w:rPr>
              <w:t>6</w:t>
            </w:r>
          </w:p>
        </w:tc>
        <w:tc>
          <w:tcPr>
            <w:tcW w:w="1220" w:type="dxa"/>
            <w:vAlign w:val="center"/>
          </w:tcPr>
          <w:p w14:paraId="538AAE15"/>
        </w:tc>
        <w:tc>
          <w:tcPr>
            <w:tcW w:w="2340" w:type="dxa"/>
            <w:vAlign w:val="center"/>
          </w:tcPr>
          <w:p w14:paraId="6C26DE43">
            <w:pPr>
              <w:jc w:val="left"/>
            </w:pPr>
            <w:r>
              <w:rPr>
                <w:rFonts w:ascii="宋体" w:hAnsi="宋体" w:eastAsia="宋体" w:cs="宋体"/>
                <w:b w:val="0"/>
                <w:i w:val="0"/>
                <w:color w:val="000000"/>
                <w:sz w:val="14"/>
              </w:rPr>
              <w:t>六、科学技术支出</w:t>
            </w:r>
          </w:p>
        </w:tc>
        <w:tc>
          <w:tcPr>
            <w:tcW w:w="460" w:type="dxa"/>
            <w:vAlign w:val="center"/>
          </w:tcPr>
          <w:p w14:paraId="6E87B833">
            <w:pPr>
              <w:jc w:val="center"/>
            </w:pPr>
            <w:r>
              <w:rPr>
                <w:rFonts w:ascii="宋体" w:hAnsi="宋体" w:eastAsia="宋体" w:cs="宋体"/>
                <w:b w:val="0"/>
                <w:i w:val="0"/>
                <w:color w:val="000000"/>
                <w:sz w:val="14"/>
              </w:rPr>
              <w:t>37</w:t>
            </w:r>
          </w:p>
        </w:tc>
        <w:tc>
          <w:tcPr>
            <w:tcW w:w="1206" w:type="dxa"/>
            <w:vAlign w:val="center"/>
          </w:tcPr>
          <w:p w14:paraId="7BDED452"/>
        </w:tc>
      </w:tr>
      <w:tr w14:paraId="2C6032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0A9C320">
            <w:pPr>
              <w:jc w:val="left"/>
            </w:pPr>
            <w:r>
              <w:rPr>
                <w:rFonts w:ascii="宋体" w:hAnsi="宋体" w:eastAsia="宋体" w:cs="宋体"/>
                <w:b w:val="0"/>
                <w:i w:val="0"/>
                <w:color w:val="000000"/>
                <w:sz w:val="14"/>
              </w:rPr>
              <w:t>七、附属单位上缴收入</w:t>
            </w:r>
          </w:p>
        </w:tc>
        <w:tc>
          <w:tcPr>
            <w:tcW w:w="460" w:type="dxa"/>
            <w:vAlign w:val="center"/>
          </w:tcPr>
          <w:p w14:paraId="3C1871C8">
            <w:pPr>
              <w:jc w:val="center"/>
            </w:pPr>
            <w:r>
              <w:rPr>
                <w:rFonts w:ascii="宋体" w:hAnsi="宋体" w:eastAsia="宋体" w:cs="宋体"/>
                <w:b w:val="0"/>
                <w:i w:val="0"/>
                <w:color w:val="000000"/>
                <w:sz w:val="14"/>
              </w:rPr>
              <w:t>7</w:t>
            </w:r>
          </w:p>
        </w:tc>
        <w:tc>
          <w:tcPr>
            <w:tcW w:w="1220" w:type="dxa"/>
            <w:vAlign w:val="center"/>
          </w:tcPr>
          <w:p w14:paraId="11585E62"/>
        </w:tc>
        <w:tc>
          <w:tcPr>
            <w:tcW w:w="2340" w:type="dxa"/>
            <w:vAlign w:val="center"/>
          </w:tcPr>
          <w:p w14:paraId="2021056B">
            <w:pPr>
              <w:jc w:val="left"/>
            </w:pPr>
            <w:r>
              <w:rPr>
                <w:rFonts w:ascii="宋体" w:hAnsi="宋体" w:eastAsia="宋体" w:cs="宋体"/>
                <w:b w:val="0"/>
                <w:i w:val="0"/>
                <w:color w:val="000000"/>
                <w:sz w:val="14"/>
              </w:rPr>
              <w:t>七、文化旅游体育与传媒支出</w:t>
            </w:r>
          </w:p>
        </w:tc>
        <w:tc>
          <w:tcPr>
            <w:tcW w:w="460" w:type="dxa"/>
            <w:vAlign w:val="center"/>
          </w:tcPr>
          <w:p w14:paraId="20BBB44A">
            <w:pPr>
              <w:jc w:val="center"/>
            </w:pPr>
            <w:r>
              <w:rPr>
                <w:rFonts w:ascii="宋体" w:hAnsi="宋体" w:eastAsia="宋体" w:cs="宋体"/>
                <w:b w:val="0"/>
                <w:i w:val="0"/>
                <w:color w:val="000000"/>
                <w:sz w:val="14"/>
              </w:rPr>
              <w:t>38</w:t>
            </w:r>
          </w:p>
        </w:tc>
        <w:tc>
          <w:tcPr>
            <w:tcW w:w="1206" w:type="dxa"/>
            <w:vAlign w:val="center"/>
          </w:tcPr>
          <w:p w14:paraId="14F83F08"/>
        </w:tc>
      </w:tr>
      <w:tr w14:paraId="2EC0C5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563101B">
            <w:pPr>
              <w:jc w:val="left"/>
            </w:pPr>
            <w:r>
              <w:rPr>
                <w:rFonts w:ascii="宋体" w:hAnsi="宋体" w:eastAsia="宋体" w:cs="宋体"/>
                <w:b w:val="0"/>
                <w:i w:val="0"/>
                <w:color w:val="000000"/>
                <w:sz w:val="14"/>
              </w:rPr>
              <w:t>八、其他收入</w:t>
            </w:r>
          </w:p>
        </w:tc>
        <w:tc>
          <w:tcPr>
            <w:tcW w:w="460" w:type="dxa"/>
            <w:vAlign w:val="center"/>
          </w:tcPr>
          <w:p w14:paraId="6D53643A">
            <w:pPr>
              <w:jc w:val="center"/>
            </w:pPr>
            <w:r>
              <w:rPr>
                <w:rFonts w:ascii="宋体" w:hAnsi="宋体" w:eastAsia="宋体" w:cs="宋体"/>
                <w:b w:val="0"/>
                <w:i w:val="0"/>
                <w:color w:val="000000"/>
                <w:sz w:val="14"/>
              </w:rPr>
              <w:t>8</w:t>
            </w:r>
          </w:p>
        </w:tc>
        <w:tc>
          <w:tcPr>
            <w:tcW w:w="1220" w:type="dxa"/>
            <w:vAlign w:val="center"/>
          </w:tcPr>
          <w:p w14:paraId="55F7AFCD">
            <w:pPr>
              <w:jc w:val="right"/>
            </w:pPr>
            <w:r>
              <w:rPr>
                <w:rFonts w:ascii="宋体" w:hAnsi="宋体" w:eastAsia="宋体" w:cs="宋体"/>
                <w:b w:val="0"/>
                <w:i w:val="0"/>
                <w:color w:val="000000"/>
                <w:sz w:val="14"/>
              </w:rPr>
              <w:t>4,072.78</w:t>
            </w:r>
          </w:p>
        </w:tc>
        <w:tc>
          <w:tcPr>
            <w:tcW w:w="2340" w:type="dxa"/>
            <w:vAlign w:val="center"/>
          </w:tcPr>
          <w:p w14:paraId="22249664">
            <w:pPr>
              <w:jc w:val="left"/>
            </w:pPr>
            <w:r>
              <w:rPr>
                <w:rFonts w:ascii="宋体" w:hAnsi="宋体" w:eastAsia="宋体" w:cs="宋体"/>
                <w:b w:val="0"/>
                <w:i w:val="0"/>
                <w:color w:val="000000"/>
                <w:sz w:val="14"/>
              </w:rPr>
              <w:t>八、社会保障和就业支出</w:t>
            </w:r>
          </w:p>
        </w:tc>
        <w:tc>
          <w:tcPr>
            <w:tcW w:w="460" w:type="dxa"/>
            <w:vAlign w:val="center"/>
          </w:tcPr>
          <w:p w14:paraId="227EEC2A">
            <w:pPr>
              <w:jc w:val="center"/>
            </w:pPr>
            <w:r>
              <w:rPr>
                <w:rFonts w:ascii="宋体" w:hAnsi="宋体" w:eastAsia="宋体" w:cs="宋体"/>
                <w:b w:val="0"/>
                <w:i w:val="0"/>
                <w:color w:val="000000"/>
                <w:sz w:val="14"/>
              </w:rPr>
              <w:t>39</w:t>
            </w:r>
          </w:p>
        </w:tc>
        <w:tc>
          <w:tcPr>
            <w:tcW w:w="1206" w:type="dxa"/>
            <w:vAlign w:val="center"/>
          </w:tcPr>
          <w:p w14:paraId="455F68B3">
            <w:pPr>
              <w:jc w:val="right"/>
            </w:pPr>
            <w:r>
              <w:rPr>
                <w:rFonts w:ascii="宋体" w:hAnsi="宋体" w:eastAsia="宋体" w:cs="宋体"/>
                <w:b w:val="0"/>
                <w:i w:val="0"/>
                <w:color w:val="000000"/>
                <w:sz w:val="14"/>
              </w:rPr>
              <w:t>44.87</w:t>
            </w:r>
          </w:p>
        </w:tc>
      </w:tr>
      <w:tr w14:paraId="6E19D1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19E6BC2"/>
        </w:tc>
        <w:tc>
          <w:tcPr>
            <w:tcW w:w="460" w:type="dxa"/>
            <w:vAlign w:val="center"/>
          </w:tcPr>
          <w:p w14:paraId="21148A54">
            <w:pPr>
              <w:jc w:val="center"/>
            </w:pPr>
            <w:r>
              <w:rPr>
                <w:rFonts w:ascii="宋体" w:hAnsi="宋体" w:eastAsia="宋体" w:cs="宋体"/>
                <w:b w:val="0"/>
                <w:i w:val="0"/>
                <w:color w:val="000000"/>
                <w:sz w:val="14"/>
              </w:rPr>
              <w:t>9</w:t>
            </w:r>
          </w:p>
        </w:tc>
        <w:tc>
          <w:tcPr>
            <w:tcW w:w="1220" w:type="dxa"/>
            <w:vAlign w:val="center"/>
          </w:tcPr>
          <w:p w14:paraId="79D1E487"/>
        </w:tc>
        <w:tc>
          <w:tcPr>
            <w:tcW w:w="2340" w:type="dxa"/>
            <w:vAlign w:val="center"/>
          </w:tcPr>
          <w:p w14:paraId="4D44BF7B">
            <w:pPr>
              <w:jc w:val="left"/>
            </w:pPr>
            <w:r>
              <w:rPr>
                <w:rFonts w:ascii="宋体" w:hAnsi="宋体" w:eastAsia="宋体" w:cs="宋体"/>
                <w:b w:val="0"/>
                <w:i w:val="0"/>
                <w:color w:val="000000"/>
                <w:sz w:val="14"/>
              </w:rPr>
              <w:t>九、卫生健康支出</w:t>
            </w:r>
          </w:p>
        </w:tc>
        <w:tc>
          <w:tcPr>
            <w:tcW w:w="460" w:type="dxa"/>
            <w:vAlign w:val="center"/>
          </w:tcPr>
          <w:p w14:paraId="6C3877D5">
            <w:pPr>
              <w:jc w:val="center"/>
            </w:pPr>
            <w:r>
              <w:rPr>
                <w:rFonts w:ascii="宋体" w:hAnsi="宋体" w:eastAsia="宋体" w:cs="宋体"/>
                <w:b w:val="0"/>
                <w:i w:val="0"/>
                <w:color w:val="000000"/>
                <w:sz w:val="14"/>
              </w:rPr>
              <w:t>40</w:t>
            </w:r>
          </w:p>
        </w:tc>
        <w:tc>
          <w:tcPr>
            <w:tcW w:w="1206" w:type="dxa"/>
            <w:vAlign w:val="center"/>
          </w:tcPr>
          <w:p w14:paraId="18260CDD">
            <w:pPr>
              <w:jc w:val="right"/>
            </w:pPr>
            <w:r>
              <w:rPr>
                <w:rFonts w:ascii="宋体" w:hAnsi="宋体" w:eastAsia="宋体" w:cs="宋体"/>
                <w:b w:val="0"/>
                <w:i w:val="0"/>
                <w:color w:val="000000"/>
                <w:sz w:val="14"/>
              </w:rPr>
              <w:t>930.58</w:t>
            </w:r>
          </w:p>
        </w:tc>
      </w:tr>
      <w:tr w14:paraId="6EC2F7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B91A2CF"/>
        </w:tc>
        <w:tc>
          <w:tcPr>
            <w:tcW w:w="460" w:type="dxa"/>
            <w:vAlign w:val="center"/>
          </w:tcPr>
          <w:p w14:paraId="0FBF3D90">
            <w:pPr>
              <w:jc w:val="center"/>
            </w:pPr>
            <w:r>
              <w:rPr>
                <w:rFonts w:ascii="宋体" w:hAnsi="宋体" w:eastAsia="宋体" w:cs="宋体"/>
                <w:b w:val="0"/>
                <w:i w:val="0"/>
                <w:color w:val="000000"/>
                <w:sz w:val="14"/>
              </w:rPr>
              <w:t>10</w:t>
            </w:r>
          </w:p>
        </w:tc>
        <w:tc>
          <w:tcPr>
            <w:tcW w:w="1220" w:type="dxa"/>
            <w:vAlign w:val="center"/>
          </w:tcPr>
          <w:p w14:paraId="6B15EE66"/>
        </w:tc>
        <w:tc>
          <w:tcPr>
            <w:tcW w:w="2340" w:type="dxa"/>
            <w:vAlign w:val="center"/>
          </w:tcPr>
          <w:p w14:paraId="6330C1D3">
            <w:pPr>
              <w:jc w:val="left"/>
            </w:pPr>
            <w:r>
              <w:rPr>
                <w:rFonts w:ascii="宋体" w:hAnsi="宋体" w:eastAsia="宋体" w:cs="宋体"/>
                <w:b w:val="0"/>
                <w:i w:val="0"/>
                <w:color w:val="000000"/>
                <w:sz w:val="14"/>
              </w:rPr>
              <w:t>十、节能环保支出</w:t>
            </w:r>
          </w:p>
        </w:tc>
        <w:tc>
          <w:tcPr>
            <w:tcW w:w="460" w:type="dxa"/>
            <w:vAlign w:val="center"/>
          </w:tcPr>
          <w:p w14:paraId="5C3F1ABF">
            <w:pPr>
              <w:jc w:val="center"/>
            </w:pPr>
            <w:r>
              <w:rPr>
                <w:rFonts w:ascii="宋体" w:hAnsi="宋体" w:eastAsia="宋体" w:cs="宋体"/>
                <w:b w:val="0"/>
                <w:i w:val="0"/>
                <w:color w:val="000000"/>
                <w:sz w:val="14"/>
              </w:rPr>
              <w:t>41</w:t>
            </w:r>
          </w:p>
        </w:tc>
        <w:tc>
          <w:tcPr>
            <w:tcW w:w="1206" w:type="dxa"/>
            <w:vAlign w:val="center"/>
          </w:tcPr>
          <w:p w14:paraId="079D5A2D">
            <w:pPr>
              <w:jc w:val="right"/>
            </w:pPr>
            <w:r>
              <w:rPr>
                <w:rFonts w:ascii="宋体" w:hAnsi="宋体" w:eastAsia="宋体" w:cs="宋体"/>
                <w:b w:val="0"/>
                <w:i w:val="0"/>
                <w:color w:val="000000"/>
                <w:sz w:val="14"/>
              </w:rPr>
              <w:t>3,241.51</w:t>
            </w:r>
          </w:p>
        </w:tc>
      </w:tr>
      <w:tr w14:paraId="537771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DAB37FD"/>
        </w:tc>
        <w:tc>
          <w:tcPr>
            <w:tcW w:w="460" w:type="dxa"/>
            <w:vAlign w:val="center"/>
          </w:tcPr>
          <w:p w14:paraId="36344FF9">
            <w:pPr>
              <w:jc w:val="center"/>
            </w:pPr>
            <w:r>
              <w:rPr>
                <w:rFonts w:ascii="宋体" w:hAnsi="宋体" w:eastAsia="宋体" w:cs="宋体"/>
                <w:b w:val="0"/>
                <w:i w:val="0"/>
                <w:color w:val="000000"/>
                <w:sz w:val="14"/>
              </w:rPr>
              <w:t>11</w:t>
            </w:r>
          </w:p>
        </w:tc>
        <w:tc>
          <w:tcPr>
            <w:tcW w:w="1220" w:type="dxa"/>
            <w:vAlign w:val="center"/>
          </w:tcPr>
          <w:p w14:paraId="172C2EEE"/>
        </w:tc>
        <w:tc>
          <w:tcPr>
            <w:tcW w:w="2340" w:type="dxa"/>
            <w:vAlign w:val="center"/>
          </w:tcPr>
          <w:p w14:paraId="4962D544">
            <w:pPr>
              <w:jc w:val="left"/>
            </w:pPr>
            <w:r>
              <w:rPr>
                <w:rFonts w:ascii="宋体" w:hAnsi="宋体" w:eastAsia="宋体" w:cs="宋体"/>
                <w:b w:val="0"/>
                <w:i w:val="0"/>
                <w:color w:val="000000"/>
                <w:sz w:val="14"/>
              </w:rPr>
              <w:t>十一、城乡社区支出</w:t>
            </w:r>
          </w:p>
        </w:tc>
        <w:tc>
          <w:tcPr>
            <w:tcW w:w="460" w:type="dxa"/>
            <w:vAlign w:val="center"/>
          </w:tcPr>
          <w:p w14:paraId="69BC7E08">
            <w:pPr>
              <w:jc w:val="center"/>
            </w:pPr>
            <w:r>
              <w:rPr>
                <w:rFonts w:ascii="宋体" w:hAnsi="宋体" w:eastAsia="宋体" w:cs="宋体"/>
                <w:b w:val="0"/>
                <w:i w:val="0"/>
                <w:color w:val="000000"/>
                <w:sz w:val="14"/>
              </w:rPr>
              <w:t>42</w:t>
            </w:r>
          </w:p>
        </w:tc>
        <w:tc>
          <w:tcPr>
            <w:tcW w:w="1206" w:type="dxa"/>
            <w:vAlign w:val="center"/>
          </w:tcPr>
          <w:p w14:paraId="3719378E">
            <w:pPr>
              <w:jc w:val="right"/>
            </w:pPr>
            <w:r>
              <w:rPr>
                <w:rFonts w:ascii="宋体" w:hAnsi="宋体" w:eastAsia="宋体" w:cs="宋体"/>
                <w:b w:val="0"/>
                <w:i w:val="0"/>
                <w:color w:val="000000"/>
                <w:sz w:val="14"/>
              </w:rPr>
              <w:t>7,842.75</w:t>
            </w:r>
          </w:p>
        </w:tc>
      </w:tr>
      <w:tr w14:paraId="5F0DF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4C7B6AC"/>
        </w:tc>
        <w:tc>
          <w:tcPr>
            <w:tcW w:w="460" w:type="dxa"/>
            <w:vAlign w:val="center"/>
          </w:tcPr>
          <w:p w14:paraId="6FC8201A">
            <w:pPr>
              <w:jc w:val="center"/>
            </w:pPr>
            <w:r>
              <w:rPr>
                <w:rFonts w:ascii="宋体" w:hAnsi="宋体" w:eastAsia="宋体" w:cs="宋体"/>
                <w:b w:val="0"/>
                <w:i w:val="0"/>
                <w:color w:val="000000"/>
                <w:sz w:val="14"/>
              </w:rPr>
              <w:t>12</w:t>
            </w:r>
          </w:p>
        </w:tc>
        <w:tc>
          <w:tcPr>
            <w:tcW w:w="1220" w:type="dxa"/>
            <w:vAlign w:val="center"/>
          </w:tcPr>
          <w:p w14:paraId="708E8B8B"/>
        </w:tc>
        <w:tc>
          <w:tcPr>
            <w:tcW w:w="2340" w:type="dxa"/>
            <w:vAlign w:val="center"/>
          </w:tcPr>
          <w:p w14:paraId="3B899D55">
            <w:pPr>
              <w:jc w:val="left"/>
            </w:pPr>
            <w:r>
              <w:rPr>
                <w:rFonts w:ascii="宋体" w:hAnsi="宋体" w:eastAsia="宋体" w:cs="宋体"/>
                <w:b w:val="0"/>
                <w:i w:val="0"/>
                <w:color w:val="000000"/>
                <w:sz w:val="14"/>
              </w:rPr>
              <w:t>十二、农林水支出</w:t>
            </w:r>
          </w:p>
        </w:tc>
        <w:tc>
          <w:tcPr>
            <w:tcW w:w="460" w:type="dxa"/>
            <w:vAlign w:val="center"/>
          </w:tcPr>
          <w:p w14:paraId="144ADFB6">
            <w:pPr>
              <w:jc w:val="center"/>
            </w:pPr>
            <w:r>
              <w:rPr>
                <w:rFonts w:ascii="宋体" w:hAnsi="宋体" w:eastAsia="宋体" w:cs="宋体"/>
                <w:b w:val="0"/>
                <w:i w:val="0"/>
                <w:color w:val="000000"/>
                <w:sz w:val="14"/>
              </w:rPr>
              <w:t>43</w:t>
            </w:r>
          </w:p>
        </w:tc>
        <w:tc>
          <w:tcPr>
            <w:tcW w:w="1206" w:type="dxa"/>
            <w:vAlign w:val="center"/>
          </w:tcPr>
          <w:p w14:paraId="7D3B845D">
            <w:pPr>
              <w:jc w:val="right"/>
            </w:pPr>
            <w:r>
              <w:rPr>
                <w:rFonts w:ascii="宋体" w:hAnsi="宋体" w:eastAsia="宋体" w:cs="宋体"/>
                <w:b w:val="0"/>
                <w:i w:val="0"/>
                <w:color w:val="000000"/>
                <w:sz w:val="14"/>
              </w:rPr>
              <w:t>34.34</w:t>
            </w:r>
          </w:p>
        </w:tc>
      </w:tr>
      <w:tr w14:paraId="63BEF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4F20BE4"/>
        </w:tc>
        <w:tc>
          <w:tcPr>
            <w:tcW w:w="460" w:type="dxa"/>
            <w:vAlign w:val="center"/>
          </w:tcPr>
          <w:p w14:paraId="22B442D4">
            <w:pPr>
              <w:jc w:val="center"/>
            </w:pPr>
            <w:r>
              <w:rPr>
                <w:rFonts w:ascii="宋体" w:hAnsi="宋体" w:eastAsia="宋体" w:cs="宋体"/>
                <w:b w:val="0"/>
                <w:i w:val="0"/>
                <w:color w:val="000000"/>
                <w:sz w:val="14"/>
              </w:rPr>
              <w:t>13</w:t>
            </w:r>
          </w:p>
        </w:tc>
        <w:tc>
          <w:tcPr>
            <w:tcW w:w="1220" w:type="dxa"/>
            <w:vAlign w:val="center"/>
          </w:tcPr>
          <w:p w14:paraId="6D53A0C1"/>
        </w:tc>
        <w:tc>
          <w:tcPr>
            <w:tcW w:w="2340" w:type="dxa"/>
            <w:vAlign w:val="center"/>
          </w:tcPr>
          <w:p w14:paraId="32C80685">
            <w:pPr>
              <w:jc w:val="left"/>
            </w:pPr>
            <w:r>
              <w:rPr>
                <w:rFonts w:ascii="宋体" w:hAnsi="宋体" w:eastAsia="宋体" w:cs="宋体"/>
                <w:b w:val="0"/>
                <w:i w:val="0"/>
                <w:color w:val="000000"/>
                <w:sz w:val="14"/>
              </w:rPr>
              <w:t>十三、交通运输支出</w:t>
            </w:r>
          </w:p>
        </w:tc>
        <w:tc>
          <w:tcPr>
            <w:tcW w:w="460" w:type="dxa"/>
            <w:vAlign w:val="center"/>
          </w:tcPr>
          <w:p w14:paraId="3ABF64FC">
            <w:pPr>
              <w:jc w:val="center"/>
            </w:pPr>
            <w:r>
              <w:rPr>
                <w:rFonts w:ascii="宋体" w:hAnsi="宋体" w:eastAsia="宋体" w:cs="宋体"/>
                <w:b w:val="0"/>
                <w:i w:val="0"/>
                <w:color w:val="000000"/>
                <w:sz w:val="14"/>
              </w:rPr>
              <w:t>44</w:t>
            </w:r>
          </w:p>
        </w:tc>
        <w:tc>
          <w:tcPr>
            <w:tcW w:w="1206" w:type="dxa"/>
            <w:vAlign w:val="center"/>
          </w:tcPr>
          <w:p w14:paraId="2B9A00A4">
            <w:pPr>
              <w:jc w:val="right"/>
            </w:pPr>
            <w:r>
              <w:rPr>
                <w:rFonts w:ascii="宋体" w:hAnsi="宋体" w:eastAsia="宋体" w:cs="宋体"/>
                <w:b w:val="0"/>
                <w:i w:val="0"/>
                <w:color w:val="000000"/>
                <w:sz w:val="14"/>
              </w:rPr>
              <w:t>53.00</w:t>
            </w:r>
          </w:p>
        </w:tc>
      </w:tr>
      <w:tr w14:paraId="60EED9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152F9C6"/>
        </w:tc>
        <w:tc>
          <w:tcPr>
            <w:tcW w:w="460" w:type="dxa"/>
            <w:vAlign w:val="center"/>
          </w:tcPr>
          <w:p w14:paraId="78F5685D">
            <w:pPr>
              <w:jc w:val="center"/>
            </w:pPr>
            <w:r>
              <w:rPr>
                <w:rFonts w:ascii="宋体" w:hAnsi="宋体" w:eastAsia="宋体" w:cs="宋体"/>
                <w:b w:val="0"/>
                <w:i w:val="0"/>
                <w:color w:val="000000"/>
                <w:sz w:val="14"/>
              </w:rPr>
              <w:t>14</w:t>
            </w:r>
          </w:p>
        </w:tc>
        <w:tc>
          <w:tcPr>
            <w:tcW w:w="1220" w:type="dxa"/>
            <w:vAlign w:val="center"/>
          </w:tcPr>
          <w:p w14:paraId="1D747FAA"/>
        </w:tc>
        <w:tc>
          <w:tcPr>
            <w:tcW w:w="2340" w:type="dxa"/>
            <w:vAlign w:val="center"/>
          </w:tcPr>
          <w:p w14:paraId="38E8F93E">
            <w:pPr>
              <w:jc w:val="left"/>
            </w:pPr>
            <w:r>
              <w:rPr>
                <w:rFonts w:ascii="宋体" w:hAnsi="宋体" w:eastAsia="宋体" w:cs="宋体"/>
                <w:b w:val="0"/>
                <w:i w:val="0"/>
                <w:color w:val="000000"/>
                <w:sz w:val="14"/>
              </w:rPr>
              <w:t>十四、资源勘探工业信息等支出</w:t>
            </w:r>
          </w:p>
        </w:tc>
        <w:tc>
          <w:tcPr>
            <w:tcW w:w="460" w:type="dxa"/>
            <w:vAlign w:val="center"/>
          </w:tcPr>
          <w:p w14:paraId="6680501D">
            <w:pPr>
              <w:jc w:val="center"/>
            </w:pPr>
            <w:r>
              <w:rPr>
                <w:rFonts w:ascii="宋体" w:hAnsi="宋体" w:eastAsia="宋体" w:cs="宋体"/>
                <w:b w:val="0"/>
                <w:i w:val="0"/>
                <w:color w:val="000000"/>
                <w:sz w:val="14"/>
              </w:rPr>
              <w:t>45</w:t>
            </w:r>
          </w:p>
        </w:tc>
        <w:tc>
          <w:tcPr>
            <w:tcW w:w="1206" w:type="dxa"/>
            <w:vAlign w:val="center"/>
          </w:tcPr>
          <w:p w14:paraId="349DAE66"/>
        </w:tc>
      </w:tr>
      <w:tr w14:paraId="15C1CB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72998E6"/>
        </w:tc>
        <w:tc>
          <w:tcPr>
            <w:tcW w:w="460" w:type="dxa"/>
            <w:vAlign w:val="center"/>
          </w:tcPr>
          <w:p w14:paraId="293BA11C">
            <w:pPr>
              <w:jc w:val="center"/>
            </w:pPr>
            <w:r>
              <w:rPr>
                <w:rFonts w:ascii="宋体" w:hAnsi="宋体" w:eastAsia="宋体" w:cs="宋体"/>
                <w:b w:val="0"/>
                <w:i w:val="0"/>
                <w:color w:val="000000"/>
                <w:sz w:val="14"/>
              </w:rPr>
              <w:t>15</w:t>
            </w:r>
          </w:p>
        </w:tc>
        <w:tc>
          <w:tcPr>
            <w:tcW w:w="1220" w:type="dxa"/>
            <w:vAlign w:val="center"/>
          </w:tcPr>
          <w:p w14:paraId="05663869"/>
        </w:tc>
        <w:tc>
          <w:tcPr>
            <w:tcW w:w="2340" w:type="dxa"/>
            <w:vAlign w:val="center"/>
          </w:tcPr>
          <w:p w14:paraId="335E4FA4">
            <w:pPr>
              <w:jc w:val="left"/>
            </w:pPr>
            <w:r>
              <w:rPr>
                <w:rFonts w:ascii="宋体" w:hAnsi="宋体" w:eastAsia="宋体" w:cs="宋体"/>
                <w:b w:val="0"/>
                <w:i w:val="0"/>
                <w:color w:val="000000"/>
                <w:sz w:val="14"/>
              </w:rPr>
              <w:t>十五、商业服务业等支出</w:t>
            </w:r>
          </w:p>
        </w:tc>
        <w:tc>
          <w:tcPr>
            <w:tcW w:w="460" w:type="dxa"/>
            <w:vAlign w:val="center"/>
          </w:tcPr>
          <w:p w14:paraId="602A022D">
            <w:pPr>
              <w:jc w:val="center"/>
            </w:pPr>
            <w:r>
              <w:rPr>
                <w:rFonts w:ascii="宋体" w:hAnsi="宋体" w:eastAsia="宋体" w:cs="宋体"/>
                <w:b w:val="0"/>
                <w:i w:val="0"/>
                <w:color w:val="000000"/>
                <w:sz w:val="14"/>
              </w:rPr>
              <w:t>46</w:t>
            </w:r>
          </w:p>
        </w:tc>
        <w:tc>
          <w:tcPr>
            <w:tcW w:w="1206" w:type="dxa"/>
            <w:vAlign w:val="center"/>
          </w:tcPr>
          <w:p w14:paraId="43CBB1E8"/>
        </w:tc>
      </w:tr>
      <w:tr w14:paraId="5B0B59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E2C3059"/>
        </w:tc>
        <w:tc>
          <w:tcPr>
            <w:tcW w:w="460" w:type="dxa"/>
            <w:vAlign w:val="center"/>
          </w:tcPr>
          <w:p w14:paraId="69899956">
            <w:pPr>
              <w:jc w:val="center"/>
            </w:pPr>
            <w:r>
              <w:rPr>
                <w:rFonts w:ascii="宋体" w:hAnsi="宋体" w:eastAsia="宋体" w:cs="宋体"/>
                <w:b w:val="0"/>
                <w:i w:val="0"/>
                <w:color w:val="000000"/>
                <w:sz w:val="14"/>
              </w:rPr>
              <w:t>16</w:t>
            </w:r>
          </w:p>
        </w:tc>
        <w:tc>
          <w:tcPr>
            <w:tcW w:w="1220" w:type="dxa"/>
            <w:vAlign w:val="center"/>
          </w:tcPr>
          <w:p w14:paraId="6AF84D16"/>
        </w:tc>
        <w:tc>
          <w:tcPr>
            <w:tcW w:w="2340" w:type="dxa"/>
            <w:vAlign w:val="center"/>
          </w:tcPr>
          <w:p w14:paraId="72CDB6A3">
            <w:pPr>
              <w:jc w:val="left"/>
            </w:pPr>
            <w:r>
              <w:rPr>
                <w:rFonts w:ascii="宋体" w:hAnsi="宋体" w:eastAsia="宋体" w:cs="宋体"/>
                <w:b w:val="0"/>
                <w:i w:val="0"/>
                <w:color w:val="000000"/>
                <w:sz w:val="14"/>
              </w:rPr>
              <w:t>十六、金融支出</w:t>
            </w:r>
          </w:p>
        </w:tc>
        <w:tc>
          <w:tcPr>
            <w:tcW w:w="460" w:type="dxa"/>
            <w:vAlign w:val="center"/>
          </w:tcPr>
          <w:p w14:paraId="46BDA13D">
            <w:pPr>
              <w:jc w:val="center"/>
            </w:pPr>
            <w:r>
              <w:rPr>
                <w:rFonts w:ascii="宋体" w:hAnsi="宋体" w:eastAsia="宋体" w:cs="宋体"/>
                <w:b w:val="0"/>
                <w:i w:val="0"/>
                <w:color w:val="000000"/>
                <w:sz w:val="14"/>
              </w:rPr>
              <w:t>47</w:t>
            </w:r>
          </w:p>
        </w:tc>
        <w:tc>
          <w:tcPr>
            <w:tcW w:w="1206" w:type="dxa"/>
            <w:vAlign w:val="center"/>
          </w:tcPr>
          <w:p w14:paraId="5DCF37BC"/>
        </w:tc>
      </w:tr>
      <w:tr w14:paraId="683195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822F0CA"/>
        </w:tc>
        <w:tc>
          <w:tcPr>
            <w:tcW w:w="460" w:type="dxa"/>
            <w:vAlign w:val="center"/>
          </w:tcPr>
          <w:p w14:paraId="1BC0A900">
            <w:pPr>
              <w:jc w:val="center"/>
            </w:pPr>
            <w:r>
              <w:rPr>
                <w:rFonts w:ascii="宋体" w:hAnsi="宋体" w:eastAsia="宋体" w:cs="宋体"/>
                <w:b w:val="0"/>
                <w:i w:val="0"/>
                <w:color w:val="000000"/>
                <w:sz w:val="14"/>
              </w:rPr>
              <w:t>17</w:t>
            </w:r>
          </w:p>
        </w:tc>
        <w:tc>
          <w:tcPr>
            <w:tcW w:w="1220" w:type="dxa"/>
            <w:vAlign w:val="center"/>
          </w:tcPr>
          <w:p w14:paraId="42303E3E"/>
        </w:tc>
        <w:tc>
          <w:tcPr>
            <w:tcW w:w="2340" w:type="dxa"/>
            <w:vAlign w:val="center"/>
          </w:tcPr>
          <w:p w14:paraId="3F218635">
            <w:pPr>
              <w:jc w:val="left"/>
            </w:pPr>
            <w:r>
              <w:rPr>
                <w:rFonts w:ascii="宋体" w:hAnsi="宋体" w:eastAsia="宋体" w:cs="宋体"/>
                <w:b w:val="0"/>
                <w:i w:val="0"/>
                <w:color w:val="000000"/>
                <w:sz w:val="14"/>
              </w:rPr>
              <w:t>十七、援助其他地区支出</w:t>
            </w:r>
          </w:p>
        </w:tc>
        <w:tc>
          <w:tcPr>
            <w:tcW w:w="460" w:type="dxa"/>
            <w:vAlign w:val="center"/>
          </w:tcPr>
          <w:p w14:paraId="2A17539F">
            <w:pPr>
              <w:jc w:val="center"/>
            </w:pPr>
            <w:r>
              <w:rPr>
                <w:rFonts w:ascii="宋体" w:hAnsi="宋体" w:eastAsia="宋体" w:cs="宋体"/>
                <w:b w:val="0"/>
                <w:i w:val="0"/>
                <w:color w:val="000000"/>
                <w:sz w:val="14"/>
              </w:rPr>
              <w:t>48</w:t>
            </w:r>
          </w:p>
        </w:tc>
        <w:tc>
          <w:tcPr>
            <w:tcW w:w="1206" w:type="dxa"/>
            <w:vAlign w:val="center"/>
          </w:tcPr>
          <w:p w14:paraId="180AD1B1"/>
        </w:tc>
      </w:tr>
      <w:tr w14:paraId="66A5BE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EEA84FD"/>
        </w:tc>
        <w:tc>
          <w:tcPr>
            <w:tcW w:w="460" w:type="dxa"/>
            <w:vAlign w:val="center"/>
          </w:tcPr>
          <w:p w14:paraId="2ED99DB5">
            <w:pPr>
              <w:jc w:val="center"/>
            </w:pPr>
            <w:r>
              <w:rPr>
                <w:rFonts w:ascii="宋体" w:hAnsi="宋体" w:eastAsia="宋体" w:cs="宋体"/>
                <w:b w:val="0"/>
                <w:i w:val="0"/>
                <w:color w:val="000000"/>
                <w:sz w:val="14"/>
              </w:rPr>
              <w:t>18</w:t>
            </w:r>
          </w:p>
        </w:tc>
        <w:tc>
          <w:tcPr>
            <w:tcW w:w="1220" w:type="dxa"/>
            <w:vAlign w:val="center"/>
          </w:tcPr>
          <w:p w14:paraId="35BC15B8"/>
        </w:tc>
        <w:tc>
          <w:tcPr>
            <w:tcW w:w="2340" w:type="dxa"/>
            <w:vAlign w:val="center"/>
          </w:tcPr>
          <w:p w14:paraId="647E95ED">
            <w:pPr>
              <w:jc w:val="left"/>
            </w:pPr>
            <w:r>
              <w:rPr>
                <w:rFonts w:ascii="宋体" w:hAnsi="宋体" w:eastAsia="宋体" w:cs="宋体"/>
                <w:b w:val="0"/>
                <w:i w:val="0"/>
                <w:color w:val="000000"/>
                <w:sz w:val="14"/>
              </w:rPr>
              <w:t>十八、自然资源海洋气象等支出</w:t>
            </w:r>
          </w:p>
        </w:tc>
        <w:tc>
          <w:tcPr>
            <w:tcW w:w="460" w:type="dxa"/>
            <w:vAlign w:val="center"/>
          </w:tcPr>
          <w:p w14:paraId="3CD22D31">
            <w:pPr>
              <w:jc w:val="center"/>
            </w:pPr>
            <w:r>
              <w:rPr>
                <w:rFonts w:ascii="宋体" w:hAnsi="宋体" w:eastAsia="宋体" w:cs="宋体"/>
                <w:b w:val="0"/>
                <w:i w:val="0"/>
                <w:color w:val="000000"/>
                <w:sz w:val="14"/>
              </w:rPr>
              <w:t>49</w:t>
            </w:r>
          </w:p>
        </w:tc>
        <w:tc>
          <w:tcPr>
            <w:tcW w:w="1206" w:type="dxa"/>
            <w:vAlign w:val="center"/>
          </w:tcPr>
          <w:p w14:paraId="56FBDFF0"/>
        </w:tc>
      </w:tr>
      <w:tr w14:paraId="34A47B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A1DBD6E"/>
        </w:tc>
        <w:tc>
          <w:tcPr>
            <w:tcW w:w="460" w:type="dxa"/>
            <w:vAlign w:val="center"/>
          </w:tcPr>
          <w:p w14:paraId="718488F6">
            <w:pPr>
              <w:jc w:val="center"/>
            </w:pPr>
            <w:r>
              <w:rPr>
                <w:rFonts w:ascii="宋体" w:hAnsi="宋体" w:eastAsia="宋体" w:cs="宋体"/>
                <w:b w:val="0"/>
                <w:i w:val="0"/>
                <w:color w:val="000000"/>
                <w:sz w:val="14"/>
              </w:rPr>
              <w:t>19</w:t>
            </w:r>
          </w:p>
        </w:tc>
        <w:tc>
          <w:tcPr>
            <w:tcW w:w="1220" w:type="dxa"/>
            <w:vAlign w:val="center"/>
          </w:tcPr>
          <w:p w14:paraId="141DE7FF"/>
        </w:tc>
        <w:tc>
          <w:tcPr>
            <w:tcW w:w="2340" w:type="dxa"/>
            <w:vAlign w:val="center"/>
          </w:tcPr>
          <w:p w14:paraId="087A509F">
            <w:pPr>
              <w:jc w:val="left"/>
            </w:pPr>
            <w:r>
              <w:rPr>
                <w:rFonts w:ascii="宋体" w:hAnsi="宋体" w:eastAsia="宋体" w:cs="宋体"/>
                <w:b w:val="0"/>
                <w:i w:val="0"/>
                <w:color w:val="000000"/>
                <w:sz w:val="14"/>
              </w:rPr>
              <w:t>十九、住房保障支出</w:t>
            </w:r>
          </w:p>
        </w:tc>
        <w:tc>
          <w:tcPr>
            <w:tcW w:w="460" w:type="dxa"/>
            <w:vAlign w:val="center"/>
          </w:tcPr>
          <w:p w14:paraId="61FAB132">
            <w:pPr>
              <w:jc w:val="center"/>
            </w:pPr>
            <w:r>
              <w:rPr>
                <w:rFonts w:ascii="宋体" w:hAnsi="宋体" w:eastAsia="宋体" w:cs="宋体"/>
                <w:b w:val="0"/>
                <w:i w:val="0"/>
                <w:color w:val="000000"/>
                <w:sz w:val="14"/>
              </w:rPr>
              <w:t>50</w:t>
            </w:r>
          </w:p>
        </w:tc>
        <w:tc>
          <w:tcPr>
            <w:tcW w:w="1206" w:type="dxa"/>
            <w:vAlign w:val="center"/>
          </w:tcPr>
          <w:p w14:paraId="002CF964">
            <w:pPr>
              <w:jc w:val="right"/>
            </w:pPr>
            <w:r>
              <w:rPr>
                <w:rFonts w:ascii="宋体" w:hAnsi="宋体" w:eastAsia="宋体" w:cs="宋体"/>
                <w:b w:val="0"/>
                <w:i w:val="0"/>
                <w:color w:val="000000"/>
                <w:sz w:val="14"/>
              </w:rPr>
              <w:t>5,628.57</w:t>
            </w:r>
          </w:p>
        </w:tc>
      </w:tr>
      <w:tr w14:paraId="5AB4DF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946DA75"/>
        </w:tc>
        <w:tc>
          <w:tcPr>
            <w:tcW w:w="460" w:type="dxa"/>
            <w:vAlign w:val="center"/>
          </w:tcPr>
          <w:p w14:paraId="3F978F42">
            <w:pPr>
              <w:jc w:val="center"/>
            </w:pPr>
            <w:r>
              <w:rPr>
                <w:rFonts w:ascii="宋体" w:hAnsi="宋体" w:eastAsia="宋体" w:cs="宋体"/>
                <w:b w:val="0"/>
                <w:i w:val="0"/>
                <w:color w:val="000000"/>
                <w:sz w:val="14"/>
              </w:rPr>
              <w:t>20</w:t>
            </w:r>
          </w:p>
        </w:tc>
        <w:tc>
          <w:tcPr>
            <w:tcW w:w="1220" w:type="dxa"/>
            <w:vAlign w:val="center"/>
          </w:tcPr>
          <w:p w14:paraId="202305A4"/>
        </w:tc>
        <w:tc>
          <w:tcPr>
            <w:tcW w:w="2340" w:type="dxa"/>
            <w:vAlign w:val="center"/>
          </w:tcPr>
          <w:p w14:paraId="29589B07">
            <w:pPr>
              <w:jc w:val="left"/>
            </w:pPr>
            <w:r>
              <w:rPr>
                <w:rFonts w:ascii="宋体" w:hAnsi="宋体" w:eastAsia="宋体" w:cs="宋体"/>
                <w:b w:val="0"/>
                <w:i w:val="0"/>
                <w:color w:val="000000"/>
                <w:sz w:val="14"/>
              </w:rPr>
              <w:t>二十、粮油物资储备支出</w:t>
            </w:r>
          </w:p>
        </w:tc>
        <w:tc>
          <w:tcPr>
            <w:tcW w:w="460" w:type="dxa"/>
            <w:vAlign w:val="center"/>
          </w:tcPr>
          <w:p w14:paraId="0A7E826D">
            <w:pPr>
              <w:jc w:val="center"/>
            </w:pPr>
            <w:r>
              <w:rPr>
                <w:rFonts w:ascii="宋体" w:hAnsi="宋体" w:eastAsia="宋体" w:cs="宋体"/>
                <w:b w:val="0"/>
                <w:i w:val="0"/>
                <w:color w:val="000000"/>
                <w:sz w:val="14"/>
              </w:rPr>
              <w:t>51</w:t>
            </w:r>
          </w:p>
        </w:tc>
        <w:tc>
          <w:tcPr>
            <w:tcW w:w="1206" w:type="dxa"/>
            <w:vAlign w:val="center"/>
          </w:tcPr>
          <w:p w14:paraId="0835D3BF"/>
        </w:tc>
      </w:tr>
      <w:tr w14:paraId="4455DB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A203120"/>
        </w:tc>
        <w:tc>
          <w:tcPr>
            <w:tcW w:w="460" w:type="dxa"/>
            <w:vAlign w:val="center"/>
          </w:tcPr>
          <w:p w14:paraId="39F47B68">
            <w:pPr>
              <w:jc w:val="center"/>
            </w:pPr>
            <w:r>
              <w:rPr>
                <w:rFonts w:ascii="宋体" w:hAnsi="宋体" w:eastAsia="宋体" w:cs="宋体"/>
                <w:b w:val="0"/>
                <w:i w:val="0"/>
                <w:color w:val="000000"/>
                <w:sz w:val="14"/>
              </w:rPr>
              <w:t>21</w:t>
            </w:r>
          </w:p>
        </w:tc>
        <w:tc>
          <w:tcPr>
            <w:tcW w:w="1220" w:type="dxa"/>
            <w:vAlign w:val="center"/>
          </w:tcPr>
          <w:p w14:paraId="2A04DA48"/>
        </w:tc>
        <w:tc>
          <w:tcPr>
            <w:tcW w:w="2340" w:type="dxa"/>
            <w:vAlign w:val="center"/>
          </w:tcPr>
          <w:p w14:paraId="19C5FA09">
            <w:pPr>
              <w:jc w:val="left"/>
            </w:pPr>
            <w:r>
              <w:rPr>
                <w:rFonts w:ascii="宋体" w:hAnsi="宋体" w:eastAsia="宋体" w:cs="宋体"/>
                <w:b w:val="0"/>
                <w:i w:val="0"/>
                <w:color w:val="000000"/>
                <w:sz w:val="14"/>
              </w:rPr>
              <w:t>二十一、国有资本经营预算支出</w:t>
            </w:r>
          </w:p>
        </w:tc>
        <w:tc>
          <w:tcPr>
            <w:tcW w:w="460" w:type="dxa"/>
            <w:vAlign w:val="center"/>
          </w:tcPr>
          <w:p w14:paraId="3EF769F3">
            <w:pPr>
              <w:jc w:val="center"/>
            </w:pPr>
            <w:r>
              <w:rPr>
                <w:rFonts w:ascii="宋体" w:hAnsi="宋体" w:eastAsia="宋体" w:cs="宋体"/>
                <w:b w:val="0"/>
                <w:i w:val="0"/>
                <w:color w:val="000000"/>
                <w:sz w:val="14"/>
              </w:rPr>
              <w:t>52</w:t>
            </w:r>
          </w:p>
        </w:tc>
        <w:tc>
          <w:tcPr>
            <w:tcW w:w="1206" w:type="dxa"/>
            <w:vAlign w:val="center"/>
          </w:tcPr>
          <w:p w14:paraId="58E37554"/>
        </w:tc>
      </w:tr>
      <w:tr w14:paraId="169B59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191AAEB"/>
        </w:tc>
        <w:tc>
          <w:tcPr>
            <w:tcW w:w="460" w:type="dxa"/>
            <w:vAlign w:val="center"/>
          </w:tcPr>
          <w:p w14:paraId="2A62B444">
            <w:pPr>
              <w:jc w:val="center"/>
            </w:pPr>
            <w:r>
              <w:rPr>
                <w:rFonts w:ascii="宋体" w:hAnsi="宋体" w:eastAsia="宋体" w:cs="宋体"/>
                <w:b w:val="0"/>
                <w:i w:val="0"/>
                <w:color w:val="000000"/>
                <w:sz w:val="14"/>
              </w:rPr>
              <w:t>22</w:t>
            </w:r>
          </w:p>
        </w:tc>
        <w:tc>
          <w:tcPr>
            <w:tcW w:w="1220" w:type="dxa"/>
            <w:vAlign w:val="center"/>
          </w:tcPr>
          <w:p w14:paraId="1C4C2DCE"/>
        </w:tc>
        <w:tc>
          <w:tcPr>
            <w:tcW w:w="2340" w:type="dxa"/>
            <w:vAlign w:val="center"/>
          </w:tcPr>
          <w:p w14:paraId="3EE73536">
            <w:pPr>
              <w:jc w:val="left"/>
            </w:pPr>
            <w:r>
              <w:rPr>
                <w:rFonts w:ascii="宋体" w:hAnsi="宋体" w:eastAsia="宋体" w:cs="宋体"/>
                <w:b w:val="0"/>
                <w:i w:val="0"/>
                <w:color w:val="000000"/>
                <w:sz w:val="14"/>
              </w:rPr>
              <w:t>二十二、灾害防治及应急管理支出</w:t>
            </w:r>
          </w:p>
        </w:tc>
        <w:tc>
          <w:tcPr>
            <w:tcW w:w="460" w:type="dxa"/>
            <w:vAlign w:val="center"/>
          </w:tcPr>
          <w:p w14:paraId="43238602">
            <w:pPr>
              <w:jc w:val="center"/>
            </w:pPr>
            <w:r>
              <w:rPr>
                <w:rFonts w:ascii="宋体" w:hAnsi="宋体" w:eastAsia="宋体" w:cs="宋体"/>
                <w:b w:val="0"/>
                <w:i w:val="0"/>
                <w:color w:val="000000"/>
                <w:sz w:val="14"/>
              </w:rPr>
              <w:t>53</w:t>
            </w:r>
          </w:p>
        </w:tc>
        <w:tc>
          <w:tcPr>
            <w:tcW w:w="1206" w:type="dxa"/>
            <w:vAlign w:val="center"/>
          </w:tcPr>
          <w:p w14:paraId="51093FD8"/>
        </w:tc>
      </w:tr>
      <w:tr w14:paraId="18372A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D575784"/>
        </w:tc>
        <w:tc>
          <w:tcPr>
            <w:tcW w:w="460" w:type="dxa"/>
            <w:vAlign w:val="center"/>
          </w:tcPr>
          <w:p w14:paraId="627D0161">
            <w:pPr>
              <w:jc w:val="center"/>
            </w:pPr>
            <w:r>
              <w:rPr>
                <w:rFonts w:ascii="宋体" w:hAnsi="宋体" w:eastAsia="宋体" w:cs="宋体"/>
                <w:b w:val="0"/>
                <w:i w:val="0"/>
                <w:color w:val="000000"/>
                <w:sz w:val="14"/>
              </w:rPr>
              <w:t>23</w:t>
            </w:r>
          </w:p>
        </w:tc>
        <w:tc>
          <w:tcPr>
            <w:tcW w:w="1220" w:type="dxa"/>
            <w:vAlign w:val="center"/>
          </w:tcPr>
          <w:p w14:paraId="728552D5"/>
        </w:tc>
        <w:tc>
          <w:tcPr>
            <w:tcW w:w="2340" w:type="dxa"/>
            <w:vAlign w:val="center"/>
          </w:tcPr>
          <w:p w14:paraId="07056061">
            <w:pPr>
              <w:jc w:val="left"/>
            </w:pPr>
            <w:r>
              <w:rPr>
                <w:rFonts w:ascii="宋体" w:hAnsi="宋体" w:eastAsia="宋体" w:cs="宋体"/>
                <w:b w:val="0"/>
                <w:i w:val="0"/>
                <w:color w:val="000000"/>
                <w:sz w:val="14"/>
              </w:rPr>
              <w:t>二十三、其他支出</w:t>
            </w:r>
          </w:p>
        </w:tc>
        <w:tc>
          <w:tcPr>
            <w:tcW w:w="460" w:type="dxa"/>
            <w:vAlign w:val="center"/>
          </w:tcPr>
          <w:p w14:paraId="1887F3B6">
            <w:pPr>
              <w:jc w:val="center"/>
            </w:pPr>
            <w:r>
              <w:rPr>
                <w:rFonts w:ascii="宋体" w:hAnsi="宋体" w:eastAsia="宋体" w:cs="宋体"/>
                <w:b w:val="0"/>
                <w:i w:val="0"/>
                <w:color w:val="000000"/>
                <w:sz w:val="14"/>
              </w:rPr>
              <w:t>54</w:t>
            </w:r>
          </w:p>
        </w:tc>
        <w:tc>
          <w:tcPr>
            <w:tcW w:w="1206" w:type="dxa"/>
            <w:vAlign w:val="center"/>
          </w:tcPr>
          <w:p w14:paraId="0573C602">
            <w:pPr>
              <w:jc w:val="right"/>
            </w:pPr>
            <w:r>
              <w:rPr>
                <w:rFonts w:ascii="宋体" w:hAnsi="宋体" w:eastAsia="宋体" w:cs="宋体"/>
                <w:b w:val="0"/>
                <w:i w:val="0"/>
                <w:color w:val="000000"/>
                <w:sz w:val="14"/>
              </w:rPr>
              <w:t>33,046.63</w:t>
            </w:r>
          </w:p>
        </w:tc>
      </w:tr>
      <w:tr w14:paraId="776AAE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8DFE3E7"/>
        </w:tc>
        <w:tc>
          <w:tcPr>
            <w:tcW w:w="460" w:type="dxa"/>
            <w:vAlign w:val="center"/>
          </w:tcPr>
          <w:p w14:paraId="2E66916C">
            <w:pPr>
              <w:jc w:val="center"/>
            </w:pPr>
            <w:r>
              <w:rPr>
                <w:rFonts w:ascii="宋体" w:hAnsi="宋体" w:eastAsia="宋体" w:cs="宋体"/>
                <w:b w:val="0"/>
                <w:i w:val="0"/>
                <w:color w:val="000000"/>
                <w:sz w:val="14"/>
              </w:rPr>
              <w:t>24</w:t>
            </w:r>
          </w:p>
        </w:tc>
        <w:tc>
          <w:tcPr>
            <w:tcW w:w="1220" w:type="dxa"/>
            <w:vAlign w:val="center"/>
          </w:tcPr>
          <w:p w14:paraId="5121CACD"/>
        </w:tc>
        <w:tc>
          <w:tcPr>
            <w:tcW w:w="2340" w:type="dxa"/>
            <w:vAlign w:val="center"/>
          </w:tcPr>
          <w:p w14:paraId="6DE861D2">
            <w:pPr>
              <w:jc w:val="left"/>
            </w:pPr>
            <w:r>
              <w:rPr>
                <w:rFonts w:ascii="宋体" w:hAnsi="宋体" w:eastAsia="宋体" w:cs="宋体"/>
                <w:b w:val="0"/>
                <w:i w:val="0"/>
                <w:color w:val="000000"/>
                <w:sz w:val="14"/>
              </w:rPr>
              <w:t>二十四、债务还本支出</w:t>
            </w:r>
          </w:p>
        </w:tc>
        <w:tc>
          <w:tcPr>
            <w:tcW w:w="460" w:type="dxa"/>
            <w:vAlign w:val="center"/>
          </w:tcPr>
          <w:p w14:paraId="5DBEFAB3">
            <w:pPr>
              <w:jc w:val="center"/>
            </w:pPr>
            <w:r>
              <w:rPr>
                <w:rFonts w:ascii="宋体" w:hAnsi="宋体" w:eastAsia="宋体" w:cs="宋体"/>
                <w:b w:val="0"/>
                <w:i w:val="0"/>
                <w:color w:val="000000"/>
                <w:sz w:val="14"/>
              </w:rPr>
              <w:t>55</w:t>
            </w:r>
          </w:p>
        </w:tc>
        <w:tc>
          <w:tcPr>
            <w:tcW w:w="1206" w:type="dxa"/>
            <w:vAlign w:val="center"/>
          </w:tcPr>
          <w:p w14:paraId="33D4DB3F"/>
        </w:tc>
      </w:tr>
      <w:tr w14:paraId="1C3620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1F455CA"/>
        </w:tc>
        <w:tc>
          <w:tcPr>
            <w:tcW w:w="460" w:type="dxa"/>
            <w:vAlign w:val="center"/>
          </w:tcPr>
          <w:p w14:paraId="354D1478">
            <w:pPr>
              <w:jc w:val="center"/>
            </w:pPr>
            <w:r>
              <w:rPr>
                <w:rFonts w:ascii="宋体" w:hAnsi="宋体" w:eastAsia="宋体" w:cs="宋体"/>
                <w:b w:val="0"/>
                <w:i w:val="0"/>
                <w:color w:val="000000"/>
                <w:sz w:val="14"/>
              </w:rPr>
              <w:t>25</w:t>
            </w:r>
          </w:p>
        </w:tc>
        <w:tc>
          <w:tcPr>
            <w:tcW w:w="1220" w:type="dxa"/>
            <w:vAlign w:val="center"/>
          </w:tcPr>
          <w:p w14:paraId="04545A35"/>
        </w:tc>
        <w:tc>
          <w:tcPr>
            <w:tcW w:w="2340" w:type="dxa"/>
            <w:vAlign w:val="center"/>
          </w:tcPr>
          <w:p w14:paraId="6A913E44">
            <w:pPr>
              <w:jc w:val="left"/>
            </w:pPr>
            <w:r>
              <w:rPr>
                <w:rFonts w:ascii="宋体" w:hAnsi="宋体" w:eastAsia="宋体" w:cs="宋体"/>
                <w:b w:val="0"/>
                <w:i w:val="0"/>
                <w:color w:val="000000"/>
                <w:sz w:val="14"/>
              </w:rPr>
              <w:t>二十五、债务付息支出</w:t>
            </w:r>
          </w:p>
        </w:tc>
        <w:tc>
          <w:tcPr>
            <w:tcW w:w="460" w:type="dxa"/>
            <w:vAlign w:val="center"/>
          </w:tcPr>
          <w:p w14:paraId="3AE1A702">
            <w:pPr>
              <w:jc w:val="center"/>
            </w:pPr>
            <w:r>
              <w:rPr>
                <w:rFonts w:ascii="宋体" w:hAnsi="宋体" w:eastAsia="宋体" w:cs="宋体"/>
                <w:b w:val="0"/>
                <w:i w:val="0"/>
                <w:color w:val="000000"/>
                <w:sz w:val="14"/>
              </w:rPr>
              <w:t>56</w:t>
            </w:r>
          </w:p>
        </w:tc>
        <w:tc>
          <w:tcPr>
            <w:tcW w:w="1206" w:type="dxa"/>
            <w:vAlign w:val="center"/>
          </w:tcPr>
          <w:p w14:paraId="1EC6049F"/>
        </w:tc>
      </w:tr>
      <w:tr w14:paraId="662E0C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932E672"/>
        </w:tc>
        <w:tc>
          <w:tcPr>
            <w:tcW w:w="460" w:type="dxa"/>
            <w:vAlign w:val="center"/>
          </w:tcPr>
          <w:p w14:paraId="4647C116">
            <w:pPr>
              <w:jc w:val="center"/>
            </w:pPr>
            <w:r>
              <w:rPr>
                <w:rFonts w:ascii="宋体" w:hAnsi="宋体" w:eastAsia="宋体" w:cs="宋体"/>
                <w:b w:val="0"/>
                <w:i w:val="0"/>
                <w:color w:val="000000"/>
                <w:sz w:val="14"/>
              </w:rPr>
              <w:t>26</w:t>
            </w:r>
          </w:p>
        </w:tc>
        <w:tc>
          <w:tcPr>
            <w:tcW w:w="1220" w:type="dxa"/>
            <w:vAlign w:val="center"/>
          </w:tcPr>
          <w:p w14:paraId="3D5C51D7"/>
        </w:tc>
        <w:tc>
          <w:tcPr>
            <w:tcW w:w="2340" w:type="dxa"/>
            <w:vAlign w:val="center"/>
          </w:tcPr>
          <w:p w14:paraId="02CB82AE">
            <w:pPr>
              <w:jc w:val="left"/>
            </w:pPr>
            <w:r>
              <w:rPr>
                <w:rFonts w:ascii="宋体" w:hAnsi="宋体" w:eastAsia="宋体" w:cs="宋体"/>
                <w:b w:val="0"/>
                <w:i w:val="0"/>
                <w:color w:val="000000"/>
                <w:sz w:val="14"/>
              </w:rPr>
              <w:t>二十六、抗疫特别国债安排的支出</w:t>
            </w:r>
          </w:p>
        </w:tc>
        <w:tc>
          <w:tcPr>
            <w:tcW w:w="460" w:type="dxa"/>
            <w:vAlign w:val="center"/>
          </w:tcPr>
          <w:p w14:paraId="133C659C">
            <w:pPr>
              <w:jc w:val="center"/>
            </w:pPr>
            <w:r>
              <w:rPr>
                <w:rFonts w:ascii="宋体" w:hAnsi="宋体" w:eastAsia="宋体" w:cs="宋体"/>
                <w:b w:val="0"/>
                <w:i w:val="0"/>
                <w:color w:val="000000"/>
                <w:sz w:val="14"/>
              </w:rPr>
              <w:t>57</w:t>
            </w:r>
          </w:p>
        </w:tc>
        <w:tc>
          <w:tcPr>
            <w:tcW w:w="1206" w:type="dxa"/>
            <w:vAlign w:val="center"/>
          </w:tcPr>
          <w:p w14:paraId="108A5A1A"/>
        </w:tc>
      </w:tr>
      <w:tr w14:paraId="784244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FA1C63A">
            <w:pPr>
              <w:jc w:val="left"/>
            </w:pPr>
            <w:r>
              <w:rPr>
                <w:rFonts w:ascii="宋体" w:hAnsi="宋体" w:eastAsia="宋体" w:cs="宋体"/>
                <w:b w:val="0"/>
                <w:i w:val="0"/>
                <w:color w:val="000000"/>
                <w:sz w:val="14"/>
              </w:rPr>
              <w:t>本年收入合计</w:t>
            </w:r>
          </w:p>
        </w:tc>
        <w:tc>
          <w:tcPr>
            <w:tcW w:w="460" w:type="dxa"/>
            <w:vAlign w:val="center"/>
          </w:tcPr>
          <w:p w14:paraId="069CEC6B">
            <w:pPr>
              <w:jc w:val="center"/>
            </w:pPr>
            <w:r>
              <w:rPr>
                <w:rFonts w:ascii="宋体" w:hAnsi="宋体" w:eastAsia="宋体" w:cs="宋体"/>
                <w:b w:val="0"/>
                <w:i w:val="0"/>
                <w:color w:val="000000"/>
                <w:sz w:val="14"/>
              </w:rPr>
              <w:t>27</w:t>
            </w:r>
          </w:p>
        </w:tc>
        <w:tc>
          <w:tcPr>
            <w:tcW w:w="1220" w:type="dxa"/>
            <w:vAlign w:val="center"/>
          </w:tcPr>
          <w:p w14:paraId="29DFE586">
            <w:pPr>
              <w:jc w:val="right"/>
            </w:pPr>
            <w:r>
              <w:rPr>
                <w:rFonts w:ascii="宋体" w:hAnsi="宋体" w:eastAsia="宋体" w:cs="宋体"/>
                <w:b w:val="0"/>
                <w:i w:val="0"/>
                <w:color w:val="000000"/>
                <w:sz w:val="14"/>
              </w:rPr>
              <w:t>51,516.23</w:t>
            </w:r>
          </w:p>
        </w:tc>
        <w:tc>
          <w:tcPr>
            <w:tcW w:w="2340" w:type="dxa"/>
            <w:vAlign w:val="center"/>
          </w:tcPr>
          <w:p w14:paraId="52E31714">
            <w:pPr>
              <w:jc w:val="left"/>
            </w:pPr>
            <w:r>
              <w:rPr>
                <w:rFonts w:ascii="宋体" w:hAnsi="宋体" w:eastAsia="宋体" w:cs="宋体"/>
                <w:b w:val="0"/>
                <w:i w:val="0"/>
                <w:color w:val="000000"/>
                <w:sz w:val="14"/>
              </w:rPr>
              <w:t>本年支出合计</w:t>
            </w:r>
          </w:p>
        </w:tc>
        <w:tc>
          <w:tcPr>
            <w:tcW w:w="460" w:type="dxa"/>
            <w:vAlign w:val="center"/>
          </w:tcPr>
          <w:p w14:paraId="53936687">
            <w:pPr>
              <w:jc w:val="center"/>
            </w:pPr>
            <w:r>
              <w:rPr>
                <w:rFonts w:ascii="宋体" w:hAnsi="宋体" w:eastAsia="宋体" w:cs="宋体"/>
                <w:b w:val="0"/>
                <w:i w:val="0"/>
                <w:color w:val="000000"/>
                <w:sz w:val="14"/>
              </w:rPr>
              <w:t>58</w:t>
            </w:r>
          </w:p>
        </w:tc>
        <w:tc>
          <w:tcPr>
            <w:tcW w:w="1206" w:type="dxa"/>
            <w:vAlign w:val="center"/>
          </w:tcPr>
          <w:p w14:paraId="10B18C6C">
            <w:pPr>
              <w:jc w:val="right"/>
            </w:pPr>
            <w:r>
              <w:rPr>
                <w:rFonts w:ascii="宋体" w:hAnsi="宋体" w:eastAsia="宋体" w:cs="宋体"/>
                <w:b w:val="0"/>
                <w:i w:val="0"/>
                <w:color w:val="000000"/>
                <w:sz w:val="14"/>
              </w:rPr>
              <w:t>50,832.25</w:t>
            </w:r>
          </w:p>
        </w:tc>
      </w:tr>
      <w:tr w14:paraId="04640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2C6D155">
            <w:pPr>
              <w:jc w:val="left"/>
            </w:pPr>
            <w:r>
              <w:rPr>
                <w:rFonts w:ascii="宋体" w:hAnsi="宋体" w:eastAsia="宋体" w:cs="宋体"/>
                <w:b w:val="0"/>
                <w:i w:val="0"/>
                <w:color w:val="000000"/>
                <w:sz w:val="14"/>
              </w:rPr>
              <w:t xml:space="preserve">  使用非财政拨款结余</w:t>
            </w:r>
          </w:p>
        </w:tc>
        <w:tc>
          <w:tcPr>
            <w:tcW w:w="460" w:type="dxa"/>
            <w:vAlign w:val="center"/>
          </w:tcPr>
          <w:p w14:paraId="077E5FDF">
            <w:pPr>
              <w:jc w:val="center"/>
            </w:pPr>
            <w:r>
              <w:rPr>
                <w:rFonts w:ascii="宋体" w:hAnsi="宋体" w:eastAsia="宋体" w:cs="宋体"/>
                <w:b w:val="0"/>
                <w:i w:val="0"/>
                <w:color w:val="000000"/>
                <w:sz w:val="14"/>
              </w:rPr>
              <w:t>28</w:t>
            </w:r>
          </w:p>
        </w:tc>
        <w:tc>
          <w:tcPr>
            <w:tcW w:w="1220" w:type="dxa"/>
            <w:vAlign w:val="center"/>
          </w:tcPr>
          <w:p w14:paraId="45968CE6"/>
        </w:tc>
        <w:tc>
          <w:tcPr>
            <w:tcW w:w="2340" w:type="dxa"/>
            <w:vAlign w:val="center"/>
          </w:tcPr>
          <w:p w14:paraId="282DFAF3">
            <w:pPr>
              <w:jc w:val="left"/>
            </w:pPr>
            <w:r>
              <w:rPr>
                <w:rFonts w:ascii="宋体" w:hAnsi="宋体" w:eastAsia="宋体" w:cs="宋体"/>
                <w:b w:val="0"/>
                <w:i w:val="0"/>
                <w:color w:val="000000"/>
                <w:sz w:val="14"/>
              </w:rPr>
              <w:t xml:space="preserve">  结余分配                 </w:t>
            </w:r>
          </w:p>
        </w:tc>
        <w:tc>
          <w:tcPr>
            <w:tcW w:w="460" w:type="dxa"/>
            <w:vAlign w:val="center"/>
          </w:tcPr>
          <w:p w14:paraId="51AFD943">
            <w:pPr>
              <w:jc w:val="center"/>
            </w:pPr>
            <w:r>
              <w:rPr>
                <w:rFonts w:ascii="宋体" w:hAnsi="宋体" w:eastAsia="宋体" w:cs="宋体"/>
                <w:b w:val="0"/>
                <w:i w:val="0"/>
                <w:color w:val="000000"/>
                <w:sz w:val="14"/>
              </w:rPr>
              <w:t>59</w:t>
            </w:r>
          </w:p>
        </w:tc>
        <w:tc>
          <w:tcPr>
            <w:tcW w:w="1206" w:type="dxa"/>
            <w:vAlign w:val="center"/>
          </w:tcPr>
          <w:p w14:paraId="7DED6D6E"/>
        </w:tc>
      </w:tr>
      <w:tr w14:paraId="3FEDA1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2BE8A1F">
            <w:pPr>
              <w:jc w:val="left"/>
            </w:pPr>
            <w:r>
              <w:rPr>
                <w:rFonts w:ascii="宋体" w:hAnsi="宋体" w:eastAsia="宋体" w:cs="宋体"/>
                <w:b w:val="0"/>
                <w:i w:val="0"/>
                <w:color w:val="000000"/>
                <w:sz w:val="14"/>
              </w:rPr>
              <w:t xml:space="preserve">  年初结转和结余</w:t>
            </w:r>
          </w:p>
        </w:tc>
        <w:tc>
          <w:tcPr>
            <w:tcW w:w="460" w:type="dxa"/>
            <w:vAlign w:val="center"/>
          </w:tcPr>
          <w:p w14:paraId="2C01B2A3">
            <w:pPr>
              <w:jc w:val="center"/>
            </w:pPr>
            <w:r>
              <w:rPr>
                <w:rFonts w:ascii="宋体" w:hAnsi="宋体" w:eastAsia="宋体" w:cs="宋体"/>
                <w:b w:val="0"/>
                <w:i w:val="0"/>
                <w:color w:val="000000"/>
                <w:sz w:val="14"/>
              </w:rPr>
              <w:t>29</w:t>
            </w:r>
          </w:p>
        </w:tc>
        <w:tc>
          <w:tcPr>
            <w:tcW w:w="1220" w:type="dxa"/>
            <w:vAlign w:val="center"/>
          </w:tcPr>
          <w:p w14:paraId="6910C922"/>
        </w:tc>
        <w:tc>
          <w:tcPr>
            <w:tcW w:w="2340" w:type="dxa"/>
            <w:vAlign w:val="center"/>
          </w:tcPr>
          <w:p w14:paraId="7BF5B42C">
            <w:pPr>
              <w:jc w:val="left"/>
            </w:pPr>
            <w:r>
              <w:rPr>
                <w:rFonts w:ascii="宋体" w:hAnsi="宋体" w:eastAsia="宋体" w:cs="宋体"/>
                <w:b w:val="0"/>
                <w:i w:val="0"/>
                <w:color w:val="000000"/>
                <w:sz w:val="14"/>
              </w:rPr>
              <w:t xml:space="preserve">  年末结转和结余                                </w:t>
            </w:r>
          </w:p>
        </w:tc>
        <w:tc>
          <w:tcPr>
            <w:tcW w:w="460" w:type="dxa"/>
            <w:vAlign w:val="center"/>
          </w:tcPr>
          <w:p w14:paraId="53007C90">
            <w:pPr>
              <w:jc w:val="center"/>
            </w:pPr>
            <w:r>
              <w:rPr>
                <w:rFonts w:ascii="宋体" w:hAnsi="宋体" w:eastAsia="宋体" w:cs="宋体"/>
                <w:b w:val="0"/>
                <w:i w:val="0"/>
                <w:color w:val="000000"/>
                <w:sz w:val="14"/>
              </w:rPr>
              <w:t>60</w:t>
            </w:r>
          </w:p>
        </w:tc>
        <w:tc>
          <w:tcPr>
            <w:tcW w:w="1206" w:type="dxa"/>
            <w:vAlign w:val="center"/>
          </w:tcPr>
          <w:p w14:paraId="62F9603A">
            <w:pPr>
              <w:jc w:val="right"/>
            </w:pPr>
            <w:r>
              <w:rPr>
                <w:rFonts w:ascii="宋体" w:hAnsi="宋体" w:eastAsia="宋体" w:cs="宋体"/>
                <w:b w:val="0"/>
                <w:i w:val="0"/>
                <w:color w:val="000000"/>
                <w:sz w:val="14"/>
              </w:rPr>
              <w:t>683.98</w:t>
            </w:r>
          </w:p>
        </w:tc>
      </w:tr>
      <w:tr w14:paraId="3F39F4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14B64E9"/>
        </w:tc>
        <w:tc>
          <w:tcPr>
            <w:tcW w:w="460" w:type="dxa"/>
            <w:vAlign w:val="center"/>
          </w:tcPr>
          <w:p w14:paraId="384CEE57">
            <w:pPr>
              <w:jc w:val="center"/>
            </w:pPr>
            <w:r>
              <w:rPr>
                <w:rFonts w:ascii="宋体" w:hAnsi="宋体" w:eastAsia="宋体" w:cs="宋体"/>
                <w:b w:val="0"/>
                <w:i w:val="0"/>
                <w:color w:val="000000"/>
                <w:sz w:val="14"/>
              </w:rPr>
              <w:t>30</w:t>
            </w:r>
          </w:p>
        </w:tc>
        <w:tc>
          <w:tcPr>
            <w:tcW w:w="1220" w:type="dxa"/>
            <w:vAlign w:val="center"/>
          </w:tcPr>
          <w:p w14:paraId="667FE3EA"/>
        </w:tc>
        <w:tc>
          <w:tcPr>
            <w:tcW w:w="2340" w:type="dxa"/>
            <w:vAlign w:val="center"/>
          </w:tcPr>
          <w:p w14:paraId="562AEF1C"/>
        </w:tc>
        <w:tc>
          <w:tcPr>
            <w:tcW w:w="460" w:type="dxa"/>
            <w:vAlign w:val="center"/>
          </w:tcPr>
          <w:p w14:paraId="55CAB03F">
            <w:pPr>
              <w:jc w:val="center"/>
            </w:pPr>
            <w:r>
              <w:rPr>
                <w:rFonts w:ascii="宋体" w:hAnsi="宋体" w:eastAsia="宋体" w:cs="宋体"/>
                <w:b w:val="0"/>
                <w:i w:val="0"/>
                <w:color w:val="000000"/>
                <w:sz w:val="14"/>
              </w:rPr>
              <w:t>61</w:t>
            </w:r>
          </w:p>
        </w:tc>
        <w:tc>
          <w:tcPr>
            <w:tcW w:w="1206" w:type="dxa"/>
            <w:vAlign w:val="center"/>
          </w:tcPr>
          <w:p w14:paraId="1730CFF8"/>
        </w:tc>
      </w:tr>
      <w:tr w14:paraId="296359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C29873A">
            <w:pPr>
              <w:jc w:val="center"/>
            </w:pPr>
            <w:r>
              <w:rPr>
                <w:rFonts w:ascii="宋体" w:hAnsi="宋体" w:eastAsia="宋体" w:cs="宋体"/>
                <w:b/>
                <w:i w:val="0"/>
                <w:color w:val="000000"/>
                <w:sz w:val="14"/>
              </w:rPr>
              <w:t>总计</w:t>
            </w:r>
          </w:p>
        </w:tc>
        <w:tc>
          <w:tcPr>
            <w:tcW w:w="460" w:type="dxa"/>
            <w:vAlign w:val="center"/>
          </w:tcPr>
          <w:p w14:paraId="12C25326">
            <w:pPr>
              <w:jc w:val="center"/>
            </w:pPr>
            <w:r>
              <w:rPr>
                <w:rFonts w:ascii="宋体" w:hAnsi="宋体" w:eastAsia="宋体" w:cs="宋体"/>
                <w:b w:val="0"/>
                <w:i w:val="0"/>
                <w:color w:val="000000"/>
                <w:sz w:val="14"/>
              </w:rPr>
              <w:t>31</w:t>
            </w:r>
          </w:p>
        </w:tc>
        <w:tc>
          <w:tcPr>
            <w:tcW w:w="1220" w:type="dxa"/>
            <w:vAlign w:val="center"/>
          </w:tcPr>
          <w:p w14:paraId="62BD8DE0">
            <w:pPr>
              <w:jc w:val="right"/>
            </w:pPr>
            <w:r>
              <w:rPr>
                <w:rFonts w:ascii="宋体" w:hAnsi="宋体" w:eastAsia="宋体" w:cs="宋体"/>
                <w:b w:val="0"/>
                <w:i w:val="0"/>
                <w:color w:val="000000"/>
                <w:sz w:val="14"/>
              </w:rPr>
              <w:t>51,516.23</w:t>
            </w:r>
          </w:p>
        </w:tc>
        <w:tc>
          <w:tcPr>
            <w:tcW w:w="2340" w:type="dxa"/>
            <w:vAlign w:val="center"/>
          </w:tcPr>
          <w:p w14:paraId="194B6CBF">
            <w:pPr>
              <w:jc w:val="center"/>
            </w:pPr>
            <w:r>
              <w:rPr>
                <w:rFonts w:ascii="宋体" w:hAnsi="宋体" w:eastAsia="宋体" w:cs="宋体"/>
                <w:b/>
                <w:i w:val="0"/>
                <w:color w:val="000000"/>
                <w:sz w:val="14"/>
              </w:rPr>
              <w:t>总计</w:t>
            </w:r>
          </w:p>
        </w:tc>
        <w:tc>
          <w:tcPr>
            <w:tcW w:w="460" w:type="dxa"/>
            <w:vAlign w:val="center"/>
          </w:tcPr>
          <w:p w14:paraId="390C2463">
            <w:pPr>
              <w:jc w:val="center"/>
            </w:pPr>
            <w:r>
              <w:rPr>
                <w:rFonts w:ascii="宋体" w:hAnsi="宋体" w:eastAsia="宋体" w:cs="宋体"/>
                <w:b w:val="0"/>
                <w:i w:val="0"/>
                <w:color w:val="000000"/>
                <w:sz w:val="14"/>
              </w:rPr>
              <w:t>62</w:t>
            </w:r>
          </w:p>
        </w:tc>
        <w:tc>
          <w:tcPr>
            <w:tcW w:w="1206" w:type="dxa"/>
            <w:vAlign w:val="center"/>
          </w:tcPr>
          <w:p w14:paraId="6571709D">
            <w:pPr>
              <w:jc w:val="right"/>
            </w:pPr>
            <w:r>
              <w:rPr>
                <w:rFonts w:ascii="宋体" w:hAnsi="宋体" w:eastAsia="宋体" w:cs="宋体"/>
                <w:b w:val="0"/>
                <w:i w:val="0"/>
                <w:color w:val="000000"/>
                <w:sz w:val="14"/>
              </w:rPr>
              <w:t>51,516.23</w:t>
            </w:r>
          </w:p>
        </w:tc>
      </w:tr>
      <w:tr w14:paraId="6EA6FF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7" w:hRule="exact"/>
          <w:jc w:val="center"/>
        </w:trPr>
        <w:tc>
          <w:tcPr>
            <w:tcW w:w="2620" w:type="dxa"/>
            <w:gridSpan w:val="6"/>
            <w:tcBorders>
              <w:left w:val="single" w:color="FFFFFF" w:sz="4" w:space="0"/>
              <w:bottom w:val="single" w:color="FFFFFF" w:sz="4" w:space="0"/>
              <w:right w:val="single" w:color="FFFFFF" w:sz="4" w:space="0"/>
              <w:insideH w:val="single" w:sz="4" w:space="0"/>
              <w:insideV w:val="single" w:sz="4" w:space="0"/>
            </w:tcBorders>
            <w:vAlign w:val="center"/>
          </w:tcPr>
          <w:p w14:paraId="7AB474B4">
            <w:pPr>
              <w:jc w:val="left"/>
            </w:pPr>
            <w:r>
              <w:rPr>
                <w:rFonts w:ascii="宋体" w:hAnsi="宋体" w:eastAsia="宋体" w:cs="宋体"/>
                <w:b w:val="0"/>
                <w:i w:val="0"/>
                <w:color w:val="000000"/>
                <w:sz w:val="14"/>
              </w:rPr>
              <w:t>注：本套报表金额单位转换时可能存在尾数误差。</w:t>
            </w:r>
          </w:p>
        </w:tc>
      </w:tr>
    </w:tbl>
    <w:p w14:paraId="3149F7A1">
      <w:pPr>
        <w:snapToGrid w:val="0"/>
        <w:spacing w:before="200" w:after="200" w:line="200" w:lineRule="auto"/>
      </w:pPr>
      <w:r>
        <w:rPr>
          <w:sz w:val="8"/>
        </w:rPr>
        <w:t xml:space="preserve"> </w:t>
      </w:r>
    </w:p>
    <w:p w14:paraId="29DE46A9">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收入决算表</w:t>
      </w:r>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816"/>
        <w:gridCol w:w="1337"/>
        <w:gridCol w:w="3153"/>
      </w:tblGrid>
      <w:tr w14:paraId="10321131">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222" w:hRule="atLeast"/>
          <w:jc w:val="center"/>
        </w:trPr>
        <w:tc>
          <w:tcPr>
            <w:tcW w:w="8306" w:type="dxa"/>
            <w:gridSpan w:val="3"/>
          </w:tcPr>
          <w:p w14:paraId="2D3176B0">
            <w:pPr>
              <w:jc w:val="right"/>
            </w:pPr>
            <w:r>
              <w:rPr>
                <w:rFonts w:ascii="宋体" w:hAnsi="宋体" w:eastAsia="宋体" w:cs="宋体"/>
                <w:sz w:val="20"/>
              </w:rPr>
              <w:t>公开02表</w:t>
            </w:r>
          </w:p>
        </w:tc>
      </w:tr>
      <w:tr w14:paraId="30EBF08B">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204" w:hRule="atLeast"/>
          <w:jc w:val="center"/>
        </w:trPr>
        <w:tc>
          <w:tcPr>
            <w:tcW w:w="3816" w:type="dxa"/>
          </w:tcPr>
          <w:p w14:paraId="0D1DF25E">
            <w:pPr>
              <w:jc w:val="left"/>
            </w:pPr>
            <w:r>
              <w:rPr>
                <w:rFonts w:ascii="宋体" w:hAnsi="宋体" w:eastAsia="宋体" w:cs="宋体"/>
                <w:sz w:val="20"/>
              </w:rPr>
              <w:t>部门：南昌市青云谱区住房和城乡建设局</w:t>
            </w:r>
          </w:p>
        </w:tc>
        <w:tc>
          <w:tcPr>
            <w:tcW w:w="1337" w:type="dxa"/>
          </w:tcPr>
          <w:p w14:paraId="2A956AFE">
            <w:pPr>
              <w:jc w:val="center"/>
            </w:pPr>
            <w:r>
              <w:rPr>
                <w:rFonts w:ascii="宋体" w:hAnsi="宋体" w:eastAsia="宋体" w:cs="宋体"/>
                <w:sz w:val="20"/>
              </w:rPr>
              <w:t>2023年度</w:t>
            </w:r>
          </w:p>
        </w:tc>
        <w:tc>
          <w:tcPr>
            <w:tcW w:w="3153" w:type="dxa"/>
          </w:tcPr>
          <w:p w14:paraId="6732A385">
            <w:pPr>
              <w:jc w:val="right"/>
            </w:pPr>
            <w:r>
              <w:rPr>
                <w:rFonts w:ascii="宋体" w:hAnsi="宋体" w:eastAsia="宋体" w:cs="宋体"/>
                <w:sz w:val="20"/>
              </w:rPr>
              <w:t>金额单位：万元</w:t>
            </w:r>
          </w:p>
        </w:tc>
      </w:tr>
    </w:tbl>
    <w:p w14:paraId="6CEAA207">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
        <w:gridCol w:w="220"/>
        <w:gridCol w:w="200"/>
        <w:gridCol w:w="1420"/>
        <w:gridCol w:w="860"/>
        <w:gridCol w:w="900"/>
        <w:gridCol w:w="880"/>
        <w:gridCol w:w="880"/>
        <w:gridCol w:w="900"/>
        <w:gridCol w:w="880"/>
        <w:gridCol w:w="986"/>
      </w:tblGrid>
      <w:tr w14:paraId="3BAC13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4"/>
            <w:vAlign w:val="center"/>
          </w:tcPr>
          <w:p w14:paraId="28B19A43">
            <w:pPr>
              <w:jc w:val="center"/>
            </w:pPr>
            <w:r>
              <w:rPr>
                <w:rFonts w:ascii="宋体" w:hAnsi="宋体" w:eastAsia="宋体" w:cs="宋体"/>
                <w:b w:val="0"/>
                <w:i w:val="0"/>
                <w:color w:val="000000"/>
                <w:sz w:val="9"/>
              </w:rPr>
              <w:t>项    目</w:t>
            </w:r>
          </w:p>
        </w:tc>
        <w:tc>
          <w:tcPr>
            <w:tcW w:w="860" w:type="dxa"/>
            <w:vMerge w:val="restart"/>
            <w:vAlign w:val="center"/>
          </w:tcPr>
          <w:p w14:paraId="46932A60">
            <w:pPr>
              <w:jc w:val="center"/>
            </w:pPr>
            <w:r>
              <w:rPr>
                <w:rFonts w:ascii="宋体" w:hAnsi="宋体" w:eastAsia="宋体" w:cs="宋体"/>
                <w:b w:val="0"/>
                <w:i w:val="0"/>
                <w:color w:val="000000"/>
                <w:sz w:val="9"/>
              </w:rPr>
              <w:t>本年收入合计</w:t>
            </w:r>
          </w:p>
        </w:tc>
        <w:tc>
          <w:tcPr>
            <w:tcW w:w="900" w:type="dxa"/>
            <w:vMerge w:val="restart"/>
            <w:vAlign w:val="center"/>
          </w:tcPr>
          <w:p w14:paraId="74EFB503">
            <w:pPr>
              <w:jc w:val="center"/>
            </w:pPr>
            <w:r>
              <w:rPr>
                <w:rFonts w:ascii="宋体" w:hAnsi="宋体" w:eastAsia="宋体" w:cs="宋体"/>
                <w:b w:val="0"/>
                <w:i w:val="0"/>
                <w:color w:val="000000"/>
                <w:sz w:val="9"/>
              </w:rPr>
              <w:t>财政拨款收入</w:t>
            </w:r>
          </w:p>
        </w:tc>
        <w:tc>
          <w:tcPr>
            <w:tcW w:w="880" w:type="dxa"/>
            <w:vMerge w:val="restart"/>
            <w:vAlign w:val="center"/>
          </w:tcPr>
          <w:p w14:paraId="40FB7F21">
            <w:pPr>
              <w:jc w:val="center"/>
            </w:pPr>
            <w:r>
              <w:rPr>
                <w:rFonts w:ascii="宋体" w:hAnsi="宋体" w:eastAsia="宋体" w:cs="宋体"/>
                <w:b w:val="0"/>
                <w:i w:val="0"/>
                <w:color w:val="000000"/>
                <w:sz w:val="9"/>
              </w:rPr>
              <w:t>上级补助收入</w:t>
            </w:r>
          </w:p>
        </w:tc>
        <w:tc>
          <w:tcPr>
            <w:tcW w:w="880" w:type="dxa"/>
            <w:vMerge w:val="restart"/>
            <w:vAlign w:val="center"/>
          </w:tcPr>
          <w:p w14:paraId="0C214B27">
            <w:pPr>
              <w:jc w:val="center"/>
            </w:pPr>
            <w:r>
              <w:rPr>
                <w:rFonts w:ascii="宋体" w:hAnsi="宋体" w:eastAsia="宋体" w:cs="宋体"/>
                <w:b w:val="0"/>
                <w:i w:val="0"/>
                <w:color w:val="000000"/>
                <w:sz w:val="9"/>
              </w:rPr>
              <w:t>事业收入</w:t>
            </w:r>
          </w:p>
        </w:tc>
        <w:tc>
          <w:tcPr>
            <w:tcW w:w="900" w:type="dxa"/>
            <w:vMerge w:val="restart"/>
            <w:vAlign w:val="center"/>
          </w:tcPr>
          <w:p w14:paraId="5DA0AF07">
            <w:pPr>
              <w:jc w:val="center"/>
            </w:pPr>
            <w:r>
              <w:rPr>
                <w:rFonts w:ascii="宋体" w:hAnsi="宋体" w:eastAsia="宋体" w:cs="宋体"/>
                <w:b w:val="0"/>
                <w:i w:val="0"/>
                <w:color w:val="000000"/>
                <w:sz w:val="9"/>
              </w:rPr>
              <w:t>经营收入</w:t>
            </w:r>
          </w:p>
        </w:tc>
        <w:tc>
          <w:tcPr>
            <w:tcW w:w="880" w:type="dxa"/>
            <w:vMerge w:val="restart"/>
            <w:vAlign w:val="center"/>
          </w:tcPr>
          <w:p w14:paraId="60552DFA">
            <w:pPr>
              <w:jc w:val="center"/>
            </w:pPr>
            <w:r>
              <w:rPr>
                <w:rFonts w:ascii="宋体" w:hAnsi="宋体" w:eastAsia="宋体" w:cs="宋体"/>
                <w:b w:val="0"/>
                <w:i w:val="0"/>
                <w:color w:val="000000"/>
                <w:sz w:val="9"/>
              </w:rPr>
              <w:t>附属单位上缴收入</w:t>
            </w:r>
          </w:p>
        </w:tc>
        <w:tc>
          <w:tcPr>
            <w:tcW w:w="986" w:type="dxa"/>
            <w:vMerge w:val="restart"/>
            <w:vAlign w:val="center"/>
          </w:tcPr>
          <w:p w14:paraId="6951A546">
            <w:pPr>
              <w:jc w:val="center"/>
            </w:pPr>
            <w:r>
              <w:rPr>
                <w:rFonts w:ascii="宋体" w:hAnsi="宋体" w:eastAsia="宋体" w:cs="宋体"/>
                <w:b w:val="0"/>
                <w:i w:val="0"/>
                <w:color w:val="000000"/>
                <w:sz w:val="9"/>
              </w:rPr>
              <w:t>其他收入</w:t>
            </w:r>
          </w:p>
        </w:tc>
      </w:tr>
      <w:tr w14:paraId="252EE7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restart"/>
            <w:vAlign w:val="center"/>
          </w:tcPr>
          <w:p w14:paraId="5CE1ED3B">
            <w:pPr>
              <w:jc w:val="center"/>
            </w:pPr>
            <w:r>
              <w:rPr>
                <w:rFonts w:ascii="宋体" w:hAnsi="宋体" w:eastAsia="宋体" w:cs="宋体"/>
                <w:b w:val="0"/>
                <w:i w:val="0"/>
                <w:color w:val="000000"/>
                <w:sz w:val="9"/>
              </w:rPr>
              <w:t>支出功能分类科目编码</w:t>
            </w:r>
          </w:p>
        </w:tc>
        <w:tc>
          <w:tcPr>
            <w:tcW w:w="1420" w:type="dxa"/>
            <w:vMerge w:val="restart"/>
            <w:vAlign w:val="center"/>
          </w:tcPr>
          <w:p w14:paraId="1D8102F7">
            <w:pPr>
              <w:jc w:val="center"/>
            </w:pPr>
            <w:r>
              <w:rPr>
                <w:rFonts w:ascii="宋体" w:hAnsi="宋体" w:eastAsia="宋体" w:cs="宋体"/>
                <w:b w:val="0"/>
                <w:i w:val="0"/>
                <w:color w:val="000000"/>
                <w:sz w:val="9"/>
              </w:rPr>
              <w:t>科目名称</w:t>
            </w:r>
          </w:p>
        </w:tc>
        <w:tc>
          <w:tcPr>
            <w:tcW w:w="860" w:type="dxa"/>
            <w:vMerge w:val="continue"/>
            <w:vAlign w:val="center"/>
          </w:tcPr>
          <w:p w14:paraId="3EFCA1CB"/>
        </w:tc>
        <w:tc>
          <w:tcPr>
            <w:tcW w:w="900" w:type="dxa"/>
            <w:vMerge w:val="continue"/>
            <w:vAlign w:val="center"/>
          </w:tcPr>
          <w:p w14:paraId="4D39ED1D"/>
        </w:tc>
        <w:tc>
          <w:tcPr>
            <w:tcW w:w="880" w:type="dxa"/>
            <w:vMerge w:val="continue"/>
            <w:vAlign w:val="center"/>
          </w:tcPr>
          <w:p w14:paraId="5C0D4F41"/>
        </w:tc>
        <w:tc>
          <w:tcPr>
            <w:tcW w:w="880" w:type="dxa"/>
            <w:vMerge w:val="continue"/>
            <w:vAlign w:val="center"/>
          </w:tcPr>
          <w:p w14:paraId="5448B64A"/>
        </w:tc>
        <w:tc>
          <w:tcPr>
            <w:tcW w:w="900" w:type="dxa"/>
            <w:vMerge w:val="continue"/>
            <w:vAlign w:val="center"/>
          </w:tcPr>
          <w:p w14:paraId="3ADF9C5F"/>
        </w:tc>
        <w:tc>
          <w:tcPr>
            <w:tcW w:w="880" w:type="dxa"/>
            <w:vMerge w:val="continue"/>
            <w:vAlign w:val="center"/>
          </w:tcPr>
          <w:p w14:paraId="429A49A3"/>
        </w:tc>
        <w:tc>
          <w:tcPr>
            <w:tcW w:w="986" w:type="dxa"/>
            <w:vMerge w:val="continue"/>
            <w:vAlign w:val="center"/>
          </w:tcPr>
          <w:p w14:paraId="0336A978"/>
        </w:tc>
      </w:tr>
      <w:tr w14:paraId="22699B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continue"/>
            <w:vAlign w:val="center"/>
          </w:tcPr>
          <w:p w14:paraId="66E58FB7"/>
        </w:tc>
        <w:tc>
          <w:tcPr>
            <w:tcW w:w="1420" w:type="dxa"/>
            <w:vMerge w:val="continue"/>
            <w:vAlign w:val="center"/>
          </w:tcPr>
          <w:p w14:paraId="415B562B"/>
        </w:tc>
        <w:tc>
          <w:tcPr>
            <w:tcW w:w="860" w:type="dxa"/>
            <w:vMerge w:val="continue"/>
            <w:vAlign w:val="center"/>
          </w:tcPr>
          <w:p w14:paraId="79E6EBE4"/>
        </w:tc>
        <w:tc>
          <w:tcPr>
            <w:tcW w:w="900" w:type="dxa"/>
            <w:vMerge w:val="continue"/>
            <w:vAlign w:val="center"/>
          </w:tcPr>
          <w:p w14:paraId="5C2B7791"/>
        </w:tc>
        <w:tc>
          <w:tcPr>
            <w:tcW w:w="880" w:type="dxa"/>
            <w:vMerge w:val="continue"/>
            <w:vAlign w:val="center"/>
          </w:tcPr>
          <w:p w14:paraId="59E56BE0"/>
        </w:tc>
        <w:tc>
          <w:tcPr>
            <w:tcW w:w="880" w:type="dxa"/>
            <w:vMerge w:val="continue"/>
            <w:vAlign w:val="center"/>
          </w:tcPr>
          <w:p w14:paraId="3B21213F"/>
        </w:tc>
        <w:tc>
          <w:tcPr>
            <w:tcW w:w="900" w:type="dxa"/>
            <w:vMerge w:val="continue"/>
            <w:vAlign w:val="center"/>
          </w:tcPr>
          <w:p w14:paraId="3CB70144"/>
        </w:tc>
        <w:tc>
          <w:tcPr>
            <w:tcW w:w="880" w:type="dxa"/>
            <w:vMerge w:val="continue"/>
            <w:vAlign w:val="center"/>
          </w:tcPr>
          <w:p w14:paraId="783F1418"/>
        </w:tc>
        <w:tc>
          <w:tcPr>
            <w:tcW w:w="986" w:type="dxa"/>
            <w:vMerge w:val="continue"/>
            <w:vAlign w:val="center"/>
          </w:tcPr>
          <w:p w14:paraId="03D171C6"/>
        </w:tc>
      </w:tr>
      <w:tr w14:paraId="03D89F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continue"/>
            <w:vAlign w:val="center"/>
          </w:tcPr>
          <w:p w14:paraId="06B8741C"/>
        </w:tc>
        <w:tc>
          <w:tcPr>
            <w:tcW w:w="1420" w:type="dxa"/>
            <w:vMerge w:val="continue"/>
            <w:vAlign w:val="center"/>
          </w:tcPr>
          <w:p w14:paraId="0C035F00"/>
        </w:tc>
        <w:tc>
          <w:tcPr>
            <w:tcW w:w="860" w:type="dxa"/>
            <w:vMerge w:val="continue"/>
            <w:vAlign w:val="center"/>
          </w:tcPr>
          <w:p w14:paraId="59D541AF"/>
        </w:tc>
        <w:tc>
          <w:tcPr>
            <w:tcW w:w="900" w:type="dxa"/>
            <w:vMerge w:val="continue"/>
            <w:vAlign w:val="center"/>
          </w:tcPr>
          <w:p w14:paraId="5E3C4AC8"/>
        </w:tc>
        <w:tc>
          <w:tcPr>
            <w:tcW w:w="880" w:type="dxa"/>
            <w:vMerge w:val="continue"/>
            <w:vAlign w:val="center"/>
          </w:tcPr>
          <w:p w14:paraId="30EEAD25"/>
        </w:tc>
        <w:tc>
          <w:tcPr>
            <w:tcW w:w="880" w:type="dxa"/>
            <w:vMerge w:val="continue"/>
            <w:vAlign w:val="center"/>
          </w:tcPr>
          <w:p w14:paraId="0F6DFE9C"/>
        </w:tc>
        <w:tc>
          <w:tcPr>
            <w:tcW w:w="900" w:type="dxa"/>
            <w:vMerge w:val="continue"/>
            <w:vAlign w:val="center"/>
          </w:tcPr>
          <w:p w14:paraId="6AEFE5C3"/>
        </w:tc>
        <w:tc>
          <w:tcPr>
            <w:tcW w:w="880" w:type="dxa"/>
            <w:vMerge w:val="continue"/>
            <w:vAlign w:val="center"/>
          </w:tcPr>
          <w:p w14:paraId="0031F071"/>
        </w:tc>
        <w:tc>
          <w:tcPr>
            <w:tcW w:w="986" w:type="dxa"/>
            <w:vMerge w:val="continue"/>
            <w:vAlign w:val="center"/>
          </w:tcPr>
          <w:p w14:paraId="7949C8F4"/>
        </w:tc>
      </w:tr>
      <w:tr w14:paraId="0613B1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63" w:hRule="exact"/>
          <w:jc w:val="center"/>
        </w:trPr>
        <w:tc>
          <w:tcPr>
            <w:tcW w:w="180" w:type="dxa"/>
            <w:vMerge w:val="restart"/>
            <w:vAlign w:val="center"/>
          </w:tcPr>
          <w:p w14:paraId="1CAADA09">
            <w:pPr>
              <w:jc w:val="center"/>
            </w:pPr>
            <w:r>
              <w:rPr>
                <w:rFonts w:ascii="宋体" w:hAnsi="宋体" w:eastAsia="宋体" w:cs="宋体"/>
                <w:b w:val="0"/>
                <w:i w:val="0"/>
                <w:color w:val="000000"/>
                <w:sz w:val="9"/>
              </w:rPr>
              <w:t>类</w:t>
            </w:r>
          </w:p>
        </w:tc>
        <w:tc>
          <w:tcPr>
            <w:tcW w:w="220" w:type="dxa"/>
            <w:vMerge w:val="restart"/>
            <w:vAlign w:val="center"/>
          </w:tcPr>
          <w:p w14:paraId="3E1BAAC6">
            <w:pPr>
              <w:jc w:val="center"/>
            </w:pPr>
            <w:r>
              <w:rPr>
                <w:rFonts w:ascii="宋体" w:hAnsi="宋体" w:eastAsia="宋体" w:cs="宋体"/>
                <w:b w:val="0"/>
                <w:i w:val="0"/>
                <w:color w:val="000000"/>
                <w:sz w:val="9"/>
              </w:rPr>
              <w:t>款</w:t>
            </w:r>
          </w:p>
        </w:tc>
        <w:tc>
          <w:tcPr>
            <w:tcW w:w="200" w:type="dxa"/>
            <w:vMerge w:val="restart"/>
            <w:vAlign w:val="center"/>
          </w:tcPr>
          <w:p w14:paraId="79F1DF03">
            <w:pPr>
              <w:jc w:val="center"/>
            </w:pPr>
            <w:r>
              <w:rPr>
                <w:rFonts w:ascii="宋体" w:hAnsi="宋体" w:eastAsia="宋体" w:cs="宋体"/>
                <w:b w:val="0"/>
                <w:i w:val="0"/>
                <w:color w:val="000000"/>
                <w:sz w:val="9"/>
              </w:rPr>
              <w:t>项</w:t>
            </w:r>
          </w:p>
        </w:tc>
        <w:tc>
          <w:tcPr>
            <w:tcW w:w="1420" w:type="dxa"/>
            <w:vAlign w:val="center"/>
          </w:tcPr>
          <w:p w14:paraId="050C595D">
            <w:pPr>
              <w:jc w:val="center"/>
            </w:pPr>
            <w:r>
              <w:rPr>
                <w:rFonts w:ascii="宋体" w:hAnsi="宋体" w:eastAsia="宋体" w:cs="宋体"/>
                <w:b w:val="0"/>
                <w:i w:val="0"/>
                <w:color w:val="000000"/>
                <w:sz w:val="9"/>
              </w:rPr>
              <w:t>栏次</w:t>
            </w:r>
          </w:p>
        </w:tc>
        <w:tc>
          <w:tcPr>
            <w:tcW w:w="860" w:type="dxa"/>
            <w:vAlign w:val="center"/>
          </w:tcPr>
          <w:p w14:paraId="1E86A56A">
            <w:pPr>
              <w:jc w:val="center"/>
            </w:pPr>
            <w:r>
              <w:rPr>
                <w:rFonts w:ascii="宋体" w:hAnsi="宋体" w:eastAsia="宋体" w:cs="宋体"/>
                <w:b w:val="0"/>
                <w:i w:val="0"/>
                <w:color w:val="000000"/>
                <w:sz w:val="9"/>
              </w:rPr>
              <w:t>1</w:t>
            </w:r>
          </w:p>
        </w:tc>
        <w:tc>
          <w:tcPr>
            <w:tcW w:w="900" w:type="dxa"/>
            <w:vAlign w:val="center"/>
          </w:tcPr>
          <w:p w14:paraId="1993ABC2">
            <w:pPr>
              <w:jc w:val="center"/>
            </w:pPr>
            <w:r>
              <w:rPr>
                <w:rFonts w:ascii="宋体" w:hAnsi="宋体" w:eastAsia="宋体" w:cs="宋体"/>
                <w:b w:val="0"/>
                <w:i w:val="0"/>
                <w:color w:val="000000"/>
                <w:sz w:val="9"/>
              </w:rPr>
              <w:t>2</w:t>
            </w:r>
          </w:p>
        </w:tc>
        <w:tc>
          <w:tcPr>
            <w:tcW w:w="880" w:type="dxa"/>
            <w:vAlign w:val="center"/>
          </w:tcPr>
          <w:p w14:paraId="530E0319">
            <w:pPr>
              <w:jc w:val="center"/>
            </w:pPr>
            <w:r>
              <w:rPr>
                <w:rFonts w:ascii="宋体" w:hAnsi="宋体" w:eastAsia="宋体" w:cs="宋体"/>
                <w:b w:val="0"/>
                <w:i w:val="0"/>
                <w:color w:val="000000"/>
                <w:sz w:val="9"/>
              </w:rPr>
              <w:t>3</w:t>
            </w:r>
          </w:p>
        </w:tc>
        <w:tc>
          <w:tcPr>
            <w:tcW w:w="880" w:type="dxa"/>
            <w:vAlign w:val="center"/>
          </w:tcPr>
          <w:p w14:paraId="31D67627">
            <w:pPr>
              <w:jc w:val="center"/>
            </w:pPr>
            <w:r>
              <w:rPr>
                <w:rFonts w:ascii="宋体" w:hAnsi="宋体" w:eastAsia="宋体" w:cs="宋体"/>
                <w:b w:val="0"/>
                <w:i w:val="0"/>
                <w:color w:val="000000"/>
                <w:sz w:val="9"/>
              </w:rPr>
              <w:t>4</w:t>
            </w:r>
          </w:p>
        </w:tc>
        <w:tc>
          <w:tcPr>
            <w:tcW w:w="900" w:type="dxa"/>
            <w:vAlign w:val="center"/>
          </w:tcPr>
          <w:p w14:paraId="5DC06C0E">
            <w:pPr>
              <w:jc w:val="center"/>
            </w:pPr>
            <w:r>
              <w:rPr>
                <w:rFonts w:ascii="宋体" w:hAnsi="宋体" w:eastAsia="宋体" w:cs="宋体"/>
                <w:b w:val="0"/>
                <w:i w:val="0"/>
                <w:color w:val="000000"/>
                <w:sz w:val="9"/>
              </w:rPr>
              <w:t>5</w:t>
            </w:r>
          </w:p>
        </w:tc>
        <w:tc>
          <w:tcPr>
            <w:tcW w:w="880" w:type="dxa"/>
            <w:vAlign w:val="center"/>
          </w:tcPr>
          <w:p w14:paraId="4100ED41">
            <w:pPr>
              <w:jc w:val="center"/>
            </w:pPr>
            <w:r>
              <w:rPr>
                <w:rFonts w:ascii="宋体" w:hAnsi="宋体" w:eastAsia="宋体" w:cs="宋体"/>
                <w:b w:val="0"/>
                <w:i w:val="0"/>
                <w:color w:val="000000"/>
                <w:sz w:val="9"/>
              </w:rPr>
              <w:t>6</w:t>
            </w:r>
          </w:p>
        </w:tc>
        <w:tc>
          <w:tcPr>
            <w:tcW w:w="986" w:type="dxa"/>
            <w:vAlign w:val="center"/>
          </w:tcPr>
          <w:p w14:paraId="62EE6C43">
            <w:pPr>
              <w:jc w:val="center"/>
            </w:pPr>
            <w:r>
              <w:rPr>
                <w:rFonts w:ascii="宋体" w:hAnsi="宋体" w:eastAsia="宋体" w:cs="宋体"/>
                <w:b w:val="0"/>
                <w:i w:val="0"/>
                <w:color w:val="000000"/>
                <w:sz w:val="9"/>
              </w:rPr>
              <w:t xml:space="preserve">7 </w:t>
            </w:r>
          </w:p>
        </w:tc>
      </w:tr>
      <w:tr w14:paraId="28E15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3" w:hRule="exact"/>
          <w:jc w:val="center"/>
        </w:trPr>
        <w:tc>
          <w:tcPr>
            <w:tcW w:w="180" w:type="dxa"/>
            <w:vMerge w:val="continue"/>
            <w:vAlign w:val="center"/>
          </w:tcPr>
          <w:p w14:paraId="28CC5C0F"/>
        </w:tc>
        <w:tc>
          <w:tcPr>
            <w:tcW w:w="220" w:type="dxa"/>
            <w:vMerge w:val="continue"/>
            <w:vAlign w:val="center"/>
          </w:tcPr>
          <w:p w14:paraId="2B59E429"/>
        </w:tc>
        <w:tc>
          <w:tcPr>
            <w:tcW w:w="200" w:type="dxa"/>
            <w:vMerge w:val="continue"/>
            <w:vAlign w:val="center"/>
          </w:tcPr>
          <w:p w14:paraId="430EDFAE"/>
        </w:tc>
        <w:tc>
          <w:tcPr>
            <w:tcW w:w="1420" w:type="dxa"/>
            <w:vAlign w:val="center"/>
          </w:tcPr>
          <w:p w14:paraId="11E47A9E">
            <w:pPr>
              <w:jc w:val="center"/>
            </w:pPr>
            <w:r>
              <w:rPr>
                <w:rFonts w:ascii="宋体" w:hAnsi="宋体" w:eastAsia="宋体" w:cs="宋体"/>
                <w:b w:val="0"/>
                <w:i w:val="0"/>
                <w:color w:val="000000"/>
                <w:sz w:val="9"/>
              </w:rPr>
              <w:t>合计</w:t>
            </w:r>
          </w:p>
        </w:tc>
        <w:tc>
          <w:tcPr>
            <w:tcW w:w="860" w:type="dxa"/>
            <w:vAlign w:val="center"/>
          </w:tcPr>
          <w:p w14:paraId="416D6F51">
            <w:pPr>
              <w:jc w:val="right"/>
            </w:pPr>
            <w:r>
              <w:rPr>
                <w:rFonts w:ascii="宋体" w:hAnsi="宋体" w:eastAsia="宋体" w:cs="宋体"/>
                <w:b w:val="0"/>
                <w:i w:val="0"/>
                <w:color w:val="000000"/>
                <w:sz w:val="9"/>
              </w:rPr>
              <w:t>51,516.23</w:t>
            </w:r>
          </w:p>
        </w:tc>
        <w:tc>
          <w:tcPr>
            <w:tcW w:w="900" w:type="dxa"/>
            <w:vAlign w:val="center"/>
          </w:tcPr>
          <w:p w14:paraId="55545856">
            <w:pPr>
              <w:jc w:val="right"/>
            </w:pPr>
            <w:r>
              <w:rPr>
                <w:rFonts w:ascii="宋体" w:hAnsi="宋体" w:eastAsia="宋体" w:cs="宋体"/>
                <w:b w:val="0"/>
                <w:i w:val="0"/>
                <w:color w:val="000000"/>
                <w:sz w:val="9"/>
              </w:rPr>
              <w:t>47,443.45</w:t>
            </w:r>
          </w:p>
        </w:tc>
        <w:tc>
          <w:tcPr>
            <w:tcW w:w="880" w:type="dxa"/>
            <w:vAlign w:val="center"/>
          </w:tcPr>
          <w:p w14:paraId="5506AF4A"/>
        </w:tc>
        <w:tc>
          <w:tcPr>
            <w:tcW w:w="880" w:type="dxa"/>
            <w:vAlign w:val="center"/>
          </w:tcPr>
          <w:p w14:paraId="10F12E41"/>
        </w:tc>
        <w:tc>
          <w:tcPr>
            <w:tcW w:w="900" w:type="dxa"/>
            <w:vAlign w:val="center"/>
          </w:tcPr>
          <w:p w14:paraId="35509BB2"/>
        </w:tc>
        <w:tc>
          <w:tcPr>
            <w:tcW w:w="880" w:type="dxa"/>
            <w:vAlign w:val="center"/>
          </w:tcPr>
          <w:p w14:paraId="651A0917"/>
        </w:tc>
        <w:tc>
          <w:tcPr>
            <w:tcW w:w="986" w:type="dxa"/>
            <w:vAlign w:val="center"/>
          </w:tcPr>
          <w:p w14:paraId="0F243DE1">
            <w:pPr>
              <w:jc w:val="right"/>
            </w:pPr>
            <w:r>
              <w:rPr>
                <w:rFonts w:ascii="宋体" w:hAnsi="宋体" w:eastAsia="宋体" w:cs="宋体"/>
                <w:b w:val="0"/>
                <w:i w:val="0"/>
                <w:color w:val="000000"/>
                <w:sz w:val="9"/>
              </w:rPr>
              <w:t>4,072.78</w:t>
            </w:r>
          </w:p>
        </w:tc>
      </w:tr>
      <w:tr w14:paraId="5E3F58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AAB8321">
            <w:pPr>
              <w:jc w:val="left"/>
            </w:pPr>
            <w:r>
              <w:rPr>
                <w:rFonts w:ascii="宋体" w:hAnsi="宋体" w:eastAsia="宋体" w:cs="宋体"/>
                <w:b w:val="0"/>
                <w:i w:val="0"/>
                <w:color w:val="000000"/>
                <w:sz w:val="9"/>
              </w:rPr>
              <w:t>201</w:t>
            </w:r>
          </w:p>
        </w:tc>
        <w:tc>
          <w:tcPr>
            <w:tcW w:w="1420" w:type="dxa"/>
            <w:vAlign w:val="center"/>
          </w:tcPr>
          <w:p w14:paraId="1CDBA130">
            <w:pPr>
              <w:jc w:val="left"/>
            </w:pPr>
            <w:r>
              <w:rPr>
                <w:rFonts w:ascii="宋体" w:hAnsi="宋体" w:eastAsia="宋体" w:cs="宋体"/>
                <w:b w:val="0"/>
                <w:i w:val="0"/>
                <w:color w:val="000000"/>
                <w:sz w:val="9"/>
              </w:rPr>
              <w:t>一般公共服务支出</w:t>
            </w:r>
          </w:p>
        </w:tc>
        <w:tc>
          <w:tcPr>
            <w:tcW w:w="860" w:type="dxa"/>
            <w:vAlign w:val="center"/>
          </w:tcPr>
          <w:p w14:paraId="7A37A23D">
            <w:pPr>
              <w:jc w:val="right"/>
            </w:pPr>
            <w:r>
              <w:rPr>
                <w:rFonts w:ascii="宋体" w:hAnsi="宋体" w:eastAsia="宋体" w:cs="宋体"/>
                <w:b w:val="0"/>
                <w:i w:val="0"/>
                <w:color w:val="000000"/>
                <w:sz w:val="9"/>
              </w:rPr>
              <w:t>10.00</w:t>
            </w:r>
          </w:p>
        </w:tc>
        <w:tc>
          <w:tcPr>
            <w:tcW w:w="900" w:type="dxa"/>
            <w:vAlign w:val="center"/>
          </w:tcPr>
          <w:p w14:paraId="1245D084">
            <w:pPr>
              <w:jc w:val="right"/>
            </w:pPr>
            <w:r>
              <w:rPr>
                <w:rFonts w:ascii="宋体" w:hAnsi="宋体" w:eastAsia="宋体" w:cs="宋体"/>
                <w:b w:val="0"/>
                <w:i w:val="0"/>
                <w:color w:val="000000"/>
                <w:sz w:val="9"/>
              </w:rPr>
              <w:t>10.00</w:t>
            </w:r>
          </w:p>
        </w:tc>
        <w:tc>
          <w:tcPr>
            <w:tcW w:w="880" w:type="dxa"/>
            <w:vAlign w:val="center"/>
          </w:tcPr>
          <w:p w14:paraId="480ABC61"/>
        </w:tc>
        <w:tc>
          <w:tcPr>
            <w:tcW w:w="880" w:type="dxa"/>
            <w:vAlign w:val="center"/>
          </w:tcPr>
          <w:p w14:paraId="09EA67AD"/>
        </w:tc>
        <w:tc>
          <w:tcPr>
            <w:tcW w:w="900" w:type="dxa"/>
            <w:vAlign w:val="center"/>
          </w:tcPr>
          <w:p w14:paraId="5899503C"/>
        </w:tc>
        <w:tc>
          <w:tcPr>
            <w:tcW w:w="880" w:type="dxa"/>
            <w:vAlign w:val="center"/>
          </w:tcPr>
          <w:p w14:paraId="007DA01F"/>
        </w:tc>
        <w:tc>
          <w:tcPr>
            <w:tcW w:w="986" w:type="dxa"/>
            <w:vAlign w:val="center"/>
          </w:tcPr>
          <w:p w14:paraId="29ACE17F"/>
        </w:tc>
      </w:tr>
      <w:tr w14:paraId="00C789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18C72F1">
            <w:pPr>
              <w:jc w:val="left"/>
            </w:pPr>
            <w:r>
              <w:rPr>
                <w:rFonts w:ascii="宋体" w:hAnsi="宋体" w:eastAsia="宋体" w:cs="宋体"/>
                <w:b w:val="0"/>
                <w:i w:val="0"/>
                <w:color w:val="000000"/>
                <w:sz w:val="9"/>
              </w:rPr>
              <w:t>20103</w:t>
            </w:r>
          </w:p>
        </w:tc>
        <w:tc>
          <w:tcPr>
            <w:tcW w:w="1420" w:type="dxa"/>
            <w:vAlign w:val="center"/>
          </w:tcPr>
          <w:p w14:paraId="52D0C308">
            <w:pPr>
              <w:jc w:val="left"/>
            </w:pPr>
            <w:r>
              <w:rPr>
                <w:rFonts w:ascii="宋体" w:hAnsi="宋体" w:eastAsia="宋体" w:cs="宋体"/>
                <w:b w:val="0"/>
                <w:i w:val="0"/>
                <w:color w:val="000000"/>
                <w:sz w:val="9"/>
              </w:rPr>
              <w:t>政府办公厅（室）及相关机构事务</w:t>
            </w:r>
          </w:p>
        </w:tc>
        <w:tc>
          <w:tcPr>
            <w:tcW w:w="860" w:type="dxa"/>
            <w:vAlign w:val="center"/>
          </w:tcPr>
          <w:p w14:paraId="49E62A54">
            <w:pPr>
              <w:jc w:val="right"/>
            </w:pPr>
            <w:r>
              <w:rPr>
                <w:rFonts w:ascii="宋体" w:hAnsi="宋体" w:eastAsia="宋体" w:cs="宋体"/>
                <w:b w:val="0"/>
                <w:i w:val="0"/>
                <w:color w:val="000000"/>
                <w:sz w:val="9"/>
              </w:rPr>
              <w:t>10.00</w:t>
            </w:r>
          </w:p>
        </w:tc>
        <w:tc>
          <w:tcPr>
            <w:tcW w:w="900" w:type="dxa"/>
            <w:vAlign w:val="center"/>
          </w:tcPr>
          <w:p w14:paraId="0D682ECA">
            <w:pPr>
              <w:jc w:val="right"/>
            </w:pPr>
            <w:r>
              <w:rPr>
                <w:rFonts w:ascii="宋体" w:hAnsi="宋体" w:eastAsia="宋体" w:cs="宋体"/>
                <w:b w:val="0"/>
                <w:i w:val="0"/>
                <w:color w:val="000000"/>
                <w:sz w:val="9"/>
              </w:rPr>
              <w:t>10.00</w:t>
            </w:r>
          </w:p>
        </w:tc>
        <w:tc>
          <w:tcPr>
            <w:tcW w:w="880" w:type="dxa"/>
            <w:vAlign w:val="center"/>
          </w:tcPr>
          <w:p w14:paraId="74BF987B"/>
        </w:tc>
        <w:tc>
          <w:tcPr>
            <w:tcW w:w="880" w:type="dxa"/>
            <w:vAlign w:val="center"/>
          </w:tcPr>
          <w:p w14:paraId="02B6C251"/>
        </w:tc>
        <w:tc>
          <w:tcPr>
            <w:tcW w:w="900" w:type="dxa"/>
            <w:vAlign w:val="center"/>
          </w:tcPr>
          <w:p w14:paraId="64766BFB"/>
        </w:tc>
        <w:tc>
          <w:tcPr>
            <w:tcW w:w="880" w:type="dxa"/>
            <w:vAlign w:val="center"/>
          </w:tcPr>
          <w:p w14:paraId="6CD8E221"/>
        </w:tc>
        <w:tc>
          <w:tcPr>
            <w:tcW w:w="986" w:type="dxa"/>
            <w:vAlign w:val="center"/>
          </w:tcPr>
          <w:p w14:paraId="64528C42"/>
        </w:tc>
      </w:tr>
      <w:tr w14:paraId="50CB32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E106BCB">
            <w:pPr>
              <w:jc w:val="left"/>
            </w:pPr>
            <w:r>
              <w:rPr>
                <w:rFonts w:ascii="宋体" w:hAnsi="宋体" w:eastAsia="宋体" w:cs="宋体"/>
                <w:b w:val="0"/>
                <w:i w:val="0"/>
                <w:color w:val="000000"/>
                <w:sz w:val="9"/>
              </w:rPr>
              <w:t>2010302</w:t>
            </w:r>
          </w:p>
        </w:tc>
        <w:tc>
          <w:tcPr>
            <w:tcW w:w="1420" w:type="dxa"/>
            <w:vAlign w:val="center"/>
          </w:tcPr>
          <w:p w14:paraId="3D3AEA3D">
            <w:pPr>
              <w:jc w:val="left"/>
            </w:pPr>
            <w:r>
              <w:rPr>
                <w:rFonts w:ascii="宋体" w:hAnsi="宋体" w:eastAsia="宋体" w:cs="宋体"/>
                <w:b w:val="0"/>
                <w:i w:val="0"/>
                <w:color w:val="000000"/>
                <w:sz w:val="9"/>
              </w:rPr>
              <w:t>一般行政管理事务</w:t>
            </w:r>
          </w:p>
        </w:tc>
        <w:tc>
          <w:tcPr>
            <w:tcW w:w="860" w:type="dxa"/>
            <w:vAlign w:val="center"/>
          </w:tcPr>
          <w:p w14:paraId="341C06AF">
            <w:pPr>
              <w:jc w:val="right"/>
            </w:pPr>
            <w:r>
              <w:rPr>
                <w:rFonts w:ascii="宋体" w:hAnsi="宋体" w:eastAsia="宋体" w:cs="宋体"/>
                <w:b w:val="0"/>
                <w:i w:val="0"/>
                <w:color w:val="000000"/>
                <w:sz w:val="9"/>
              </w:rPr>
              <w:t>10.00</w:t>
            </w:r>
          </w:p>
        </w:tc>
        <w:tc>
          <w:tcPr>
            <w:tcW w:w="900" w:type="dxa"/>
            <w:vAlign w:val="center"/>
          </w:tcPr>
          <w:p w14:paraId="7E8CE3B8">
            <w:pPr>
              <w:jc w:val="right"/>
            </w:pPr>
            <w:r>
              <w:rPr>
                <w:rFonts w:ascii="宋体" w:hAnsi="宋体" w:eastAsia="宋体" w:cs="宋体"/>
                <w:b w:val="0"/>
                <w:i w:val="0"/>
                <w:color w:val="000000"/>
                <w:sz w:val="9"/>
              </w:rPr>
              <w:t>10.00</w:t>
            </w:r>
          </w:p>
        </w:tc>
        <w:tc>
          <w:tcPr>
            <w:tcW w:w="880" w:type="dxa"/>
            <w:vAlign w:val="center"/>
          </w:tcPr>
          <w:p w14:paraId="0AA2FE4C"/>
        </w:tc>
        <w:tc>
          <w:tcPr>
            <w:tcW w:w="880" w:type="dxa"/>
            <w:vAlign w:val="center"/>
          </w:tcPr>
          <w:p w14:paraId="61AA5BA9"/>
        </w:tc>
        <w:tc>
          <w:tcPr>
            <w:tcW w:w="900" w:type="dxa"/>
            <w:vAlign w:val="center"/>
          </w:tcPr>
          <w:p w14:paraId="3B5F0072"/>
        </w:tc>
        <w:tc>
          <w:tcPr>
            <w:tcW w:w="880" w:type="dxa"/>
            <w:vAlign w:val="center"/>
          </w:tcPr>
          <w:p w14:paraId="583419F4"/>
        </w:tc>
        <w:tc>
          <w:tcPr>
            <w:tcW w:w="986" w:type="dxa"/>
            <w:vAlign w:val="center"/>
          </w:tcPr>
          <w:p w14:paraId="19106332"/>
        </w:tc>
      </w:tr>
      <w:tr w14:paraId="095B85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99B9B0D">
            <w:pPr>
              <w:jc w:val="left"/>
            </w:pPr>
            <w:r>
              <w:rPr>
                <w:rFonts w:ascii="宋体" w:hAnsi="宋体" w:eastAsia="宋体" w:cs="宋体"/>
                <w:b w:val="0"/>
                <w:i w:val="0"/>
                <w:color w:val="000000"/>
                <w:sz w:val="9"/>
              </w:rPr>
              <w:t>208</w:t>
            </w:r>
          </w:p>
        </w:tc>
        <w:tc>
          <w:tcPr>
            <w:tcW w:w="1420" w:type="dxa"/>
            <w:vAlign w:val="center"/>
          </w:tcPr>
          <w:p w14:paraId="628D7C7C">
            <w:pPr>
              <w:jc w:val="left"/>
            </w:pPr>
            <w:r>
              <w:rPr>
                <w:rFonts w:ascii="宋体" w:hAnsi="宋体" w:eastAsia="宋体" w:cs="宋体"/>
                <w:b w:val="0"/>
                <w:i w:val="0"/>
                <w:color w:val="000000"/>
                <w:sz w:val="9"/>
              </w:rPr>
              <w:t>社会保障和就业支出</w:t>
            </w:r>
          </w:p>
        </w:tc>
        <w:tc>
          <w:tcPr>
            <w:tcW w:w="860" w:type="dxa"/>
            <w:vAlign w:val="center"/>
          </w:tcPr>
          <w:p w14:paraId="266CD21B">
            <w:pPr>
              <w:jc w:val="right"/>
            </w:pPr>
            <w:r>
              <w:rPr>
                <w:rFonts w:ascii="宋体" w:hAnsi="宋体" w:eastAsia="宋体" w:cs="宋体"/>
                <w:b w:val="0"/>
                <w:i w:val="0"/>
                <w:color w:val="000000"/>
                <w:sz w:val="9"/>
              </w:rPr>
              <w:t>44.87</w:t>
            </w:r>
          </w:p>
        </w:tc>
        <w:tc>
          <w:tcPr>
            <w:tcW w:w="900" w:type="dxa"/>
            <w:vAlign w:val="center"/>
          </w:tcPr>
          <w:p w14:paraId="600E066E">
            <w:pPr>
              <w:jc w:val="right"/>
            </w:pPr>
            <w:r>
              <w:rPr>
                <w:rFonts w:ascii="宋体" w:hAnsi="宋体" w:eastAsia="宋体" w:cs="宋体"/>
                <w:b w:val="0"/>
                <w:i w:val="0"/>
                <w:color w:val="000000"/>
                <w:sz w:val="9"/>
              </w:rPr>
              <w:t>34.59</w:t>
            </w:r>
          </w:p>
        </w:tc>
        <w:tc>
          <w:tcPr>
            <w:tcW w:w="880" w:type="dxa"/>
            <w:vAlign w:val="center"/>
          </w:tcPr>
          <w:p w14:paraId="4B1635DD"/>
        </w:tc>
        <w:tc>
          <w:tcPr>
            <w:tcW w:w="880" w:type="dxa"/>
            <w:vAlign w:val="center"/>
          </w:tcPr>
          <w:p w14:paraId="4519F32C"/>
        </w:tc>
        <w:tc>
          <w:tcPr>
            <w:tcW w:w="900" w:type="dxa"/>
            <w:vAlign w:val="center"/>
          </w:tcPr>
          <w:p w14:paraId="204CA672"/>
        </w:tc>
        <w:tc>
          <w:tcPr>
            <w:tcW w:w="880" w:type="dxa"/>
            <w:vAlign w:val="center"/>
          </w:tcPr>
          <w:p w14:paraId="4E852EE1"/>
        </w:tc>
        <w:tc>
          <w:tcPr>
            <w:tcW w:w="986" w:type="dxa"/>
            <w:vAlign w:val="center"/>
          </w:tcPr>
          <w:p w14:paraId="3976E0FC">
            <w:pPr>
              <w:jc w:val="right"/>
            </w:pPr>
            <w:r>
              <w:rPr>
                <w:rFonts w:ascii="宋体" w:hAnsi="宋体" w:eastAsia="宋体" w:cs="宋体"/>
                <w:b w:val="0"/>
                <w:i w:val="0"/>
                <w:color w:val="000000"/>
                <w:sz w:val="9"/>
              </w:rPr>
              <w:t>10.27</w:t>
            </w:r>
          </w:p>
        </w:tc>
      </w:tr>
      <w:tr w14:paraId="547E65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043649D">
            <w:pPr>
              <w:jc w:val="left"/>
            </w:pPr>
            <w:r>
              <w:rPr>
                <w:rFonts w:ascii="宋体" w:hAnsi="宋体" w:eastAsia="宋体" w:cs="宋体"/>
                <w:b w:val="0"/>
                <w:i w:val="0"/>
                <w:color w:val="000000"/>
                <w:sz w:val="9"/>
              </w:rPr>
              <w:t>20805</w:t>
            </w:r>
          </w:p>
        </w:tc>
        <w:tc>
          <w:tcPr>
            <w:tcW w:w="1420" w:type="dxa"/>
            <w:vAlign w:val="center"/>
          </w:tcPr>
          <w:p w14:paraId="5818CAAF">
            <w:pPr>
              <w:jc w:val="left"/>
            </w:pPr>
            <w:r>
              <w:rPr>
                <w:rFonts w:ascii="宋体" w:hAnsi="宋体" w:eastAsia="宋体" w:cs="宋体"/>
                <w:b w:val="0"/>
                <w:i w:val="0"/>
                <w:color w:val="000000"/>
                <w:sz w:val="9"/>
              </w:rPr>
              <w:t>行政事业单位养老支出</w:t>
            </w:r>
          </w:p>
        </w:tc>
        <w:tc>
          <w:tcPr>
            <w:tcW w:w="860" w:type="dxa"/>
            <w:vAlign w:val="center"/>
          </w:tcPr>
          <w:p w14:paraId="1F4CCD0B">
            <w:pPr>
              <w:jc w:val="right"/>
            </w:pPr>
            <w:r>
              <w:rPr>
                <w:rFonts w:ascii="宋体" w:hAnsi="宋体" w:eastAsia="宋体" w:cs="宋体"/>
                <w:b w:val="0"/>
                <w:i w:val="0"/>
                <w:color w:val="000000"/>
                <w:sz w:val="9"/>
              </w:rPr>
              <w:t>44.87</w:t>
            </w:r>
          </w:p>
        </w:tc>
        <w:tc>
          <w:tcPr>
            <w:tcW w:w="900" w:type="dxa"/>
            <w:vAlign w:val="center"/>
          </w:tcPr>
          <w:p w14:paraId="79888A40">
            <w:pPr>
              <w:jc w:val="right"/>
            </w:pPr>
            <w:r>
              <w:rPr>
                <w:rFonts w:ascii="宋体" w:hAnsi="宋体" w:eastAsia="宋体" w:cs="宋体"/>
                <w:b w:val="0"/>
                <w:i w:val="0"/>
                <w:color w:val="000000"/>
                <w:sz w:val="9"/>
              </w:rPr>
              <w:t>34.59</w:t>
            </w:r>
          </w:p>
        </w:tc>
        <w:tc>
          <w:tcPr>
            <w:tcW w:w="880" w:type="dxa"/>
            <w:vAlign w:val="center"/>
          </w:tcPr>
          <w:p w14:paraId="58474016"/>
        </w:tc>
        <w:tc>
          <w:tcPr>
            <w:tcW w:w="880" w:type="dxa"/>
            <w:vAlign w:val="center"/>
          </w:tcPr>
          <w:p w14:paraId="32DEA3B1"/>
        </w:tc>
        <w:tc>
          <w:tcPr>
            <w:tcW w:w="900" w:type="dxa"/>
            <w:vAlign w:val="center"/>
          </w:tcPr>
          <w:p w14:paraId="065CBD30"/>
        </w:tc>
        <w:tc>
          <w:tcPr>
            <w:tcW w:w="880" w:type="dxa"/>
            <w:vAlign w:val="center"/>
          </w:tcPr>
          <w:p w14:paraId="66AD2646"/>
        </w:tc>
        <w:tc>
          <w:tcPr>
            <w:tcW w:w="986" w:type="dxa"/>
            <w:vAlign w:val="center"/>
          </w:tcPr>
          <w:p w14:paraId="48472727">
            <w:pPr>
              <w:jc w:val="right"/>
            </w:pPr>
            <w:r>
              <w:rPr>
                <w:rFonts w:ascii="宋体" w:hAnsi="宋体" w:eastAsia="宋体" w:cs="宋体"/>
                <w:b w:val="0"/>
                <w:i w:val="0"/>
                <w:color w:val="000000"/>
                <w:sz w:val="9"/>
              </w:rPr>
              <w:t>10.27</w:t>
            </w:r>
          </w:p>
        </w:tc>
      </w:tr>
      <w:tr w14:paraId="3BEDF2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8A8E9E5">
            <w:pPr>
              <w:jc w:val="left"/>
            </w:pPr>
            <w:r>
              <w:rPr>
                <w:rFonts w:ascii="宋体" w:hAnsi="宋体" w:eastAsia="宋体" w:cs="宋体"/>
                <w:b w:val="0"/>
                <w:i w:val="0"/>
                <w:color w:val="000000"/>
                <w:sz w:val="9"/>
              </w:rPr>
              <w:t>2080501</w:t>
            </w:r>
          </w:p>
        </w:tc>
        <w:tc>
          <w:tcPr>
            <w:tcW w:w="1420" w:type="dxa"/>
            <w:vAlign w:val="center"/>
          </w:tcPr>
          <w:p w14:paraId="591569ED">
            <w:pPr>
              <w:jc w:val="left"/>
            </w:pPr>
            <w:r>
              <w:rPr>
                <w:rFonts w:ascii="宋体" w:hAnsi="宋体" w:eastAsia="宋体" w:cs="宋体"/>
                <w:b w:val="0"/>
                <w:i w:val="0"/>
                <w:color w:val="000000"/>
                <w:sz w:val="9"/>
              </w:rPr>
              <w:t>行政单位离退休</w:t>
            </w:r>
          </w:p>
        </w:tc>
        <w:tc>
          <w:tcPr>
            <w:tcW w:w="860" w:type="dxa"/>
            <w:vAlign w:val="center"/>
          </w:tcPr>
          <w:p w14:paraId="1828FC0D">
            <w:pPr>
              <w:jc w:val="right"/>
            </w:pPr>
            <w:r>
              <w:rPr>
                <w:rFonts w:ascii="宋体" w:hAnsi="宋体" w:eastAsia="宋体" w:cs="宋体"/>
                <w:b w:val="0"/>
                <w:i w:val="0"/>
                <w:color w:val="000000"/>
                <w:sz w:val="9"/>
              </w:rPr>
              <w:t>8.09</w:t>
            </w:r>
          </w:p>
        </w:tc>
        <w:tc>
          <w:tcPr>
            <w:tcW w:w="900" w:type="dxa"/>
            <w:vAlign w:val="center"/>
          </w:tcPr>
          <w:p w14:paraId="296C5033">
            <w:pPr>
              <w:jc w:val="right"/>
            </w:pPr>
            <w:r>
              <w:rPr>
                <w:rFonts w:ascii="宋体" w:hAnsi="宋体" w:eastAsia="宋体" w:cs="宋体"/>
                <w:b w:val="0"/>
                <w:i w:val="0"/>
                <w:color w:val="000000"/>
                <w:sz w:val="9"/>
              </w:rPr>
              <w:t>8.09</w:t>
            </w:r>
          </w:p>
        </w:tc>
        <w:tc>
          <w:tcPr>
            <w:tcW w:w="880" w:type="dxa"/>
            <w:vAlign w:val="center"/>
          </w:tcPr>
          <w:p w14:paraId="247D652C"/>
        </w:tc>
        <w:tc>
          <w:tcPr>
            <w:tcW w:w="880" w:type="dxa"/>
            <w:vAlign w:val="center"/>
          </w:tcPr>
          <w:p w14:paraId="1DACF0D0"/>
        </w:tc>
        <w:tc>
          <w:tcPr>
            <w:tcW w:w="900" w:type="dxa"/>
            <w:vAlign w:val="center"/>
          </w:tcPr>
          <w:p w14:paraId="4A18EA2B"/>
        </w:tc>
        <w:tc>
          <w:tcPr>
            <w:tcW w:w="880" w:type="dxa"/>
            <w:vAlign w:val="center"/>
          </w:tcPr>
          <w:p w14:paraId="459BC673"/>
        </w:tc>
        <w:tc>
          <w:tcPr>
            <w:tcW w:w="986" w:type="dxa"/>
            <w:vAlign w:val="center"/>
          </w:tcPr>
          <w:p w14:paraId="14C050FB"/>
        </w:tc>
      </w:tr>
      <w:tr w14:paraId="72CCE6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466B0ED">
            <w:pPr>
              <w:jc w:val="left"/>
            </w:pPr>
            <w:r>
              <w:rPr>
                <w:rFonts w:ascii="宋体" w:hAnsi="宋体" w:eastAsia="宋体" w:cs="宋体"/>
                <w:b w:val="0"/>
                <w:i w:val="0"/>
                <w:color w:val="000000"/>
                <w:sz w:val="9"/>
              </w:rPr>
              <w:t>2080502</w:t>
            </w:r>
          </w:p>
        </w:tc>
        <w:tc>
          <w:tcPr>
            <w:tcW w:w="1420" w:type="dxa"/>
            <w:vAlign w:val="center"/>
          </w:tcPr>
          <w:p w14:paraId="69E601D1">
            <w:pPr>
              <w:jc w:val="left"/>
            </w:pPr>
            <w:r>
              <w:rPr>
                <w:rFonts w:ascii="宋体" w:hAnsi="宋体" w:eastAsia="宋体" w:cs="宋体"/>
                <w:b w:val="0"/>
                <w:i w:val="0"/>
                <w:color w:val="000000"/>
                <w:sz w:val="9"/>
              </w:rPr>
              <w:t>事业单位离退休</w:t>
            </w:r>
          </w:p>
        </w:tc>
        <w:tc>
          <w:tcPr>
            <w:tcW w:w="860" w:type="dxa"/>
            <w:vAlign w:val="center"/>
          </w:tcPr>
          <w:p w14:paraId="0562B926">
            <w:pPr>
              <w:jc w:val="right"/>
            </w:pPr>
            <w:r>
              <w:rPr>
                <w:rFonts w:ascii="宋体" w:hAnsi="宋体" w:eastAsia="宋体" w:cs="宋体"/>
                <w:b w:val="0"/>
                <w:i w:val="0"/>
                <w:color w:val="000000"/>
                <w:sz w:val="9"/>
              </w:rPr>
              <w:t>36.78</w:t>
            </w:r>
          </w:p>
        </w:tc>
        <w:tc>
          <w:tcPr>
            <w:tcW w:w="900" w:type="dxa"/>
            <w:vAlign w:val="center"/>
          </w:tcPr>
          <w:p w14:paraId="14A47DCC">
            <w:pPr>
              <w:jc w:val="right"/>
            </w:pPr>
            <w:r>
              <w:rPr>
                <w:rFonts w:ascii="宋体" w:hAnsi="宋体" w:eastAsia="宋体" w:cs="宋体"/>
                <w:b w:val="0"/>
                <w:i w:val="0"/>
                <w:color w:val="000000"/>
                <w:sz w:val="9"/>
              </w:rPr>
              <w:t>26.50</w:t>
            </w:r>
          </w:p>
        </w:tc>
        <w:tc>
          <w:tcPr>
            <w:tcW w:w="880" w:type="dxa"/>
            <w:vAlign w:val="center"/>
          </w:tcPr>
          <w:p w14:paraId="2F0205B0"/>
        </w:tc>
        <w:tc>
          <w:tcPr>
            <w:tcW w:w="880" w:type="dxa"/>
            <w:vAlign w:val="center"/>
          </w:tcPr>
          <w:p w14:paraId="0E744840"/>
        </w:tc>
        <w:tc>
          <w:tcPr>
            <w:tcW w:w="900" w:type="dxa"/>
            <w:vAlign w:val="center"/>
          </w:tcPr>
          <w:p w14:paraId="1429DC8E"/>
        </w:tc>
        <w:tc>
          <w:tcPr>
            <w:tcW w:w="880" w:type="dxa"/>
            <w:vAlign w:val="center"/>
          </w:tcPr>
          <w:p w14:paraId="44D3AD94"/>
        </w:tc>
        <w:tc>
          <w:tcPr>
            <w:tcW w:w="986" w:type="dxa"/>
            <w:vAlign w:val="center"/>
          </w:tcPr>
          <w:p w14:paraId="017DDD38">
            <w:pPr>
              <w:jc w:val="right"/>
            </w:pPr>
            <w:r>
              <w:rPr>
                <w:rFonts w:ascii="宋体" w:hAnsi="宋体" w:eastAsia="宋体" w:cs="宋体"/>
                <w:b w:val="0"/>
                <w:i w:val="0"/>
                <w:color w:val="000000"/>
                <w:sz w:val="9"/>
              </w:rPr>
              <w:t>10.27</w:t>
            </w:r>
          </w:p>
        </w:tc>
      </w:tr>
      <w:tr w14:paraId="412BA6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C3D1AB9">
            <w:pPr>
              <w:jc w:val="left"/>
            </w:pPr>
            <w:r>
              <w:rPr>
                <w:rFonts w:ascii="宋体" w:hAnsi="宋体" w:eastAsia="宋体" w:cs="宋体"/>
                <w:b w:val="0"/>
                <w:i w:val="0"/>
                <w:color w:val="000000"/>
                <w:sz w:val="9"/>
              </w:rPr>
              <w:t>210</w:t>
            </w:r>
          </w:p>
        </w:tc>
        <w:tc>
          <w:tcPr>
            <w:tcW w:w="1420" w:type="dxa"/>
            <w:vAlign w:val="center"/>
          </w:tcPr>
          <w:p w14:paraId="3BFFE545">
            <w:pPr>
              <w:jc w:val="left"/>
            </w:pPr>
            <w:r>
              <w:rPr>
                <w:rFonts w:ascii="宋体" w:hAnsi="宋体" w:eastAsia="宋体" w:cs="宋体"/>
                <w:b w:val="0"/>
                <w:i w:val="0"/>
                <w:color w:val="000000"/>
                <w:sz w:val="9"/>
              </w:rPr>
              <w:t>卫生健康支出</w:t>
            </w:r>
          </w:p>
        </w:tc>
        <w:tc>
          <w:tcPr>
            <w:tcW w:w="860" w:type="dxa"/>
            <w:vAlign w:val="center"/>
          </w:tcPr>
          <w:p w14:paraId="598F78E0">
            <w:pPr>
              <w:jc w:val="right"/>
            </w:pPr>
            <w:r>
              <w:rPr>
                <w:rFonts w:ascii="宋体" w:hAnsi="宋体" w:eastAsia="宋体" w:cs="宋体"/>
                <w:b w:val="0"/>
                <w:i w:val="0"/>
                <w:color w:val="000000"/>
                <w:sz w:val="9"/>
              </w:rPr>
              <w:t>930.58</w:t>
            </w:r>
          </w:p>
        </w:tc>
        <w:tc>
          <w:tcPr>
            <w:tcW w:w="900" w:type="dxa"/>
            <w:vAlign w:val="center"/>
          </w:tcPr>
          <w:p w14:paraId="16DADE4E">
            <w:pPr>
              <w:jc w:val="right"/>
            </w:pPr>
            <w:r>
              <w:rPr>
                <w:rFonts w:ascii="宋体" w:hAnsi="宋体" w:eastAsia="宋体" w:cs="宋体"/>
                <w:b w:val="0"/>
                <w:i w:val="0"/>
                <w:color w:val="000000"/>
                <w:sz w:val="9"/>
              </w:rPr>
              <w:t>930.58</w:t>
            </w:r>
          </w:p>
        </w:tc>
        <w:tc>
          <w:tcPr>
            <w:tcW w:w="880" w:type="dxa"/>
            <w:vAlign w:val="center"/>
          </w:tcPr>
          <w:p w14:paraId="3D537C2D"/>
        </w:tc>
        <w:tc>
          <w:tcPr>
            <w:tcW w:w="880" w:type="dxa"/>
            <w:vAlign w:val="center"/>
          </w:tcPr>
          <w:p w14:paraId="6C43F225"/>
        </w:tc>
        <w:tc>
          <w:tcPr>
            <w:tcW w:w="900" w:type="dxa"/>
            <w:vAlign w:val="center"/>
          </w:tcPr>
          <w:p w14:paraId="0F96A63A"/>
        </w:tc>
        <w:tc>
          <w:tcPr>
            <w:tcW w:w="880" w:type="dxa"/>
            <w:vAlign w:val="center"/>
          </w:tcPr>
          <w:p w14:paraId="7ABA2939"/>
        </w:tc>
        <w:tc>
          <w:tcPr>
            <w:tcW w:w="986" w:type="dxa"/>
            <w:vAlign w:val="center"/>
          </w:tcPr>
          <w:p w14:paraId="327A6F66"/>
        </w:tc>
      </w:tr>
      <w:tr w14:paraId="069A16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DBCBBC9">
            <w:pPr>
              <w:jc w:val="left"/>
            </w:pPr>
            <w:r>
              <w:rPr>
                <w:rFonts w:ascii="宋体" w:hAnsi="宋体" w:eastAsia="宋体" w:cs="宋体"/>
                <w:b w:val="0"/>
                <w:i w:val="0"/>
                <w:color w:val="000000"/>
                <w:sz w:val="9"/>
              </w:rPr>
              <w:t>21004</w:t>
            </w:r>
          </w:p>
        </w:tc>
        <w:tc>
          <w:tcPr>
            <w:tcW w:w="1420" w:type="dxa"/>
            <w:vAlign w:val="center"/>
          </w:tcPr>
          <w:p w14:paraId="53687908">
            <w:pPr>
              <w:jc w:val="left"/>
            </w:pPr>
            <w:r>
              <w:rPr>
                <w:rFonts w:ascii="宋体" w:hAnsi="宋体" w:eastAsia="宋体" w:cs="宋体"/>
                <w:b w:val="0"/>
                <w:i w:val="0"/>
                <w:color w:val="000000"/>
                <w:sz w:val="9"/>
              </w:rPr>
              <w:t>公共卫生</w:t>
            </w:r>
          </w:p>
        </w:tc>
        <w:tc>
          <w:tcPr>
            <w:tcW w:w="860" w:type="dxa"/>
            <w:vAlign w:val="center"/>
          </w:tcPr>
          <w:p w14:paraId="461921DB">
            <w:pPr>
              <w:jc w:val="right"/>
            </w:pPr>
            <w:r>
              <w:rPr>
                <w:rFonts w:ascii="宋体" w:hAnsi="宋体" w:eastAsia="宋体" w:cs="宋体"/>
                <w:b w:val="0"/>
                <w:i w:val="0"/>
                <w:color w:val="000000"/>
                <w:sz w:val="9"/>
              </w:rPr>
              <w:t>930.58</w:t>
            </w:r>
          </w:p>
        </w:tc>
        <w:tc>
          <w:tcPr>
            <w:tcW w:w="900" w:type="dxa"/>
            <w:vAlign w:val="center"/>
          </w:tcPr>
          <w:p w14:paraId="74DADD6E">
            <w:pPr>
              <w:jc w:val="right"/>
            </w:pPr>
            <w:r>
              <w:rPr>
                <w:rFonts w:ascii="宋体" w:hAnsi="宋体" w:eastAsia="宋体" w:cs="宋体"/>
                <w:b w:val="0"/>
                <w:i w:val="0"/>
                <w:color w:val="000000"/>
                <w:sz w:val="9"/>
              </w:rPr>
              <w:t>930.58</w:t>
            </w:r>
          </w:p>
        </w:tc>
        <w:tc>
          <w:tcPr>
            <w:tcW w:w="880" w:type="dxa"/>
            <w:vAlign w:val="center"/>
          </w:tcPr>
          <w:p w14:paraId="0309C36A"/>
        </w:tc>
        <w:tc>
          <w:tcPr>
            <w:tcW w:w="880" w:type="dxa"/>
            <w:vAlign w:val="center"/>
          </w:tcPr>
          <w:p w14:paraId="50427DF3"/>
        </w:tc>
        <w:tc>
          <w:tcPr>
            <w:tcW w:w="900" w:type="dxa"/>
            <w:vAlign w:val="center"/>
          </w:tcPr>
          <w:p w14:paraId="0E1F42C0"/>
        </w:tc>
        <w:tc>
          <w:tcPr>
            <w:tcW w:w="880" w:type="dxa"/>
            <w:vAlign w:val="center"/>
          </w:tcPr>
          <w:p w14:paraId="17834049"/>
        </w:tc>
        <w:tc>
          <w:tcPr>
            <w:tcW w:w="986" w:type="dxa"/>
            <w:vAlign w:val="center"/>
          </w:tcPr>
          <w:p w14:paraId="651225E9"/>
        </w:tc>
      </w:tr>
      <w:tr w14:paraId="71FE7E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2140F04">
            <w:pPr>
              <w:jc w:val="left"/>
            </w:pPr>
            <w:r>
              <w:rPr>
                <w:rFonts w:ascii="宋体" w:hAnsi="宋体" w:eastAsia="宋体" w:cs="宋体"/>
                <w:b w:val="0"/>
                <w:i w:val="0"/>
                <w:color w:val="000000"/>
                <w:sz w:val="9"/>
              </w:rPr>
              <w:t>2100409</w:t>
            </w:r>
          </w:p>
        </w:tc>
        <w:tc>
          <w:tcPr>
            <w:tcW w:w="1420" w:type="dxa"/>
            <w:vAlign w:val="center"/>
          </w:tcPr>
          <w:p w14:paraId="078BCEA3">
            <w:pPr>
              <w:jc w:val="left"/>
            </w:pPr>
            <w:r>
              <w:rPr>
                <w:rFonts w:ascii="宋体" w:hAnsi="宋体" w:eastAsia="宋体" w:cs="宋体"/>
                <w:b w:val="0"/>
                <w:i w:val="0"/>
                <w:color w:val="000000"/>
                <w:sz w:val="9"/>
              </w:rPr>
              <w:t>重大公共卫生服务</w:t>
            </w:r>
          </w:p>
        </w:tc>
        <w:tc>
          <w:tcPr>
            <w:tcW w:w="860" w:type="dxa"/>
            <w:vAlign w:val="center"/>
          </w:tcPr>
          <w:p w14:paraId="122D9E06">
            <w:pPr>
              <w:jc w:val="right"/>
            </w:pPr>
            <w:r>
              <w:rPr>
                <w:rFonts w:ascii="宋体" w:hAnsi="宋体" w:eastAsia="宋体" w:cs="宋体"/>
                <w:b w:val="0"/>
                <w:i w:val="0"/>
                <w:color w:val="000000"/>
                <w:sz w:val="9"/>
              </w:rPr>
              <w:t>930.58</w:t>
            </w:r>
          </w:p>
        </w:tc>
        <w:tc>
          <w:tcPr>
            <w:tcW w:w="900" w:type="dxa"/>
            <w:vAlign w:val="center"/>
          </w:tcPr>
          <w:p w14:paraId="2F341E0B">
            <w:pPr>
              <w:jc w:val="right"/>
            </w:pPr>
            <w:r>
              <w:rPr>
                <w:rFonts w:ascii="宋体" w:hAnsi="宋体" w:eastAsia="宋体" w:cs="宋体"/>
                <w:b w:val="0"/>
                <w:i w:val="0"/>
                <w:color w:val="000000"/>
                <w:sz w:val="9"/>
              </w:rPr>
              <w:t>930.58</w:t>
            </w:r>
          </w:p>
        </w:tc>
        <w:tc>
          <w:tcPr>
            <w:tcW w:w="880" w:type="dxa"/>
            <w:vAlign w:val="center"/>
          </w:tcPr>
          <w:p w14:paraId="2277D78D"/>
        </w:tc>
        <w:tc>
          <w:tcPr>
            <w:tcW w:w="880" w:type="dxa"/>
            <w:vAlign w:val="center"/>
          </w:tcPr>
          <w:p w14:paraId="1688902E"/>
        </w:tc>
        <w:tc>
          <w:tcPr>
            <w:tcW w:w="900" w:type="dxa"/>
            <w:vAlign w:val="center"/>
          </w:tcPr>
          <w:p w14:paraId="34C227F5"/>
        </w:tc>
        <w:tc>
          <w:tcPr>
            <w:tcW w:w="880" w:type="dxa"/>
            <w:vAlign w:val="center"/>
          </w:tcPr>
          <w:p w14:paraId="36A83410"/>
        </w:tc>
        <w:tc>
          <w:tcPr>
            <w:tcW w:w="986" w:type="dxa"/>
            <w:vAlign w:val="center"/>
          </w:tcPr>
          <w:p w14:paraId="01E7043D"/>
        </w:tc>
      </w:tr>
      <w:tr w14:paraId="501F8A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551DF1C">
            <w:pPr>
              <w:jc w:val="left"/>
            </w:pPr>
            <w:r>
              <w:rPr>
                <w:rFonts w:ascii="宋体" w:hAnsi="宋体" w:eastAsia="宋体" w:cs="宋体"/>
                <w:b w:val="0"/>
                <w:i w:val="0"/>
                <w:color w:val="000000"/>
                <w:sz w:val="9"/>
              </w:rPr>
              <w:t>211</w:t>
            </w:r>
          </w:p>
        </w:tc>
        <w:tc>
          <w:tcPr>
            <w:tcW w:w="1420" w:type="dxa"/>
            <w:vAlign w:val="center"/>
          </w:tcPr>
          <w:p w14:paraId="25BAF4FC">
            <w:pPr>
              <w:jc w:val="left"/>
            </w:pPr>
            <w:r>
              <w:rPr>
                <w:rFonts w:ascii="宋体" w:hAnsi="宋体" w:eastAsia="宋体" w:cs="宋体"/>
                <w:b w:val="0"/>
                <w:i w:val="0"/>
                <w:color w:val="000000"/>
                <w:sz w:val="9"/>
              </w:rPr>
              <w:t>节能环保支出</w:t>
            </w:r>
          </w:p>
        </w:tc>
        <w:tc>
          <w:tcPr>
            <w:tcW w:w="860" w:type="dxa"/>
            <w:vAlign w:val="center"/>
          </w:tcPr>
          <w:p w14:paraId="744DAF05">
            <w:pPr>
              <w:jc w:val="right"/>
            </w:pPr>
            <w:r>
              <w:rPr>
                <w:rFonts w:ascii="宋体" w:hAnsi="宋体" w:eastAsia="宋体" w:cs="宋体"/>
                <w:b w:val="0"/>
                <w:i w:val="0"/>
                <w:color w:val="000000"/>
                <w:sz w:val="9"/>
              </w:rPr>
              <w:t>3,241.51</w:t>
            </w:r>
          </w:p>
        </w:tc>
        <w:tc>
          <w:tcPr>
            <w:tcW w:w="900" w:type="dxa"/>
            <w:vAlign w:val="center"/>
          </w:tcPr>
          <w:p w14:paraId="41B41B42">
            <w:pPr>
              <w:jc w:val="right"/>
            </w:pPr>
            <w:r>
              <w:rPr>
                <w:rFonts w:ascii="宋体" w:hAnsi="宋体" w:eastAsia="宋体" w:cs="宋体"/>
                <w:b w:val="0"/>
                <w:i w:val="0"/>
                <w:color w:val="000000"/>
                <w:sz w:val="9"/>
              </w:rPr>
              <w:t>3,241.51</w:t>
            </w:r>
          </w:p>
        </w:tc>
        <w:tc>
          <w:tcPr>
            <w:tcW w:w="880" w:type="dxa"/>
            <w:vAlign w:val="center"/>
          </w:tcPr>
          <w:p w14:paraId="52FF2977"/>
        </w:tc>
        <w:tc>
          <w:tcPr>
            <w:tcW w:w="880" w:type="dxa"/>
            <w:vAlign w:val="center"/>
          </w:tcPr>
          <w:p w14:paraId="1FFF2C03"/>
        </w:tc>
        <w:tc>
          <w:tcPr>
            <w:tcW w:w="900" w:type="dxa"/>
            <w:vAlign w:val="center"/>
          </w:tcPr>
          <w:p w14:paraId="41E91E94"/>
        </w:tc>
        <w:tc>
          <w:tcPr>
            <w:tcW w:w="880" w:type="dxa"/>
            <w:vAlign w:val="center"/>
          </w:tcPr>
          <w:p w14:paraId="75DB1D8F"/>
        </w:tc>
        <w:tc>
          <w:tcPr>
            <w:tcW w:w="986" w:type="dxa"/>
            <w:vAlign w:val="center"/>
          </w:tcPr>
          <w:p w14:paraId="5EECEAE2"/>
        </w:tc>
      </w:tr>
      <w:tr w14:paraId="786CD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FE40849">
            <w:pPr>
              <w:jc w:val="left"/>
            </w:pPr>
            <w:r>
              <w:rPr>
                <w:rFonts w:ascii="宋体" w:hAnsi="宋体" w:eastAsia="宋体" w:cs="宋体"/>
                <w:b w:val="0"/>
                <w:i w:val="0"/>
                <w:color w:val="000000"/>
                <w:sz w:val="9"/>
              </w:rPr>
              <w:t>21103</w:t>
            </w:r>
          </w:p>
        </w:tc>
        <w:tc>
          <w:tcPr>
            <w:tcW w:w="1420" w:type="dxa"/>
            <w:vAlign w:val="center"/>
          </w:tcPr>
          <w:p w14:paraId="09B6DFAA">
            <w:pPr>
              <w:jc w:val="left"/>
            </w:pPr>
            <w:r>
              <w:rPr>
                <w:rFonts w:ascii="宋体" w:hAnsi="宋体" w:eastAsia="宋体" w:cs="宋体"/>
                <w:b w:val="0"/>
                <w:i w:val="0"/>
                <w:color w:val="000000"/>
                <w:sz w:val="9"/>
              </w:rPr>
              <w:t>污染防治</w:t>
            </w:r>
          </w:p>
        </w:tc>
        <w:tc>
          <w:tcPr>
            <w:tcW w:w="860" w:type="dxa"/>
            <w:vAlign w:val="center"/>
          </w:tcPr>
          <w:p w14:paraId="5455B923">
            <w:pPr>
              <w:jc w:val="right"/>
            </w:pPr>
            <w:r>
              <w:rPr>
                <w:rFonts w:ascii="宋体" w:hAnsi="宋体" w:eastAsia="宋体" w:cs="宋体"/>
                <w:b w:val="0"/>
                <w:i w:val="0"/>
                <w:color w:val="000000"/>
                <w:sz w:val="9"/>
              </w:rPr>
              <w:t>3,062.00</w:t>
            </w:r>
          </w:p>
        </w:tc>
        <w:tc>
          <w:tcPr>
            <w:tcW w:w="900" w:type="dxa"/>
            <w:vAlign w:val="center"/>
          </w:tcPr>
          <w:p w14:paraId="7A2EDB7C">
            <w:pPr>
              <w:jc w:val="right"/>
            </w:pPr>
            <w:r>
              <w:rPr>
                <w:rFonts w:ascii="宋体" w:hAnsi="宋体" w:eastAsia="宋体" w:cs="宋体"/>
                <w:b w:val="0"/>
                <w:i w:val="0"/>
                <w:color w:val="000000"/>
                <w:sz w:val="9"/>
              </w:rPr>
              <w:t>3,062.00</w:t>
            </w:r>
          </w:p>
        </w:tc>
        <w:tc>
          <w:tcPr>
            <w:tcW w:w="880" w:type="dxa"/>
            <w:vAlign w:val="center"/>
          </w:tcPr>
          <w:p w14:paraId="16F2D553"/>
        </w:tc>
        <w:tc>
          <w:tcPr>
            <w:tcW w:w="880" w:type="dxa"/>
            <w:vAlign w:val="center"/>
          </w:tcPr>
          <w:p w14:paraId="541E6188"/>
        </w:tc>
        <w:tc>
          <w:tcPr>
            <w:tcW w:w="900" w:type="dxa"/>
            <w:vAlign w:val="center"/>
          </w:tcPr>
          <w:p w14:paraId="6925FE63"/>
        </w:tc>
        <w:tc>
          <w:tcPr>
            <w:tcW w:w="880" w:type="dxa"/>
            <w:vAlign w:val="center"/>
          </w:tcPr>
          <w:p w14:paraId="5C9D718A"/>
        </w:tc>
        <w:tc>
          <w:tcPr>
            <w:tcW w:w="986" w:type="dxa"/>
            <w:vAlign w:val="center"/>
          </w:tcPr>
          <w:p w14:paraId="4AD90203"/>
        </w:tc>
      </w:tr>
      <w:tr w14:paraId="355F87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80EFAE8">
            <w:pPr>
              <w:jc w:val="left"/>
            </w:pPr>
            <w:r>
              <w:rPr>
                <w:rFonts w:ascii="宋体" w:hAnsi="宋体" w:eastAsia="宋体" w:cs="宋体"/>
                <w:b w:val="0"/>
                <w:i w:val="0"/>
                <w:color w:val="000000"/>
                <w:sz w:val="9"/>
              </w:rPr>
              <w:t>2110302</w:t>
            </w:r>
          </w:p>
        </w:tc>
        <w:tc>
          <w:tcPr>
            <w:tcW w:w="1420" w:type="dxa"/>
            <w:vAlign w:val="center"/>
          </w:tcPr>
          <w:p w14:paraId="56BC7086">
            <w:pPr>
              <w:jc w:val="left"/>
            </w:pPr>
            <w:r>
              <w:rPr>
                <w:rFonts w:ascii="宋体" w:hAnsi="宋体" w:eastAsia="宋体" w:cs="宋体"/>
                <w:b w:val="0"/>
                <w:i w:val="0"/>
                <w:color w:val="000000"/>
                <w:sz w:val="9"/>
              </w:rPr>
              <w:t>水体</w:t>
            </w:r>
          </w:p>
        </w:tc>
        <w:tc>
          <w:tcPr>
            <w:tcW w:w="860" w:type="dxa"/>
            <w:vAlign w:val="center"/>
          </w:tcPr>
          <w:p w14:paraId="1447ABA1">
            <w:pPr>
              <w:jc w:val="right"/>
            </w:pPr>
            <w:r>
              <w:rPr>
                <w:rFonts w:ascii="宋体" w:hAnsi="宋体" w:eastAsia="宋体" w:cs="宋体"/>
                <w:b w:val="0"/>
                <w:i w:val="0"/>
                <w:color w:val="000000"/>
                <w:sz w:val="9"/>
              </w:rPr>
              <w:t>3,062.00</w:t>
            </w:r>
          </w:p>
        </w:tc>
        <w:tc>
          <w:tcPr>
            <w:tcW w:w="900" w:type="dxa"/>
            <w:vAlign w:val="center"/>
          </w:tcPr>
          <w:p w14:paraId="5782FEB0">
            <w:pPr>
              <w:jc w:val="right"/>
            </w:pPr>
            <w:r>
              <w:rPr>
                <w:rFonts w:ascii="宋体" w:hAnsi="宋体" w:eastAsia="宋体" w:cs="宋体"/>
                <w:b w:val="0"/>
                <w:i w:val="0"/>
                <w:color w:val="000000"/>
                <w:sz w:val="9"/>
              </w:rPr>
              <w:t>3,062.00</w:t>
            </w:r>
          </w:p>
        </w:tc>
        <w:tc>
          <w:tcPr>
            <w:tcW w:w="880" w:type="dxa"/>
            <w:vAlign w:val="center"/>
          </w:tcPr>
          <w:p w14:paraId="667A18B9"/>
        </w:tc>
        <w:tc>
          <w:tcPr>
            <w:tcW w:w="880" w:type="dxa"/>
            <w:vAlign w:val="center"/>
          </w:tcPr>
          <w:p w14:paraId="2AB9FA3E"/>
        </w:tc>
        <w:tc>
          <w:tcPr>
            <w:tcW w:w="900" w:type="dxa"/>
            <w:vAlign w:val="center"/>
          </w:tcPr>
          <w:p w14:paraId="755604E1"/>
        </w:tc>
        <w:tc>
          <w:tcPr>
            <w:tcW w:w="880" w:type="dxa"/>
            <w:vAlign w:val="center"/>
          </w:tcPr>
          <w:p w14:paraId="2C36706E"/>
        </w:tc>
        <w:tc>
          <w:tcPr>
            <w:tcW w:w="986" w:type="dxa"/>
            <w:vAlign w:val="center"/>
          </w:tcPr>
          <w:p w14:paraId="44D189E5"/>
        </w:tc>
      </w:tr>
      <w:tr w14:paraId="27BF25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A515A22">
            <w:pPr>
              <w:jc w:val="left"/>
            </w:pPr>
            <w:r>
              <w:rPr>
                <w:rFonts w:ascii="宋体" w:hAnsi="宋体" w:eastAsia="宋体" w:cs="宋体"/>
                <w:b w:val="0"/>
                <w:i w:val="0"/>
                <w:color w:val="000000"/>
                <w:sz w:val="9"/>
              </w:rPr>
              <w:t>21104</w:t>
            </w:r>
          </w:p>
        </w:tc>
        <w:tc>
          <w:tcPr>
            <w:tcW w:w="1420" w:type="dxa"/>
            <w:vAlign w:val="center"/>
          </w:tcPr>
          <w:p w14:paraId="464D803C">
            <w:pPr>
              <w:jc w:val="left"/>
            </w:pPr>
            <w:r>
              <w:rPr>
                <w:rFonts w:ascii="宋体" w:hAnsi="宋体" w:eastAsia="宋体" w:cs="宋体"/>
                <w:b w:val="0"/>
                <w:i w:val="0"/>
                <w:color w:val="000000"/>
                <w:sz w:val="9"/>
              </w:rPr>
              <w:t>自然生态保护</w:t>
            </w:r>
          </w:p>
        </w:tc>
        <w:tc>
          <w:tcPr>
            <w:tcW w:w="860" w:type="dxa"/>
            <w:vAlign w:val="center"/>
          </w:tcPr>
          <w:p w14:paraId="2B23B3B9">
            <w:pPr>
              <w:jc w:val="right"/>
            </w:pPr>
            <w:r>
              <w:rPr>
                <w:rFonts w:ascii="宋体" w:hAnsi="宋体" w:eastAsia="宋体" w:cs="宋体"/>
                <w:b w:val="0"/>
                <w:i w:val="0"/>
                <w:color w:val="000000"/>
                <w:sz w:val="9"/>
              </w:rPr>
              <w:t>179.51</w:t>
            </w:r>
          </w:p>
        </w:tc>
        <w:tc>
          <w:tcPr>
            <w:tcW w:w="900" w:type="dxa"/>
            <w:vAlign w:val="center"/>
          </w:tcPr>
          <w:p w14:paraId="2B46CA8B">
            <w:pPr>
              <w:jc w:val="right"/>
            </w:pPr>
            <w:r>
              <w:rPr>
                <w:rFonts w:ascii="宋体" w:hAnsi="宋体" w:eastAsia="宋体" w:cs="宋体"/>
                <w:b w:val="0"/>
                <w:i w:val="0"/>
                <w:color w:val="000000"/>
                <w:sz w:val="9"/>
              </w:rPr>
              <w:t>179.51</w:t>
            </w:r>
          </w:p>
        </w:tc>
        <w:tc>
          <w:tcPr>
            <w:tcW w:w="880" w:type="dxa"/>
            <w:vAlign w:val="center"/>
          </w:tcPr>
          <w:p w14:paraId="64E6633F"/>
        </w:tc>
        <w:tc>
          <w:tcPr>
            <w:tcW w:w="880" w:type="dxa"/>
            <w:vAlign w:val="center"/>
          </w:tcPr>
          <w:p w14:paraId="1983318E"/>
        </w:tc>
        <w:tc>
          <w:tcPr>
            <w:tcW w:w="900" w:type="dxa"/>
            <w:vAlign w:val="center"/>
          </w:tcPr>
          <w:p w14:paraId="2E97C17E"/>
        </w:tc>
        <w:tc>
          <w:tcPr>
            <w:tcW w:w="880" w:type="dxa"/>
            <w:vAlign w:val="center"/>
          </w:tcPr>
          <w:p w14:paraId="31D98C0E"/>
        </w:tc>
        <w:tc>
          <w:tcPr>
            <w:tcW w:w="986" w:type="dxa"/>
            <w:vAlign w:val="center"/>
          </w:tcPr>
          <w:p w14:paraId="44AB7010"/>
        </w:tc>
      </w:tr>
      <w:tr w14:paraId="64F3E2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1A3DFA4">
            <w:pPr>
              <w:jc w:val="left"/>
            </w:pPr>
            <w:r>
              <w:rPr>
                <w:rFonts w:ascii="宋体" w:hAnsi="宋体" w:eastAsia="宋体" w:cs="宋体"/>
                <w:b w:val="0"/>
                <w:i w:val="0"/>
                <w:color w:val="000000"/>
                <w:sz w:val="9"/>
              </w:rPr>
              <w:t>2110499</w:t>
            </w:r>
          </w:p>
        </w:tc>
        <w:tc>
          <w:tcPr>
            <w:tcW w:w="1420" w:type="dxa"/>
            <w:vAlign w:val="center"/>
          </w:tcPr>
          <w:p w14:paraId="1074E363">
            <w:pPr>
              <w:jc w:val="left"/>
            </w:pPr>
            <w:r>
              <w:rPr>
                <w:rFonts w:ascii="宋体" w:hAnsi="宋体" w:eastAsia="宋体" w:cs="宋体"/>
                <w:b w:val="0"/>
                <w:i w:val="0"/>
                <w:color w:val="000000"/>
                <w:sz w:val="9"/>
              </w:rPr>
              <w:t>其他自然生态保护支出</w:t>
            </w:r>
          </w:p>
        </w:tc>
        <w:tc>
          <w:tcPr>
            <w:tcW w:w="860" w:type="dxa"/>
            <w:vAlign w:val="center"/>
          </w:tcPr>
          <w:p w14:paraId="079DB0E0">
            <w:pPr>
              <w:jc w:val="right"/>
            </w:pPr>
            <w:r>
              <w:rPr>
                <w:rFonts w:ascii="宋体" w:hAnsi="宋体" w:eastAsia="宋体" w:cs="宋体"/>
                <w:b w:val="0"/>
                <w:i w:val="0"/>
                <w:color w:val="000000"/>
                <w:sz w:val="9"/>
              </w:rPr>
              <w:t>179.51</w:t>
            </w:r>
          </w:p>
        </w:tc>
        <w:tc>
          <w:tcPr>
            <w:tcW w:w="900" w:type="dxa"/>
            <w:vAlign w:val="center"/>
          </w:tcPr>
          <w:p w14:paraId="0E9A8BD3">
            <w:pPr>
              <w:jc w:val="right"/>
            </w:pPr>
            <w:r>
              <w:rPr>
                <w:rFonts w:ascii="宋体" w:hAnsi="宋体" w:eastAsia="宋体" w:cs="宋体"/>
                <w:b w:val="0"/>
                <w:i w:val="0"/>
                <w:color w:val="000000"/>
                <w:sz w:val="9"/>
              </w:rPr>
              <w:t>179.51</w:t>
            </w:r>
          </w:p>
        </w:tc>
        <w:tc>
          <w:tcPr>
            <w:tcW w:w="880" w:type="dxa"/>
            <w:vAlign w:val="center"/>
          </w:tcPr>
          <w:p w14:paraId="52F90C00"/>
        </w:tc>
        <w:tc>
          <w:tcPr>
            <w:tcW w:w="880" w:type="dxa"/>
            <w:vAlign w:val="center"/>
          </w:tcPr>
          <w:p w14:paraId="1AA03A5B"/>
        </w:tc>
        <w:tc>
          <w:tcPr>
            <w:tcW w:w="900" w:type="dxa"/>
            <w:vAlign w:val="center"/>
          </w:tcPr>
          <w:p w14:paraId="1BD0B66B"/>
        </w:tc>
        <w:tc>
          <w:tcPr>
            <w:tcW w:w="880" w:type="dxa"/>
            <w:vAlign w:val="center"/>
          </w:tcPr>
          <w:p w14:paraId="33BB9470"/>
        </w:tc>
        <w:tc>
          <w:tcPr>
            <w:tcW w:w="986" w:type="dxa"/>
            <w:vAlign w:val="center"/>
          </w:tcPr>
          <w:p w14:paraId="1F4CBCB8"/>
        </w:tc>
      </w:tr>
      <w:tr w14:paraId="5DCB61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7960939">
            <w:pPr>
              <w:jc w:val="left"/>
            </w:pPr>
            <w:r>
              <w:rPr>
                <w:rFonts w:ascii="宋体" w:hAnsi="宋体" w:eastAsia="宋体" w:cs="宋体"/>
                <w:b w:val="0"/>
                <w:i w:val="0"/>
                <w:color w:val="000000"/>
                <w:sz w:val="9"/>
              </w:rPr>
              <w:t>212</w:t>
            </w:r>
          </w:p>
        </w:tc>
        <w:tc>
          <w:tcPr>
            <w:tcW w:w="1420" w:type="dxa"/>
            <w:vAlign w:val="center"/>
          </w:tcPr>
          <w:p w14:paraId="6782B4B3">
            <w:pPr>
              <w:jc w:val="left"/>
            </w:pPr>
            <w:r>
              <w:rPr>
                <w:rFonts w:ascii="宋体" w:hAnsi="宋体" w:eastAsia="宋体" w:cs="宋体"/>
                <w:b w:val="0"/>
                <w:i w:val="0"/>
                <w:color w:val="000000"/>
                <w:sz w:val="9"/>
              </w:rPr>
              <w:t>城乡社区支出</w:t>
            </w:r>
          </w:p>
        </w:tc>
        <w:tc>
          <w:tcPr>
            <w:tcW w:w="860" w:type="dxa"/>
            <w:vAlign w:val="center"/>
          </w:tcPr>
          <w:p w14:paraId="1C771AD7">
            <w:pPr>
              <w:jc w:val="right"/>
            </w:pPr>
            <w:r>
              <w:rPr>
                <w:rFonts w:ascii="宋体" w:hAnsi="宋体" w:eastAsia="宋体" w:cs="宋体"/>
                <w:b w:val="0"/>
                <w:i w:val="0"/>
                <w:color w:val="000000"/>
                <w:sz w:val="9"/>
              </w:rPr>
              <w:t>8,511.86</w:t>
            </w:r>
          </w:p>
        </w:tc>
        <w:tc>
          <w:tcPr>
            <w:tcW w:w="900" w:type="dxa"/>
            <w:vAlign w:val="center"/>
          </w:tcPr>
          <w:p w14:paraId="695B4895">
            <w:pPr>
              <w:jc w:val="right"/>
            </w:pPr>
            <w:r>
              <w:rPr>
                <w:rFonts w:ascii="宋体" w:hAnsi="宋体" w:eastAsia="宋体" w:cs="宋体"/>
                <w:b w:val="0"/>
                <w:i w:val="0"/>
                <w:color w:val="000000"/>
                <w:sz w:val="9"/>
              </w:rPr>
              <w:t>5,642.55</w:t>
            </w:r>
          </w:p>
        </w:tc>
        <w:tc>
          <w:tcPr>
            <w:tcW w:w="880" w:type="dxa"/>
            <w:vAlign w:val="center"/>
          </w:tcPr>
          <w:p w14:paraId="1A5E8E05"/>
        </w:tc>
        <w:tc>
          <w:tcPr>
            <w:tcW w:w="880" w:type="dxa"/>
            <w:vAlign w:val="center"/>
          </w:tcPr>
          <w:p w14:paraId="25FD3B17"/>
        </w:tc>
        <w:tc>
          <w:tcPr>
            <w:tcW w:w="900" w:type="dxa"/>
            <w:vAlign w:val="center"/>
          </w:tcPr>
          <w:p w14:paraId="2DC13202"/>
        </w:tc>
        <w:tc>
          <w:tcPr>
            <w:tcW w:w="880" w:type="dxa"/>
            <w:vAlign w:val="center"/>
          </w:tcPr>
          <w:p w14:paraId="512435E6"/>
        </w:tc>
        <w:tc>
          <w:tcPr>
            <w:tcW w:w="986" w:type="dxa"/>
            <w:vAlign w:val="center"/>
          </w:tcPr>
          <w:p w14:paraId="44BD2C7F">
            <w:pPr>
              <w:jc w:val="right"/>
            </w:pPr>
            <w:r>
              <w:rPr>
                <w:rFonts w:ascii="宋体" w:hAnsi="宋体" w:eastAsia="宋体" w:cs="宋体"/>
                <w:b w:val="0"/>
                <w:i w:val="0"/>
                <w:color w:val="000000"/>
                <w:sz w:val="9"/>
              </w:rPr>
              <w:t>2,869.31</w:t>
            </w:r>
          </w:p>
        </w:tc>
      </w:tr>
      <w:tr w14:paraId="250E37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3CF7CE0">
            <w:pPr>
              <w:jc w:val="left"/>
            </w:pPr>
            <w:r>
              <w:rPr>
                <w:rFonts w:ascii="宋体" w:hAnsi="宋体" w:eastAsia="宋体" w:cs="宋体"/>
                <w:b w:val="0"/>
                <w:i w:val="0"/>
                <w:color w:val="000000"/>
                <w:sz w:val="9"/>
              </w:rPr>
              <w:t>21201</w:t>
            </w:r>
          </w:p>
        </w:tc>
        <w:tc>
          <w:tcPr>
            <w:tcW w:w="1420" w:type="dxa"/>
            <w:vAlign w:val="center"/>
          </w:tcPr>
          <w:p w14:paraId="32714EC8">
            <w:pPr>
              <w:jc w:val="left"/>
            </w:pPr>
            <w:r>
              <w:rPr>
                <w:rFonts w:ascii="宋体" w:hAnsi="宋体" w:eastAsia="宋体" w:cs="宋体"/>
                <w:b w:val="0"/>
                <w:i w:val="0"/>
                <w:color w:val="000000"/>
                <w:sz w:val="9"/>
              </w:rPr>
              <w:t>城乡社区管理事务</w:t>
            </w:r>
          </w:p>
        </w:tc>
        <w:tc>
          <w:tcPr>
            <w:tcW w:w="860" w:type="dxa"/>
            <w:vAlign w:val="center"/>
          </w:tcPr>
          <w:p w14:paraId="6DE147DA">
            <w:pPr>
              <w:jc w:val="right"/>
            </w:pPr>
            <w:r>
              <w:rPr>
                <w:rFonts w:ascii="宋体" w:hAnsi="宋体" w:eastAsia="宋体" w:cs="宋体"/>
                <w:b w:val="0"/>
                <w:i w:val="0"/>
                <w:color w:val="000000"/>
                <w:sz w:val="9"/>
              </w:rPr>
              <w:t>6,395.68</w:t>
            </w:r>
          </w:p>
        </w:tc>
        <w:tc>
          <w:tcPr>
            <w:tcW w:w="900" w:type="dxa"/>
            <w:vAlign w:val="center"/>
          </w:tcPr>
          <w:p w14:paraId="1F1ABD8B">
            <w:pPr>
              <w:jc w:val="right"/>
            </w:pPr>
            <w:r>
              <w:rPr>
                <w:rFonts w:ascii="宋体" w:hAnsi="宋体" w:eastAsia="宋体" w:cs="宋体"/>
                <w:b w:val="0"/>
                <w:i w:val="0"/>
                <w:color w:val="000000"/>
                <w:sz w:val="9"/>
              </w:rPr>
              <w:t>3,526.37</w:t>
            </w:r>
          </w:p>
        </w:tc>
        <w:tc>
          <w:tcPr>
            <w:tcW w:w="880" w:type="dxa"/>
            <w:vAlign w:val="center"/>
          </w:tcPr>
          <w:p w14:paraId="043A721F"/>
        </w:tc>
        <w:tc>
          <w:tcPr>
            <w:tcW w:w="880" w:type="dxa"/>
            <w:vAlign w:val="center"/>
          </w:tcPr>
          <w:p w14:paraId="5C8040B0"/>
        </w:tc>
        <w:tc>
          <w:tcPr>
            <w:tcW w:w="900" w:type="dxa"/>
            <w:vAlign w:val="center"/>
          </w:tcPr>
          <w:p w14:paraId="0E80B1C2"/>
        </w:tc>
        <w:tc>
          <w:tcPr>
            <w:tcW w:w="880" w:type="dxa"/>
            <w:vAlign w:val="center"/>
          </w:tcPr>
          <w:p w14:paraId="59EF00E6"/>
        </w:tc>
        <w:tc>
          <w:tcPr>
            <w:tcW w:w="986" w:type="dxa"/>
            <w:vAlign w:val="center"/>
          </w:tcPr>
          <w:p w14:paraId="31D28259">
            <w:pPr>
              <w:jc w:val="right"/>
            </w:pPr>
            <w:r>
              <w:rPr>
                <w:rFonts w:ascii="宋体" w:hAnsi="宋体" w:eastAsia="宋体" w:cs="宋体"/>
                <w:b w:val="0"/>
                <w:i w:val="0"/>
                <w:color w:val="000000"/>
                <w:sz w:val="9"/>
              </w:rPr>
              <w:t>2,869.31</w:t>
            </w:r>
          </w:p>
        </w:tc>
      </w:tr>
      <w:tr w14:paraId="2152C5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5DE2C8B">
            <w:pPr>
              <w:jc w:val="left"/>
            </w:pPr>
            <w:r>
              <w:rPr>
                <w:rFonts w:ascii="宋体" w:hAnsi="宋体" w:eastAsia="宋体" w:cs="宋体"/>
                <w:b w:val="0"/>
                <w:i w:val="0"/>
                <w:color w:val="000000"/>
                <w:sz w:val="9"/>
              </w:rPr>
              <w:t>2120101</w:t>
            </w:r>
          </w:p>
        </w:tc>
        <w:tc>
          <w:tcPr>
            <w:tcW w:w="1420" w:type="dxa"/>
            <w:vAlign w:val="center"/>
          </w:tcPr>
          <w:p w14:paraId="5F46D42A">
            <w:pPr>
              <w:jc w:val="left"/>
            </w:pPr>
            <w:r>
              <w:rPr>
                <w:rFonts w:ascii="宋体" w:hAnsi="宋体" w:eastAsia="宋体" w:cs="宋体"/>
                <w:b w:val="0"/>
                <w:i w:val="0"/>
                <w:color w:val="000000"/>
                <w:sz w:val="9"/>
              </w:rPr>
              <w:t>行政运行</w:t>
            </w:r>
          </w:p>
        </w:tc>
        <w:tc>
          <w:tcPr>
            <w:tcW w:w="860" w:type="dxa"/>
            <w:vAlign w:val="center"/>
          </w:tcPr>
          <w:p w14:paraId="650EACF6">
            <w:pPr>
              <w:jc w:val="right"/>
            </w:pPr>
            <w:r>
              <w:rPr>
                <w:rFonts w:ascii="宋体" w:hAnsi="宋体" w:eastAsia="宋体" w:cs="宋体"/>
                <w:b w:val="0"/>
                <w:i w:val="0"/>
                <w:color w:val="000000"/>
                <w:sz w:val="9"/>
              </w:rPr>
              <w:t>411.44</w:t>
            </w:r>
          </w:p>
        </w:tc>
        <w:tc>
          <w:tcPr>
            <w:tcW w:w="900" w:type="dxa"/>
            <w:vAlign w:val="center"/>
          </w:tcPr>
          <w:p w14:paraId="70A8A21E">
            <w:pPr>
              <w:jc w:val="right"/>
            </w:pPr>
            <w:r>
              <w:rPr>
                <w:rFonts w:ascii="宋体" w:hAnsi="宋体" w:eastAsia="宋体" w:cs="宋体"/>
                <w:b w:val="0"/>
                <w:i w:val="0"/>
                <w:color w:val="000000"/>
                <w:sz w:val="9"/>
              </w:rPr>
              <w:t>411.44</w:t>
            </w:r>
          </w:p>
        </w:tc>
        <w:tc>
          <w:tcPr>
            <w:tcW w:w="880" w:type="dxa"/>
            <w:vAlign w:val="center"/>
          </w:tcPr>
          <w:p w14:paraId="103854A1"/>
        </w:tc>
        <w:tc>
          <w:tcPr>
            <w:tcW w:w="880" w:type="dxa"/>
            <w:vAlign w:val="center"/>
          </w:tcPr>
          <w:p w14:paraId="17D1D3FD"/>
        </w:tc>
        <w:tc>
          <w:tcPr>
            <w:tcW w:w="900" w:type="dxa"/>
            <w:vAlign w:val="center"/>
          </w:tcPr>
          <w:p w14:paraId="1DD9B942"/>
        </w:tc>
        <w:tc>
          <w:tcPr>
            <w:tcW w:w="880" w:type="dxa"/>
            <w:vAlign w:val="center"/>
          </w:tcPr>
          <w:p w14:paraId="547837C9"/>
        </w:tc>
        <w:tc>
          <w:tcPr>
            <w:tcW w:w="986" w:type="dxa"/>
            <w:vAlign w:val="center"/>
          </w:tcPr>
          <w:p w14:paraId="55BA12EA"/>
        </w:tc>
      </w:tr>
      <w:tr w14:paraId="280D7C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67D1287">
            <w:pPr>
              <w:jc w:val="left"/>
            </w:pPr>
            <w:r>
              <w:rPr>
                <w:rFonts w:ascii="宋体" w:hAnsi="宋体" w:eastAsia="宋体" w:cs="宋体"/>
                <w:b w:val="0"/>
                <w:i w:val="0"/>
                <w:color w:val="000000"/>
                <w:sz w:val="9"/>
              </w:rPr>
              <w:t>2120199</w:t>
            </w:r>
          </w:p>
        </w:tc>
        <w:tc>
          <w:tcPr>
            <w:tcW w:w="1420" w:type="dxa"/>
            <w:vAlign w:val="center"/>
          </w:tcPr>
          <w:p w14:paraId="70E22868">
            <w:pPr>
              <w:jc w:val="left"/>
            </w:pPr>
            <w:r>
              <w:rPr>
                <w:rFonts w:ascii="宋体" w:hAnsi="宋体" w:eastAsia="宋体" w:cs="宋体"/>
                <w:b w:val="0"/>
                <w:i w:val="0"/>
                <w:color w:val="000000"/>
                <w:sz w:val="9"/>
              </w:rPr>
              <w:t>其他城乡社区管理事务支出</w:t>
            </w:r>
          </w:p>
        </w:tc>
        <w:tc>
          <w:tcPr>
            <w:tcW w:w="860" w:type="dxa"/>
            <w:vAlign w:val="center"/>
          </w:tcPr>
          <w:p w14:paraId="4E2B1ABA">
            <w:pPr>
              <w:jc w:val="right"/>
            </w:pPr>
            <w:r>
              <w:rPr>
                <w:rFonts w:ascii="宋体" w:hAnsi="宋体" w:eastAsia="宋体" w:cs="宋体"/>
                <w:b w:val="0"/>
                <w:i w:val="0"/>
                <w:color w:val="000000"/>
                <w:sz w:val="9"/>
              </w:rPr>
              <w:t>5,984.23</w:t>
            </w:r>
          </w:p>
        </w:tc>
        <w:tc>
          <w:tcPr>
            <w:tcW w:w="900" w:type="dxa"/>
            <w:vAlign w:val="center"/>
          </w:tcPr>
          <w:p w14:paraId="77EF6601">
            <w:pPr>
              <w:jc w:val="right"/>
            </w:pPr>
            <w:r>
              <w:rPr>
                <w:rFonts w:ascii="宋体" w:hAnsi="宋体" w:eastAsia="宋体" w:cs="宋体"/>
                <w:b w:val="0"/>
                <w:i w:val="0"/>
                <w:color w:val="000000"/>
                <w:sz w:val="9"/>
              </w:rPr>
              <w:t>3,114.92</w:t>
            </w:r>
          </w:p>
        </w:tc>
        <w:tc>
          <w:tcPr>
            <w:tcW w:w="880" w:type="dxa"/>
            <w:vAlign w:val="center"/>
          </w:tcPr>
          <w:p w14:paraId="4753911A"/>
        </w:tc>
        <w:tc>
          <w:tcPr>
            <w:tcW w:w="880" w:type="dxa"/>
            <w:vAlign w:val="center"/>
          </w:tcPr>
          <w:p w14:paraId="23B59C7A"/>
        </w:tc>
        <w:tc>
          <w:tcPr>
            <w:tcW w:w="900" w:type="dxa"/>
            <w:vAlign w:val="center"/>
          </w:tcPr>
          <w:p w14:paraId="52EE0B62"/>
        </w:tc>
        <w:tc>
          <w:tcPr>
            <w:tcW w:w="880" w:type="dxa"/>
            <w:vAlign w:val="center"/>
          </w:tcPr>
          <w:p w14:paraId="1B5FAF18"/>
        </w:tc>
        <w:tc>
          <w:tcPr>
            <w:tcW w:w="986" w:type="dxa"/>
            <w:vAlign w:val="center"/>
          </w:tcPr>
          <w:p w14:paraId="39AA3645">
            <w:pPr>
              <w:jc w:val="right"/>
            </w:pPr>
            <w:r>
              <w:rPr>
                <w:rFonts w:ascii="宋体" w:hAnsi="宋体" w:eastAsia="宋体" w:cs="宋体"/>
                <w:b w:val="0"/>
                <w:i w:val="0"/>
                <w:color w:val="000000"/>
                <w:sz w:val="9"/>
              </w:rPr>
              <w:t>2,869.31</w:t>
            </w:r>
          </w:p>
        </w:tc>
      </w:tr>
      <w:tr w14:paraId="47E0EA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2E75163">
            <w:pPr>
              <w:jc w:val="left"/>
            </w:pPr>
            <w:r>
              <w:rPr>
                <w:rFonts w:ascii="宋体" w:hAnsi="宋体" w:eastAsia="宋体" w:cs="宋体"/>
                <w:b w:val="0"/>
                <w:i w:val="0"/>
                <w:color w:val="000000"/>
                <w:sz w:val="9"/>
              </w:rPr>
              <w:t>21299</w:t>
            </w:r>
          </w:p>
        </w:tc>
        <w:tc>
          <w:tcPr>
            <w:tcW w:w="1420" w:type="dxa"/>
            <w:vAlign w:val="center"/>
          </w:tcPr>
          <w:p w14:paraId="3BDD78C5">
            <w:pPr>
              <w:jc w:val="left"/>
            </w:pPr>
            <w:r>
              <w:rPr>
                <w:rFonts w:ascii="宋体" w:hAnsi="宋体" w:eastAsia="宋体" w:cs="宋体"/>
                <w:b w:val="0"/>
                <w:i w:val="0"/>
                <w:color w:val="000000"/>
                <w:sz w:val="9"/>
              </w:rPr>
              <w:t>其他城乡社区支出</w:t>
            </w:r>
          </w:p>
        </w:tc>
        <w:tc>
          <w:tcPr>
            <w:tcW w:w="860" w:type="dxa"/>
            <w:vAlign w:val="center"/>
          </w:tcPr>
          <w:p w14:paraId="418E66B8">
            <w:pPr>
              <w:jc w:val="right"/>
            </w:pPr>
            <w:r>
              <w:rPr>
                <w:rFonts w:ascii="宋体" w:hAnsi="宋体" w:eastAsia="宋体" w:cs="宋体"/>
                <w:b w:val="0"/>
                <w:i w:val="0"/>
                <w:color w:val="000000"/>
                <w:sz w:val="9"/>
              </w:rPr>
              <w:t>2,116.19</w:t>
            </w:r>
          </w:p>
        </w:tc>
        <w:tc>
          <w:tcPr>
            <w:tcW w:w="900" w:type="dxa"/>
            <w:vAlign w:val="center"/>
          </w:tcPr>
          <w:p w14:paraId="36F4949D">
            <w:pPr>
              <w:jc w:val="right"/>
            </w:pPr>
            <w:r>
              <w:rPr>
                <w:rFonts w:ascii="宋体" w:hAnsi="宋体" w:eastAsia="宋体" w:cs="宋体"/>
                <w:b w:val="0"/>
                <w:i w:val="0"/>
                <w:color w:val="000000"/>
                <w:sz w:val="9"/>
              </w:rPr>
              <w:t>2,116.19</w:t>
            </w:r>
          </w:p>
        </w:tc>
        <w:tc>
          <w:tcPr>
            <w:tcW w:w="880" w:type="dxa"/>
            <w:vAlign w:val="center"/>
          </w:tcPr>
          <w:p w14:paraId="632F245C"/>
        </w:tc>
        <w:tc>
          <w:tcPr>
            <w:tcW w:w="880" w:type="dxa"/>
            <w:vAlign w:val="center"/>
          </w:tcPr>
          <w:p w14:paraId="70AC0261"/>
        </w:tc>
        <w:tc>
          <w:tcPr>
            <w:tcW w:w="900" w:type="dxa"/>
            <w:vAlign w:val="center"/>
          </w:tcPr>
          <w:p w14:paraId="2C4D445E"/>
        </w:tc>
        <w:tc>
          <w:tcPr>
            <w:tcW w:w="880" w:type="dxa"/>
            <w:vAlign w:val="center"/>
          </w:tcPr>
          <w:p w14:paraId="5ADB6834"/>
        </w:tc>
        <w:tc>
          <w:tcPr>
            <w:tcW w:w="986" w:type="dxa"/>
            <w:vAlign w:val="center"/>
          </w:tcPr>
          <w:p w14:paraId="20AA81F8"/>
        </w:tc>
      </w:tr>
      <w:tr w14:paraId="631153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A23D223">
            <w:pPr>
              <w:jc w:val="left"/>
            </w:pPr>
            <w:r>
              <w:rPr>
                <w:rFonts w:ascii="宋体" w:hAnsi="宋体" w:eastAsia="宋体" w:cs="宋体"/>
                <w:b w:val="0"/>
                <w:i w:val="0"/>
                <w:color w:val="000000"/>
                <w:sz w:val="9"/>
              </w:rPr>
              <w:t>2129999</w:t>
            </w:r>
          </w:p>
        </w:tc>
        <w:tc>
          <w:tcPr>
            <w:tcW w:w="1420" w:type="dxa"/>
            <w:vAlign w:val="center"/>
          </w:tcPr>
          <w:p w14:paraId="4B8BC0DE">
            <w:pPr>
              <w:jc w:val="left"/>
            </w:pPr>
            <w:r>
              <w:rPr>
                <w:rFonts w:ascii="宋体" w:hAnsi="宋体" w:eastAsia="宋体" w:cs="宋体"/>
                <w:b w:val="0"/>
                <w:i w:val="0"/>
                <w:color w:val="000000"/>
                <w:sz w:val="9"/>
              </w:rPr>
              <w:t>其他城乡社区支出</w:t>
            </w:r>
          </w:p>
        </w:tc>
        <w:tc>
          <w:tcPr>
            <w:tcW w:w="860" w:type="dxa"/>
            <w:vAlign w:val="center"/>
          </w:tcPr>
          <w:p w14:paraId="233A2F11">
            <w:pPr>
              <w:jc w:val="right"/>
            </w:pPr>
            <w:r>
              <w:rPr>
                <w:rFonts w:ascii="宋体" w:hAnsi="宋体" w:eastAsia="宋体" w:cs="宋体"/>
                <w:b w:val="0"/>
                <w:i w:val="0"/>
                <w:color w:val="000000"/>
                <w:sz w:val="9"/>
              </w:rPr>
              <w:t>2,116.19</w:t>
            </w:r>
          </w:p>
        </w:tc>
        <w:tc>
          <w:tcPr>
            <w:tcW w:w="900" w:type="dxa"/>
            <w:vAlign w:val="center"/>
          </w:tcPr>
          <w:p w14:paraId="2D9B48D7">
            <w:pPr>
              <w:jc w:val="right"/>
            </w:pPr>
            <w:r>
              <w:rPr>
                <w:rFonts w:ascii="宋体" w:hAnsi="宋体" w:eastAsia="宋体" w:cs="宋体"/>
                <w:b w:val="0"/>
                <w:i w:val="0"/>
                <w:color w:val="000000"/>
                <w:sz w:val="9"/>
              </w:rPr>
              <w:t>2,116.19</w:t>
            </w:r>
          </w:p>
        </w:tc>
        <w:tc>
          <w:tcPr>
            <w:tcW w:w="880" w:type="dxa"/>
            <w:vAlign w:val="center"/>
          </w:tcPr>
          <w:p w14:paraId="1A24F9DE"/>
        </w:tc>
        <w:tc>
          <w:tcPr>
            <w:tcW w:w="880" w:type="dxa"/>
            <w:vAlign w:val="center"/>
          </w:tcPr>
          <w:p w14:paraId="6E8EEA25"/>
        </w:tc>
        <w:tc>
          <w:tcPr>
            <w:tcW w:w="900" w:type="dxa"/>
            <w:vAlign w:val="center"/>
          </w:tcPr>
          <w:p w14:paraId="2049708E"/>
        </w:tc>
        <w:tc>
          <w:tcPr>
            <w:tcW w:w="880" w:type="dxa"/>
            <w:vAlign w:val="center"/>
          </w:tcPr>
          <w:p w14:paraId="4E652613"/>
        </w:tc>
        <w:tc>
          <w:tcPr>
            <w:tcW w:w="986" w:type="dxa"/>
            <w:vAlign w:val="center"/>
          </w:tcPr>
          <w:p w14:paraId="23AB4B24"/>
        </w:tc>
      </w:tr>
      <w:tr w14:paraId="10E790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BCCA1DB">
            <w:pPr>
              <w:jc w:val="left"/>
            </w:pPr>
            <w:r>
              <w:rPr>
                <w:rFonts w:ascii="宋体" w:hAnsi="宋体" w:eastAsia="宋体" w:cs="宋体"/>
                <w:b w:val="0"/>
                <w:i w:val="0"/>
                <w:color w:val="000000"/>
                <w:sz w:val="9"/>
              </w:rPr>
              <w:t>213</w:t>
            </w:r>
          </w:p>
        </w:tc>
        <w:tc>
          <w:tcPr>
            <w:tcW w:w="1420" w:type="dxa"/>
            <w:vAlign w:val="center"/>
          </w:tcPr>
          <w:p w14:paraId="2EA97D9B">
            <w:pPr>
              <w:jc w:val="left"/>
            </w:pPr>
            <w:r>
              <w:rPr>
                <w:rFonts w:ascii="宋体" w:hAnsi="宋体" w:eastAsia="宋体" w:cs="宋体"/>
                <w:b w:val="0"/>
                <w:i w:val="0"/>
                <w:color w:val="000000"/>
                <w:sz w:val="9"/>
              </w:rPr>
              <w:t>农林水支出</w:t>
            </w:r>
          </w:p>
        </w:tc>
        <w:tc>
          <w:tcPr>
            <w:tcW w:w="860" w:type="dxa"/>
            <w:vAlign w:val="center"/>
          </w:tcPr>
          <w:p w14:paraId="0FB4F72A">
            <w:pPr>
              <w:jc w:val="right"/>
            </w:pPr>
            <w:r>
              <w:rPr>
                <w:rFonts w:ascii="宋体" w:hAnsi="宋体" w:eastAsia="宋体" w:cs="宋体"/>
                <w:b w:val="0"/>
                <w:i w:val="0"/>
                <w:color w:val="000000"/>
                <w:sz w:val="9"/>
              </w:rPr>
              <w:t>34.34</w:t>
            </w:r>
          </w:p>
        </w:tc>
        <w:tc>
          <w:tcPr>
            <w:tcW w:w="900" w:type="dxa"/>
            <w:vAlign w:val="center"/>
          </w:tcPr>
          <w:p w14:paraId="54D21CE2">
            <w:pPr>
              <w:jc w:val="right"/>
            </w:pPr>
            <w:r>
              <w:rPr>
                <w:rFonts w:ascii="宋体" w:hAnsi="宋体" w:eastAsia="宋体" w:cs="宋体"/>
                <w:b w:val="0"/>
                <w:i w:val="0"/>
                <w:color w:val="000000"/>
                <w:sz w:val="9"/>
              </w:rPr>
              <w:t>34.34</w:t>
            </w:r>
          </w:p>
        </w:tc>
        <w:tc>
          <w:tcPr>
            <w:tcW w:w="880" w:type="dxa"/>
            <w:vAlign w:val="center"/>
          </w:tcPr>
          <w:p w14:paraId="6A3377F7"/>
        </w:tc>
        <w:tc>
          <w:tcPr>
            <w:tcW w:w="880" w:type="dxa"/>
            <w:vAlign w:val="center"/>
          </w:tcPr>
          <w:p w14:paraId="33F3F197"/>
        </w:tc>
        <w:tc>
          <w:tcPr>
            <w:tcW w:w="900" w:type="dxa"/>
            <w:vAlign w:val="center"/>
          </w:tcPr>
          <w:p w14:paraId="160D78C7"/>
        </w:tc>
        <w:tc>
          <w:tcPr>
            <w:tcW w:w="880" w:type="dxa"/>
            <w:vAlign w:val="center"/>
          </w:tcPr>
          <w:p w14:paraId="7783CB3C"/>
        </w:tc>
        <w:tc>
          <w:tcPr>
            <w:tcW w:w="986" w:type="dxa"/>
            <w:vAlign w:val="center"/>
          </w:tcPr>
          <w:p w14:paraId="01C6779F"/>
        </w:tc>
      </w:tr>
      <w:tr w14:paraId="0DA252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8F9FAEC">
            <w:pPr>
              <w:jc w:val="left"/>
            </w:pPr>
            <w:r>
              <w:rPr>
                <w:rFonts w:ascii="宋体" w:hAnsi="宋体" w:eastAsia="宋体" w:cs="宋体"/>
                <w:b w:val="0"/>
                <w:i w:val="0"/>
                <w:color w:val="000000"/>
                <w:sz w:val="9"/>
              </w:rPr>
              <w:t>21303</w:t>
            </w:r>
          </w:p>
        </w:tc>
        <w:tc>
          <w:tcPr>
            <w:tcW w:w="1420" w:type="dxa"/>
            <w:vAlign w:val="center"/>
          </w:tcPr>
          <w:p w14:paraId="70BF4F93">
            <w:pPr>
              <w:jc w:val="left"/>
            </w:pPr>
            <w:r>
              <w:rPr>
                <w:rFonts w:ascii="宋体" w:hAnsi="宋体" w:eastAsia="宋体" w:cs="宋体"/>
                <w:b w:val="0"/>
                <w:i w:val="0"/>
                <w:color w:val="000000"/>
                <w:sz w:val="9"/>
              </w:rPr>
              <w:t>水利</w:t>
            </w:r>
          </w:p>
        </w:tc>
        <w:tc>
          <w:tcPr>
            <w:tcW w:w="860" w:type="dxa"/>
            <w:vAlign w:val="center"/>
          </w:tcPr>
          <w:p w14:paraId="37DEBCEE">
            <w:pPr>
              <w:jc w:val="right"/>
            </w:pPr>
            <w:r>
              <w:rPr>
                <w:rFonts w:ascii="宋体" w:hAnsi="宋体" w:eastAsia="宋体" w:cs="宋体"/>
                <w:b w:val="0"/>
                <w:i w:val="0"/>
                <w:color w:val="000000"/>
                <w:sz w:val="9"/>
              </w:rPr>
              <w:t>34.34</w:t>
            </w:r>
          </w:p>
        </w:tc>
        <w:tc>
          <w:tcPr>
            <w:tcW w:w="900" w:type="dxa"/>
            <w:vAlign w:val="center"/>
          </w:tcPr>
          <w:p w14:paraId="073EF7B2">
            <w:pPr>
              <w:jc w:val="right"/>
            </w:pPr>
            <w:r>
              <w:rPr>
                <w:rFonts w:ascii="宋体" w:hAnsi="宋体" w:eastAsia="宋体" w:cs="宋体"/>
                <w:b w:val="0"/>
                <w:i w:val="0"/>
                <w:color w:val="000000"/>
                <w:sz w:val="9"/>
              </w:rPr>
              <w:t>34.34</w:t>
            </w:r>
          </w:p>
        </w:tc>
        <w:tc>
          <w:tcPr>
            <w:tcW w:w="880" w:type="dxa"/>
            <w:vAlign w:val="center"/>
          </w:tcPr>
          <w:p w14:paraId="26C3AB48"/>
        </w:tc>
        <w:tc>
          <w:tcPr>
            <w:tcW w:w="880" w:type="dxa"/>
            <w:vAlign w:val="center"/>
          </w:tcPr>
          <w:p w14:paraId="75EDB74F"/>
        </w:tc>
        <w:tc>
          <w:tcPr>
            <w:tcW w:w="900" w:type="dxa"/>
            <w:vAlign w:val="center"/>
          </w:tcPr>
          <w:p w14:paraId="3E7747D7"/>
        </w:tc>
        <w:tc>
          <w:tcPr>
            <w:tcW w:w="880" w:type="dxa"/>
            <w:vAlign w:val="center"/>
          </w:tcPr>
          <w:p w14:paraId="0DB6562D"/>
        </w:tc>
        <w:tc>
          <w:tcPr>
            <w:tcW w:w="986" w:type="dxa"/>
            <w:vAlign w:val="center"/>
          </w:tcPr>
          <w:p w14:paraId="0A7FB34B"/>
        </w:tc>
      </w:tr>
      <w:tr w14:paraId="2C6016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389ACFF">
            <w:pPr>
              <w:jc w:val="left"/>
            </w:pPr>
            <w:r>
              <w:rPr>
                <w:rFonts w:ascii="宋体" w:hAnsi="宋体" w:eastAsia="宋体" w:cs="宋体"/>
                <w:b w:val="0"/>
                <w:i w:val="0"/>
                <w:color w:val="000000"/>
                <w:sz w:val="9"/>
              </w:rPr>
              <w:t>2130310</w:t>
            </w:r>
          </w:p>
        </w:tc>
        <w:tc>
          <w:tcPr>
            <w:tcW w:w="1420" w:type="dxa"/>
            <w:vAlign w:val="center"/>
          </w:tcPr>
          <w:p w14:paraId="2C02D0B6">
            <w:pPr>
              <w:jc w:val="left"/>
            </w:pPr>
            <w:r>
              <w:rPr>
                <w:rFonts w:ascii="宋体" w:hAnsi="宋体" w:eastAsia="宋体" w:cs="宋体"/>
                <w:b w:val="0"/>
                <w:i w:val="0"/>
                <w:color w:val="000000"/>
                <w:sz w:val="9"/>
              </w:rPr>
              <w:t>水土保持</w:t>
            </w:r>
          </w:p>
        </w:tc>
        <w:tc>
          <w:tcPr>
            <w:tcW w:w="860" w:type="dxa"/>
            <w:vAlign w:val="center"/>
          </w:tcPr>
          <w:p w14:paraId="7946CBFC">
            <w:pPr>
              <w:jc w:val="right"/>
            </w:pPr>
            <w:r>
              <w:rPr>
                <w:rFonts w:ascii="宋体" w:hAnsi="宋体" w:eastAsia="宋体" w:cs="宋体"/>
                <w:b w:val="0"/>
                <w:i w:val="0"/>
                <w:color w:val="000000"/>
                <w:sz w:val="9"/>
              </w:rPr>
              <w:t>17.34</w:t>
            </w:r>
          </w:p>
        </w:tc>
        <w:tc>
          <w:tcPr>
            <w:tcW w:w="900" w:type="dxa"/>
            <w:vAlign w:val="center"/>
          </w:tcPr>
          <w:p w14:paraId="20348B10">
            <w:pPr>
              <w:jc w:val="right"/>
            </w:pPr>
            <w:r>
              <w:rPr>
                <w:rFonts w:ascii="宋体" w:hAnsi="宋体" w:eastAsia="宋体" w:cs="宋体"/>
                <w:b w:val="0"/>
                <w:i w:val="0"/>
                <w:color w:val="000000"/>
                <w:sz w:val="9"/>
              </w:rPr>
              <w:t>17.34</w:t>
            </w:r>
          </w:p>
        </w:tc>
        <w:tc>
          <w:tcPr>
            <w:tcW w:w="880" w:type="dxa"/>
            <w:vAlign w:val="center"/>
          </w:tcPr>
          <w:p w14:paraId="434A39DE"/>
        </w:tc>
        <w:tc>
          <w:tcPr>
            <w:tcW w:w="880" w:type="dxa"/>
            <w:vAlign w:val="center"/>
          </w:tcPr>
          <w:p w14:paraId="25B3006D"/>
        </w:tc>
        <w:tc>
          <w:tcPr>
            <w:tcW w:w="900" w:type="dxa"/>
            <w:vAlign w:val="center"/>
          </w:tcPr>
          <w:p w14:paraId="2BAC8112"/>
        </w:tc>
        <w:tc>
          <w:tcPr>
            <w:tcW w:w="880" w:type="dxa"/>
            <w:vAlign w:val="center"/>
          </w:tcPr>
          <w:p w14:paraId="28860D20"/>
        </w:tc>
        <w:tc>
          <w:tcPr>
            <w:tcW w:w="986" w:type="dxa"/>
            <w:vAlign w:val="center"/>
          </w:tcPr>
          <w:p w14:paraId="2A270F86"/>
        </w:tc>
      </w:tr>
      <w:tr w14:paraId="78370F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75D20B5">
            <w:pPr>
              <w:jc w:val="left"/>
            </w:pPr>
            <w:r>
              <w:rPr>
                <w:rFonts w:ascii="宋体" w:hAnsi="宋体" w:eastAsia="宋体" w:cs="宋体"/>
                <w:b w:val="0"/>
                <w:i w:val="0"/>
                <w:color w:val="000000"/>
                <w:sz w:val="9"/>
              </w:rPr>
              <w:t>2130399</w:t>
            </w:r>
          </w:p>
        </w:tc>
        <w:tc>
          <w:tcPr>
            <w:tcW w:w="1420" w:type="dxa"/>
            <w:vAlign w:val="center"/>
          </w:tcPr>
          <w:p w14:paraId="72CA43D1">
            <w:pPr>
              <w:jc w:val="left"/>
            </w:pPr>
            <w:r>
              <w:rPr>
                <w:rFonts w:ascii="宋体" w:hAnsi="宋体" w:eastAsia="宋体" w:cs="宋体"/>
                <w:b w:val="0"/>
                <w:i w:val="0"/>
                <w:color w:val="000000"/>
                <w:sz w:val="9"/>
              </w:rPr>
              <w:t>其他水利支出</w:t>
            </w:r>
          </w:p>
        </w:tc>
        <w:tc>
          <w:tcPr>
            <w:tcW w:w="860" w:type="dxa"/>
            <w:vAlign w:val="center"/>
          </w:tcPr>
          <w:p w14:paraId="483AED91">
            <w:pPr>
              <w:jc w:val="right"/>
            </w:pPr>
            <w:r>
              <w:rPr>
                <w:rFonts w:ascii="宋体" w:hAnsi="宋体" w:eastAsia="宋体" w:cs="宋体"/>
                <w:b w:val="0"/>
                <w:i w:val="0"/>
                <w:color w:val="000000"/>
                <w:sz w:val="9"/>
              </w:rPr>
              <w:t>17.00</w:t>
            </w:r>
          </w:p>
        </w:tc>
        <w:tc>
          <w:tcPr>
            <w:tcW w:w="900" w:type="dxa"/>
            <w:vAlign w:val="center"/>
          </w:tcPr>
          <w:p w14:paraId="09EF7579">
            <w:pPr>
              <w:jc w:val="right"/>
            </w:pPr>
            <w:r>
              <w:rPr>
                <w:rFonts w:ascii="宋体" w:hAnsi="宋体" w:eastAsia="宋体" w:cs="宋体"/>
                <w:b w:val="0"/>
                <w:i w:val="0"/>
                <w:color w:val="000000"/>
                <w:sz w:val="9"/>
              </w:rPr>
              <w:t>17.00</w:t>
            </w:r>
          </w:p>
        </w:tc>
        <w:tc>
          <w:tcPr>
            <w:tcW w:w="880" w:type="dxa"/>
            <w:vAlign w:val="center"/>
          </w:tcPr>
          <w:p w14:paraId="7ED5E729"/>
        </w:tc>
        <w:tc>
          <w:tcPr>
            <w:tcW w:w="880" w:type="dxa"/>
            <w:vAlign w:val="center"/>
          </w:tcPr>
          <w:p w14:paraId="56CDC6A0"/>
        </w:tc>
        <w:tc>
          <w:tcPr>
            <w:tcW w:w="900" w:type="dxa"/>
            <w:vAlign w:val="center"/>
          </w:tcPr>
          <w:p w14:paraId="6AD72CA8"/>
        </w:tc>
        <w:tc>
          <w:tcPr>
            <w:tcW w:w="880" w:type="dxa"/>
            <w:vAlign w:val="center"/>
          </w:tcPr>
          <w:p w14:paraId="323C4B3E"/>
        </w:tc>
        <w:tc>
          <w:tcPr>
            <w:tcW w:w="986" w:type="dxa"/>
            <w:vAlign w:val="center"/>
          </w:tcPr>
          <w:p w14:paraId="1BDFA469"/>
        </w:tc>
      </w:tr>
      <w:tr w14:paraId="60709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768BD34">
            <w:pPr>
              <w:jc w:val="left"/>
            </w:pPr>
            <w:r>
              <w:rPr>
                <w:rFonts w:ascii="宋体" w:hAnsi="宋体" w:eastAsia="宋体" w:cs="宋体"/>
                <w:b w:val="0"/>
                <w:i w:val="0"/>
                <w:color w:val="000000"/>
                <w:sz w:val="9"/>
              </w:rPr>
              <w:t>214</w:t>
            </w:r>
          </w:p>
        </w:tc>
        <w:tc>
          <w:tcPr>
            <w:tcW w:w="1420" w:type="dxa"/>
            <w:vAlign w:val="center"/>
          </w:tcPr>
          <w:p w14:paraId="477BFDD7">
            <w:pPr>
              <w:jc w:val="left"/>
            </w:pPr>
            <w:r>
              <w:rPr>
                <w:rFonts w:ascii="宋体" w:hAnsi="宋体" w:eastAsia="宋体" w:cs="宋体"/>
                <w:b w:val="0"/>
                <w:i w:val="0"/>
                <w:color w:val="000000"/>
                <w:sz w:val="9"/>
              </w:rPr>
              <w:t>交通运输支出</w:t>
            </w:r>
          </w:p>
        </w:tc>
        <w:tc>
          <w:tcPr>
            <w:tcW w:w="860" w:type="dxa"/>
            <w:vAlign w:val="center"/>
          </w:tcPr>
          <w:p w14:paraId="505F3D0F">
            <w:pPr>
              <w:jc w:val="right"/>
            </w:pPr>
            <w:r>
              <w:rPr>
                <w:rFonts w:ascii="宋体" w:hAnsi="宋体" w:eastAsia="宋体" w:cs="宋体"/>
                <w:b w:val="0"/>
                <w:i w:val="0"/>
                <w:color w:val="000000"/>
                <w:sz w:val="9"/>
              </w:rPr>
              <w:t>53.00</w:t>
            </w:r>
          </w:p>
        </w:tc>
        <w:tc>
          <w:tcPr>
            <w:tcW w:w="900" w:type="dxa"/>
            <w:vAlign w:val="center"/>
          </w:tcPr>
          <w:p w14:paraId="2DC42CF6">
            <w:pPr>
              <w:jc w:val="right"/>
            </w:pPr>
            <w:r>
              <w:rPr>
                <w:rFonts w:ascii="宋体" w:hAnsi="宋体" w:eastAsia="宋体" w:cs="宋体"/>
                <w:b w:val="0"/>
                <w:i w:val="0"/>
                <w:color w:val="000000"/>
                <w:sz w:val="9"/>
              </w:rPr>
              <w:t>53.00</w:t>
            </w:r>
          </w:p>
        </w:tc>
        <w:tc>
          <w:tcPr>
            <w:tcW w:w="880" w:type="dxa"/>
            <w:vAlign w:val="center"/>
          </w:tcPr>
          <w:p w14:paraId="379760C6"/>
        </w:tc>
        <w:tc>
          <w:tcPr>
            <w:tcW w:w="880" w:type="dxa"/>
            <w:vAlign w:val="center"/>
          </w:tcPr>
          <w:p w14:paraId="12D54BED"/>
        </w:tc>
        <w:tc>
          <w:tcPr>
            <w:tcW w:w="900" w:type="dxa"/>
            <w:vAlign w:val="center"/>
          </w:tcPr>
          <w:p w14:paraId="2BB49B5E"/>
        </w:tc>
        <w:tc>
          <w:tcPr>
            <w:tcW w:w="880" w:type="dxa"/>
            <w:vAlign w:val="center"/>
          </w:tcPr>
          <w:p w14:paraId="74554C7C"/>
        </w:tc>
        <w:tc>
          <w:tcPr>
            <w:tcW w:w="986" w:type="dxa"/>
            <w:vAlign w:val="center"/>
          </w:tcPr>
          <w:p w14:paraId="48DA9430"/>
        </w:tc>
      </w:tr>
      <w:tr w14:paraId="143ACF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0FDD2CD">
            <w:pPr>
              <w:jc w:val="left"/>
            </w:pPr>
            <w:r>
              <w:rPr>
                <w:rFonts w:ascii="宋体" w:hAnsi="宋体" w:eastAsia="宋体" w:cs="宋体"/>
                <w:b w:val="0"/>
                <w:i w:val="0"/>
                <w:color w:val="000000"/>
                <w:sz w:val="9"/>
              </w:rPr>
              <w:t>21401</w:t>
            </w:r>
          </w:p>
        </w:tc>
        <w:tc>
          <w:tcPr>
            <w:tcW w:w="1420" w:type="dxa"/>
            <w:vAlign w:val="center"/>
          </w:tcPr>
          <w:p w14:paraId="7672A10F">
            <w:pPr>
              <w:jc w:val="left"/>
            </w:pPr>
            <w:r>
              <w:rPr>
                <w:rFonts w:ascii="宋体" w:hAnsi="宋体" w:eastAsia="宋体" w:cs="宋体"/>
                <w:b w:val="0"/>
                <w:i w:val="0"/>
                <w:color w:val="000000"/>
                <w:sz w:val="9"/>
              </w:rPr>
              <w:t>公路水路运输</w:t>
            </w:r>
          </w:p>
        </w:tc>
        <w:tc>
          <w:tcPr>
            <w:tcW w:w="860" w:type="dxa"/>
            <w:vAlign w:val="center"/>
          </w:tcPr>
          <w:p w14:paraId="3029E052">
            <w:pPr>
              <w:jc w:val="right"/>
            </w:pPr>
            <w:r>
              <w:rPr>
                <w:rFonts w:ascii="宋体" w:hAnsi="宋体" w:eastAsia="宋体" w:cs="宋体"/>
                <w:b w:val="0"/>
                <w:i w:val="0"/>
                <w:color w:val="000000"/>
                <w:sz w:val="9"/>
              </w:rPr>
              <w:t>53.00</w:t>
            </w:r>
          </w:p>
        </w:tc>
        <w:tc>
          <w:tcPr>
            <w:tcW w:w="900" w:type="dxa"/>
            <w:vAlign w:val="center"/>
          </w:tcPr>
          <w:p w14:paraId="2ACE6A67">
            <w:pPr>
              <w:jc w:val="right"/>
            </w:pPr>
            <w:r>
              <w:rPr>
                <w:rFonts w:ascii="宋体" w:hAnsi="宋体" w:eastAsia="宋体" w:cs="宋体"/>
                <w:b w:val="0"/>
                <w:i w:val="0"/>
                <w:color w:val="000000"/>
                <w:sz w:val="9"/>
              </w:rPr>
              <w:t>53.00</w:t>
            </w:r>
          </w:p>
        </w:tc>
        <w:tc>
          <w:tcPr>
            <w:tcW w:w="880" w:type="dxa"/>
            <w:vAlign w:val="center"/>
          </w:tcPr>
          <w:p w14:paraId="12D824FC"/>
        </w:tc>
        <w:tc>
          <w:tcPr>
            <w:tcW w:w="880" w:type="dxa"/>
            <w:vAlign w:val="center"/>
          </w:tcPr>
          <w:p w14:paraId="4D9B380E"/>
        </w:tc>
        <w:tc>
          <w:tcPr>
            <w:tcW w:w="900" w:type="dxa"/>
            <w:vAlign w:val="center"/>
          </w:tcPr>
          <w:p w14:paraId="67AA31EA"/>
        </w:tc>
        <w:tc>
          <w:tcPr>
            <w:tcW w:w="880" w:type="dxa"/>
            <w:vAlign w:val="center"/>
          </w:tcPr>
          <w:p w14:paraId="0B52629B"/>
        </w:tc>
        <w:tc>
          <w:tcPr>
            <w:tcW w:w="986" w:type="dxa"/>
            <w:vAlign w:val="center"/>
          </w:tcPr>
          <w:p w14:paraId="0BBD2176"/>
        </w:tc>
      </w:tr>
      <w:tr w14:paraId="0A82F9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7442B8D">
            <w:pPr>
              <w:jc w:val="left"/>
            </w:pPr>
            <w:r>
              <w:rPr>
                <w:rFonts w:ascii="宋体" w:hAnsi="宋体" w:eastAsia="宋体" w:cs="宋体"/>
                <w:b w:val="0"/>
                <w:i w:val="0"/>
                <w:color w:val="000000"/>
                <w:sz w:val="9"/>
              </w:rPr>
              <w:t>2140199</w:t>
            </w:r>
          </w:p>
        </w:tc>
        <w:tc>
          <w:tcPr>
            <w:tcW w:w="1420" w:type="dxa"/>
            <w:vAlign w:val="center"/>
          </w:tcPr>
          <w:p w14:paraId="585B5B16">
            <w:pPr>
              <w:jc w:val="left"/>
            </w:pPr>
            <w:r>
              <w:rPr>
                <w:rFonts w:ascii="宋体" w:hAnsi="宋体" w:eastAsia="宋体" w:cs="宋体"/>
                <w:b w:val="0"/>
                <w:i w:val="0"/>
                <w:color w:val="000000"/>
                <w:sz w:val="9"/>
              </w:rPr>
              <w:t>其他公路水路运输支出</w:t>
            </w:r>
          </w:p>
        </w:tc>
        <w:tc>
          <w:tcPr>
            <w:tcW w:w="860" w:type="dxa"/>
            <w:vAlign w:val="center"/>
          </w:tcPr>
          <w:p w14:paraId="5699A31C">
            <w:pPr>
              <w:jc w:val="right"/>
            </w:pPr>
            <w:r>
              <w:rPr>
                <w:rFonts w:ascii="宋体" w:hAnsi="宋体" w:eastAsia="宋体" w:cs="宋体"/>
                <w:b w:val="0"/>
                <w:i w:val="0"/>
                <w:color w:val="000000"/>
                <w:sz w:val="9"/>
              </w:rPr>
              <w:t>53.00</w:t>
            </w:r>
          </w:p>
        </w:tc>
        <w:tc>
          <w:tcPr>
            <w:tcW w:w="900" w:type="dxa"/>
            <w:vAlign w:val="center"/>
          </w:tcPr>
          <w:p w14:paraId="33BF2198">
            <w:pPr>
              <w:jc w:val="right"/>
            </w:pPr>
            <w:r>
              <w:rPr>
                <w:rFonts w:ascii="宋体" w:hAnsi="宋体" w:eastAsia="宋体" w:cs="宋体"/>
                <w:b w:val="0"/>
                <w:i w:val="0"/>
                <w:color w:val="000000"/>
                <w:sz w:val="9"/>
              </w:rPr>
              <w:t>53.00</w:t>
            </w:r>
          </w:p>
        </w:tc>
        <w:tc>
          <w:tcPr>
            <w:tcW w:w="880" w:type="dxa"/>
            <w:vAlign w:val="center"/>
          </w:tcPr>
          <w:p w14:paraId="657804E3"/>
        </w:tc>
        <w:tc>
          <w:tcPr>
            <w:tcW w:w="880" w:type="dxa"/>
            <w:vAlign w:val="center"/>
          </w:tcPr>
          <w:p w14:paraId="58EE900D"/>
        </w:tc>
        <w:tc>
          <w:tcPr>
            <w:tcW w:w="900" w:type="dxa"/>
            <w:vAlign w:val="center"/>
          </w:tcPr>
          <w:p w14:paraId="7DDDE3AE"/>
        </w:tc>
        <w:tc>
          <w:tcPr>
            <w:tcW w:w="880" w:type="dxa"/>
            <w:vAlign w:val="center"/>
          </w:tcPr>
          <w:p w14:paraId="37164DF2"/>
        </w:tc>
        <w:tc>
          <w:tcPr>
            <w:tcW w:w="986" w:type="dxa"/>
            <w:vAlign w:val="center"/>
          </w:tcPr>
          <w:p w14:paraId="1919690E"/>
        </w:tc>
      </w:tr>
      <w:tr w14:paraId="70BC87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93CFD59">
            <w:pPr>
              <w:jc w:val="left"/>
            </w:pPr>
            <w:r>
              <w:rPr>
                <w:rFonts w:ascii="宋体" w:hAnsi="宋体" w:eastAsia="宋体" w:cs="宋体"/>
                <w:b w:val="0"/>
                <w:i w:val="0"/>
                <w:color w:val="000000"/>
                <w:sz w:val="9"/>
              </w:rPr>
              <w:t>221</w:t>
            </w:r>
          </w:p>
        </w:tc>
        <w:tc>
          <w:tcPr>
            <w:tcW w:w="1420" w:type="dxa"/>
            <w:vAlign w:val="center"/>
          </w:tcPr>
          <w:p w14:paraId="24BF5C57">
            <w:pPr>
              <w:jc w:val="left"/>
            </w:pPr>
            <w:r>
              <w:rPr>
                <w:rFonts w:ascii="宋体" w:hAnsi="宋体" w:eastAsia="宋体" w:cs="宋体"/>
                <w:b w:val="0"/>
                <w:i w:val="0"/>
                <w:color w:val="000000"/>
                <w:sz w:val="9"/>
              </w:rPr>
              <w:t>住房保障支出</w:t>
            </w:r>
          </w:p>
        </w:tc>
        <w:tc>
          <w:tcPr>
            <w:tcW w:w="860" w:type="dxa"/>
            <w:vAlign w:val="center"/>
          </w:tcPr>
          <w:p w14:paraId="680A6594">
            <w:pPr>
              <w:jc w:val="right"/>
            </w:pPr>
            <w:r>
              <w:rPr>
                <w:rFonts w:ascii="宋体" w:hAnsi="宋体" w:eastAsia="宋体" w:cs="宋体"/>
                <w:b w:val="0"/>
                <w:i w:val="0"/>
                <w:color w:val="000000"/>
                <w:sz w:val="9"/>
              </w:rPr>
              <w:t>5,628.57</w:t>
            </w:r>
          </w:p>
        </w:tc>
        <w:tc>
          <w:tcPr>
            <w:tcW w:w="900" w:type="dxa"/>
            <w:vAlign w:val="center"/>
          </w:tcPr>
          <w:p w14:paraId="1029DE8B">
            <w:pPr>
              <w:jc w:val="right"/>
            </w:pPr>
            <w:r>
              <w:rPr>
                <w:rFonts w:ascii="宋体" w:hAnsi="宋体" w:eastAsia="宋体" w:cs="宋体"/>
                <w:b w:val="0"/>
                <w:i w:val="0"/>
                <w:color w:val="000000"/>
                <w:sz w:val="9"/>
              </w:rPr>
              <w:t>4,506.87</w:t>
            </w:r>
          </w:p>
        </w:tc>
        <w:tc>
          <w:tcPr>
            <w:tcW w:w="880" w:type="dxa"/>
            <w:vAlign w:val="center"/>
          </w:tcPr>
          <w:p w14:paraId="5A953944"/>
        </w:tc>
        <w:tc>
          <w:tcPr>
            <w:tcW w:w="880" w:type="dxa"/>
            <w:vAlign w:val="center"/>
          </w:tcPr>
          <w:p w14:paraId="08C1EAFC"/>
        </w:tc>
        <w:tc>
          <w:tcPr>
            <w:tcW w:w="900" w:type="dxa"/>
            <w:vAlign w:val="center"/>
          </w:tcPr>
          <w:p w14:paraId="2C0745FD"/>
        </w:tc>
        <w:tc>
          <w:tcPr>
            <w:tcW w:w="880" w:type="dxa"/>
            <w:vAlign w:val="center"/>
          </w:tcPr>
          <w:p w14:paraId="441565FA"/>
        </w:tc>
        <w:tc>
          <w:tcPr>
            <w:tcW w:w="986" w:type="dxa"/>
            <w:vAlign w:val="center"/>
          </w:tcPr>
          <w:p w14:paraId="3E32C022">
            <w:pPr>
              <w:jc w:val="right"/>
            </w:pPr>
            <w:r>
              <w:rPr>
                <w:rFonts w:ascii="宋体" w:hAnsi="宋体" w:eastAsia="宋体" w:cs="宋体"/>
                <w:b w:val="0"/>
                <w:i w:val="0"/>
                <w:color w:val="000000"/>
                <w:sz w:val="9"/>
              </w:rPr>
              <w:t>1,121.71</w:t>
            </w:r>
          </w:p>
        </w:tc>
      </w:tr>
      <w:tr w14:paraId="7C590B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B7388C6">
            <w:pPr>
              <w:jc w:val="left"/>
            </w:pPr>
            <w:r>
              <w:rPr>
                <w:rFonts w:ascii="宋体" w:hAnsi="宋体" w:eastAsia="宋体" w:cs="宋体"/>
                <w:b w:val="0"/>
                <w:i w:val="0"/>
                <w:color w:val="000000"/>
                <w:sz w:val="9"/>
              </w:rPr>
              <w:t>22101</w:t>
            </w:r>
          </w:p>
        </w:tc>
        <w:tc>
          <w:tcPr>
            <w:tcW w:w="1420" w:type="dxa"/>
            <w:vAlign w:val="center"/>
          </w:tcPr>
          <w:p w14:paraId="78237F09">
            <w:pPr>
              <w:jc w:val="left"/>
            </w:pPr>
            <w:r>
              <w:rPr>
                <w:rFonts w:ascii="宋体" w:hAnsi="宋体" w:eastAsia="宋体" w:cs="宋体"/>
                <w:b w:val="0"/>
                <w:i w:val="0"/>
                <w:color w:val="000000"/>
                <w:sz w:val="9"/>
              </w:rPr>
              <w:t>保障性安居工程支出</w:t>
            </w:r>
          </w:p>
        </w:tc>
        <w:tc>
          <w:tcPr>
            <w:tcW w:w="860" w:type="dxa"/>
            <w:vAlign w:val="center"/>
          </w:tcPr>
          <w:p w14:paraId="444AB7E2">
            <w:pPr>
              <w:jc w:val="right"/>
            </w:pPr>
            <w:r>
              <w:rPr>
                <w:rFonts w:ascii="宋体" w:hAnsi="宋体" w:eastAsia="宋体" w:cs="宋体"/>
                <w:b w:val="0"/>
                <w:i w:val="0"/>
                <w:color w:val="000000"/>
                <w:sz w:val="9"/>
              </w:rPr>
              <w:t>5,524.93</w:t>
            </w:r>
          </w:p>
        </w:tc>
        <w:tc>
          <w:tcPr>
            <w:tcW w:w="900" w:type="dxa"/>
            <w:vAlign w:val="center"/>
          </w:tcPr>
          <w:p w14:paraId="5E0832BB">
            <w:pPr>
              <w:jc w:val="right"/>
            </w:pPr>
            <w:r>
              <w:rPr>
                <w:rFonts w:ascii="宋体" w:hAnsi="宋体" w:eastAsia="宋体" w:cs="宋体"/>
                <w:b w:val="0"/>
                <w:i w:val="0"/>
                <w:color w:val="000000"/>
                <w:sz w:val="9"/>
              </w:rPr>
              <w:t>4,403.22</w:t>
            </w:r>
          </w:p>
        </w:tc>
        <w:tc>
          <w:tcPr>
            <w:tcW w:w="880" w:type="dxa"/>
            <w:vAlign w:val="center"/>
          </w:tcPr>
          <w:p w14:paraId="74B87A01"/>
        </w:tc>
        <w:tc>
          <w:tcPr>
            <w:tcW w:w="880" w:type="dxa"/>
            <w:vAlign w:val="center"/>
          </w:tcPr>
          <w:p w14:paraId="2932D2C1"/>
        </w:tc>
        <w:tc>
          <w:tcPr>
            <w:tcW w:w="900" w:type="dxa"/>
            <w:vAlign w:val="center"/>
          </w:tcPr>
          <w:p w14:paraId="404A7DA1"/>
        </w:tc>
        <w:tc>
          <w:tcPr>
            <w:tcW w:w="880" w:type="dxa"/>
            <w:vAlign w:val="center"/>
          </w:tcPr>
          <w:p w14:paraId="229AAF54"/>
        </w:tc>
        <w:tc>
          <w:tcPr>
            <w:tcW w:w="986" w:type="dxa"/>
            <w:vAlign w:val="center"/>
          </w:tcPr>
          <w:p w14:paraId="663D35DE">
            <w:pPr>
              <w:jc w:val="right"/>
            </w:pPr>
            <w:r>
              <w:rPr>
                <w:rFonts w:ascii="宋体" w:hAnsi="宋体" w:eastAsia="宋体" w:cs="宋体"/>
                <w:b w:val="0"/>
                <w:i w:val="0"/>
                <w:color w:val="000000"/>
                <w:sz w:val="9"/>
              </w:rPr>
              <w:t>1,121.71</w:t>
            </w:r>
          </w:p>
        </w:tc>
      </w:tr>
      <w:tr w14:paraId="77942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752DA4F">
            <w:pPr>
              <w:jc w:val="left"/>
            </w:pPr>
            <w:r>
              <w:rPr>
                <w:rFonts w:ascii="宋体" w:hAnsi="宋体" w:eastAsia="宋体" w:cs="宋体"/>
                <w:b w:val="0"/>
                <w:i w:val="0"/>
                <w:color w:val="000000"/>
                <w:sz w:val="9"/>
              </w:rPr>
              <w:t>2210106</w:t>
            </w:r>
          </w:p>
        </w:tc>
        <w:tc>
          <w:tcPr>
            <w:tcW w:w="1420" w:type="dxa"/>
            <w:vAlign w:val="center"/>
          </w:tcPr>
          <w:p w14:paraId="5EBA1BE3">
            <w:pPr>
              <w:jc w:val="left"/>
            </w:pPr>
            <w:r>
              <w:rPr>
                <w:rFonts w:ascii="宋体" w:hAnsi="宋体" w:eastAsia="宋体" w:cs="宋体"/>
                <w:b w:val="0"/>
                <w:i w:val="0"/>
                <w:color w:val="000000"/>
                <w:sz w:val="9"/>
              </w:rPr>
              <w:t>公共租赁住房</w:t>
            </w:r>
          </w:p>
        </w:tc>
        <w:tc>
          <w:tcPr>
            <w:tcW w:w="860" w:type="dxa"/>
            <w:vAlign w:val="center"/>
          </w:tcPr>
          <w:p w14:paraId="09F88393">
            <w:pPr>
              <w:jc w:val="right"/>
            </w:pPr>
            <w:r>
              <w:rPr>
                <w:rFonts w:ascii="宋体" w:hAnsi="宋体" w:eastAsia="宋体" w:cs="宋体"/>
                <w:b w:val="0"/>
                <w:i w:val="0"/>
                <w:color w:val="000000"/>
                <w:sz w:val="9"/>
              </w:rPr>
              <w:t>813.81</w:t>
            </w:r>
          </w:p>
        </w:tc>
        <w:tc>
          <w:tcPr>
            <w:tcW w:w="900" w:type="dxa"/>
            <w:vAlign w:val="center"/>
          </w:tcPr>
          <w:p w14:paraId="167A8351">
            <w:pPr>
              <w:jc w:val="right"/>
            </w:pPr>
            <w:r>
              <w:rPr>
                <w:rFonts w:ascii="宋体" w:hAnsi="宋体" w:eastAsia="宋体" w:cs="宋体"/>
                <w:b w:val="0"/>
                <w:i w:val="0"/>
                <w:color w:val="000000"/>
                <w:sz w:val="9"/>
              </w:rPr>
              <w:t>813.81</w:t>
            </w:r>
          </w:p>
        </w:tc>
        <w:tc>
          <w:tcPr>
            <w:tcW w:w="880" w:type="dxa"/>
            <w:vAlign w:val="center"/>
          </w:tcPr>
          <w:p w14:paraId="0F783C81"/>
        </w:tc>
        <w:tc>
          <w:tcPr>
            <w:tcW w:w="880" w:type="dxa"/>
            <w:vAlign w:val="center"/>
          </w:tcPr>
          <w:p w14:paraId="602229ED"/>
        </w:tc>
        <w:tc>
          <w:tcPr>
            <w:tcW w:w="900" w:type="dxa"/>
            <w:vAlign w:val="center"/>
          </w:tcPr>
          <w:p w14:paraId="64F059BB"/>
        </w:tc>
        <w:tc>
          <w:tcPr>
            <w:tcW w:w="880" w:type="dxa"/>
            <w:vAlign w:val="center"/>
          </w:tcPr>
          <w:p w14:paraId="067B469D"/>
        </w:tc>
        <w:tc>
          <w:tcPr>
            <w:tcW w:w="986" w:type="dxa"/>
            <w:vAlign w:val="center"/>
          </w:tcPr>
          <w:p w14:paraId="2A46B3DD"/>
        </w:tc>
      </w:tr>
      <w:tr w14:paraId="242302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ED60972">
            <w:pPr>
              <w:jc w:val="left"/>
            </w:pPr>
            <w:r>
              <w:rPr>
                <w:rFonts w:ascii="宋体" w:hAnsi="宋体" w:eastAsia="宋体" w:cs="宋体"/>
                <w:b w:val="0"/>
                <w:i w:val="0"/>
                <w:color w:val="000000"/>
                <w:sz w:val="9"/>
              </w:rPr>
              <w:t>2210107</w:t>
            </w:r>
          </w:p>
        </w:tc>
        <w:tc>
          <w:tcPr>
            <w:tcW w:w="1420" w:type="dxa"/>
            <w:vAlign w:val="center"/>
          </w:tcPr>
          <w:p w14:paraId="555173AD">
            <w:pPr>
              <w:jc w:val="left"/>
            </w:pPr>
            <w:r>
              <w:rPr>
                <w:rFonts w:ascii="宋体" w:hAnsi="宋体" w:eastAsia="宋体" w:cs="宋体"/>
                <w:b w:val="0"/>
                <w:i w:val="0"/>
                <w:color w:val="000000"/>
                <w:sz w:val="9"/>
              </w:rPr>
              <w:t>保障性住房租金补贴</w:t>
            </w:r>
          </w:p>
        </w:tc>
        <w:tc>
          <w:tcPr>
            <w:tcW w:w="860" w:type="dxa"/>
            <w:vAlign w:val="center"/>
          </w:tcPr>
          <w:p w14:paraId="635E76B1">
            <w:pPr>
              <w:jc w:val="right"/>
            </w:pPr>
            <w:r>
              <w:rPr>
                <w:rFonts w:ascii="宋体" w:hAnsi="宋体" w:eastAsia="宋体" w:cs="宋体"/>
                <w:b w:val="0"/>
                <w:i w:val="0"/>
                <w:color w:val="000000"/>
                <w:sz w:val="9"/>
              </w:rPr>
              <w:t>1,053.07</w:t>
            </w:r>
          </w:p>
        </w:tc>
        <w:tc>
          <w:tcPr>
            <w:tcW w:w="900" w:type="dxa"/>
            <w:vAlign w:val="center"/>
          </w:tcPr>
          <w:p w14:paraId="44E003D2">
            <w:pPr>
              <w:jc w:val="right"/>
            </w:pPr>
            <w:r>
              <w:rPr>
                <w:rFonts w:ascii="宋体" w:hAnsi="宋体" w:eastAsia="宋体" w:cs="宋体"/>
                <w:b w:val="0"/>
                <w:i w:val="0"/>
                <w:color w:val="000000"/>
                <w:sz w:val="9"/>
              </w:rPr>
              <w:t>1,051.32</w:t>
            </w:r>
          </w:p>
        </w:tc>
        <w:tc>
          <w:tcPr>
            <w:tcW w:w="880" w:type="dxa"/>
            <w:vAlign w:val="center"/>
          </w:tcPr>
          <w:p w14:paraId="201E7C02"/>
        </w:tc>
        <w:tc>
          <w:tcPr>
            <w:tcW w:w="880" w:type="dxa"/>
            <w:vAlign w:val="center"/>
          </w:tcPr>
          <w:p w14:paraId="11B2E454"/>
        </w:tc>
        <w:tc>
          <w:tcPr>
            <w:tcW w:w="900" w:type="dxa"/>
            <w:vAlign w:val="center"/>
          </w:tcPr>
          <w:p w14:paraId="0E636975"/>
        </w:tc>
        <w:tc>
          <w:tcPr>
            <w:tcW w:w="880" w:type="dxa"/>
            <w:vAlign w:val="center"/>
          </w:tcPr>
          <w:p w14:paraId="07F1C067"/>
        </w:tc>
        <w:tc>
          <w:tcPr>
            <w:tcW w:w="986" w:type="dxa"/>
            <w:vAlign w:val="center"/>
          </w:tcPr>
          <w:p w14:paraId="4FE3082C">
            <w:pPr>
              <w:jc w:val="right"/>
            </w:pPr>
            <w:r>
              <w:rPr>
                <w:rFonts w:ascii="宋体" w:hAnsi="宋体" w:eastAsia="宋体" w:cs="宋体"/>
                <w:b w:val="0"/>
                <w:i w:val="0"/>
                <w:color w:val="000000"/>
                <w:sz w:val="9"/>
              </w:rPr>
              <w:t>1.76</w:t>
            </w:r>
          </w:p>
        </w:tc>
      </w:tr>
      <w:tr w14:paraId="016F66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E08C87C">
            <w:pPr>
              <w:jc w:val="left"/>
            </w:pPr>
            <w:r>
              <w:rPr>
                <w:rFonts w:ascii="宋体" w:hAnsi="宋体" w:eastAsia="宋体" w:cs="宋体"/>
                <w:b w:val="0"/>
                <w:i w:val="0"/>
                <w:color w:val="000000"/>
                <w:sz w:val="9"/>
              </w:rPr>
              <w:t>2210108</w:t>
            </w:r>
          </w:p>
        </w:tc>
        <w:tc>
          <w:tcPr>
            <w:tcW w:w="1420" w:type="dxa"/>
            <w:vAlign w:val="center"/>
          </w:tcPr>
          <w:p w14:paraId="0F74C1C1">
            <w:pPr>
              <w:jc w:val="left"/>
            </w:pPr>
            <w:r>
              <w:rPr>
                <w:rFonts w:ascii="宋体" w:hAnsi="宋体" w:eastAsia="宋体" w:cs="宋体"/>
                <w:b w:val="0"/>
                <w:i w:val="0"/>
                <w:color w:val="000000"/>
                <w:sz w:val="9"/>
              </w:rPr>
              <w:t>老旧小区改造</w:t>
            </w:r>
          </w:p>
        </w:tc>
        <w:tc>
          <w:tcPr>
            <w:tcW w:w="860" w:type="dxa"/>
            <w:vAlign w:val="center"/>
          </w:tcPr>
          <w:p w14:paraId="1EEBFE1F">
            <w:pPr>
              <w:jc w:val="right"/>
            </w:pPr>
            <w:r>
              <w:rPr>
                <w:rFonts w:ascii="宋体" w:hAnsi="宋体" w:eastAsia="宋体" w:cs="宋体"/>
                <w:b w:val="0"/>
                <w:i w:val="0"/>
                <w:color w:val="000000"/>
                <w:sz w:val="9"/>
              </w:rPr>
              <w:t>3,606.00</w:t>
            </w:r>
          </w:p>
        </w:tc>
        <w:tc>
          <w:tcPr>
            <w:tcW w:w="900" w:type="dxa"/>
            <w:vAlign w:val="center"/>
          </w:tcPr>
          <w:p w14:paraId="531B9EC8">
            <w:pPr>
              <w:jc w:val="right"/>
            </w:pPr>
            <w:r>
              <w:rPr>
                <w:rFonts w:ascii="宋体" w:hAnsi="宋体" w:eastAsia="宋体" w:cs="宋体"/>
                <w:b w:val="0"/>
                <w:i w:val="0"/>
                <w:color w:val="000000"/>
                <w:sz w:val="9"/>
              </w:rPr>
              <w:t>2,516.00</w:t>
            </w:r>
          </w:p>
        </w:tc>
        <w:tc>
          <w:tcPr>
            <w:tcW w:w="880" w:type="dxa"/>
            <w:vAlign w:val="center"/>
          </w:tcPr>
          <w:p w14:paraId="644BA021"/>
        </w:tc>
        <w:tc>
          <w:tcPr>
            <w:tcW w:w="880" w:type="dxa"/>
            <w:vAlign w:val="center"/>
          </w:tcPr>
          <w:p w14:paraId="51598AD3"/>
        </w:tc>
        <w:tc>
          <w:tcPr>
            <w:tcW w:w="900" w:type="dxa"/>
            <w:vAlign w:val="center"/>
          </w:tcPr>
          <w:p w14:paraId="546ED097"/>
        </w:tc>
        <w:tc>
          <w:tcPr>
            <w:tcW w:w="880" w:type="dxa"/>
            <w:vAlign w:val="center"/>
          </w:tcPr>
          <w:p w14:paraId="38DC0AE8"/>
        </w:tc>
        <w:tc>
          <w:tcPr>
            <w:tcW w:w="986" w:type="dxa"/>
            <w:vAlign w:val="center"/>
          </w:tcPr>
          <w:p w14:paraId="58F94BA8">
            <w:pPr>
              <w:jc w:val="right"/>
            </w:pPr>
            <w:r>
              <w:rPr>
                <w:rFonts w:ascii="宋体" w:hAnsi="宋体" w:eastAsia="宋体" w:cs="宋体"/>
                <w:b w:val="0"/>
                <w:i w:val="0"/>
                <w:color w:val="000000"/>
                <w:sz w:val="9"/>
              </w:rPr>
              <w:t>1,090.00</w:t>
            </w:r>
          </w:p>
        </w:tc>
      </w:tr>
      <w:tr w14:paraId="4F27ED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5DF42E1">
            <w:pPr>
              <w:jc w:val="left"/>
            </w:pPr>
            <w:r>
              <w:rPr>
                <w:rFonts w:ascii="宋体" w:hAnsi="宋体" w:eastAsia="宋体" w:cs="宋体"/>
                <w:b w:val="0"/>
                <w:i w:val="0"/>
                <w:color w:val="000000"/>
                <w:sz w:val="9"/>
              </w:rPr>
              <w:t>2210110</w:t>
            </w:r>
          </w:p>
        </w:tc>
        <w:tc>
          <w:tcPr>
            <w:tcW w:w="1420" w:type="dxa"/>
            <w:vAlign w:val="center"/>
          </w:tcPr>
          <w:p w14:paraId="62624249">
            <w:pPr>
              <w:jc w:val="left"/>
            </w:pPr>
            <w:r>
              <w:rPr>
                <w:rFonts w:ascii="宋体" w:hAnsi="宋体" w:eastAsia="宋体" w:cs="宋体"/>
                <w:b w:val="0"/>
                <w:i w:val="0"/>
                <w:color w:val="000000"/>
                <w:sz w:val="9"/>
              </w:rPr>
              <w:t>保障性租赁住房</w:t>
            </w:r>
          </w:p>
        </w:tc>
        <w:tc>
          <w:tcPr>
            <w:tcW w:w="860" w:type="dxa"/>
            <w:vAlign w:val="center"/>
          </w:tcPr>
          <w:p w14:paraId="082CCBCB">
            <w:pPr>
              <w:jc w:val="right"/>
            </w:pPr>
            <w:r>
              <w:rPr>
                <w:rFonts w:ascii="宋体" w:hAnsi="宋体" w:eastAsia="宋体" w:cs="宋体"/>
                <w:b w:val="0"/>
                <w:i w:val="0"/>
                <w:color w:val="000000"/>
                <w:sz w:val="9"/>
              </w:rPr>
              <w:t>28.00</w:t>
            </w:r>
          </w:p>
        </w:tc>
        <w:tc>
          <w:tcPr>
            <w:tcW w:w="900" w:type="dxa"/>
            <w:vAlign w:val="center"/>
          </w:tcPr>
          <w:p w14:paraId="30C82CCF">
            <w:pPr>
              <w:jc w:val="right"/>
            </w:pPr>
            <w:r>
              <w:rPr>
                <w:rFonts w:ascii="宋体" w:hAnsi="宋体" w:eastAsia="宋体" w:cs="宋体"/>
                <w:b w:val="0"/>
                <w:i w:val="0"/>
                <w:color w:val="000000"/>
                <w:sz w:val="9"/>
              </w:rPr>
              <w:t>22.10</w:t>
            </w:r>
          </w:p>
        </w:tc>
        <w:tc>
          <w:tcPr>
            <w:tcW w:w="880" w:type="dxa"/>
            <w:vAlign w:val="center"/>
          </w:tcPr>
          <w:p w14:paraId="51E60DC8"/>
        </w:tc>
        <w:tc>
          <w:tcPr>
            <w:tcW w:w="880" w:type="dxa"/>
            <w:vAlign w:val="center"/>
          </w:tcPr>
          <w:p w14:paraId="78BC769F"/>
        </w:tc>
        <w:tc>
          <w:tcPr>
            <w:tcW w:w="900" w:type="dxa"/>
            <w:vAlign w:val="center"/>
          </w:tcPr>
          <w:p w14:paraId="6A046786"/>
        </w:tc>
        <w:tc>
          <w:tcPr>
            <w:tcW w:w="880" w:type="dxa"/>
            <w:vAlign w:val="center"/>
          </w:tcPr>
          <w:p w14:paraId="3B82D0DD"/>
        </w:tc>
        <w:tc>
          <w:tcPr>
            <w:tcW w:w="986" w:type="dxa"/>
            <w:vAlign w:val="center"/>
          </w:tcPr>
          <w:p w14:paraId="05CC37C3">
            <w:pPr>
              <w:jc w:val="right"/>
            </w:pPr>
            <w:r>
              <w:rPr>
                <w:rFonts w:ascii="宋体" w:hAnsi="宋体" w:eastAsia="宋体" w:cs="宋体"/>
                <w:b w:val="0"/>
                <w:i w:val="0"/>
                <w:color w:val="000000"/>
                <w:sz w:val="9"/>
              </w:rPr>
              <w:t>5.90</w:t>
            </w:r>
          </w:p>
        </w:tc>
      </w:tr>
      <w:tr w14:paraId="6F9773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A191A2C">
            <w:pPr>
              <w:jc w:val="left"/>
            </w:pPr>
            <w:r>
              <w:rPr>
                <w:rFonts w:ascii="宋体" w:hAnsi="宋体" w:eastAsia="宋体" w:cs="宋体"/>
                <w:b w:val="0"/>
                <w:i w:val="0"/>
                <w:color w:val="000000"/>
                <w:sz w:val="9"/>
              </w:rPr>
              <w:t>2210199</w:t>
            </w:r>
          </w:p>
        </w:tc>
        <w:tc>
          <w:tcPr>
            <w:tcW w:w="1420" w:type="dxa"/>
            <w:vAlign w:val="center"/>
          </w:tcPr>
          <w:p w14:paraId="74A50A78">
            <w:pPr>
              <w:jc w:val="left"/>
            </w:pPr>
            <w:r>
              <w:rPr>
                <w:rFonts w:ascii="宋体" w:hAnsi="宋体" w:eastAsia="宋体" w:cs="宋体"/>
                <w:b w:val="0"/>
                <w:i w:val="0"/>
                <w:color w:val="000000"/>
                <w:sz w:val="9"/>
              </w:rPr>
              <w:t>其他保障性安居工程支出</w:t>
            </w:r>
          </w:p>
        </w:tc>
        <w:tc>
          <w:tcPr>
            <w:tcW w:w="860" w:type="dxa"/>
            <w:vAlign w:val="center"/>
          </w:tcPr>
          <w:p w14:paraId="38719A36">
            <w:pPr>
              <w:jc w:val="right"/>
            </w:pPr>
            <w:r>
              <w:rPr>
                <w:rFonts w:ascii="宋体" w:hAnsi="宋体" w:eastAsia="宋体" w:cs="宋体"/>
                <w:b w:val="0"/>
                <w:i w:val="0"/>
                <w:color w:val="000000"/>
                <w:sz w:val="9"/>
              </w:rPr>
              <w:t>24.05</w:t>
            </w:r>
          </w:p>
        </w:tc>
        <w:tc>
          <w:tcPr>
            <w:tcW w:w="900" w:type="dxa"/>
            <w:vAlign w:val="center"/>
          </w:tcPr>
          <w:p w14:paraId="6E6A393C"/>
        </w:tc>
        <w:tc>
          <w:tcPr>
            <w:tcW w:w="880" w:type="dxa"/>
            <w:vAlign w:val="center"/>
          </w:tcPr>
          <w:p w14:paraId="05FBD18D"/>
        </w:tc>
        <w:tc>
          <w:tcPr>
            <w:tcW w:w="880" w:type="dxa"/>
            <w:vAlign w:val="center"/>
          </w:tcPr>
          <w:p w14:paraId="2A85EDE7"/>
        </w:tc>
        <w:tc>
          <w:tcPr>
            <w:tcW w:w="900" w:type="dxa"/>
            <w:vAlign w:val="center"/>
          </w:tcPr>
          <w:p w14:paraId="335B5F51"/>
        </w:tc>
        <w:tc>
          <w:tcPr>
            <w:tcW w:w="880" w:type="dxa"/>
            <w:vAlign w:val="center"/>
          </w:tcPr>
          <w:p w14:paraId="25D1D6DE"/>
        </w:tc>
        <w:tc>
          <w:tcPr>
            <w:tcW w:w="986" w:type="dxa"/>
            <w:vAlign w:val="center"/>
          </w:tcPr>
          <w:p w14:paraId="43FD77B3">
            <w:pPr>
              <w:jc w:val="right"/>
            </w:pPr>
            <w:r>
              <w:rPr>
                <w:rFonts w:ascii="宋体" w:hAnsi="宋体" w:eastAsia="宋体" w:cs="宋体"/>
                <w:b w:val="0"/>
                <w:i w:val="0"/>
                <w:color w:val="000000"/>
                <w:sz w:val="9"/>
              </w:rPr>
              <w:t>24.05</w:t>
            </w:r>
          </w:p>
        </w:tc>
      </w:tr>
      <w:tr w14:paraId="6E9258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E2C4E48">
            <w:pPr>
              <w:jc w:val="left"/>
            </w:pPr>
            <w:r>
              <w:rPr>
                <w:rFonts w:ascii="宋体" w:hAnsi="宋体" w:eastAsia="宋体" w:cs="宋体"/>
                <w:b w:val="0"/>
                <w:i w:val="0"/>
                <w:color w:val="000000"/>
                <w:sz w:val="9"/>
              </w:rPr>
              <w:t>22102</w:t>
            </w:r>
          </w:p>
        </w:tc>
        <w:tc>
          <w:tcPr>
            <w:tcW w:w="1420" w:type="dxa"/>
            <w:vAlign w:val="center"/>
          </w:tcPr>
          <w:p w14:paraId="53A8BC97">
            <w:pPr>
              <w:jc w:val="left"/>
            </w:pPr>
            <w:r>
              <w:rPr>
                <w:rFonts w:ascii="宋体" w:hAnsi="宋体" w:eastAsia="宋体" w:cs="宋体"/>
                <w:b w:val="0"/>
                <w:i w:val="0"/>
                <w:color w:val="000000"/>
                <w:sz w:val="9"/>
              </w:rPr>
              <w:t>住房改革支出</w:t>
            </w:r>
          </w:p>
        </w:tc>
        <w:tc>
          <w:tcPr>
            <w:tcW w:w="860" w:type="dxa"/>
            <w:vAlign w:val="center"/>
          </w:tcPr>
          <w:p w14:paraId="567132C7">
            <w:pPr>
              <w:jc w:val="right"/>
            </w:pPr>
            <w:r>
              <w:rPr>
                <w:rFonts w:ascii="宋体" w:hAnsi="宋体" w:eastAsia="宋体" w:cs="宋体"/>
                <w:b w:val="0"/>
                <w:i w:val="0"/>
                <w:color w:val="000000"/>
                <w:sz w:val="9"/>
              </w:rPr>
              <w:t>103.64</w:t>
            </w:r>
          </w:p>
        </w:tc>
        <w:tc>
          <w:tcPr>
            <w:tcW w:w="900" w:type="dxa"/>
            <w:vAlign w:val="center"/>
          </w:tcPr>
          <w:p w14:paraId="547C4473">
            <w:pPr>
              <w:jc w:val="right"/>
            </w:pPr>
            <w:r>
              <w:rPr>
                <w:rFonts w:ascii="宋体" w:hAnsi="宋体" w:eastAsia="宋体" w:cs="宋体"/>
                <w:b w:val="0"/>
                <w:i w:val="0"/>
                <w:color w:val="000000"/>
                <w:sz w:val="9"/>
              </w:rPr>
              <w:t>103.64</w:t>
            </w:r>
          </w:p>
        </w:tc>
        <w:tc>
          <w:tcPr>
            <w:tcW w:w="880" w:type="dxa"/>
            <w:vAlign w:val="center"/>
          </w:tcPr>
          <w:p w14:paraId="3AFF1033"/>
        </w:tc>
        <w:tc>
          <w:tcPr>
            <w:tcW w:w="880" w:type="dxa"/>
            <w:vAlign w:val="center"/>
          </w:tcPr>
          <w:p w14:paraId="7A8C3F17"/>
        </w:tc>
        <w:tc>
          <w:tcPr>
            <w:tcW w:w="900" w:type="dxa"/>
            <w:vAlign w:val="center"/>
          </w:tcPr>
          <w:p w14:paraId="214F6722"/>
        </w:tc>
        <w:tc>
          <w:tcPr>
            <w:tcW w:w="880" w:type="dxa"/>
            <w:vAlign w:val="center"/>
          </w:tcPr>
          <w:p w14:paraId="7349BDC6"/>
        </w:tc>
        <w:tc>
          <w:tcPr>
            <w:tcW w:w="986" w:type="dxa"/>
            <w:vAlign w:val="center"/>
          </w:tcPr>
          <w:p w14:paraId="31053D44"/>
        </w:tc>
      </w:tr>
      <w:tr w14:paraId="57758E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344769A">
            <w:pPr>
              <w:jc w:val="left"/>
            </w:pPr>
            <w:r>
              <w:rPr>
                <w:rFonts w:ascii="宋体" w:hAnsi="宋体" w:eastAsia="宋体" w:cs="宋体"/>
                <w:b w:val="0"/>
                <w:i w:val="0"/>
                <w:color w:val="000000"/>
                <w:sz w:val="9"/>
              </w:rPr>
              <w:t>2210201</w:t>
            </w:r>
          </w:p>
        </w:tc>
        <w:tc>
          <w:tcPr>
            <w:tcW w:w="1420" w:type="dxa"/>
            <w:vAlign w:val="center"/>
          </w:tcPr>
          <w:p w14:paraId="707DACA5">
            <w:pPr>
              <w:jc w:val="left"/>
            </w:pPr>
            <w:r>
              <w:rPr>
                <w:rFonts w:ascii="宋体" w:hAnsi="宋体" w:eastAsia="宋体" w:cs="宋体"/>
                <w:b w:val="0"/>
                <w:i w:val="0"/>
                <w:color w:val="000000"/>
                <w:sz w:val="9"/>
              </w:rPr>
              <w:t>住房公积金</w:t>
            </w:r>
          </w:p>
        </w:tc>
        <w:tc>
          <w:tcPr>
            <w:tcW w:w="860" w:type="dxa"/>
            <w:vAlign w:val="center"/>
          </w:tcPr>
          <w:p w14:paraId="321385E5">
            <w:pPr>
              <w:jc w:val="right"/>
            </w:pPr>
            <w:r>
              <w:rPr>
                <w:rFonts w:ascii="宋体" w:hAnsi="宋体" w:eastAsia="宋体" w:cs="宋体"/>
                <w:b w:val="0"/>
                <w:i w:val="0"/>
                <w:color w:val="000000"/>
                <w:sz w:val="9"/>
              </w:rPr>
              <w:t>103.64</w:t>
            </w:r>
          </w:p>
        </w:tc>
        <w:tc>
          <w:tcPr>
            <w:tcW w:w="900" w:type="dxa"/>
            <w:vAlign w:val="center"/>
          </w:tcPr>
          <w:p w14:paraId="1C57EDAB">
            <w:pPr>
              <w:jc w:val="right"/>
            </w:pPr>
            <w:r>
              <w:rPr>
                <w:rFonts w:ascii="宋体" w:hAnsi="宋体" w:eastAsia="宋体" w:cs="宋体"/>
                <w:b w:val="0"/>
                <w:i w:val="0"/>
                <w:color w:val="000000"/>
                <w:sz w:val="9"/>
              </w:rPr>
              <w:t>103.64</w:t>
            </w:r>
          </w:p>
        </w:tc>
        <w:tc>
          <w:tcPr>
            <w:tcW w:w="880" w:type="dxa"/>
            <w:vAlign w:val="center"/>
          </w:tcPr>
          <w:p w14:paraId="49B90858"/>
        </w:tc>
        <w:tc>
          <w:tcPr>
            <w:tcW w:w="880" w:type="dxa"/>
            <w:vAlign w:val="center"/>
          </w:tcPr>
          <w:p w14:paraId="0642341A"/>
        </w:tc>
        <w:tc>
          <w:tcPr>
            <w:tcW w:w="900" w:type="dxa"/>
            <w:vAlign w:val="center"/>
          </w:tcPr>
          <w:p w14:paraId="5072E45A"/>
        </w:tc>
        <w:tc>
          <w:tcPr>
            <w:tcW w:w="880" w:type="dxa"/>
            <w:vAlign w:val="center"/>
          </w:tcPr>
          <w:p w14:paraId="65F1D5AC"/>
        </w:tc>
        <w:tc>
          <w:tcPr>
            <w:tcW w:w="986" w:type="dxa"/>
            <w:vAlign w:val="center"/>
          </w:tcPr>
          <w:p w14:paraId="4478C87E"/>
        </w:tc>
      </w:tr>
      <w:tr w14:paraId="6543C2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C6BD324">
            <w:pPr>
              <w:jc w:val="left"/>
            </w:pPr>
            <w:r>
              <w:rPr>
                <w:rFonts w:ascii="宋体" w:hAnsi="宋体" w:eastAsia="宋体" w:cs="宋体"/>
                <w:b w:val="0"/>
                <w:i w:val="0"/>
                <w:color w:val="000000"/>
                <w:sz w:val="9"/>
              </w:rPr>
              <w:t>229</w:t>
            </w:r>
          </w:p>
        </w:tc>
        <w:tc>
          <w:tcPr>
            <w:tcW w:w="1420" w:type="dxa"/>
            <w:vAlign w:val="center"/>
          </w:tcPr>
          <w:p w14:paraId="09CA80BF">
            <w:pPr>
              <w:jc w:val="left"/>
            </w:pPr>
            <w:r>
              <w:rPr>
                <w:rFonts w:ascii="宋体" w:hAnsi="宋体" w:eastAsia="宋体" w:cs="宋体"/>
                <w:b w:val="0"/>
                <w:i w:val="0"/>
                <w:color w:val="000000"/>
                <w:sz w:val="9"/>
              </w:rPr>
              <w:t>其他支出</w:t>
            </w:r>
          </w:p>
        </w:tc>
        <w:tc>
          <w:tcPr>
            <w:tcW w:w="860" w:type="dxa"/>
            <w:vAlign w:val="center"/>
          </w:tcPr>
          <w:p w14:paraId="084C4D38">
            <w:pPr>
              <w:jc w:val="right"/>
            </w:pPr>
            <w:r>
              <w:rPr>
                <w:rFonts w:ascii="宋体" w:hAnsi="宋体" w:eastAsia="宋体" w:cs="宋体"/>
                <w:b w:val="0"/>
                <w:i w:val="0"/>
                <w:color w:val="000000"/>
                <w:sz w:val="9"/>
              </w:rPr>
              <w:t>33,061.50</w:t>
            </w:r>
          </w:p>
        </w:tc>
        <w:tc>
          <w:tcPr>
            <w:tcW w:w="900" w:type="dxa"/>
            <w:vAlign w:val="center"/>
          </w:tcPr>
          <w:p w14:paraId="1FCA5B2F">
            <w:pPr>
              <w:jc w:val="right"/>
            </w:pPr>
            <w:r>
              <w:rPr>
                <w:rFonts w:ascii="宋体" w:hAnsi="宋体" w:eastAsia="宋体" w:cs="宋体"/>
                <w:b w:val="0"/>
                <w:i w:val="0"/>
                <w:color w:val="000000"/>
                <w:sz w:val="9"/>
              </w:rPr>
              <w:t>32,990.00</w:t>
            </w:r>
          </w:p>
        </w:tc>
        <w:tc>
          <w:tcPr>
            <w:tcW w:w="880" w:type="dxa"/>
            <w:vAlign w:val="center"/>
          </w:tcPr>
          <w:p w14:paraId="3EBFF7C8"/>
        </w:tc>
        <w:tc>
          <w:tcPr>
            <w:tcW w:w="880" w:type="dxa"/>
            <w:vAlign w:val="center"/>
          </w:tcPr>
          <w:p w14:paraId="2FF4C3C9"/>
        </w:tc>
        <w:tc>
          <w:tcPr>
            <w:tcW w:w="900" w:type="dxa"/>
            <w:vAlign w:val="center"/>
          </w:tcPr>
          <w:p w14:paraId="274F6587"/>
        </w:tc>
        <w:tc>
          <w:tcPr>
            <w:tcW w:w="880" w:type="dxa"/>
            <w:vAlign w:val="center"/>
          </w:tcPr>
          <w:p w14:paraId="2C5C6875"/>
        </w:tc>
        <w:tc>
          <w:tcPr>
            <w:tcW w:w="986" w:type="dxa"/>
            <w:vAlign w:val="center"/>
          </w:tcPr>
          <w:p w14:paraId="343FAEC7">
            <w:pPr>
              <w:jc w:val="right"/>
            </w:pPr>
            <w:r>
              <w:rPr>
                <w:rFonts w:ascii="宋体" w:hAnsi="宋体" w:eastAsia="宋体" w:cs="宋体"/>
                <w:b w:val="0"/>
                <w:i w:val="0"/>
                <w:color w:val="000000"/>
                <w:sz w:val="9"/>
              </w:rPr>
              <w:t>71.50</w:t>
            </w:r>
          </w:p>
        </w:tc>
      </w:tr>
      <w:tr w14:paraId="7E213B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39E2615">
            <w:pPr>
              <w:jc w:val="left"/>
            </w:pPr>
            <w:r>
              <w:rPr>
                <w:rFonts w:ascii="宋体" w:hAnsi="宋体" w:eastAsia="宋体" w:cs="宋体"/>
                <w:b w:val="0"/>
                <w:i w:val="0"/>
                <w:color w:val="000000"/>
                <w:sz w:val="9"/>
              </w:rPr>
              <w:t>22904</w:t>
            </w:r>
          </w:p>
        </w:tc>
        <w:tc>
          <w:tcPr>
            <w:tcW w:w="1420" w:type="dxa"/>
            <w:vAlign w:val="center"/>
          </w:tcPr>
          <w:p w14:paraId="5B45C652">
            <w:pPr>
              <w:jc w:val="left"/>
            </w:pPr>
            <w:r>
              <w:rPr>
                <w:rFonts w:ascii="宋体" w:hAnsi="宋体" w:eastAsia="宋体" w:cs="宋体"/>
                <w:b w:val="0"/>
                <w:i w:val="0"/>
                <w:color w:val="000000"/>
                <w:sz w:val="9"/>
              </w:rPr>
              <w:t>其他政府性基金及对应专项债务收入安排的支出</w:t>
            </w:r>
          </w:p>
        </w:tc>
        <w:tc>
          <w:tcPr>
            <w:tcW w:w="860" w:type="dxa"/>
            <w:vAlign w:val="center"/>
          </w:tcPr>
          <w:p w14:paraId="4AF84E41">
            <w:pPr>
              <w:jc w:val="right"/>
            </w:pPr>
            <w:r>
              <w:rPr>
                <w:rFonts w:ascii="宋体" w:hAnsi="宋体" w:eastAsia="宋体" w:cs="宋体"/>
                <w:b w:val="0"/>
                <w:i w:val="0"/>
                <w:color w:val="000000"/>
                <w:sz w:val="9"/>
              </w:rPr>
              <w:t>32,990.00</w:t>
            </w:r>
          </w:p>
        </w:tc>
        <w:tc>
          <w:tcPr>
            <w:tcW w:w="900" w:type="dxa"/>
            <w:vAlign w:val="center"/>
          </w:tcPr>
          <w:p w14:paraId="696DFB04">
            <w:pPr>
              <w:jc w:val="right"/>
            </w:pPr>
            <w:r>
              <w:rPr>
                <w:rFonts w:ascii="宋体" w:hAnsi="宋体" w:eastAsia="宋体" w:cs="宋体"/>
                <w:b w:val="0"/>
                <w:i w:val="0"/>
                <w:color w:val="000000"/>
                <w:sz w:val="9"/>
              </w:rPr>
              <w:t>32,990.00</w:t>
            </w:r>
          </w:p>
        </w:tc>
        <w:tc>
          <w:tcPr>
            <w:tcW w:w="880" w:type="dxa"/>
            <w:vAlign w:val="center"/>
          </w:tcPr>
          <w:p w14:paraId="56A0F656"/>
        </w:tc>
        <w:tc>
          <w:tcPr>
            <w:tcW w:w="880" w:type="dxa"/>
            <w:vAlign w:val="center"/>
          </w:tcPr>
          <w:p w14:paraId="40DDE9AE"/>
        </w:tc>
        <w:tc>
          <w:tcPr>
            <w:tcW w:w="900" w:type="dxa"/>
            <w:vAlign w:val="center"/>
          </w:tcPr>
          <w:p w14:paraId="18361E65"/>
        </w:tc>
        <w:tc>
          <w:tcPr>
            <w:tcW w:w="880" w:type="dxa"/>
            <w:vAlign w:val="center"/>
          </w:tcPr>
          <w:p w14:paraId="5BF94C39"/>
        </w:tc>
        <w:tc>
          <w:tcPr>
            <w:tcW w:w="986" w:type="dxa"/>
            <w:vAlign w:val="center"/>
          </w:tcPr>
          <w:p w14:paraId="48B2D261"/>
        </w:tc>
      </w:tr>
      <w:tr w14:paraId="784840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1B70885">
            <w:pPr>
              <w:jc w:val="left"/>
            </w:pPr>
            <w:r>
              <w:rPr>
                <w:rFonts w:ascii="宋体" w:hAnsi="宋体" w:eastAsia="宋体" w:cs="宋体"/>
                <w:b w:val="0"/>
                <w:i w:val="0"/>
                <w:color w:val="000000"/>
                <w:sz w:val="9"/>
              </w:rPr>
              <w:t>2290402</w:t>
            </w:r>
          </w:p>
        </w:tc>
        <w:tc>
          <w:tcPr>
            <w:tcW w:w="1420" w:type="dxa"/>
            <w:vAlign w:val="center"/>
          </w:tcPr>
          <w:p w14:paraId="0EC64EB9">
            <w:pPr>
              <w:jc w:val="left"/>
            </w:pPr>
            <w:r>
              <w:rPr>
                <w:rFonts w:ascii="宋体" w:hAnsi="宋体" w:eastAsia="宋体" w:cs="宋体"/>
                <w:b w:val="0"/>
                <w:i w:val="0"/>
                <w:color w:val="000000"/>
                <w:sz w:val="9"/>
              </w:rPr>
              <w:t>其他地方自行试点项目收益专项债券收入安排的支出</w:t>
            </w:r>
          </w:p>
        </w:tc>
        <w:tc>
          <w:tcPr>
            <w:tcW w:w="860" w:type="dxa"/>
            <w:vAlign w:val="center"/>
          </w:tcPr>
          <w:p w14:paraId="7F971A7F">
            <w:pPr>
              <w:jc w:val="right"/>
            </w:pPr>
            <w:r>
              <w:rPr>
                <w:rFonts w:ascii="宋体" w:hAnsi="宋体" w:eastAsia="宋体" w:cs="宋体"/>
                <w:b w:val="0"/>
                <w:i w:val="0"/>
                <w:color w:val="000000"/>
                <w:sz w:val="9"/>
              </w:rPr>
              <w:t>32,990.00</w:t>
            </w:r>
          </w:p>
        </w:tc>
        <w:tc>
          <w:tcPr>
            <w:tcW w:w="900" w:type="dxa"/>
            <w:vAlign w:val="center"/>
          </w:tcPr>
          <w:p w14:paraId="6C6DBC38">
            <w:pPr>
              <w:jc w:val="right"/>
            </w:pPr>
            <w:r>
              <w:rPr>
                <w:rFonts w:ascii="宋体" w:hAnsi="宋体" w:eastAsia="宋体" w:cs="宋体"/>
                <w:b w:val="0"/>
                <w:i w:val="0"/>
                <w:color w:val="000000"/>
                <w:sz w:val="9"/>
              </w:rPr>
              <w:t>32,990.00</w:t>
            </w:r>
          </w:p>
        </w:tc>
        <w:tc>
          <w:tcPr>
            <w:tcW w:w="880" w:type="dxa"/>
            <w:vAlign w:val="center"/>
          </w:tcPr>
          <w:p w14:paraId="238A7094"/>
        </w:tc>
        <w:tc>
          <w:tcPr>
            <w:tcW w:w="880" w:type="dxa"/>
            <w:vAlign w:val="center"/>
          </w:tcPr>
          <w:p w14:paraId="452E3E4F"/>
        </w:tc>
        <w:tc>
          <w:tcPr>
            <w:tcW w:w="900" w:type="dxa"/>
            <w:vAlign w:val="center"/>
          </w:tcPr>
          <w:p w14:paraId="03DCB348"/>
        </w:tc>
        <w:tc>
          <w:tcPr>
            <w:tcW w:w="880" w:type="dxa"/>
            <w:vAlign w:val="center"/>
          </w:tcPr>
          <w:p w14:paraId="7CE431E9"/>
        </w:tc>
        <w:tc>
          <w:tcPr>
            <w:tcW w:w="986" w:type="dxa"/>
            <w:vAlign w:val="center"/>
          </w:tcPr>
          <w:p w14:paraId="368A62FD"/>
        </w:tc>
      </w:tr>
      <w:tr w14:paraId="38CE17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931EE8A">
            <w:pPr>
              <w:jc w:val="left"/>
            </w:pPr>
            <w:r>
              <w:rPr>
                <w:rFonts w:ascii="宋体" w:hAnsi="宋体" w:eastAsia="宋体" w:cs="宋体"/>
                <w:b w:val="0"/>
                <w:i w:val="0"/>
                <w:color w:val="000000"/>
                <w:sz w:val="9"/>
              </w:rPr>
              <w:t>22999</w:t>
            </w:r>
          </w:p>
        </w:tc>
        <w:tc>
          <w:tcPr>
            <w:tcW w:w="1420" w:type="dxa"/>
            <w:vAlign w:val="center"/>
          </w:tcPr>
          <w:p w14:paraId="5FEE6E7A">
            <w:pPr>
              <w:jc w:val="left"/>
            </w:pPr>
            <w:r>
              <w:rPr>
                <w:rFonts w:ascii="宋体" w:hAnsi="宋体" w:eastAsia="宋体" w:cs="宋体"/>
                <w:b w:val="0"/>
                <w:i w:val="0"/>
                <w:color w:val="000000"/>
                <w:sz w:val="9"/>
              </w:rPr>
              <w:t>其他支出</w:t>
            </w:r>
          </w:p>
        </w:tc>
        <w:tc>
          <w:tcPr>
            <w:tcW w:w="860" w:type="dxa"/>
            <w:vAlign w:val="center"/>
          </w:tcPr>
          <w:p w14:paraId="43064674">
            <w:pPr>
              <w:jc w:val="right"/>
            </w:pPr>
            <w:r>
              <w:rPr>
                <w:rFonts w:ascii="宋体" w:hAnsi="宋体" w:eastAsia="宋体" w:cs="宋体"/>
                <w:b w:val="0"/>
                <w:i w:val="0"/>
                <w:color w:val="000000"/>
                <w:sz w:val="9"/>
              </w:rPr>
              <w:t>71.50</w:t>
            </w:r>
          </w:p>
        </w:tc>
        <w:tc>
          <w:tcPr>
            <w:tcW w:w="900" w:type="dxa"/>
            <w:vAlign w:val="center"/>
          </w:tcPr>
          <w:p w14:paraId="5DD93FF6"/>
        </w:tc>
        <w:tc>
          <w:tcPr>
            <w:tcW w:w="880" w:type="dxa"/>
            <w:vAlign w:val="center"/>
          </w:tcPr>
          <w:p w14:paraId="0E604202"/>
        </w:tc>
        <w:tc>
          <w:tcPr>
            <w:tcW w:w="880" w:type="dxa"/>
            <w:vAlign w:val="center"/>
          </w:tcPr>
          <w:p w14:paraId="78D3E77D"/>
        </w:tc>
        <w:tc>
          <w:tcPr>
            <w:tcW w:w="900" w:type="dxa"/>
            <w:vAlign w:val="center"/>
          </w:tcPr>
          <w:p w14:paraId="1A31580C"/>
        </w:tc>
        <w:tc>
          <w:tcPr>
            <w:tcW w:w="880" w:type="dxa"/>
            <w:vAlign w:val="center"/>
          </w:tcPr>
          <w:p w14:paraId="236BA4A8"/>
        </w:tc>
        <w:tc>
          <w:tcPr>
            <w:tcW w:w="986" w:type="dxa"/>
            <w:vAlign w:val="center"/>
          </w:tcPr>
          <w:p w14:paraId="1C99B32E">
            <w:pPr>
              <w:jc w:val="right"/>
            </w:pPr>
            <w:r>
              <w:rPr>
                <w:rFonts w:ascii="宋体" w:hAnsi="宋体" w:eastAsia="宋体" w:cs="宋体"/>
                <w:b w:val="0"/>
                <w:i w:val="0"/>
                <w:color w:val="000000"/>
                <w:sz w:val="9"/>
              </w:rPr>
              <w:t>71.50</w:t>
            </w:r>
          </w:p>
        </w:tc>
      </w:tr>
      <w:tr w14:paraId="5EA75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36FBA4A">
            <w:pPr>
              <w:jc w:val="left"/>
            </w:pPr>
            <w:r>
              <w:rPr>
                <w:rFonts w:ascii="宋体" w:hAnsi="宋体" w:eastAsia="宋体" w:cs="宋体"/>
                <w:b w:val="0"/>
                <w:i w:val="0"/>
                <w:color w:val="000000"/>
                <w:sz w:val="9"/>
              </w:rPr>
              <w:t>2299999</w:t>
            </w:r>
          </w:p>
        </w:tc>
        <w:tc>
          <w:tcPr>
            <w:tcW w:w="1420" w:type="dxa"/>
            <w:vAlign w:val="center"/>
          </w:tcPr>
          <w:p w14:paraId="24BC91A8">
            <w:pPr>
              <w:jc w:val="left"/>
            </w:pPr>
            <w:r>
              <w:rPr>
                <w:rFonts w:ascii="宋体" w:hAnsi="宋体" w:eastAsia="宋体" w:cs="宋体"/>
                <w:b w:val="0"/>
                <w:i w:val="0"/>
                <w:color w:val="000000"/>
                <w:sz w:val="9"/>
              </w:rPr>
              <w:t>其他支出</w:t>
            </w:r>
          </w:p>
        </w:tc>
        <w:tc>
          <w:tcPr>
            <w:tcW w:w="860" w:type="dxa"/>
            <w:vAlign w:val="center"/>
          </w:tcPr>
          <w:p w14:paraId="3FEA7F49">
            <w:pPr>
              <w:jc w:val="right"/>
            </w:pPr>
            <w:r>
              <w:rPr>
                <w:rFonts w:ascii="宋体" w:hAnsi="宋体" w:eastAsia="宋体" w:cs="宋体"/>
                <w:b w:val="0"/>
                <w:i w:val="0"/>
                <w:color w:val="000000"/>
                <w:sz w:val="9"/>
              </w:rPr>
              <w:t>71.50</w:t>
            </w:r>
          </w:p>
        </w:tc>
        <w:tc>
          <w:tcPr>
            <w:tcW w:w="900" w:type="dxa"/>
            <w:vAlign w:val="center"/>
          </w:tcPr>
          <w:p w14:paraId="5C519A77"/>
        </w:tc>
        <w:tc>
          <w:tcPr>
            <w:tcW w:w="880" w:type="dxa"/>
            <w:vAlign w:val="center"/>
          </w:tcPr>
          <w:p w14:paraId="2F6C0495"/>
        </w:tc>
        <w:tc>
          <w:tcPr>
            <w:tcW w:w="880" w:type="dxa"/>
            <w:vAlign w:val="center"/>
          </w:tcPr>
          <w:p w14:paraId="7DFE1C04"/>
        </w:tc>
        <w:tc>
          <w:tcPr>
            <w:tcW w:w="900" w:type="dxa"/>
            <w:vAlign w:val="center"/>
          </w:tcPr>
          <w:p w14:paraId="65737D28"/>
        </w:tc>
        <w:tc>
          <w:tcPr>
            <w:tcW w:w="880" w:type="dxa"/>
            <w:vAlign w:val="center"/>
          </w:tcPr>
          <w:p w14:paraId="62684289"/>
        </w:tc>
        <w:tc>
          <w:tcPr>
            <w:tcW w:w="986" w:type="dxa"/>
            <w:vAlign w:val="center"/>
          </w:tcPr>
          <w:p w14:paraId="674A5488">
            <w:pPr>
              <w:jc w:val="right"/>
            </w:pPr>
            <w:r>
              <w:rPr>
                <w:rFonts w:ascii="宋体" w:hAnsi="宋体" w:eastAsia="宋体" w:cs="宋体"/>
                <w:b w:val="0"/>
                <w:i w:val="0"/>
                <w:color w:val="000000"/>
                <w:sz w:val="9"/>
              </w:rPr>
              <w:t>71.50</w:t>
            </w:r>
          </w:p>
        </w:tc>
      </w:tr>
      <w:tr w14:paraId="370676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4" w:hRule="exact"/>
          <w:jc w:val="center"/>
        </w:trPr>
        <w:tc>
          <w:tcPr>
            <w:tcW w:w="180" w:type="dxa"/>
            <w:gridSpan w:val="11"/>
            <w:tcBorders>
              <w:left w:val="single" w:color="FFFFFF" w:sz="4" w:space="0"/>
              <w:bottom w:val="single" w:color="FFFFFF" w:sz="4" w:space="0"/>
              <w:right w:val="single" w:color="FFFFFF" w:sz="4" w:space="0"/>
              <w:insideH w:val="single" w:sz="4" w:space="0"/>
              <w:insideV w:val="single" w:sz="4" w:space="0"/>
            </w:tcBorders>
            <w:vAlign w:val="center"/>
          </w:tcPr>
          <w:p w14:paraId="6DC3535F">
            <w:pPr>
              <w:jc w:val="left"/>
            </w:pPr>
            <w:r>
              <w:rPr>
                <w:rFonts w:ascii="宋体" w:hAnsi="宋体" w:eastAsia="宋体" w:cs="宋体"/>
                <w:b w:val="0"/>
                <w:i w:val="0"/>
                <w:color w:val="000000"/>
                <w:sz w:val="9"/>
              </w:rPr>
              <w:t>注：本表反映部门（单位）本年度取得的各项收入情况。</w:t>
            </w:r>
          </w:p>
        </w:tc>
      </w:tr>
    </w:tbl>
    <w:p w14:paraId="40C5C32E">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支出决算表</w:t>
      </w:r>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756"/>
        <w:gridCol w:w="1397"/>
        <w:gridCol w:w="3153"/>
      </w:tblGrid>
      <w:tr w14:paraId="405EBF1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8306" w:type="dxa"/>
            <w:gridSpan w:val="3"/>
          </w:tcPr>
          <w:p w14:paraId="7366C0B0">
            <w:pPr>
              <w:jc w:val="right"/>
            </w:pPr>
            <w:r>
              <w:rPr>
                <w:rFonts w:ascii="宋体" w:hAnsi="宋体" w:eastAsia="宋体" w:cs="宋体"/>
                <w:sz w:val="20"/>
              </w:rPr>
              <w:t>公开03表</w:t>
            </w:r>
          </w:p>
        </w:tc>
      </w:tr>
      <w:tr w14:paraId="34CBB4D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756" w:type="dxa"/>
          </w:tcPr>
          <w:p w14:paraId="6D9DDB25">
            <w:pPr>
              <w:jc w:val="left"/>
            </w:pPr>
            <w:r>
              <w:rPr>
                <w:rFonts w:ascii="宋体" w:hAnsi="宋体" w:eastAsia="宋体" w:cs="宋体"/>
                <w:sz w:val="20"/>
              </w:rPr>
              <w:t>部门：南昌市青云谱区住房和城乡建设局</w:t>
            </w:r>
          </w:p>
        </w:tc>
        <w:tc>
          <w:tcPr>
            <w:tcW w:w="1397" w:type="dxa"/>
          </w:tcPr>
          <w:p w14:paraId="6A2EAAFC">
            <w:pPr>
              <w:jc w:val="center"/>
            </w:pPr>
            <w:r>
              <w:rPr>
                <w:rFonts w:ascii="宋体" w:hAnsi="宋体" w:eastAsia="宋体" w:cs="宋体"/>
                <w:sz w:val="20"/>
              </w:rPr>
              <w:t>2023年度</w:t>
            </w:r>
          </w:p>
        </w:tc>
        <w:tc>
          <w:tcPr>
            <w:tcW w:w="3153" w:type="dxa"/>
          </w:tcPr>
          <w:p w14:paraId="5D103F48">
            <w:pPr>
              <w:jc w:val="right"/>
            </w:pPr>
            <w:r>
              <w:rPr>
                <w:rFonts w:ascii="宋体" w:hAnsi="宋体" w:eastAsia="宋体" w:cs="宋体"/>
                <w:sz w:val="20"/>
              </w:rPr>
              <w:t>金额单位：万元</w:t>
            </w:r>
          </w:p>
        </w:tc>
      </w:tr>
    </w:tbl>
    <w:p w14:paraId="2CE3C7D7">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0"/>
        <w:gridCol w:w="260"/>
        <w:gridCol w:w="280"/>
        <w:gridCol w:w="1760"/>
        <w:gridCol w:w="940"/>
        <w:gridCol w:w="1000"/>
        <w:gridCol w:w="980"/>
        <w:gridCol w:w="920"/>
        <w:gridCol w:w="960"/>
        <w:gridCol w:w="926"/>
      </w:tblGrid>
      <w:tr w14:paraId="6F6B67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4"/>
            <w:vAlign w:val="center"/>
          </w:tcPr>
          <w:p w14:paraId="0F678E22">
            <w:pPr>
              <w:jc w:val="center"/>
            </w:pPr>
            <w:r>
              <w:rPr>
                <w:rFonts w:ascii="宋体" w:hAnsi="宋体" w:eastAsia="宋体" w:cs="宋体"/>
                <w:b w:val="0"/>
                <w:i w:val="0"/>
                <w:color w:val="000000"/>
                <w:sz w:val="11"/>
              </w:rPr>
              <w:t>项    目</w:t>
            </w:r>
          </w:p>
        </w:tc>
        <w:tc>
          <w:tcPr>
            <w:tcW w:w="940" w:type="dxa"/>
            <w:vMerge w:val="restart"/>
            <w:vAlign w:val="center"/>
          </w:tcPr>
          <w:p w14:paraId="7F8546E2">
            <w:pPr>
              <w:jc w:val="center"/>
            </w:pPr>
            <w:r>
              <w:rPr>
                <w:rFonts w:ascii="宋体" w:hAnsi="宋体" w:eastAsia="宋体" w:cs="宋体"/>
                <w:b w:val="0"/>
                <w:i w:val="0"/>
                <w:color w:val="000000"/>
                <w:sz w:val="11"/>
              </w:rPr>
              <w:t>本年支出合计</w:t>
            </w:r>
          </w:p>
        </w:tc>
        <w:tc>
          <w:tcPr>
            <w:tcW w:w="1000" w:type="dxa"/>
            <w:vMerge w:val="restart"/>
            <w:vAlign w:val="center"/>
          </w:tcPr>
          <w:p w14:paraId="7BF5CB9C">
            <w:pPr>
              <w:jc w:val="center"/>
            </w:pPr>
            <w:r>
              <w:rPr>
                <w:rFonts w:ascii="宋体" w:hAnsi="宋体" w:eastAsia="宋体" w:cs="宋体"/>
                <w:b w:val="0"/>
                <w:i w:val="0"/>
                <w:color w:val="000000"/>
                <w:sz w:val="11"/>
              </w:rPr>
              <w:t>基本支出</w:t>
            </w:r>
          </w:p>
        </w:tc>
        <w:tc>
          <w:tcPr>
            <w:tcW w:w="980" w:type="dxa"/>
            <w:vMerge w:val="restart"/>
            <w:vAlign w:val="center"/>
          </w:tcPr>
          <w:p w14:paraId="050F6225">
            <w:pPr>
              <w:jc w:val="center"/>
            </w:pPr>
            <w:r>
              <w:rPr>
                <w:rFonts w:ascii="宋体" w:hAnsi="宋体" w:eastAsia="宋体" w:cs="宋体"/>
                <w:b w:val="0"/>
                <w:i w:val="0"/>
                <w:color w:val="000000"/>
                <w:sz w:val="11"/>
              </w:rPr>
              <w:t>项目支出</w:t>
            </w:r>
          </w:p>
        </w:tc>
        <w:tc>
          <w:tcPr>
            <w:tcW w:w="920" w:type="dxa"/>
            <w:vMerge w:val="restart"/>
            <w:vAlign w:val="center"/>
          </w:tcPr>
          <w:p w14:paraId="35FBDAA4">
            <w:pPr>
              <w:jc w:val="center"/>
            </w:pPr>
            <w:r>
              <w:rPr>
                <w:rFonts w:ascii="宋体" w:hAnsi="宋体" w:eastAsia="宋体" w:cs="宋体"/>
                <w:b w:val="0"/>
                <w:i w:val="0"/>
                <w:color w:val="000000"/>
                <w:sz w:val="11"/>
              </w:rPr>
              <w:t>上缴上级支出</w:t>
            </w:r>
          </w:p>
        </w:tc>
        <w:tc>
          <w:tcPr>
            <w:tcW w:w="960" w:type="dxa"/>
            <w:vMerge w:val="restart"/>
            <w:vAlign w:val="center"/>
          </w:tcPr>
          <w:p w14:paraId="36B6436F">
            <w:pPr>
              <w:jc w:val="center"/>
            </w:pPr>
            <w:r>
              <w:rPr>
                <w:rFonts w:ascii="宋体" w:hAnsi="宋体" w:eastAsia="宋体" w:cs="宋体"/>
                <w:b w:val="0"/>
                <w:i w:val="0"/>
                <w:color w:val="000000"/>
                <w:sz w:val="11"/>
              </w:rPr>
              <w:t>经营支出</w:t>
            </w:r>
          </w:p>
        </w:tc>
        <w:tc>
          <w:tcPr>
            <w:tcW w:w="926" w:type="dxa"/>
            <w:vMerge w:val="restart"/>
            <w:vAlign w:val="center"/>
          </w:tcPr>
          <w:p w14:paraId="2B4CDF34">
            <w:pPr>
              <w:jc w:val="center"/>
            </w:pPr>
            <w:r>
              <w:rPr>
                <w:rFonts w:ascii="宋体" w:hAnsi="宋体" w:eastAsia="宋体" w:cs="宋体"/>
                <w:b w:val="0"/>
                <w:i w:val="0"/>
                <w:color w:val="000000"/>
                <w:sz w:val="11"/>
              </w:rPr>
              <w:t>对附属单位补助支出</w:t>
            </w:r>
          </w:p>
        </w:tc>
      </w:tr>
      <w:tr w14:paraId="038468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restart"/>
            <w:vAlign w:val="center"/>
          </w:tcPr>
          <w:p w14:paraId="79521D4B">
            <w:pPr>
              <w:jc w:val="center"/>
            </w:pPr>
            <w:r>
              <w:rPr>
                <w:rFonts w:ascii="宋体" w:hAnsi="宋体" w:eastAsia="宋体" w:cs="宋体"/>
                <w:b w:val="0"/>
                <w:i w:val="0"/>
                <w:color w:val="000000"/>
                <w:sz w:val="11"/>
              </w:rPr>
              <w:t>支出功能分类科目编码</w:t>
            </w:r>
          </w:p>
        </w:tc>
        <w:tc>
          <w:tcPr>
            <w:tcW w:w="1760" w:type="dxa"/>
            <w:vMerge w:val="restart"/>
            <w:vAlign w:val="center"/>
          </w:tcPr>
          <w:p w14:paraId="3C474BE0">
            <w:pPr>
              <w:jc w:val="center"/>
            </w:pPr>
            <w:r>
              <w:rPr>
                <w:rFonts w:ascii="宋体" w:hAnsi="宋体" w:eastAsia="宋体" w:cs="宋体"/>
                <w:b w:val="0"/>
                <w:i w:val="0"/>
                <w:color w:val="000000"/>
                <w:sz w:val="11"/>
              </w:rPr>
              <w:t>科目名称</w:t>
            </w:r>
          </w:p>
        </w:tc>
        <w:tc>
          <w:tcPr>
            <w:tcW w:w="940" w:type="dxa"/>
            <w:vMerge w:val="continue"/>
            <w:vAlign w:val="center"/>
          </w:tcPr>
          <w:p w14:paraId="0A583D93"/>
        </w:tc>
        <w:tc>
          <w:tcPr>
            <w:tcW w:w="1000" w:type="dxa"/>
            <w:vMerge w:val="continue"/>
            <w:vAlign w:val="center"/>
          </w:tcPr>
          <w:p w14:paraId="6A2AC744"/>
        </w:tc>
        <w:tc>
          <w:tcPr>
            <w:tcW w:w="980" w:type="dxa"/>
            <w:vMerge w:val="continue"/>
            <w:vAlign w:val="center"/>
          </w:tcPr>
          <w:p w14:paraId="57A769E1"/>
        </w:tc>
        <w:tc>
          <w:tcPr>
            <w:tcW w:w="920" w:type="dxa"/>
            <w:vMerge w:val="continue"/>
            <w:vAlign w:val="center"/>
          </w:tcPr>
          <w:p w14:paraId="21BFE9DB"/>
        </w:tc>
        <w:tc>
          <w:tcPr>
            <w:tcW w:w="960" w:type="dxa"/>
            <w:vMerge w:val="continue"/>
            <w:vAlign w:val="center"/>
          </w:tcPr>
          <w:p w14:paraId="3AC95CDF"/>
        </w:tc>
        <w:tc>
          <w:tcPr>
            <w:tcW w:w="926" w:type="dxa"/>
            <w:vMerge w:val="continue"/>
            <w:vAlign w:val="center"/>
          </w:tcPr>
          <w:p w14:paraId="48FF165E"/>
        </w:tc>
      </w:tr>
      <w:tr w14:paraId="6DD812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continue"/>
            <w:vAlign w:val="center"/>
          </w:tcPr>
          <w:p w14:paraId="218445AB"/>
        </w:tc>
        <w:tc>
          <w:tcPr>
            <w:tcW w:w="1760" w:type="dxa"/>
            <w:vMerge w:val="continue"/>
            <w:vAlign w:val="center"/>
          </w:tcPr>
          <w:p w14:paraId="719E8DA4"/>
        </w:tc>
        <w:tc>
          <w:tcPr>
            <w:tcW w:w="940" w:type="dxa"/>
            <w:vMerge w:val="continue"/>
            <w:vAlign w:val="center"/>
          </w:tcPr>
          <w:p w14:paraId="5B897AE7"/>
        </w:tc>
        <w:tc>
          <w:tcPr>
            <w:tcW w:w="1000" w:type="dxa"/>
            <w:vMerge w:val="continue"/>
            <w:vAlign w:val="center"/>
          </w:tcPr>
          <w:p w14:paraId="14766A4D"/>
        </w:tc>
        <w:tc>
          <w:tcPr>
            <w:tcW w:w="980" w:type="dxa"/>
            <w:vMerge w:val="continue"/>
            <w:vAlign w:val="center"/>
          </w:tcPr>
          <w:p w14:paraId="314980E2"/>
        </w:tc>
        <w:tc>
          <w:tcPr>
            <w:tcW w:w="920" w:type="dxa"/>
            <w:vMerge w:val="continue"/>
            <w:vAlign w:val="center"/>
          </w:tcPr>
          <w:p w14:paraId="2F067B06"/>
        </w:tc>
        <w:tc>
          <w:tcPr>
            <w:tcW w:w="960" w:type="dxa"/>
            <w:vMerge w:val="continue"/>
            <w:vAlign w:val="center"/>
          </w:tcPr>
          <w:p w14:paraId="28073A71"/>
        </w:tc>
        <w:tc>
          <w:tcPr>
            <w:tcW w:w="926" w:type="dxa"/>
            <w:vMerge w:val="continue"/>
            <w:vAlign w:val="center"/>
          </w:tcPr>
          <w:p w14:paraId="0B43FB4E"/>
        </w:tc>
      </w:tr>
      <w:tr w14:paraId="6843F4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280" w:type="dxa"/>
            <w:gridSpan w:val="3"/>
            <w:vMerge w:val="continue"/>
            <w:vAlign w:val="center"/>
          </w:tcPr>
          <w:p w14:paraId="64617DB2"/>
        </w:tc>
        <w:tc>
          <w:tcPr>
            <w:tcW w:w="1760" w:type="dxa"/>
            <w:vMerge w:val="continue"/>
            <w:vAlign w:val="center"/>
          </w:tcPr>
          <w:p w14:paraId="2AC91A81"/>
        </w:tc>
        <w:tc>
          <w:tcPr>
            <w:tcW w:w="940" w:type="dxa"/>
            <w:vMerge w:val="continue"/>
            <w:vAlign w:val="center"/>
          </w:tcPr>
          <w:p w14:paraId="120CEA53"/>
        </w:tc>
        <w:tc>
          <w:tcPr>
            <w:tcW w:w="1000" w:type="dxa"/>
            <w:vMerge w:val="continue"/>
            <w:vAlign w:val="center"/>
          </w:tcPr>
          <w:p w14:paraId="0FE0D785"/>
        </w:tc>
        <w:tc>
          <w:tcPr>
            <w:tcW w:w="980" w:type="dxa"/>
            <w:vMerge w:val="continue"/>
            <w:vAlign w:val="center"/>
          </w:tcPr>
          <w:p w14:paraId="6F7A1EAD"/>
        </w:tc>
        <w:tc>
          <w:tcPr>
            <w:tcW w:w="920" w:type="dxa"/>
            <w:vMerge w:val="continue"/>
            <w:vAlign w:val="center"/>
          </w:tcPr>
          <w:p w14:paraId="7BF94B35"/>
        </w:tc>
        <w:tc>
          <w:tcPr>
            <w:tcW w:w="960" w:type="dxa"/>
            <w:vMerge w:val="continue"/>
            <w:vAlign w:val="center"/>
          </w:tcPr>
          <w:p w14:paraId="5BFEA271"/>
        </w:tc>
        <w:tc>
          <w:tcPr>
            <w:tcW w:w="926" w:type="dxa"/>
            <w:vMerge w:val="continue"/>
            <w:vAlign w:val="center"/>
          </w:tcPr>
          <w:p w14:paraId="7D42607B"/>
        </w:tc>
      </w:tr>
      <w:tr w14:paraId="4AFEF1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vMerge w:val="restart"/>
            <w:vAlign w:val="center"/>
          </w:tcPr>
          <w:p w14:paraId="431A3057">
            <w:pPr>
              <w:jc w:val="center"/>
            </w:pPr>
            <w:r>
              <w:rPr>
                <w:rFonts w:ascii="宋体" w:hAnsi="宋体" w:eastAsia="宋体" w:cs="宋体"/>
                <w:b w:val="0"/>
                <w:i w:val="0"/>
                <w:color w:val="000000"/>
                <w:sz w:val="11"/>
              </w:rPr>
              <w:t>类</w:t>
            </w:r>
          </w:p>
        </w:tc>
        <w:tc>
          <w:tcPr>
            <w:tcW w:w="260" w:type="dxa"/>
            <w:vMerge w:val="restart"/>
            <w:vAlign w:val="center"/>
          </w:tcPr>
          <w:p w14:paraId="63761808">
            <w:pPr>
              <w:jc w:val="center"/>
            </w:pPr>
            <w:r>
              <w:rPr>
                <w:rFonts w:ascii="宋体" w:hAnsi="宋体" w:eastAsia="宋体" w:cs="宋体"/>
                <w:b w:val="0"/>
                <w:i w:val="0"/>
                <w:color w:val="000000"/>
                <w:sz w:val="11"/>
              </w:rPr>
              <w:t>款</w:t>
            </w:r>
          </w:p>
        </w:tc>
        <w:tc>
          <w:tcPr>
            <w:tcW w:w="280" w:type="dxa"/>
            <w:vMerge w:val="restart"/>
            <w:vAlign w:val="center"/>
          </w:tcPr>
          <w:p w14:paraId="154912C1">
            <w:pPr>
              <w:jc w:val="center"/>
            </w:pPr>
            <w:r>
              <w:rPr>
                <w:rFonts w:ascii="宋体" w:hAnsi="宋体" w:eastAsia="宋体" w:cs="宋体"/>
                <w:b w:val="0"/>
                <w:i w:val="0"/>
                <w:color w:val="000000"/>
                <w:sz w:val="11"/>
              </w:rPr>
              <w:t>项</w:t>
            </w:r>
          </w:p>
        </w:tc>
        <w:tc>
          <w:tcPr>
            <w:tcW w:w="1760" w:type="dxa"/>
            <w:vAlign w:val="center"/>
          </w:tcPr>
          <w:p w14:paraId="2642ABEC">
            <w:pPr>
              <w:jc w:val="center"/>
            </w:pPr>
            <w:r>
              <w:rPr>
                <w:rFonts w:ascii="宋体" w:hAnsi="宋体" w:eastAsia="宋体" w:cs="宋体"/>
                <w:b w:val="0"/>
                <w:i w:val="0"/>
                <w:color w:val="000000"/>
                <w:sz w:val="11"/>
              </w:rPr>
              <w:t>栏次</w:t>
            </w:r>
          </w:p>
        </w:tc>
        <w:tc>
          <w:tcPr>
            <w:tcW w:w="940" w:type="dxa"/>
            <w:vAlign w:val="center"/>
          </w:tcPr>
          <w:p w14:paraId="6F089490">
            <w:pPr>
              <w:jc w:val="center"/>
            </w:pPr>
            <w:r>
              <w:rPr>
                <w:rFonts w:ascii="宋体" w:hAnsi="宋体" w:eastAsia="宋体" w:cs="宋体"/>
                <w:b w:val="0"/>
                <w:i w:val="0"/>
                <w:color w:val="000000"/>
                <w:sz w:val="11"/>
              </w:rPr>
              <w:t>1</w:t>
            </w:r>
          </w:p>
        </w:tc>
        <w:tc>
          <w:tcPr>
            <w:tcW w:w="1000" w:type="dxa"/>
            <w:vAlign w:val="center"/>
          </w:tcPr>
          <w:p w14:paraId="0AC11822">
            <w:pPr>
              <w:jc w:val="center"/>
            </w:pPr>
            <w:r>
              <w:rPr>
                <w:rFonts w:ascii="宋体" w:hAnsi="宋体" w:eastAsia="宋体" w:cs="宋体"/>
                <w:b w:val="0"/>
                <w:i w:val="0"/>
                <w:color w:val="000000"/>
                <w:sz w:val="11"/>
              </w:rPr>
              <w:t>2</w:t>
            </w:r>
          </w:p>
        </w:tc>
        <w:tc>
          <w:tcPr>
            <w:tcW w:w="980" w:type="dxa"/>
            <w:vAlign w:val="center"/>
          </w:tcPr>
          <w:p w14:paraId="79D40019">
            <w:pPr>
              <w:jc w:val="center"/>
            </w:pPr>
            <w:r>
              <w:rPr>
                <w:rFonts w:ascii="宋体" w:hAnsi="宋体" w:eastAsia="宋体" w:cs="宋体"/>
                <w:b w:val="0"/>
                <w:i w:val="0"/>
                <w:color w:val="000000"/>
                <w:sz w:val="11"/>
              </w:rPr>
              <w:t>3</w:t>
            </w:r>
          </w:p>
        </w:tc>
        <w:tc>
          <w:tcPr>
            <w:tcW w:w="920" w:type="dxa"/>
            <w:vAlign w:val="center"/>
          </w:tcPr>
          <w:p w14:paraId="0DAE4627">
            <w:pPr>
              <w:jc w:val="center"/>
            </w:pPr>
            <w:r>
              <w:rPr>
                <w:rFonts w:ascii="宋体" w:hAnsi="宋体" w:eastAsia="宋体" w:cs="宋体"/>
                <w:b w:val="0"/>
                <w:i w:val="0"/>
                <w:color w:val="000000"/>
                <w:sz w:val="11"/>
              </w:rPr>
              <w:t>4</w:t>
            </w:r>
          </w:p>
        </w:tc>
        <w:tc>
          <w:tcPr>
            <w:tcW w:w="960" w:type="dxa"/>
            <w:vAlign w:val="center"/>
          </w:tcPr>
          <w:p w14:paraId="3EE36428">
            <w:pPr>
              <w:jc w:val="center"/>
            </w:pPr>
            <w:r>
              <w:rPr>
                <w:rFonts w:ascii="宋体" w:hAnsi="宋体" w:eastAsia="宋体" w:cs="宋体"/>
                <w:b w:val="0"/>
                <w:i w:val="0"/>
                <w:color w:val="000000"/>
                <w:sz w:val="11"/>
              </w:rPr>
              <w:t>5</w:t>
            </w:r>
          </w:p>
        </w:tc>
        <w:tc>
          <w:tcPr>
            <w:tcW w:w="926" w:type="dxa"/>
            <w:vAlign w:val="center"/>
          </w:tcPr>
          <w:p w14:paraId="6FBFD270">
            <w:pPr>
              <w:jc w:val="center"/>
            </w:pPr>
            <w:r>
              <w:rPr>
                <w:rFonts w:ascii="宋体" w:hAnsi="宋体" w:eastAsia="宋体" w:cs="宋体"/>
                <w:b w:val="0"/>
                <w:i w:val="0"/>
                <w:color w:val="000000"/>
                <w:sz w:val="11"/>
              </w:rPr>
              <w:t>6</w:t>
            </w:r>
          </w:p>
        </w:tc>
      </w:tr>
      <w:tr w14:paraId="3FE3BA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vMerge w:val="continue"/>
            <w:vAlign w:val="center"/>
          </w:tcPr>
          <w:p w14:paraId="50008E78"/>
        </w:tc>
        <w:tc>
          <w:tcPr>
            <w:tcW w:w="260" w:type="dxa"/>
            <w:vMerge w:val="continue"/>
            <w:vAlign w:val="center"/>
          </w:tcPr>
          <w:p w14:paraId="0F8E47F6"/>
        </w:tc>
        <w:tc>
          <w:tcPr>
            <w:tcW w:w="280" w:type="dxa"/>
            <w:vMerge w:val="continue"/>
            <w:vAlign w:val="center"/>
          </w:tcPr>
          <w:p w14:paraId="5EDEC199"/>
        </w:tc>
        <w:tc>
          <w:tcPr>
            <w:tcW w:w="1760" w:type="dxa"/>
            <w:vAlign w:val="center"/>
          </w:tcPr>
          <w:p w14:paraId="79F96B91">
            <w:pPr>
              <w:jc w:val="center"/>
            </w:pPr>
            <w:r>
              <w:rPr>
                <w:rFonts w:ascii="宋体" w:hAnsi="宋体" w:eastAsia="宋体" w:cs="宋体"/>
                <w:b w:val="0"/>
                <w:i w:val="0"/>
                <w:color w:val="000000"/>
                <w:sz w:val="11"/>
              </w:rPr>
              <w:t>合计</w:t>
            </w:r>
          </w:p>
        </w:tc>
        <w:tc>
          <w:tcPr>
            <w:tcW w:w="940" w:type="dxa"/>
            <w:vAlign w:val="center"/>
          </w:tcPr>
          <w:p w14:paraId="0F8CA18C">
            <w:pPr>
              <w:jc w:val="right"/>
            </w:pPr>
            <w:r>
              <w:rPr>
                <w:rFonts w:ascii="宋体" w:hAnsi="宋体" w:eastAsia="宋体" w:cs="宋体"/>
                <w:b w:val="0"/>
                <w:i w:val="0"/>
                <w:color w:val="000000"/>
                <w:sz w:val="11"/>
              </w:rPr>
              <w:t>50,832.25</w:t>
            </w:r>
          </w:p>
        </w:tc>
        <w:tc>
          <w:tcPr>
            <w:tcW w:w="1000" w:type="dxa"/>
            <w:vAlign w:val="center"/>
          </w:tcPr>
          <w:p w14:paraId="3946CEED">
            <w:pPr>
              <w:jc w:val="right"/>
            </w:pPr>
            <w:r>
              <w:rPr>
                <w:rFonts w:ascii="宋体" w:hAnsi="宋体" w:eastAsia="宋体" w:cs="宋体"/>
                <w:b w:val="0"/>
                <w:i w:val="0"/>
                <w:color w:val="000000"/>
                <w:sz w:val="11"/>
              </w:rPr>
              <w:t>6,423.68</w:t>
            </w:r>
          </w:p>
        </w:tc>
        <w:tc>
          <w:tcPr>
            <w:tcW w:w="980" w:type="dxa"/>
            <w:vAlign w:val="center"/>
          </w:tcPr>
          <w:p w14:paraId="163357DD">
            <w:pPr>
              <w:jc w:val="right"/>
            </w:pPr>
            <w:r>
              <w:rPr>
                <w:rFonts w:ascii="宋体" w:hAnsi="宋体" w:eastAsia="宋体" w:cs="宋体"/>
                <w:b w:val="0"/>
                <w:i w:val="0"/>
                <w:color w:val="000000"/>
                <w:sz w:val="11"/>
              </w:rPr>
              <w:t>44,408.57</w:t>
            </w:r>
          </w:p>
        </w:tc>
        <w:tc>
          <w:tcPr>
            <w:tcW w:w="920" w:type="dxa"/>
            <w:vAlign w:val="center"/>
          </w:tcPr>
          <w:p w14:paraId="5D29D7A5"/>
        </w:tc>
        <w:tc>
          <w:tcPr>
            <w:tcW w:w="960" w:type="dxa"/>
            <w:vAlign w:val="center"/>
          </w:tcPr>
          <w:p w14:paraId="3C4F5111"/>
        </w:tc>
        <w:tc>
          <w:tcPr>
            <w:tcW w:w="926" w:type="dxa"/>
            <w:vAlign w:val="center"/>
          </w:tcPr>
          <w:p w14:paraId="3F97E055"/>
        </w:tc>
      </w:tr>
      <w:tr w14:paraId="25CE7D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E21F964">
            <w:pPr>
              <w:jc w:val="left"/>
            </w:pPr>
            <w:r>
              <w:rPr>
                <w:rFonts w:ascii="宋体" w:hAnsi="宋体" w:eastAsia="宋体" w:cs="宋体"/>
                <w:b w:val="0"/>
                <w:i w:val="0"/>
                <w:color w:val="000000"/>
                <w:sz w:val="11"/>
              </w:rPr>
              <w:t>201</w:t>
            </w:r>
          </w:p>
        </w:tc>
        <w:tc>
          <w:tcPr>
            <w:tcW w:w="1760" w:type="dxa"/>
            <w:vAlign w:val="center"/>
          </w:tcPr>
          <w:p w14:paraId="18616FB1">
            <w:pPr>
              <w:jc w:val="left"/>
            </w:pPr>
            <w:r>
              <w:rPr>
                <w:rFonts w:ascii="宋体" w:hAnsi="宋体" w:eastAsia="宋体" w:cs="宋体"/>
                <w:b w:val="0"/>
                <w:i w:val="0"/>
                <w:color w:val="000000"/>
                <w:sz w:val="11"/>
              </w:rPr>
              <w:t>一般公共服务支出</w:t>
            </w:r>
          </w:p>
        </w:tc>
        <w:tc>
          <w:tcPr>
            <w:tcW w:w="940" w:type="dxa"/>
            <w:vAlign w:val="center"/>
          </w:tcPr>
          <w:p w14:paraId="41F87C8E">
            <w:pPr>
              <w:jc w:val="right"/>
            </w:pPr>
            <w:r>
              <w:rPr>
                <w:rFonts w:ascii="宋体" w:hAnsi="宋体" w:eastAsia="宋体" w:cs="宋体"/>
                <w:b w:val="0"/>
                <w:i w:val="0"/>
                <w:color w:val="000000"/>
                <w:sz w:val="11"/>
              </w:rPr>
              <w:t>10.00</w:t>
            </w:r>
          </w:p>
        </w:tc>
        <w:tc>
          <w:tcPr>
            <w:tcW w:w="1000" w:type="dxa"/>
            <w:vAlign w:val="center"/>
          </w:tcPr>
          <w:p w14:paraId="52EE6150"/>
        </w:tc>
        <w:tc>
          <w:tcPr>
            <w:tcW w:w="980" w:type="dxa"/>
            <w:vAlign w:val="center"/>
          </w:tcPr>
          <w:p w14:paraId="566E5977">
            <w:pPr>
              <w:jc w:val="right"/>
            </w:pPr>
            <w:r>
              <w:rPr>
                <w:rFonts w:ascii="宋体" w:hAnsi="宋体" w:eastAsia="宋体" w:cs="宋体"/>
                <w:b w:val="0"/>
                <w:i w:val="0"/>
                <w:color w:val="000000"/>
                <w:sz w:val="11"/>
              </w:rPr>
              <w:t>10.00</w:t>
            </w:r>
          </w:p>
        </w:tc>
        <w:tc>
          <w:tcPr>
            <w:tcW w:w="920" w:type="dxa"/>
            <w:vAlign w:val="center"/>
          </w:tcPr>
          <w:p w14:paraId="12742A2B"/>
        </w:tc>
        <w:tc>
          <w:tcPr>
            <w:tcW w:w="960" w:type="dxa"/>
            <w:vAlign w:val="center"/>
          </w:tcPr>
          <w:p w14:paraId="3D336A3F"/>
        </w:tc>
        <w:tc>
          <w:tcPr>
            <w:tcW w:w="926" w:type="dxa"/>
            <w:vAlign w:val="center"/>
          </w:tcPr>
          <w:p w14:paraId="28BD2C97"/>
        </w:tc>
      </w:tr>
      <w:tr w14:paraId="1349EB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77E7C65">
            <w:pPr>
              <w:jc w:val="left"/>
            </w:pPr>
            <w:r>
              <w:rPr>
                <w:rFonts w:ascii="宋体" w:hAnsi="宋体" w:eastAsia="宋体" w:cs="宋体"/>
                <w:b w:val="0"/>
                <w:i w:val="0"/>
                <w:color w:val="000000"/>
                <w:sz w:val="11"/>
              </w:rPr>
              <w:t>20103</w:t>
            </w:r>
          </w:p>
        </w:tc>
        <w:tc>
          <w:tcPr>
            <w:tcW w:w="1760" w:type="dxa"/>
            <w:vAlign w:val="center"/>
          </w:tcPr>
          <w:p w14:paraId="4E8B09BE">
            <w:pPr>
              <w:jc w:val="left"/>
            </w:pPr>
            <w:r>
              <w:rPr>
                <w:rFonts w:ascii="宋体" w:hAnsi="宋体" w:eastAsia="宋体" w:cs="宋体"/>
                <w:b w:val="0"/>
                <w:i w:val="0"/>
                <w:color w:val="000000"/>
                <w:sz w:val="11"/>
              </w:rPr>
              <w:t>政府办公厅（室）及相关机构事务</w:t>
            </w:r>
          </w:p>
        </w:tc>
        <w:tc>
          <w:tcPr>
            <w:tcW w:w="940" w:type="dxa"/>
            <w:vAlign w:val="center"/>
          </w:tcPr>
          <w:p w14:paraId="35204FF4">
            <w:pPr>
              <w:jc w:val="right"/>
            </w:pPr>
            <w:r>
              <w:rPr>
                <w:rFonts w:ascii="宋体" w:hAnsi="宋体" w:eastAsia="宋体" w:cs="宋体"/>
                <w:b w:val="0"/>
                <w:i w:val="0"/>
                <w:color w:val="000000"/>
                <w:sz w:val="11"/>
              </w:rPr>
              <w:t>10.00</w:t>
            </w:r>
          </w:p>
        </w:tc>
        <w:tc>
          <w:tcPr>
            <w:tcW w:w="1000" w:type="dxa"/>
            <w:vAlign w:val="center"/>
          </w:tcPr>
          <w:p w14:paraId="1217A54F"/>
        </w:tc>
        <w:tc>
          <w:tcPr>
            <w:tcW w:w="980" w:type="dxa"/>
            <w:vAlign w:val="center"/>
          </w:tcPr>
          <w:p w14:paraId="76BF135F">
            <w:pPr>
              <w:jc w:val="right"/>
            </w:pPr>
            <w:r>
              <w:rPr>
                <w:rFonts w:ascii="宋体" w:hAnsi="宋体" w:eastAsia="宋体" w:cs="宋体"/>
                <w:b w:val="0"/>
                <w:i w:val="0"/>
                <w:color w:val="000000"/>
                <w:sz w:val="11"/>
              </w:rPr>
              <w:t>10.00</w:t>
            </w:r>
          </w:p>
        </w:tc>
        <w:tc>
          <w:tcPr>
            <w:tcW w:w="920" w:type="dxa"/>
            <w:vAlign w:val="center"/>
          </w:tcPr>
          <w:p w14:paraId="124DE9C0"/>
        </w:tc>
        <w:tc>
          <w:tcPr>
            <w:tcW w:w="960" w:type="dxa"/>
            <w:vAlign w:val="center"/>
          </w:tcPr>
          <w:p w14:paraId="492114A4"/>
        </w:tc>
        <w:tc>
          <w:tcPr>
            <w:tcW w:w="926" w:type="dxa"/>
            <w:vAlign w:val="center"/>
          </w:tcPr>
          <w:p w14:paraId="27575F1A"/>
        </w:tc>
      </w:tr>
      <w:tr w14:paraId="37B1A9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35D049A">
            <w:pPr>
              <w:jc w:val="left"/>
            </w:pPr>
            <w:r>
              <w:rPr>
                <w:rFonts w:ascii="宋体" w:hAnsi="宋体" w:eastAsia="宋体" w:cs="宋体"/>
                <w:b w:val="0"/>
                <w:i w:val="0"/>
                <w:color w:val="000000"/>
                <w:sz w:val="11"/>
              </w:rPr>
              <w:t>2010302</w:t>
            </w:r>
          </w:p>
        </w:tc>
        <w:tc>
          <w:tcPr>
            <w:tcW w:w="1760" w:type="dxa"/>
            <w:vAlign w:val="center"/>
          </w:tcPr>
          <w:p w14:paraId="72C46F3E">
            <w:pPr>
              <w:jc w:val="left"/>
            </w:pPr>
            <w:r>
              <w:rPr>
                <w:rFonts w:ascii="宋体" w:hAnsi="宋体" w:eastAsia="宋体" w:cs="宋体"/>
                <w:b w:val="0"/>
                <w:i w:val="0"/>
                <w:color w:val="000000"/>
                <w:sz w:val="11"/>
              </w:rPr>
              <w:t>一般行政管理事务</w:t>
            </w:r>
          </w:p>
        </w:tc>
        <w:tc>
          <w:tcPr>
            <w:tcW w:w="940" w:type="dxa"/>
            <w:vAlign w:val="center"/>
          </w:tcPr>
          <w:p w14:paraId="70006249">
            <w:pPr>
              <w:jc w:val="right"/>
            </w:pPr>
            <w:r>
              <w:rPr>
                <w:rFonts w:ascii="宋体" w:hAnsi="宋体" w:eastAsia="宋体" w:cs="宋体"/>
                <w:b w:val="0"/>
                <w:i w:val="0"/>
                <w:color w:val="000000"/>
                <w:sz w:val="11"/>
              </w:rPr>
              <w:t>10.00</w:t>
            </w:r>
          </w:p>
        </w:tc>
        <w:tc>
          <w:tcPr>
            <w:tcW w:w="1000" w:type="dxa"/>
            <w:vAlign w:val="center"/>
          </w:tcPr>
          <w:p w14:paraId="05358CD7"/>
        </w:tc>
        <w:tc>
          <w:tcPr>
            <w:tcW w:w="980" w:type="dxa"/>
            <w:vAlign w:val="center"/>
          </w:tcPr>
          <w:p w14:paraId="628FCAB5">
            <w:pPr>
              <w:jc w:val="right"/>
            </w:pPr>
            <w:r>
              <w:rPr>
                <w:rFonts w:ascii="宋体" w:hAnsi="宋体" w:eastAsia="宋体" w:cs="宋体"/>
                <w:b w:val="0"/>
                <w:i w:val="0"/>
                <w:color w:val="000000"/>
                <w:sz w:val="11"/>
              </w:rPr>
              <w:t>10.00</w:t>
            </w:r>
          </w:p>
        </w:tc>
        <w:tc>
          <w:tcPr>
            <w:tcW w:w="920" w:type="dxa"/>
            <w:vAlign w:val="center"/>
          </w:tcPr>
          <w:p w14:paraId="3327748D"/>
        </w:tc>
        <w:tc>
          <w:tcPr>
            <w:tcW w:w="960" w:type="dxa"/>
            <w:vAlign w:val="center"/>
          </w:tcPr>
          <w:p w14:paraId="5D14CEE4"/>
        </w:tc>
        <w:tc>
          <w:tcPr>
            <w:tcW w:w="926" w:type="dxa"/>
            <w:vAlign w:val="center"/>
          </w:tcPr>
          <w:p w14:paraId="1DBCEF59"/>
        </w:tc>
      </w:tr>
      <w:tr w14:paraId="3A18DB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F8B6468">
            <w:pPr>
              <w:jc w:val="left"/>
            </w:pPr>
            <w:r>
              <w:rPr>
                <w:rFonts w:ascii="宋体" w:hAnsi="宋体" w:eastAsia="宋体" w:cs="宋体"/>
                <w:b w:val="0"/>
                <w:i w:val="0"/>
                <w:color w:val="000000"/>
                <w:sz w:val="11"/>
              </w:rPr>
              <w:t>208</w:t>
            </w:r>
          </w:p>
        </w:tc>
        <w:tc>
          <w:tcPr>
            <w:tcW w:w="1760" w:type="dxa"/>
            <w:vAlign w:val="center"/>
          </w:tcPr>
          <w:p w14:paraId="03922602">
            <w:pPr>
              <w:jc w:val="left"/>
            </w:pPr>
            <w:r>
              <w:rPr>
                <w:rFonts w:ascii="宋体" w:hAnsi="宋体" w:eastAsia="宋体" w:cs="宋体"/>
                <w:b w:val="0"/>
                <w:i w:val="0"/>
                <w:color w:val="000000"/>
                <w:sz w:val="11"/>
              </w:rPr>
              <w:t>社会保障和就业支出</w:t>
            </w:r>
          </w:p>
        </w:tc>
        <w:tc>
          <w:tcPr>
            <w:tcW w:w="940" w:type="dxa"/>
            <w:vAlign w:val="center"/>
          </w:tcPr>
          <w:p w14:paraId="02315B49">
            <w:pPr>
              <w:jc w:val="right"/>
            </w:pPr>
            <w:r>
              <w:rPr>
                <w:rFonts w:ascii="宋体" w:hAnsi="宋体" w:eastAsia="宋体" w:cs="宋体"/>
                <w:b w:val="0"/>
                <w:i w:val="0"/>
                <w:color w:val="000000"/>
                <w:sz w:val="11"/>
              </w:rPr>
              <w:t>44.87</w:t>
            </w:r>
          </w:p>
        </w:tc>
        <w:tc>
          <w:tcPr>
            <w:tcW w:w="1000" w:type="dxa"/>
            <w:vAlign w:val="center"/>
          </w:tcPr>
          <w:p w14:paraId="5E520602">
            <w:pPr>
              <w:jc w:val="right"/>
            </w:pPr>
            <w:r>
              <w:rPr>
                <w:rFonts w:ascii="宋体" w:hAnsi="宋体" w:eastAsia="宋体" w:cs="宋体"/>
                <w:b w:val="0"/>
                <w:i w:val="0"/>
                <w:color w:val="000000"/>
                <w:sz w:val="11"/>
              </w:rPr>
              <w:t>44.87</w:t>
            </w:r>
          </w:p>
        </w:tc>
        <w:tc>
          <w:tcPr>
            <w:tcW w:w="980" w:type="dxa"/>
            <w:vAlign w:val="center"/>
          </w:tcPr>
          <w:p w14:paraId="013C4623"/>
        </w:tc>
        <w:tc>
          <w:tcPr>
            <w:tcW w:w="920" w:type="dxa"/>
            <w:vAlign w:val="center"/>
          </w:tcPr>
          <w:p w14:paraId="2EA87EAD"/>
        </w:tc>
        <w:tc>
          <w:tcPr>
            <w:tcW w:w="960" w:type="dxa"/>
            <w:vAlign w:val="center"/>
          </w:tcPr>
          <w:p w14:paraId="46CA5B45"/>
        </w:tc>
        <w:tc>
          <w:tcPr>
            <w:tcW w:w="926" w:type="dxa"/>
            <w:vAlign w:val="center"/>
          </w:tcPr>
          <w:p w14:paraId="3DA5EC1A"/>
        </w:tc>
      </w:tr>
      <w:tr w14:paraId="2CAF7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A087F13">
            <w:pPr>
              <w:jc w:val="left"/>
            </w:pPr>
            <w:r>
              <w:rPr>
                <w:rFonts w:ascii="宋体" w:hAnsi="宋体" w:eastAsia="宋体" w:cs="宋体"/>
                <w:b w:val="0"/>
                <w:i w:val="0"/>
                <w:color w:val="000000"/>
                <w:sz w:val="11"/>
              </w:rPr>
              <w:t>20805</w:t>
            </w:r>
          </w:p>
        </w:tc>
        <w:tc>
          <w:tcPr>
            <w:tcW w:w="1760" w:type="dxa"/>
            <w:vAlign w:val="center"/>
          </w:tcPr>
          <w:p w14:paraId="07E940C4">
            <w:pPr>
              <w:jc w:val="left"/>
            </w:pPr>
            <w:r>
              <w:rPr>
                <w:rFonts w:ascii="宋体" w:hAnsi="宋体" w:eastAsia="宋体" w:cs="宋体"/>
                <w:b w:val="0"/>
                <w:i w:val="0"/>
                <w:color w:val="000000"/>
                <w:sz w:val="11"/>
              </w:rPr>
              <w:t>行政事业单位养老支出</w:t>
            </w:r>
          </w:p>
        </w:tc>
        <w:tc>
          <w:tcPr>
            <w:tcW w:w="940" w:type="dxa"/>
            <w:vAlign w:val="center"/>
          </w:tcPr>
          <w:p w14:paraId="11F060BD">
            <w:pPr>
              <w:jc w:val="right"/>
            </w:pPr>
            <w:r>
              <w:rPr>
                <w:rFonts w:ascii="宋体" w:hAnsi="宋体" w:eastAsia="宋体" w:cs="宋体"/>
                <w:b w:val="0"/>
                <w:i w:val="0"/>
                <w:color w:val="000000"/>
                <w:sz w:val="11"/>
              </w:rPr>
              <w:t>44.87</w:t>
            </w:r>
          </w:p>
        </w:tc>
        <w:tc>
          <w:tcPr>
            <w:tcW w:w="1000" w:type="dxa"/>
            <w:vAlign w:val="center"/>
          </w:tcPr>
          <w:p w14:paraId="2456163E">
            <w:pPr>
              <w:jc w:val="right"/>
            </w:pPr>
            <w:r>
              <w:rPr>
                <w:rFonts w:ascii="宋体" w:hAnsi="宋体" w:eastAsia="宋体" w:cs="宋体"/>
                <w:b w:val="0"/>
                <w:i w:val="0"/>
                <w:color w:val="000000"/>
                <w:sz w:val="11"/>
              </w:rPr>
              <w:t>44.87</w:t>
            </w:r>
          </w:p>
        </w:tc>
        <w:tc>
          <w:tcPr>
            <w:tcW w:w="980" w:type="dxa"/>
            <w:vAlign w:val="center"/>
          </w:tcPr>
          <w:p w14:paraId="4558EC6B"/>
        </w:tc>
        <w:tc>
          <w:tcPr>
            <w:tcW w:w="920" w:type="dxa"/>
            <w:vAlign w:val="center"/>
          </w:tcPr>
          <w:p w14:paraId="4D111726"/>
        </w:tc>
        <w:tc>
          <w:tcPr>
            <w:tcW w:w="960" w:type="dxa"/>
            <w:vAlign w:val="center"/>
          </w:tcPr>
          <w:p w14:paraId="11869698"/>
        </w:tc>
        <w:tc>
          <w:tcPr>
            <w:tcW w:w="926" w:type="dxa"/>
            <w:vAlign w:val="center"/>
          </w:tcPr>
          <w:p w14:paraId="36FDEB26"/>
        </w:tc>
      </w:tr>
      <w:tr w14:paraId="36DE92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7830B58">
            <w:pPr>
              <w:jc w:val="left"/>
            </w:pPr>
            <w:r>
              <w:rPr>
                <w:rFonts w:ascii="宋体" w:hAnsi="宋体" w:eastAsia="宋体" w:cs="宋体"/>
                <w:b w:val="0"/>
                <w:i w:val="0"/>
                <w:color w:val="000000"/>
                <w:sz w:val="11"/>
              </w:rPr>
              <w:t>2080501</w:t>
            </w:r>
          </w:p>
        </w:tc>
        <w:tc>
          <w:tcPr>
            <w:tcW w:w="1760" w:type="dxa"/>
            <w:vAlign w:val="center"/>
          </w:tcPr>
          <w:p w14:paraId="6B1AA717">
            <w:pPr>
              <w:jc w:val="left"/>
            </w:pPr>
            <w:r>
              <w:rPr>
                <w:rFonts w:ascii="宋体" w:hAnsi="宋体" w:eastAsia="宋体" w:cs="宋体"/>
                <w:b w:val="0"/>
                <w:i w:val="0"/>
                <w:color w:val="000000"/>
                <w:sz w:val="11"/>
              </w:rPr>
              <w:t>行政单位离退休</w:t>
            </w:r>
          </w:p>
        </w:tc>
        <w:tc>
          <w:tcPr>
            <w:tcW w:w="940" w:type="dxa"/>
            <w:vAlign w:val="center"/>
          </w:tcPr>
          <w:p w14:paraId="21C69909">
            <w:pPr>
              <w:jc w:val="right"/>
            </w:pPr>
            <w:r>
              <w:rPr>
                <w:rFonts w:ascii="宋体" w:hAnsi="宋体" w:eastAsia="宋体" w:cs="宋体"/>
                <w:b w:val="0"/>
                <w:i w:val="0"/>
                <w:color w:val="000000"/>
                <w:sz w:val="11"/>
              </w:rPr>
              <w:t>8.09</w:t>
            </w:r>
          </w:p>
        </w:tc>
        <w:tc>
          <w:tcPr>
            <w:tcW w:w="1000" w:type="dxa"/>
            <w:vAlign w:val="center"/>
          </w:tcPr>
          <w:p w14:paraId="676DE10C">
            <w:pPr>
              <w:jc w:val="right"/>
            </w:pPr>
            <w:r>
              <w:rPr>
                <w:rFonts w:ascii="宋体" w:hAnsi="宋体" w:eastAsia="宋体" w:cs="宋体"/>
                <w:b w:val="0"/>
                <w:i w:val="0"/>
                <w:color w:val="000000"/>
                <w:sz w:val="11"/>
              </w:rPr>
              <w:t>8.09</w:t>
            </w:r>
          </w:p>
        </w:tc>
        <w:tc>
          <w:tcPr>
            <w:tcW w:w="980" w:type="dxa"/>
            <w:vAlign w:val="center"/>
          </w:tcPr>
          <w:p w14:paraId="248D0758"/>
        </w:tc>
        <w:tc>
          <w:tcPr>
            <w:tcW w:w="920" w:type="dxa"/>
            <w:vAlign w:val="center"/>
          </w:tcPr>
          <w:p w14:paraId="622847CA"/>
        </w:tc>
        <w:tc>
          <w:tcPr>
            <w:tcW w:w="960" w:type="dxa"/>
            <w:vAlign w:val="center"/>
          </w:tcPr>
          <w:p w14:paraId="18535FB3"/>
        </w:tc>
        <w:tc>
          <w:tcPr>
            <w:tcW w:w="926" w:type="dxa"/>
            <w:vAlign w:val="center"/>
          </w:tcPr>
          <w:p w14:paraId="7F0E480F"/>
        </w:tc>
      </w:tr>
      <w:tr w14:paraId="711E5F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27C6331">
            <w:pPr>
              <w:jc w:val="left"/>
            </w:pPr>
            <w:r>
              <w:rPr>
                <w:rFonts w:ascii="宋体" w:hAnsi="宋体" w:eastAsia="宋体" w:cs="宋体"/>
                <w:b w:val="0"/>
                <w:i w:val="0"/>
                <w:color w:val="000000"/>
                <w:sz w:val="11"/>
              </w:rPr>
              <w:t>2080502</w:t>
            </w:r>
          </w:p>
        </w:tc>
        <w:tc>
          <w:tcPr>
            <w:tcW w:w="1760" w:type="dxa"/>
            <w:vAlign w:val="center"/>
          </w:tcPr>
          <w:p w14:paraId="79AC5F55">
            <w:pPr>
              <w:jc w:val="left"/>
            </w:pPr>
            <w:r>
              <w:rPr>
                <w:rFonts w:ascii="宋体" w:hAnsi="宋体" w:eastAsia="宋体" w:cs="宋体"/>
                <w:b w:val="0"/>
                <w:i w:val="0"/>
                <w:color w:val="000000"/>
                <w:sz w:val="11"/>
              </w:rPr>
              <w:t>事业单位离退休</w:t>
            </w:r>
          </w:p>
        </w:tc>
        <w:tc>
          <w:tcPr>
            <w:tcW w:w="940" w:type="dxa"/>
            <w:vAlign w:val="center"/>
          </w:tcPr>
          <w:p w14:paraId="56462CA1">
            <w:pPr>
              <w:jc w:val="right"/>
            </w:pPr>
            <w:r>
              <w:rPr>
                <w:rFonts w:ascii="宋体" w:hAnsi="宋体" w:eastAsia="宋体" w:cs="宋体"/>
                <w:b w:val="0"/>
                <w:i w:val="0"/>
                <w:color w:val="000000"/>
                <w:sz w:val="11"/>
              </w:rPr>
              <w:t>36.78</w:t>
            </w:r>
          </w:p>
        </w:tc>
        <w:tc>
          <w:tcPr>
            <w:tcW w:w="1000" w:type="dxa"/>
            <w:vAlign w:val="center"/>
          </w:tcPr>
          <w:p w14:paraId="4B6D6DA8">
            <w:pPr>
              <w:jc w:val="right"/>
            </w:pPr>
            <w:r>
              <w:rPr>
                <w:rFonts w:ascii="宋体" w:hAnsi="宋体" w:eastAsia="宋体" w:cs="宋体"/>
                <w:b w:val="0"/>
                <w:i w:val="0"/>
                <w:color w:val="000000"/>
                <w:sz w:val="11"/>
              </w:rPr>
              <w:t>36.78</w:t>
            </w:r>
          </w:p>
        </w:tc>
        <w:tc>
          <w:tcPr>
            <w:tcW w:w="980" w:type="dxa"/>
            <w:vAlign w:val="center"/>
          </w:tcPr>
          <w:p w14:paraId="3B649279"/>
        </w:tc>
        <w:tc>
          <w:tcPr>
            <w:tcW w:w="920" w:type="dxa"/>
            <w:vAlign w:val="center"/>
          </w:tcPr>
          <w:p w14:paraId="3E677D29"/>
        </w:tc>
        <w:tc>
          <w:tcPr>
            <w:tcW w:w="960" w:type="dxa"/>
            <w:vAlign w:val="center"/>
          </w:tcPr>
          <w:p w14:paraId="16D1B63C"/>
        </w:tc>
        <w:tc>
          <w:tcPr>
            <w:tcW w:w="926" w:type="dxa"/>
            <w:vAlign w:val="center"/>
          </w:tcPr>
          <w:p w14:paraId="1889A275"/>
        </w:tc>
      </w:tr>
      <w:tr w14:paraId="2737F1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3AED679">
            <w:pPr>
              <w:jc w:val="left"/>
            </w:pPr>
            <w:r>
              <w:rPr>
                <w:rFonts w:ascii="宋体" w:hAnsi="宋体" w:eastAsia="宋体" w:cs="宋体"/>
                <w:b w:val="0"/>
                <w:i w:val="0"/>
                <w:color w:val="000000"/>
                <w:sz w:val="11"/>
              </w:rPr>
              <w:t>210</w:t>
            </w:r>
          </w:p>
        </w:tc>
        <w:tc>
          <w:tcPr>
            <w:tcW w:w="1760" w:type="dxa"/>
            <w:vAlign w:val="center"/>
          </w:tcPr>
          <w:p w14:paraId="0AEC5495">
            <w:pPr>
              <w:jc w:val="left"/>
            </w:pPr>
            <w:r>
              <w:rPr>
                <w:rFonts w:ascii="宋体" w:hAnsi="宋体" w:eastAsia="宋体" w:cs="宋体"/>
                <w:b w:val="0"/>
                <w:i w:val="0"/>
                <w:color w:val="000000"/>
                <w:sz w:val="11"/>
              </w:rPr>
              <w:t>卫生健康支出</w:t>
            </w:r>
          </w:p>
        </w:tc>
        <w:tc>
          <w:tcPr>
            <w:tcW w:w="940" w:type="dxa"/>
            <w:vAlign w:val="center"/>
          </w:tcPr>
          <w:p w14:paraId="413193AB">
            <w:pPr>
              <w:jc w:val="right"/>
            </w:pPr>
            <w:r>
              <w:rPr>
                <w:rFonts w:ascii="宋体" w:hAnsi="宋体" w:eastAsia="宋体" w:cs="宋体"/>
                <w:b w:val="0"/>
                <w:i w:val="0"/>
                <w:color w:val="000000"/>
                <w:sz w:val="11"/>
              </w:rPr>
              <w:t>930.58</w:t>
            </w:r>
          </w:p>
        </w:tc>
        <w:tc>
          <w:tcPr>
            <w:tcW w:w="1000" w:type="dxa"/>
            <w:vAlign w:val="center"/>
          </w:tcPr>
          <w:p w14:paraId="4121E107"/>
        </w:tc>
        <w:tc>
          <w:tcPr>
            <w:tcW w:w="980" w:type="dxa"/>
            <w:vAlign w:val="center"/>
          </w:tcPr>
          <w:p w14:paraId="42779661">
            <w:pPr>
              <w:jc w:val="right"/>
            </w:pPr>
            <w:r>
              <w:rPr>
                <w:rFonts w:ascii="宋体" w:hAnsi="宋体" w:eastAsia="宋体" w:cs="宋体"/>
                <w:b w:val="0"/>
                <w:i w:val="0"/>
                <w:color w:val="000000"/>
                <w:sz w:val="11"/>
              </w:rPr>
              <w:t>930.58</w:t>
            </w:r>
          </w:p>
        </w:tc>
        <w:tc>
          <w:tcPr>
            <w:tcW w:w="920" w:type="dxa"/>
            <w:vAlign w:val="center"/>
          </w:tcPr>
          <w:p w14:paraId="401D94F4"/>
        </w:tc>
        <w:tc>
          <w:tcPr>
            <w:tcW w:w="960" w:type="dxa"/>
            <w:vAlign w:val="center"/>
          </w:tcPr>
          <w:p w14:paraId="00408123"/>
        </w:tc>
        <w:tc>
          <w:tcPr>
            <w:tcW w:w="926" w:type="dxa"/>
            <w:vAlign w:val="center"/>
          </w:tcPr>
          <w:p w14:paraId="2AA68605"/>
        </w:tc>
      </w:tr>
      <w:tr w14:paraId="51363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A0DB352">
            <w:pPr>
              <w:jc w:val="left"/>
            </w:pPr>
            <w:r>
              <w:rPr>
                <w:rFonts w:ascii="宋体" w:hAnsi="宋体" w:eastAsia="宋体" w:cs="宋体"/>
                <w:b w:val="0"/>
                <w:i w:val="0"/>
                <w:color w:val="000000"/>
                <w:sz w:val="11"/>
              </w:rPr>
              <w:t>21004</w:t>
            </w:r>
          </w:p>
        </w:tc>
        <w:tc>
          <w:tcPr>
            <w:tcW w:w="1760" w:type="dxa"/>
            <w:vAlign w:val="center"/>
          </w:tcPr>
          <w:p w14:paraId="096EC977">
            <w:pPr>
              <w:jc w:val="left"/>
            </w:pPr>
            <w:r>
              <w:rPr>
                <w:rFonts w:ascii="宋体" w:hAnsi="宋体" w:eastAsia="宋体" w:cs="宋体"/>
                <w:b w:val="0"/>
                <w:i w:val="0"/>
                <w:color w:val="000000"/>
                <w:sz w:val="11"/>
              </w:rPr>
              <w:t>公共卫生</w:t>
            </w:r>
          </w:p>
        </w:tc>
        <w:tc>
          <w:tcPr>
            <w:tcW w:w="940" w:type="dxa"/>
            <w:vAlign w:val="center"/>
          </w:tcPr>
          <w:p w14:paraId="129C2A6B">
            <w:pPr>
              <w:jc w:val="right"/>
            </w:pPr>
            <w:r>
              <w:rPr>
                <w:rFonts w:ascii="宋体" w:hAnsi="宋体" w:eastAsia="宋体" w:cs="宋体"/>
                <w:b w:val="0"/>
                <w:i w:val="0"/>
                <w:color w:val="000000"/>
                <w:sz w:val="11"/>
              </w:rPr>
              <w:t>930.58</w:t>
            </w:r>
          </w:p>
        </w:tc>
        <w:tc>
          <w:tcPr>
            <w:tcW w:w="1000" w:type="dxa"/>
            <w:vAlign w:val="center"/>
          </w:tcPr>
          <w:p w14:paraId="7EF01E22"/>
        </w:tc>
        <w:tc>
          <w:tcPr>
            <w:tcW w:w="980" w:type="dxa"/>
            <w:vAlign w:val="center"/>
          </w:tcPr>
          <w:p w14:paraId="22EF2BC3">
            <w:pPr>
              <w:jc w:val="right"/>
            </w:pPr>
            <w:r>
              <w:rPr>
                <w:rFonts w:ascii="宋体" w:hAnsi="宋体" w:eastAsia="宋体" w:cs="宋体"/>
                <w:b w:val="0"/>
                <w:i w:val="0"/>
                <w:color w:val="000000"/>
                <w:sz w:val="11"/>
              </w:rPr>
              <w:t>930.58</w:t>
            </w:r>
          </w:p>
        </w:tc>
        <w:tc>
          <w:tcPr>
            <w:tcW w:w="920" w:type="dxa"/>
            <w:vAlign w:val="center"/>
          </w:tcPr>
          <w:p w14:paraId="0DCCB276"/>
        </w:tc>
        <w:tc>
          <w:tcPr>
            <w:tcW w:w="960" w:type="dxa"/>
            <w:vAlign w:val="center"/>
          </w:tcPr>
          <w:p w14:paraId="34657442"/>
        </w:tc>
        <w:tc>
          <w:tcPr>
            <w:tcW w:w="926" w:type="dxa"/>
            <w:vAlign w:val="center"/>
          </w:tcPr>
          <w:p w14:paraId="2C8312B5"/>
        </w:tc>
      </w:tr>
      <w:tr w14:paraId="1BA6B4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A83A89B">
            <w:pPr>
              <w:jc w:val="left"/>
            </w:pPr>
            <w:r>
              <w:rPr>
                <w:rFonts w:ascii="宋体" w:hAnsi="宋体" w:eastAsia="宋体" w:cs="宋体"/>
                <w:b w:val="0"/>
                <w:i w:val="0"/>
                <w:color w:val="000000"/>
                <w:sz w:val="11"/>
              </w:rPr>
              <w:t>2100409</w:t>
            </w:r>
          </w:p>
        </w:tc>
        <w:tc>
          <w:tcPr>
            <w:tcW w:w="1760" w:type="dxa"/>
            <w:vAlign w:val="center"/>
          </w:tcPr>
          <w:p w14:paraId="43B4A4A3">
            <w:pPr>
              <w:jc w:val="left"/>
            </w:pPr>
            <w:r>
              <w:rPr>
                <w:rFonts w:ascii="宋体" w:hAnsi="宋体" w:eastAsia="宋体" w:cs="宋体"/>
                <w:b w:val="0"/>
                <w:i w:val="0"/>
                <w:color w:val="000000"/>
                <w:sz w:val="11"/>
              </w:rPr>
              <w:t>重大公共卫生服务</w:t>
            </w:r>
          </w:p>
        </w:tc>
        <w:tc>
          <w:tcPr>
            <w:tcW w:w="940" w:type="dxa"/>
            <w:vAlign w:val="center"/>
          </w:tcPr>
          <w:p w14:paraId="23BA57F3">
            <w:pPr>
              <w:jc w:val="right"/>
            </w:pPr>
            <w:r>
              <w:rPr>
                <w:rFonts w:ascii="宋体" w:hAnsi="宋体" w:eastAsia="宋体" w:cs="宋体"/>
                <w:b w:val="0"/>
                <w:i w:val="0"/>
                <w:color w:val="000000"/>
                <w:sz w:val="11"/>
              </w:rPr>
              <w:t>930.58</w:t>
            </w:r>
          </w:p>
        </w:tc>
        <w:tc>
          <w:tcPr>
            <w:tcW w:w="1000" w:type="dxa"/>
            <w:vAlign w:val="center"/>
          </w:tcPr>
          <w:p w14:paraId="501240A8"/>
        </w:tc>
        <w:tc>
          <w:tcPr>
            <w:tcW w:w="980" w:type="dxa"/>
            <w:vAlign w:val="center"/>
          </w:tcPr>
          <w:p w14:paraId="74918BDC">
            <w:pPr>
              <w:jc w:val="right"/>
            </w:pPr>
            <w:r>
              <w:rPr>
                <w:rFonts w:ascii="宋体" w:hAnsi="宋体" w:eastAsia="宋体" w:cs="宋体"/>
                <w:b w:val="0"/>
                <w:i w:val="0"/>
                <w:color w:val="000000"/>
                <w:sz w:val="11"/>
              </w:rPr>
              <w:t>930.58</w:t>
            </w:r>
          </w:p>
        </w:tc>
        <w:tc>
          <w:tcPr>
            <w:tcW w:w="920" w:type="dxa"/>
            <w:vAlign w:val="center"/>
          </w:tcPr>
          <w:p w14:paraId="04634D5B"/>
        </w:tc>
        <w:tc>
          <w:tcPr>
            <w:tcW w:w="960" w:type="dxa"/>
            <w:vAlign w:val="center"/>
          </w:tcPr>
          <w:p w14:paraId="5940CE42"/>
        </w:tc>
        <w:tc>
          <w:tcPr>
            <w:tcW w:w="926" w:type="dxa"/>
            <w:vAlign w:val="center"/>
          </w:tcPr>
          <w:p w14:paraId="787443C0"/>
        </w:tc>
      </w:tr>
      <w:tr w14:paraId="6673AF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6FD66FA">
            <w:pPr>
              <w:jc w:val="left"/>
            </w:pPr>
            <w:r>
              <w:rPr>
                <w:rFonts w:ascii="宋体" w:hAnsi="宋体" w:eastAsia="宋体" w:cs="宋体"/>
                <w:b w:val="0"/>
                <w:i w:val="0"/>
                <w:color w:val="000000"/>
                <w:sz w:val="11"/>
              </w:rPr>
              <w:t>211</w:t>
            </w:r>
          </w:p>
        </w:tc>
        <w:tc>
          <w:tcPr>
            <w:tcW w:w="1760" w:type="dxa"/>
            <w:vAlign w:val="center"/>
          </w:tcPr>
          <w:p w14:paraId="1BCBFBC9">
            <w:pPr>
              <w:jc w:val="left"/>
            </w:pPr>
            <w:r>
              <w:rPr>
                <w:rFonts w:ascii="宋体" w:hAnsi="宋体" w:eastAsia="宋体" w:cs="宋体"/>
                <w:b w:val="0"/>
                <w:i w:val="0"/>
                <w:color w:val="000000"/>
                <w:sz w:val="11"/>
              </w:rPr>
              <w:t>节能环保支出</w:t>
            </w:r>
          </w:p>
        </w:tc>
        <w:tc>
          <w:tcPr>
            <w:tcW w:w="940" w:type="dxa"/>
            <w:vAlign w:val="center"/>
          </w:tcPr>
          <w:p w14:paraId="7D8543D4">
            <w:pPr>
              <w:jc w:val="right"/>
            </w:pPr>
            <w:r>
              <w:rPr>
                <w:rFonts w:ascii="宋体" w:hAnsi="宋体" w:eastAsia="宋体" w:cs="宋体"/>
                <w:b w:val="0"/>
                <w:i w:val="0"/>
                <w:color w:val="000000"/>
                <w:sz w:val="11"/>
              </w:rPr>
              <w:t>3,241.51</w:t>
            </w:r>
          </w:p>
        </w:tc>
        <w:tc>
          <w:tcPr>
            <w:tcW w:w="1000" w:type="dxa"/>
            <w:vAlign w:val="center"/>
          </w:tcPr>
          <w:p w14:paraId="048AD250"/>
        </w:tc>
        <w:tc>
          <w:tcPr>
            <w:tcW w:w="980" w:type="dxa"/>
            <w:vAlign w:val="center"/>
          </w:tcPr>
          <w:p w14:paraId="2A6782EC">
            <w:pPr>
              <w:jc w:val="right"/>
            </w:pPr>
            <w:r>
              <w:rPr>
                <w:rFonts w:ascii="宋体" w:hAnsi="宋体" w:eastAsia="宋体" w:cs="宋体"/>
                <w:b w:val="0"/>
                <w:i w:val="0"/>
                <w:color w:val="000000"/>
                <w:sz w:val="11"/>
              </w:rPr>
              <w:t>3,241.51</w:t>
            </w:r>
          </w:p>
        </w:tc>
        <w:tc>
          <w:tcPr>
            <w:tcW w:w="920" w:type="dxa"/>
            <w:vAlign w:val="center"/>
          </w:tcPr>
          <w:p w14:paraId="0B837DCC"/>
        </w:tc>
        <w:tc>
          <w:tcPr>
            <w:tcW w:w="960" w:type="dxa"/>
            <w:vAlign w:val="center"/>
          </w:tcPr>
          <w:p w14:paraId="6ED1B387"/>
        </w:tc>
        <w:tc>
          <w:tcPr>
            <w:tcW w:w="926" w:type="dxa"/>
            <w:vAlign w:val="center"/>
          </w:tcPr>
          <w:p w14:paraId="52AF101F"/>
        </w:tc>
      </w:tr>
      <w:tr w14:paraId="44AC0A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376C5D9">
            <w:pPr>
              <w:jc w:val="left"/>
            </w:pPr>
            <w:r>
              <w:rPr>
                <w:rFonts w:ascii="宋体" w:hAnsi="宋体" w:eastAsia="宋体" w:cs="宋体"/>
                <w:b w:val="0"/>
                <w:i w:val="0"/>
                <w:color w:val="000000"/>
                <w:sz w:val="11"/>
              </w:rPr>
              <w:t>21103</w:t>
            </w:r>
          </w:p>
        </w:tc>
        <w:tc>
          <w:tcPr>
            <w:tcW w:w="1760" w:type="dxa"/>
            <w:vAlign w:val="center"/>
          </w:tcPr>
          <w:p w14:paraId="65CEEC11">
            <w:pPr>
              <w:jc w:val="left"/>
            </w:pPr>
            <w:r>
              <w:rPr>
                <w:rFonts w:ascii="宋体" w:hAnsi="宋体" w:eastAsia="宋体" w:cs="宋体"/>
                <w:b w:val="0"/>
                <w:i w:val="0"/>
                <w:color w:val="000000"/>
                <w:sz w:val="11"/>
              </w:rPr>
              <w:t>污染防治</w:t>
            </w:r>
          </w:p>
        </w:tc>
        <w:tc>
          <w:tcPr>
            <w:tcW w:w="940" w:type="dxa"/>
            <w:vAlign w:val="center"/>
          </w:tcPr>
          <w:p w14:paraId="0B647FA3">
            <w:pPr>
              <w:jc w:val="right"/>
            </w:pPr>
            <w:r>
              <w:rPr>
                <w:rFonts w:ascii="宋体" w:hAnsi="宋体" w:eastAsia="宋体" w:cs="宋体"/>
                <w:b w:val="0"/>
                <w:i w:val="0"/>
                <w:color w:val="000000"/>
                <w:sz w:val="11"/>
              </w:rPr>
              <w:t>3,062.00</w:t>
            </w:r>
          </w:p>
        </w:tc>
        <w:tc>
          <w:tcPr>
            <w:tcW w:w="1000" w:type="dxa"/>
            <w:vAlign w:val="center"/>
          </w:tcPr>
          <w:p w14:paraId="2232221C"/>
        </w:tc>
        <w:tc>
          <w:tcPr>
            <w:tcW w:w="980" w:type="dxa"/>
            <w:vAlign w:val="center"/>
          </w:tcPr>
          <w:p w14:paraId="3E3EDF52">
            <w:pPr>
              <w:jc w:val="right"/>
            </w:pPr>
            <w:r>
              <w:rPr>
                <w:rFonts w:ascii="宋体" w:hAnsi="宋体" w:eastAsia="宋体" w:cs="宋体"/>
                <w:b w:val="0"/>
                <w:i w:val="0"/>
                <w:color w:val="000000"/>
                <w:sz w:val="11"/>
              </w:rPr>
              <w:t>3,062.00</w:t>
            </w:r>
          </w:p>
        </w:tc>
        <w:tc>
          <w:tcPr>
            <w:tcW w:w="920" w:type="dxa"/>
            <w:vAlign w:val="center"/>
          </w:tcPr>
          <w:p w14:paraId="7F62EF9B"/>
        </w:tc>
        <w:tc>
          <w:tcPr>
            <w:tcW w:w="960" w:type="dxa"/>
            <w:vAlign w:val="center"/>
          </w:tcPr>
          <w:p w14:paraId="1043AD72"/>
        </w:tc>
        <w:tc>
          <w:tcPr>
            <w:tcW w:w="926" w:type="dxa"/>
            <w:vAlign w:val="center"/>
          </w:tcPr>
          <w:p w14:paraId="13A1FE8D"/>
        </w:tc>
      </w:tr>
      <w:tr w14:paraId="47DF6D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951BBA2">
            <w:pPr>
              <w:jc w:val="left"/>
            </w:pPr>
            <w:r>
              <w:rPr>
                <w:rFonts w:ascii="宋体" w:hAnsi="宋体" w:eastAsia="宋体" w:cs="宋体"/>
                <w:b w:val="0"/>
                <w:i w:val="0"/>
                <w:color w:val="000000"/>
                <w:sz w:val="11"/>
              </w:rPr>
              <w:t>2110302</w:t>
            </w:r>
          </w:p>
        </w:tc>
        <w:tc>
          <w:tcPr>
            <w:tcW w:w="1760" w:type="dxa"/>
            <w:vAlign w:val="center"/>
          </w:tcPr>
          <w:p w14:paraId="080C9498">
            <w:pPr>
              <w:jc w:val="left"/>
            </w:pPr>
            <w:r>
              <w:rPr>
                <w:rFonts w:ascii="宋体" w:hAnsi="宋体" w:eastAsia="宋体" w:cs="宋体"/>
                <w:b w:val="0"/>
                <w:i w:val="0"/>
                <w:color w:val="000000"/>
                <w:sz w:val="11"/>
              </w:rPr>
              <w:t>水体</w:t>
            </w:r>
          </w:p>
        </w:tc>
        <w:tc>
          <w:tcPr>
            <w:tcW w:w="940" w:type="dxa"/>
            <w:vAlign w:val="center"/>
          </w:tcPr>
          <w:p w14:paraId="1BCA54F9">
            <w:pPr>
              <w:jc w:val="right"/>
            </w:pPr>
            <w:r>
              <w:rPr>
                <w:rFonts w:ascii="宋体" w:hAnsi="宋体" w:eastAsia="宋体" w:cs="宋体"/>
                <w:b w:val="0"/>
                <w:i w:val="0"/>
                <w:color w:val="000000"/>
                <w:sz w:val="11"/>
              </w:rPr>
              <w:t>3,062.00</w:t>
            </w:r>
          </w:p>
        </w:tc>
        <w:tc>
          <w:tcPr>
            <w:tcW w:w="1000" w:type="dxa"/>
            <w:vAlign w:val="center"/>
          </w:tcPr>
          <w:p w14:paraId="30957E89"/>
        </w:tc>
        <w:tc>
          <w:tcPr>
            <w:tcW w:w="980" w:type="dxa"/>
            <w:vAlign w:val="center"/>
          </w:tcPr>
          <w:p w14:paraId="7F276F33">
            <w:pPr>
              <w:jc w:val="right"/>
            </w:pPr>
            <w:r>
              <w:rPr>
                <w:rFonts w:ascii="宋体" w:hAnsi="宋体" w:eastAsia="宋体" w:cs="宋体"/>
                <w:b w:val="0"/>
                <w:i w:val="0"/>
                <w:color w:val="000000"/>
                <w:sz w:val="11"/>
              </w:rPr>
              <w:t>3,062.00</w:t>
            </w:r>
          </w:p>
        </w:tc>
        <w:tc>
          <w:tcPr>
            <w:tcW w:w="920" w:type="dxa"/>
            <w:vAlign w:val="center"/>
          </w:tcPr>
          <w:p w14:paraId="2B1B3F00"/>
        </w:tc>
        <w:tc>
          <w:tcPr>
            <w:tcW w:w="960" w:type="dxa"/>
            <w:vAlign w:val="center"/>
          </w:tcPr>
          <w:p w14:paraId="6488CB83"/>
        </w:tc>
        <w:tc>
          <w:tcPr>
            <w:tcW w:w="926" w:type="dxa"/>
            <w:vAlign w:val="center"/>
          </w:tcPr>
          <w:p w14:paraId="0CC94EBD"/>
        </w:tc>
      </w:tr>
      <w:tr w14:paraId="7932AA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8D07228">
            <w:pPr>
              <w:jc w:val="left"/>
            </w:pPr>
            <w:r>
              <w:rPr>
                <w:rFonts w:ascii="宋体" w:hAnsi="宋体" w:eastAsia="宋体" w:cs="宋体"/>
                <w:b w:val="0"/>
                <w:i w:val="0"/>
                <w:color w:val="000000"/>
                <w:sz w:val="11"/>
              </w:rPr>
              <w:t>21104</w:t>
            </w:r>
          </w:p>
        </w:tc>
        <w:tc>
          <w:tcPr>
            <w:tcW w:w="1760" w:type="dxa"/>
            <w:vAlign w:val="center"/>
          </w:tcPr>
          <w:p w14:paraId="76E62A73">
            <w:pPr>
              <w:jc w:val="left"/>
            </w:pPr>
            <w:r>
              <w:rPr>
                <w:rFonts w:ascii="宋体" w:hAnsi="宋体" w:eastAsia="宋体" w:cs="宋体"/>
                <w:b w:val="0"/>
                <w:i w:val="0"/>
                <w:color w:val="000000"/>
                <w:sz w:val="11"/>
              </w:rPr>
              <w:t>自然生态保护</w:t>
            </w:r>
          </w:p>
        </w:tc>
        <w:tc>
          <w:tcPr>
            <w:tcW w:w="940" w:type="dxa"/>
            <w:vAlign w:val="center"/>
          </w:tcPr>
          <w:p w14:paraId="5AEA34AA">
            <w:pPr>
              <w:jc w:val="right"/>
            </w:pPr>
            <w:r>
              <w:rPr>
                <w:rFonts w:ascii="宋体" w:hAnsi="宋体" w:eastAsia="宋体" w:cs="宋体"/>
                <w:b w:val="0"/>
                <w:i w:val="0"/>
                <w:color w:val="000000"/>
                <w:sz w:val="11"/>
              </w:rPr>
              <w:t>179.51</w:t>
            </w:r>
          </w:p>
        </w:tc>
        <w:tc>
          <w:tcPr>
            <w:tcW w:w="1000" w:type="dxa"/>
            <w:vAlign w:val="center"/>
          </w:tcPr>
          <w:p w14:paraId="21B9B50F"/>
        </w:tc>
        <w:tc>
          <w:tcPr>
            <w:tcW w:w="980" w:type="dxa"/>
            <w:vAlign w:val="center"/>
          </w:tcPr>
          <w:p w14:paraId="6B2B08C3">
            <w:pPr>
              <w:jc w:val="right"/>
            </w:pPr>
            <w:r>
              <w:rPr>
                <w:rFonts w:ascii="宋体" w:hAnsi="宋体" w:eastAsia="宋体" w:cs="宋体"/>
                <w:b w:val="0"/>
                <w:i w:val="0"/>
                <w:color w:val="000000"/>
                <w:sz w:val="11"/>
              </w:rPr>
              <w:t>179.51</w:t>
            </w:r>
          </w:p>
        </w:tc>
        <w:tc>
          <w:tcPr>
            <w:tcW w:w="920" w:type="dxa"/>
            <w:vAlign w:val="center"/>
          </w:tcPr>
          <w:p w14:paraId="495217FF"/>
        </w:tc>
        <w:tc>
          <w:tcPr>
            <w:tcW w:w="960" w:type="dxa"/>
            <w:vAlign w:val="center"/>
          </w:tcPr>
          <w:p w14:paraId="5CCE1718"/>
        </w:tc>
        <w:tc>
          <w:tcPr>
            <w:tcW w:w="926" w:type="dxa"/>
            <w:vAlign w:val="center"/>
          </w:tcPr>
          <w:p w14:paraId="1CC3B59E"/>
        </w:tc>
      </w:tr>
      <w:tr w14:paraId="18CE3A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849071A">
            <w:pPr>
              <w:jc w:val="left"/>
            </w:pPr>
            <w:r>
              <w:rPr>
                <w:rFonts w:ascii="宋体" w:hAnsi="宋体" w:eastAsia="宋体" w:cs="宋体"/>
                <w:b w:val="0"/>
                <w:i w:val="0"/>
                <w:color w:val="000000"/>
                <w:sz w:val="11"/>
              </w:rPr>
              <w:t>2110499</w:t>
            </w:r>
          </w:p>
        </w:tc>
        <w:tc>
          <w:tcPr>
            <w:tcW w:w="1760" w:type="dxa"/>
            <w:vAlign w:val="center"/>
          </w:tcPr>
          <w:p w14:paraId="51B831B3">
            <w:pPr>
              <w:jc w:val="left"/>
            </w:pPr>
            <w:r>
              <w:rPr>
                <w:rFonts w:ascii="宋体" w:hAnsi="宋体" w:eastAsia="宋体" w:cs="宋体"/>
                <w:b w:val="0"/>
                <w:i w:val="0"/>
                <w:color w:val="000000"/>
                <w:sz w:val="11"/>
              </w:rPr>
              <w:t>其他自然生态保护支出</w:t>
            </w:r>
          </w:p>
        </w:tc>
        <w:tc>
          <w:tcPr>
            <w:tcW w:w="940" w:type="dxa"/>
            <w:vAlign w:val="center"/>
          </w:tcPr>
          <w:p w14:paraId="57371514">
            <w:pPr>
              <w:jc w:val="right"/>
            </w:pPr>
            <w:r>
              <w:rPr>
                <w:rFonts w:ascii="宋体" w:hAnsi="宋体" w:eastAsia="宋体" w:cs="宋体"/>
                <w:b w:val="0"/>
                <w:i w:val="0"/>
                <w:color w:val="000000"/>
                <w:sz w:val="11"/>
              </w:rPr>
              <w:t>179.51</w:t>
            </w:r>
          </w:p>
        </w:tc>
        <w:tc>
          <w:tcPr>
            <w:tcW w:w="1000" w:type="dxa"/>
            <w:vAlign w:val="center"/>
          </w:tcPr>
          <w:p w14:paraId="5B4F3D44"/>
        </w:tc>
        <w:tc>
          <w:tcPr>
            <w:tcW w:w="980" w:type="dxa"/>
            <w:vAlign w:val="center"/>
          </w:tcPr>
          <w:p w14:paraId="54ECAEB2">
            <w:pPr>
              <w:jc w:val="right"/>
            </w:pPr>
            <w:r>
              <w:rPr>
                <w:rFonts w:ascii="宋体" w:hAnsi="宋体" w:eastAsia="宋体" w:cs="宋体"/>
                <w:b w:val="0"/>
                <w:i w:val="0"/>
                <w:color w:val="000000"/>
                <w:sz w:val="11"/>
              </w:rPr>
              <w:t>179.51</w:t>
            </w:r>
          </w:p>
        </w:tc>
        <w:tc>
          <w:tcPr>
            <w:tcW w:w="920" w:type="dxa"/>
            <w:vAlign w:val="center"/>
          </w:tcPr>
          <w:p w14:paraId="414B2A2D"/>
        </w:tc>
        <w:tc>
          <w:tcPr>
            <w:tcW w:w="960" w:type="dxa"/>
            <w:vAlign w:val="center"/>
          </w:tcPr>
          <w:p w14:paraId="0D45C7F5"/>
        </w:tc>
        <w:tc>
          <w:tcPr>
            <w:tcW w:w="926" w:type="dxa"/>
            <w:vAlign w:val="center"/>
          </w:tcPr>
          <w:p w14:paraId="663952A2"/>
        </w:tc>
      </w:tr>
      <w:tr w14:paraId="16D25A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D7F35DB">
            <w:pPr>
              <w:jc w:val="left"/>
            </w:pPr>
            <w:r>
              <w:rPr>
                <w:rFonts w:ascii="宋体" w:hAnsi="宋体" w:eastAsia="宋体" w:cs="宋体"/>
                <w:b w:val="0"/>
                <w:i w:val="0"/>
                <w:color w:val="000000"/>
                <w:sz w:val="11"/>
              </w:rPr>
              <w:t>212</w:t>
            </w:r>
          </w:p>
        </w:tc>
        <w:tc>
          <w:tcPr>
            <w:tcW w:w="1760" w:type="dxa"/>
            <w:vAlign w:val="center"/>
          </w:tcPr>
          <w:p w14:paraId="026A06D0">
            <w:pPr>
              <w:jc w:val="left"/>
            </w:pPr>
            <w:r>
              <w:rPr>
                <w:rFonts w:ascii="宋体" w:hAnsi="宋体" w:eastAsia="宋体" w:cs="宋体"/>
                <w:b w:val="0"/>
                <w:i w:val="0"/>
                <w:color w:val="000000"/>
                <w:sz w:val="11"/>
              </w:rPr>
              <w:t>城乡社区支出</w:t>
            </w:r>
          </w:p>
        </w:tc>
        <w:tc>
          <w:tcPr>
            <w:tcW w:w="940" w:type="dxa"/>
            <w:vAlign w:val="center"/>
          </w:tcPr>
          <w:p w14:paraId="67C6FA2B">
            <w:pPr>
              <w:jc w:val="right"/>
            </w:pPr>
            <w:r>
              <w:rPr>
                <w:rFonts w:ascii="宋体" w:hAnsi="宋体" w:eastAsia="宋体" w:cs="宋体"/>
                <w:b w:val="0"/>
                <w:i w:val="0"/>
                <w:color w:val="000000"/>
                <w:sz w:val="11"/>
              </w:rPr>
              <w:t>7,842.75</w:t>
            </w:r>
          </w:p>
        </w:tc>
        <w:tc>
          <w:tcPr>
            <w:tcW w:w="1000" w:type="dxa"/>
            <w:vAlign w:val="center"/>
          </w:tcPr>
          <w:p w14:paraId="06A96FA4">
            <w:pPr>
              <w:jc w:val="right"/>
            </w:pPr>
            <w:r>
              <w:rPr>
                <w:rFonts w:ascii="宋体" w:hAnsi="宋体" w:eastAsia="宋体" w:cs="宋体"/>
                <w:b w:val="0"/>
                <w:i w:val="0"/>
                <w:color w:val="000000"/>
                <w:sz w:val="11"/>
              </w:rPr>
              <w:t>5,901.20</w:t>
            </w:r>
          </w:p>
        </w:tc>
        <w:tc>
          <w:tcPr>
            <w:tcW w:w="980" w:type="dxa"/>
            <w:vAlign w:val="center"/>
          </w:tcPr>
          <w:p w14:paraId="6A55088E">
            <w:pPr>
              <w:jc w:val="right"/>
            </w:pPr>
            <w:r>
              <w:rPr>
                <w:rFonts w:ascii="宋体" w:hAnsi="宋体" w:eastAsia="宋体" w:cs="宋体"/>
                <w:b w:val="0"/>
                <w:i w:val="0"/>
                <w:color w:val="000000"/>
                <w:sz w:val="11"/>
              </w:rPr>
              <w:t>1,941.55</w:t>
            </w:r>
          </w:p>
        </w:tc>
        <w:tc>
          <w:tcPr>
            <w:tcW w:w="920" w:type="dxa"/>
            <w:vAlign w:val="center"/>
          </w:tcPr>
          <w:p w14:paraId="22B7B059"/>
        </w:tc>
        <w:tc>
          <w:tcPr>
            <w:tcW w:w="960" w:type="dxa"/>
            <w:vAlign w:val="center"/>
          </w:tcPr>
          <w:p w14:paraId="23EBB3D9"/>
        </w:tc>
        <w:tc>
          <w:tcPr>
            <w:tcW w:w="926" w:type="dxa"/>
            <w:vAlign w:val="center"/>
          </w:tcPr>
          <w:p w14:paraId="3521EDEE"/>
        </w:tc>
      </w:tr>
      <w:tr w14:paraId="5EE94D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F9DDFCA">
            <w:pPr>
              <w:jc w:val="left"/>
            </w:pPr>
            <w:r>
              <w:rPr>
                <w:rFonts w:ascii="宋体" w:hAnsi="宋体" w:eastAsia="宋体" w:cs="宋体"/>
                <w:b w:val="0"/>
                <w:i w:val="0"/>
                <w:color w:val="000000"/>
                <w:sz w:val="11"/>
              </w:rPr>
              <w:t>21201</w:t>
            </w:r>
          </w:p>
        </w:tc>
        <w:tc>
          <w:tcPr>
            <w:tcW w:w="1760" w:type="dxa"/>
            <w:vAlign w:val="center"/>
          </w:tcPr>
          <w:p w14:paraId="5E78B931">
            <w:pPr>
              <w:jc w:val="left"/>
            </w:pPr>
            <w:r>
              <w:rPr>
                <w:rFonts w:ascii="宋体" w:hAnsi="宋体" w:eastAsia="宋体" w:cs="宋体"/>
                <w:b w:val="0"/>
                <w:i w:val="0"/>
                <w:color w:val="000000"/>
                <w:sz w:val="11"/>
              </w:rPr>
              <w:t>城乡社区管理事务</w:t>
            </w:r>
          </w:p>
        </w:tc>
        <w:tc>
          <w:tcPr>
            <w:tcW w:w="940" w:type="dxa"/>
            <w:vAlign w:val="center"/>
          </w:tcPr>
          <w:p w14:paraId="287DFA5D">
            <w:pPr>
              <w:jc w:val="right"/>
            </w:pPr>
            <w:r>
              <w:rPr>
                <w:rFonts w:ascii="宋体" w:hAnsi="宋体" w:eastAsia="宋体" w:cs="宋体"/>
                <w:b w:val="0"/>
                <w:i w:val="0"/>
                <w:color w:val="000000"/>
                <w:sz w:val="11"/>
              </w:rPr>
              <w:t>5,726.56</w:t>
            </w:r>
          </w:p>
        </w:tc>
        <w:tc>
          <w:tcPr>
            <w:tcW w:w="1000" w:type="dxa"/>
            <w:vAlign w:val="center"/>
          </w:tcPr>
          <w:p w14:paraId="3272A9A3">
            <w:pPr>
              <w:jc w:val="right"/>
            </w:pPr>
            <w:r>
              <w:rPr>
                <w:rFonts w:ascii="宋体" w:hAnsi="宋体" w:eastAsia="宋体" w:cs="宋体"/>
                <w:b w:val="0"/>
                <w:i w:val="0"/>
                <w:color w:val="000000"/>
                <w:sz w:val="11"/>
              </w:rPr>
              <w:t>4,914.74</w:t>
            </w:r>
          </w:p>
        </w:tc>
        <w:tc>
          <w:tcPr>
            <w:tcW w:w="980" w:type="dxa"/>
            <w:vAlign w:val="center"/>
          </w:tcPr>
          <w:p w14:paraId="0DE365D6">
            <w:pPr>
              <w:jc w:val="right"/>
            </w:pPr>
            <w:r>
              <w:rPr>
                <w:rFonts w:ascii="宋体" w:hAnsi="宋体" w:eastAsia="宋体" w:cs="宋体"/>
                <w:b w:val="0"/>
                <w:i w:val="0"/>
                <w:color w:val="000000"/>
                <w:sz w:val="11"/>
              </w:rPr>
              <w:t>811.83</w:t>
            </w:r>
          </w:p>
        </w:tc>
        <w:tc>
          <w:tcPr>
            <w:tcW w:w="920" w:type="dxa"/>
            <w:vAlign w:val="center"/>
          </w:tcPr>
          <w:p w14:paraId="694455A9"/>
        </w:tc>
        <w:tc>
          <w:tcPr>
            <w:tcW w:w="960" w:type="dxa"/>
            <w:vAlign w:val="center"/>
          </w:tcPr>
          <w:p w14:paraId="1F95E95D"/>
        </w:tc>
        <w:tc>
          <w:tcPr>
            <w:tcW w:w="926" w:type="dxa"/>
            <w:vAlign w:val="center"/>
          </w:tcPr>
          <w:p w14:paraId="4B1A40FA"/>
        </w:tc>
      </w:tr>
      <w:tr w14:paraId="56FB0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061653D">
            <w:pPr>
              <w:jc w:val="left"/>
            </w:pPr>
            <w:r>
              <w:rPr>
                <w:rFonts w:ascii="宋体" w:hAnsi="宋体" w:eastAsia="宋体" w:cs="宋体"/>
                <w:b w:val="0"/>
                <w:i w:val="0"/>
                <w:color w:val="000000"/>
                <w:sz w:val="11"/>
              </w:rPr>
              <w:t>2120101</w:t>
            </w:r>
          </w:p>
        </w:tc>
        <w:tc>
          <w:tcPr>
            <w:tcW w:w="1760" w:type="dxa"/>
            <w:vAlign w:val="center"/>
          </w:tcPr>
          <w:p w14:paraId="695925D8">
            <w:pPr>
              <w:jc w:val="left"/>
            </w:pPr>
            <w:r>
              <w:rPr>
                <w:rFonts w:ascii="宋体" w:hAnsi="宋体" w:eastAsia="宋体" w:cs="宋体"/>
                <w:b w:val="0"/>
                <w:i w:val="0"/>
                <w:color w:val="000000"/>
                <w:sz w:val="11"/>
              </w:rPr>
              <w:t>行政运行</w:t>
            </w:r>
          </w:p>
        </w:tc>
        <w:tc>
          <w:tcPr>
            <w:tcW w:w="940" w:type="dxa"/>
            <w:vAlign w:val="center"/>
          </w:tcPr>
          <w:p w14:paraId="53D3D49E">
            <w:pPr>
              <w:jc w:val="right"/>
            </w:pPr>
            <w:r>
              <w:rPr>
                <w:rFonts w:ascii="宋体" w:hAnsi="宋体" w:eastAsia="宋体" w:cs="宋体"/>
                <w:b w:val="0"/>
                <w:i w:val="0"/>
                <w:color w:val="000000"/>
                <w:sz w:val="11"/>
              </w:rPr>
              <w:t>411.44</w:t>
            </w:r>
          </w:p>
        </w:tc>
        <w:tc>
          <w:tcPr>
            <w:tcW w:w="1000" w:type="dxa"/>
            <w:vAlign w:val="center"/>
          </w:tcPr>
          <w:p w14:paraId="74D604E3">
            <w:pPr>
              <w:jc w:val="right"/>
            </w:pPr>
            <w:r>
              <w:rPr>
                <w:rFonts w:ascii="宋体" w:hAnsi="宋体" w:eastAsia="宋体" w:cs="宋体"/>
                <w:b w:val="0"/>
                <w:i w:val="0"/>
                <w:color w:val="000000"/>
                <w:sz w:val="11"/>
              </w:rPr>
              <w:t>411.44</w:t>
            </w:r>
          </w:p>
        </w:tc>
        <w:tc>
          <w:tcPr>
            <w:tcW w:w="980" w:type="dxa"/>
            <w:vAlign w:val="center"/>
          </w:tcPr>
          <w:p w14:paraId="67A4CC40"/>
        </w:tc>
        <w:tc>
          <w:tcPr>
            <w:tcW w:w="920" w:type="dxa"/>
            <w:vAlign w:val="center"/>
          </w:tcPr>
          <w:p w14:paraId="13A1DE75"/>
        </w:tc>
        <w:tc>
          <w:tcPr>
            <w:tcW w:w="960" w:type="dxa"/>
            <w:vAlign w:val="center"/>
          </w:tcPr>
          <w:p w14:paraId="5B7FFE00"/>
        </w:tc>
        <w:tc>
          <w:tcPr>
            <w:tcW w:w="926" w:type="dxa"/>
            <w:vAlign w:val="center"/>
          </w:tcPr>
          <w:p w14:paraId="439F577E"/>
        </w:tc>
      </w:tr>
      <w:tr w14:paraId="20CFA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D2210FD">
            <w:pPr>
              <w:jc w:val="left"/>
            </w:pPr>
            <w:r>
              <w:rPr>
                <w:rFonts w:ascii="宋体" w:hAnsi="宋体" w:eastAsia="宋体" w:cs="宋体"/>
                <w:b w:val="0"/>
                <w:i w:val="0"/>
                <w:color w:val="000000"/>
                <w:sz w:val="11"/>
              </w:rPr>
              <w:t>2120199</w:t>
            </w:r>
          </w:p>
        </w:tc>
        <w:tc>
          <w:tcPr>
            <w:tcW w:w="1760" w:type="dxa"/>
            <w:vAlign w:val="center"/>
          </w:tcPr>
          <w:p w14:paraId="79F1DF9F">
            <w:pPr>
              <w:jc w:val="left"/>
            </w:pPr>
            <w:r>
              <w:rPr>
                <w:rFonts w:ascii="宋体" w:hAnsi="宋体" w:eastAsia="宋体" w:cs="宋体"/>
                <w:b w:val="0"/>
                <w:i w:val="0"/>
                <w:color w:val="000000"/>
                <w:sz w:val="11"/>
              </w:rPr>
              <w:t>其他城乡社区管理事务支出</w:t>
            </w:r>
          </w:p>
        </w:tc>
        <w:tc>
          <w:tcPr>
            <w:tcW w:w="940" w:type="dxa"/>
            <w:vAlign w:val="center"/>
          </w:tcPr>
          <w:p w14:paraId="615FF150">
            <w:pPr>
              <w:jc w:val="right"/>
            </w:pPr>
            <w:r>
              <w:rPr>
                <w:rFonts w:ascii="宋体" w:hAnsi="宋体" w:eastAsia="宋体" w:cs="宋体"/>
                <w:b w:val="0"/>
                <w:i w:val="0"/>
                <w:color w:val="000000"/>
                <w:sz w:val="11"/>
              </w:rPr>
              <w:t>5,315.12</w:t>
            </w:r>
          </w:p>
        </w:tc>
        <w:tc>
          <w:tcPr>
            <w:tcW w:w="1000" w:type="dxa"/>
            <w:vAlign w:val="center"/>
          </w:tcPr>
          <w:p w14:paraId="38FF66D5">
            <w:pPr>
              <w:jc w:val="right"/>
            </w:pPr>
            <w:r>
              <w:rPr>
                <w:rFonts w:ascii="宋体" w:hAnsi="宋体" w:eastAsia="宋体" w:cs="宋体"/>
                <w:b w:val="0"/>
                <w:i w:val="0"/>
                <w:color w:val="000000"/>
                <w:sz w:val="11"/>
              </w:rPr>
              <w:t>4,503.29</w:t>
            </w:r>
          </w:p>
        </w:tc>
        <w:tc>
          <w:tcPr>
            <w:tcW w:w="980" w:type="dxa"/>
            <w:vAlign w:val="center"/>
          </w:tcPr>
          <w:p w14:paraId="62DD022D">
            <w:pPr>
              <w:jc w:val="right"/>
            </w:pPr>
            <w:r>
              <w:rPr>
                <w:rFonts w:ascii="宋体" w:hAnsi="宋体" w:eastAsia="宋体" w:cs="宋体"/>
                <w:b w:val="0"/>
                <w:i w:val="0"/>
                <w:color w:val="000000"/>
                <w:sz w:val="11"/>
              </w:rPr>
              <w:t>811.83</w:t>
            </w:r>
          </w:p>
        </w:tc>
        <w:tc>
          <w:tcPr>
            <w:tcW w:w="920" w:type="dxa"/>
            <w:vAlign w:val="center"/>
          </w:tcPr>
          <w:p w14:paraId="63AB739E"/>
        </w:tc>
        <w:tc>
          <w:tcPr>
            <w:tcW w:w="960" w:type="dxa"/>
            <w:vAlign w:val="center"/>
          </w:tcPr>
          <w:p w14:paraId="4A311135"/>
        </w:tc>
        <w:tc>
          <w:tcPr>
            <w:tcW w:w="926" w:type="dxa"/>
            <w:vAlign w:val="center"/>
          </w:tcPr>
          <w:p w14:paraId="595D2B36"/>
        </w:tc>
      </w:tr>
      <w:tr w14:paraId="4DDF7F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C3F6B4C">
            <w:pPr>
              <w:jc w:val="left"/>
            </w:pPr>
            <w:r>
              <w:rPr>
                <w:rFonts w:ascii="宋体" w:hAnsi="宋体" w:eastAsia="宋体" w:cs="宋体"/>
                <w:b w:val="0"/>
                <w:i w:val="0"/>
                <w:color w:val="000000"/>
                <w:sz w:val="11"/>
              </w:rPr>
              <w:t>21299</w:t>
            </w:r>
          </w:p>
        </w:tc>
        <w:tc>
          <w:tcPr>
            <w:tcW w:w="1760" w:type="dxa"/>
            <w:vAlign w:val="center"/>
          </w:tcPr>
          <w:p w14:paraId="301F7246">
            <w:pPr>
              <w:jc w:val="left"/>
            </w:pPr>
            <w:r>
              <w:rPr>
                <w:rFonts w:ascii="宋体" w:hAnsi="宋体" w:eastAsia="宋体" w:cs="宋体"/>
                <w:b w:val="0"/>
                <w:i w:val="0"/>
                <w:color w:val="000000"/>
                <w:sz w:val="11"/>
              </w:rPr>
              <w:t>其他城乡社区支出</w:t>
            </w:r>
          </w:p>
        </w:tc>
        <w:tc>
          <w:tcPr>
            <w:tcW w:w="940" w:type="dxa"/>
            <w:vAlign w:val="center"/>
          </w:tcPr>
          <w:p w14:paraId="31E76E4F">
            <w:pPr>
              <w:jc w:val="right"/>
            </w:pPr>
            <w:r>
              <w:rPr>
                <w:rFonts w:ascii="宋体" w:hAnsi="宋体" w:eastAsia="宋体" w:cs="宋体"/>
                <w:b w:val="0"/>
                <w:i w:val="0"/>
                <w:color w:val="000000"/>
                <w:sz w:val="11"/>
              </w:rPr>
              <w:t>2,116.19</w:t>
            </w:r>
          </w:p>
        </w:tc>
        <w:tc>
          <w:tcPr>
            <w:tcW w:w="1000" w:type="dxa"/>
            <w:vAlign w:val="center"/>
          </w:tcPr>
          <w:p w14:paraId="6B1B2400">
            <w:pPr>
              <w:jc w:val="right"/>
            </w:pPr>
            <w:r>
              <w:rPr>
                <w:rFonts w:ascii="宋体" w:hAnsi="宋体" w:eastAsia="宋体" w:cs="宋体"/>
                <w:b w:val="0"/>
                <w:i w:val="0"/>
                <w:color w:val="000000"/>
                <w:sz w:val="11"/>
              </w:rPr>
              <w:t>986.47</w:t>
            </w:r>
          </w:p>
        </w:tc>
        <w:tc>
          <w:tcPr>
            <w:tcW w:w="980" w:type="dxa"/>
            <w:vAlign w:val="center"/>
          </w:tcPr>
          <w:p w14:paraId="7D266AFD">
            <w:pPr>
              <w:jc w:val="right"/>
            </w:pPr>
            <w:r>
              <w:rPr>
                <w:rFonts w:ascii="宋体" w:hAnsi="宋体" w:eastAsia="宋体" w:cs="宋体"/>
                <w:b w:val="0"/>
                <w:i w:val="0"/>
                <w:color w:val="000000"/>
                <w:sz w:val="11"/>
              </w:rPr>
              <w:t>1,129.72</w:t>
            </w:r>
          </w:p>
        </w:tc>
        <w:tc>
          <w:tcPr>
            <w:tcW w:w="920" w:type="dxa"/>
            <w:vAlign w:val="center"/>
          </w:tcPr>
          <w:p w14:paraId="628A8B44"/>
        </w:tc>
        <w:tc>
          <w:tcPr>
            <w:tcW w:w="960" w:type="dxa"/>
            <w:vAlign w:val="center"/>
          </w:tcPr>
          <w:p w14:paraId="1C9A2BE2"/>
        </w:tc>
        <w:tc>
          <w:tcPr>
            <w:tcW w:w="926" w:type="dxa"/>
            <w:vAlign w:val="center"/>
          </w:tcPr>
          <w:p w14:paraId="454452CE"/>
        </w:tc>
      </w:tr>
      <w:tr w14:paraId="22D812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52D48A2">
            <w:pPr>
              <w:jc w:val="left"/>
            </w:pPr>
            <w:r>
              <w:rPr>
                <w:rFonts w:ascii="宋体" w:hAnsi="宋体" w:eastAsia="宋体" w:cs="宋体"/>
                <w:b w:val="0"/>
                <w:i w:val="0"/>
                <w:color w:val="000000"/>
                <w:sz w:val="11"/>
              </w:rPr>
              <w:t>2129999</w:t>
            </w:r>
          </w:p>
        </w:tc>
        <w:tc>
          <w:tcPr>
            <w:tcW w:w="1760" w:type="dxa"/>
            <w:vAlign w:val="center"/>
          </w:tcPr>
          <w:p w14:paraId="1E64546C">
            <w:pPr>
              <w:jc w:val="left"/>
            </w:pPr>
            <w:r>
              <w:rPr>
                <w:rFonts w:ascii="宋体" w:hAnsi="宋体" w:eastAsia="宋体" w:cs="宋体"/>
                <w:b w:val="0"/>
                <w:i w:val="0"/>
                <w:color w:val="000000"/>
                <w:sz w:val="11"/>
              </w:rPr>
              <w:t>其他城乡社区支出</w:t>
            </w:r>
          </w:p>
        </w:tc>
        <w:tc>
          <w:tcPr>
            <w:tcW w:w="940" w:type="dxa"/>
            <w:vAlign w:val="center"/>
          </w:tcPr>
          <w:p w14:paraId="234CC4A6">
            <w:pPr>
              <w:jc w:val="right"/>
            </w:pPr>
            <w:r>
              <w:rPr>
                <w:rFonts w:ascii="宋体" w:hAnsi="宋体" w:eastAsia="宋体" w:cs="宋体"/>
                <w:b w:val="0"/>
                <w:i w:val="0"/>
                <w:color w:val="000000"/>
                <w:sz w:val="11"/>
              </w:rPr>
              <w:t>2,116.19</w:t>
            </w:r>
          </w:p>
        </w:tc>
        <w:tc>
          <w:tcPr>
            <w:tcW w:w="1000" w:type="dxa"/>
            <w:vAlign w:val="center"/>
          </w:tcPr>
          <w:p w14:paraId="48A33D77">
            <w:pPr>
              <w:jc w:val="right"/>
            </w:pPr>
            <w:r>
              <w:rPr>
                <w:rFonts w:ascii="宋体" w:hAnsi="宋体" w:eastAsia="宋体" w:cs="宋体"/>
                <w:b w:val="0"/>
                <w:i w:val="0"/>
                <w:color w:val="000000"/>
                <w:sz w:val="11"/>
              </w:rPr>
              <w:t>986.47</w:t>
            </w:r>
          </w:p>
        </w:tc>
        <w:tc>
          <w:tcPr>
            <w:tcW w:w="980" w:type="dxa"/>
            <w:vAlign w:val="center"/>
          </w:tcPr>
          <w:p w14:paraId="03AC6F2F">
            <w:pPr>
              <w:jc w:val="right"/>
            </w:pPr>
            <w:r>
              <w:rPr>
                <w:rFonts w:ascii="宋体" w:hAnsi="宋体" w:eastAsia="宋体" w:cs="宋体"/>
                <w:b w:val="0"/>
                <w:i w:val="0"/>
                <w:color w:val="000000"/>
                <w:sz w:val="11"/>
              </w:rPr>
              <w:t>1,129.72</w:t>
            </w:r>
          </w:p>
        </w:tc>
        <w:tc>
          <w:tcPr>
            <w:tcW w:w="920" w:type="dxa"/>
            <w:vAlign w:val="center"/>
          </w:tcPr>
          <w:p w14:paraId="12BD86C8"/>
        </w:tc>
        <w:tc>
          <w:tcPr>
            <w:tcW w:w="960" w:type="dxa"/>
            <w:vAlign w:val="center"/>
          </w:tcPr>
          <w:p w14:paraId="578C4005"/>
        </w:tc>
        <w:tc>
          <w:tcPr>
            <w:tcW w:w="926" w:type="dxa"/>
            <w:vAlign w:val="center"/>
          </w:tcPr>
          <w:p w14:paraId="6F5BB283"/>
        </w:tc>
      </w:tr>
      <w:tr w14:paraId="480C17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12DC550">
            <w:pPr>
              <w:jc w:val="left"/>
            </w:pPr>
            <w:r>
              <w:rPr>
                <w:rFonts w:ascii="宋体" w:hAnsi="宋体" w:eastAsia="宋体" w:cs="宋体"/>
                <w:b w:val="0"/>
                <w:i w:val="0"/>
                <w:color w:val="000000"/>
                <w:sz w:val="11"/>
              </w:rPr>
              <w:t>213</w:t>
            </w:r>
          </w:p>
        </w:tc>
        <w:tc>
          <w:tcPr>
            <w:tcW w:w="1760" w:type="dxa"/>
            <w:vAlign w:val="center"/>
          </w:tcPr>
          <w:p w14:paraId="446D1938">
            <w:pPr>
              <w:jc w:val="left"/>
            </w:pPr>
            <w:r>
              <w:rPr>
                <w:rFonts w:ascii="宋体" w:hAnsi="宋体" w:eastAsia="宋体" w:cs="宋体"/>
                <w:b w:val="0"/>
                <w:i w:val="0"/>
                <w:color w:val="000000"/>
                <w:sz w:val="11"/>
              </w:rPr>
              <w:t>农林水支出</w:t>
            </w:r>
          </w:p>
        </w:tc>
        <w:tc>
          <w:tcPr>
            <w:tcW w:w="940" w:type="dxa"/>
            <w:vAlign w:val="center"/>
          </w:tcPr>
          <w:p w14:paraId="6FC7F2EF">
            <w:pPr>
              <w:jc w:val="right"/>
            </w:pPr>
            <w:r>
              <w:rPr>
                <w:rFonts w:ascii="宋体" w:hAnsi="宋体" w:eastAsia="宋体" w:cs="宋体"/>
                <w:b w:val="0"/>
                <w:i w:val="0"/>
                <w:color w:val="000000"/>
                <w:sz w:val="11"/>
              </w:rPr>
              <w:t>34.34</w:t>
            </w:r>
          </w:p>
        </w:tc>
        <w:tc>
          <w:tcPr>
            <w:tcW w:w="1000" w:type="dxa"/>
            <w:vAlign w:val="center"/>
          </w:tcPr>
          <w:p w14:paraId="0523250C">
            <w:pPr>
              <w:jc w:val="right"/>
            </w:pPr>
            <w:r>
              <w:rPr>
                <w:rFonts w:ascii="宋体" w:hAnsi="宋体" w:eastAsia="宋体" w:cs="宋体"/>
                <w:b w:val="0"/>
                <w:i w:val="0"/>
                <w:color w:val="000000"/>
                <w:sz w:val="11"/>
              </w:rPr>
              <w:t>17.34</w:t>
            </w:r>
          </w:p>
        </w:tc>
        <w:tc>
          <w:tcPr>
            <w:tcW w:w="980" w:type="dxa"/>
            <w:vAlign w:val="center"/>
          </w:tcPr>
          <w:p w14:paraId="1A0994D5">
            <w:pPr>
              <w:jc w:val="right"/>
            </w:pPr>
            <w:r>
              <w:rPr>
                <w:rFonts w:ascii="宋体" w:hAnsi="宋体" w:eastAsia="宋体" w:cs="宋体"/>
                <w:b w:val="0"/>
                <w:i w:val="0"/>
                <w:color w:val="000000"/>
                <w:sz w:val="11"/>
              </w:rPr>
              <w:t>17.00</w:t>
            </w:r>
          </w:p>
        </w:tc>
        <w:tc>
          <w:tcPr>
            <w:tcW w:w="920" w:type="dxa"/>
            <w:vAlign w:val="center"/>
          </w:tcPr>
          <w:p w14:paraId="4083F904"/>
        </w:tc>
        <w:tc>
          <w:tcPr>
            <w:tcW w:w="960" w:type="dxa"/>
            <w:vAlign w:val="center"/>
          </w:tcPr>
          <w:p w14:paraId="6C5EC3C9"/>
        </w:tc>
        <w:tc>
          <w:tcPr>
            <w:tcW w:w="926" w:type="dxa"/>
            <w:vAlign w:val="center"/>
          </w:tcPr>
          <w:p w14:paraId="37E4BF87"/>
        </w:tc>
      </w:tr>
      <w:tr w14:paraId="48E2C6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AD3FB42">
            <w:pPr>
              <w:jc w:val="left"/>
            </w:pPr>
            <w:r>
              <w:rPr>
                <w:rFonts w:ascii="宋体" w:hAnsi="宋体" w:eastAsia="宋体" w:cs="宋体"/>
                <w:b w:val="0"/>
                <w:i w:val="0"/>
                <w:color w:val="000000"/>
                <w:sz w:val="11"/>
              </w:rPr>
              <w:t>21303</w:t>
            </w:r>
          </w:p>
        </w:tc>
        <w:tc>
          <w:tcPr>
            <w:tcW w:w="1760" w:type="dxa"/>
            <w:vAlign w:val="center"/>
          </w:tcPr>
          <w:p w14:paraId="5393CA15">
            <w:pPr>
              <w:jc w:val="left"/>
            </w:pPr>
            <w:r>
              <w:rPr>
                <w:rFonts w:ascii="宋体" w:hAnsi="宋体" w:eastAsia="宋体" w:cs="宋体"/>
                <w:b w:val="0"/>
                <w:i w:val="0"/>
                <w:color w:val="000000"/>
                <w:sz w:val="11"/>
              </w:rPr>
              <w:t>水利</w:t>
            </w:r>
          </w:p>
        </w:tc>
        <w:tc>
          <w:tcPr>
            <w:tcW w:w="940" w:type="dxa"/>
            <w:vAlign w:val="center"/>
          </w:tcPr>
          <w:p w14:paraId="08A1C670">
            <w:pPr>
              <w:jc w:val="right"/>
            </w:pPr>
            <w:r>
              <w:rPr>
                <w:rFonts w:ascii="宋体" w:hAnsi="宋体" w:eastAsia="宋体" w:cs="宋体"/>
                <w:b w:val="0"/>
                <w:i w:val="0"/>
                <w:color w:val="000000"/>
                <w:sz w:val="11"/>
              </w:rPr>
              <w:t>34.34</w:t>
            </w:r>
          </w:p>
        </w:tc>
        <w:tc>
          <w:tcPr>
            <w:tcW w:w="1000" w:type="dxa"/>
            <w:vAlign w:val="center"/>
          </w:tcPr>
          <w:p w14:paraId="5C79975C">
            <w:pPr>
              <w:jc w:val="right"/>
            </w:pPr>
            <w:r>
              <w:rPr>
                <w:rFonts w:ascii="宋体" w:hAnsi="宋体" w:eastAsia="宋体" w:cs="宋体"/>
                <w:b w:val="0"/>
                <w:i w:val="0"/>
                <w:color w:val="000000"/>
                <w:sz w:val="11"/>
              </w:rPr>
              <w:t>17.34</w:t>
            </w:r>
          </w:p>
        </w:tc>
        <w:tc>
          <w:tcPr>
            <w:tcW w:w="980" w:type="dxa"/>
            <w:vAlign w:val="center"/>
          </w:tcPr>
          <w:p w14:paraId="6FA6D05F">
            <w:pPr>
              <w:jc w:val="right"/>
            </w:pPr>
            <w:r>
              <w:rPr>
                <w:rFonts w:ascii="宋体" w:hAnsi="宋体" w:eastAsia="宋体" w:cs="宋体"/>
                <w:b w:val="0"/>
                <w:i w:val="0"/>
                <w:color w:val="000000"/>
                <w:sz w:val="11"/>
              </w:rPr>
              <w:t>17.00</w:t>
            </w:r>
          </w:p>
        </w:tc>
        <w:tc>
          <w:tcPr>
            <w:tcW w:w="920" w:type="dxa"/>
            <w:vAlign w:val="center"/>
          </w:tcPr>
          <w:p w14:paraId="73A251DF"/>
        </w:tc>
        <w:tc>
          <w:tcPr>
            <w:tcW w:w="960" w:type="dxa"/>
            <w:vAlign w:val="center"/>
          </w:tcPr>
          <w:p w14:paraId="383AF047"/>
        </w:tc>
        <w:tc>
          <w:tcPr>
            <w:tcW w:w="926" w:type="dxa"/>
            <w:vAlign w:val="center"/>
          </w:tcPr>
          <w:p w14:paraId="3D173D94"/>
        </w:tc>
      </w:tr>
      <w:tr w14:paraId="2144E0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A86A86B">
            <w:pPr>
              <w:jc w:val="left"/>
            </w:pPr>
            <w:r>
              <w:rPr>
                <w:rFonts w:ascii="宋体" w:hAnsi="宋体" w:eastAsia="宋体" w:cs="宋体"/>
                <w:b w:val="0"/>
                <w:i w:val="0"/>
                <w:color w:val="000000"/>
                <w:sz w:val="11"/>
              </w:rPr>
              <w:t>2130310</w:t>
            </w:r>
          </w:p>
        </w:tc>
        <w:tc>
          <w:tcPr>
            <w:tcW w:w="1760" w:type="dxa"/>
            <w:vAlign w:val="center"/>
          </w:tcPr>
          <w:p w14:paraId="15EABCBF">
            <w:pPr>
              <w:jc w:val="left"/>
            </w:pPr>
            <w:r>
              <w:rPr>
                <w:rFonts w:ascii="宋体" w:hAnsi="宋体" w:eastAsia="宋体" w:cs="宋体"/>
                <w:b w:val="0"/>
                <w:i w:val="0"/>
                <w:color w:val="000000"/>
                <w:sz w:val="11"/>
              </w:rPr>
              <w:t>水土保持</w:t>
            </w:r>
          </w:p>
        </w:tc>
        <w:tc>
          <w:tcPr>
            <w:tcW w:w="940" w:type="dxa"/>
            <w:vAlign w:val="center"/>
          </w:tcPr>
          <w:p w14:paraId="643D58A4">
            <w:pPr>
              <w:jc w:val="right"/>
            </w:pPr>
            <w:r>
              <w:rPr>
                <w:rFonts w:ascii="宋体" w:hAnsi="宋体" w:eastAsia="宋体" w:cs="宋体"/>
                <w:b w:val="0"/>
                <w:i w:val="0"/>
                <w:color w:val="000000"/>
                <w:sz w:val="11"/>
              </w:rPr>
              <w:t>17.34</w:t>
            </w:r>
          </w:p>
        </w:tc>
        <w:tc>
          <w:tcPr>
            <w:tcW w:w="1000" w:type="dxa"/>
            <w:vAlign w:val="center"/>
          </w:tcPr>
          <w:p w14:paraId="3BA0B3E8">
            <w:pPr>
              <w:jc w:val="right"/>
            </w:pPr>
            <w:r>
              <w:rPr>
                <w:rFonts w:ascii="宋体" w:hAnsi="宋体" w:eastAsia="宋体" w:cs="宋体"/>
                <w:b w:val="0"/>
                <w:i w:val="0"/>
                <w:color w:val="000000"/>
                <w:sz w:val="11"/>
              </w:rPr>
              <w:t>17.34</w:t>
            </w:r>
          </w:p>
        </w:tc>
        <w:tc>
          <w:tcPr>
            <w:tcW w:w="980" w:type="dxa"/>
            <w:vAlign w:val="center"/>
          </w:tcPr>
          <w:p w14:paraId="6E9078F2"/>
        </w:tc>
        <w:tc>
          <w:tcPr>
            <w:tcW w:w="920" w:type="dxa"/>
            <w:vAlign w:val="center"/>
          </w:tcPr>
          <w:p w14:paraId="08DA1F91"/>
        </w:tc>
        <w:tc>
          <w:tcPr>
            <w:tcW w:w="960" w:type="dxa"/>
            <w:vAlign w:val="center"/>
          </w:tcPr>
          <w:p w14:paraId="0E7B8DD2"/>
        </w:tc>
        <w:tc>
          <w:tcPr>
            <w:tcW w:w="926" w:type="dxa"/>
            <w:vAlign w:val="center"/>
          </w:tcPr>
          <w:p w14:paraId="50853D8D"/>
        </w:tc>
      </w:tr>
      <w:tr w14:paraId="04760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B3300DD">
            <w:pPr>
              <w:jc w:val="left"/>
            </w:pPr>
            <w:r>
              <w:rPr>
                <w:rFonts w:ascii="宋体" w:hAnsi="宋体" w:eastAsia="宋体" w:cs="宋体"/>
                <w:b w:val="0"/>
                <w:i w:val="0"/>
                <w:color w:val="000000"/>
                <w:sz w:val="11"/>
              </w:rPr>
              <w:t>2130399</w:t>
            </w:r>
          </w:p>
        </w:tc>
        <w:tc>
          <w:tcPr>
            <w:tcW w:w="1760" w:type="dxa"/>
            <w:vAlign w:val="center"/>
          </w:tcPr>
          <w:p w14:paraId="2DD71FF8">
            <w:pPr>
              <w:jc w:val="left"/>
            </w:pPr>
            <w:r>
              <w:rPr>
                <w:rFonts w:ascii="宋体" w:hAnsi="宋体" w:eastAsia="宋体" w:cs="宋体"/>
                <w:b w:val="0"/>
                <w:i w:val="0"/>
                <w:color w:val="000000"/>
                <w:sz w:val="11"/>
              </w:rPr>
              <w:t>其他水利支出</w:t>
            </w:r>
          </w:p>
        </w:tc>
        <w:tc>
          <w:tcPr>
            <w:tcW w:w="940" w:type="dxa"/>
            <w:vAlign w:val="center"/>
          </w:tcPr>
          <w:p w14:paraId="41B59E42">
            <w:pPr>
              <w:jc w:val="right"/>
            </w:pPr>
            <w:r>
              <w:rPr>
                <w:rFonts w:ascii="宋体" w:hAnsi="宋体" w:eastAsia="宋体" w:cs="宋体"/>
                <w:b w:val="0"/>
                <w:i w:val="0"/>
                <w:color w:val="000000"/>
                <w:sz w:val="11"/>
              </w:rPr>
              <w:t>17.00</w:t>
            </w:r>
          </w:p>
        </w:tc>
        <w:tc>
          <w:tcPr>
            <w:tcW w:w="1000" w:type="dxa"/>
            <w:vAlign w:val="center"/>
          </w:tcPr>
          <w:p w14:paraId="060269B8"/>
        </w:tc>
        <w:tc>
          <w:tcPr>
            <w:tcW w:w="980" w:type="dxa"/>
            <w:vAlign w:val="center"/>
          </w:tcPr>
          <w:p w14:paraId="44DB6210">
            <w:pPr>
              <w:jc w:val="right"/>
            </w:pPr>
            <w:r>
              <w:rPr>
                <w:rFonts w:ascii="宋体" w:hAnsi="宋体" w:eastAsia="宋体" w:cs="宋体"/>
                <w:b w:val="0"/>
                <w:i w:val="0"/>
                <w:color w:val="000000"/>
                <w:sz w:val="11"/>
              </w:rPr>
              <w:t>17.00</w:t>
            </w:r>
          </w:p>
        </w:tc>
        <w:tc>
          <w:tcPr>
            <w:tcW w:w="920" w:type="dxa"/>
            <w:vAlign w:val="center"/>
          </w:tcPr>
          <w:p w14:paraId="468A5B3B"/>
        </w:tc>
        <w:tc>
          <w:tcPr>
            <w:tcW w:w="960" w:type="dxa"/>
            <w:vAlign w:val="center"/>
          </w:tcPr>
          <w:p w14:paraId="0A4C8FC9"/>
        </w:tc>
        <w:tc>
          <w:tcPr>
            <w:tcW w:w="926" w:type="dxa"/>
            <w:vAlign w:val="center"/>
          </w:tcPr>
          <w:p w14:paraId="7302CBD2"/>
        </w:tc>
      </w:tr>
      <w:tr w14:paraId="340AC4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11B4E53">
            <w:pPr>
              <w:jc w:val="left"/>
            </w:pPr>
            <w:r>
              <w:rPr>
                <w:rFonts w:ascii="宋体" w:hAnsi="宋体" w:eastAsia="宋体" w:cs="宋体"/>
                <w:b w:val="0"/>
                <w:i w:val="0"/>
                <w:color w:val="000000"/>
                <w:sz w:val="11"/>
              </w:rPr>
              <w:t>214</w:t>
            </w:r>
          </w:p>
        </w:tc>
        <w:tc>
          <w:tcPr>
            <w:tcW w:w="1760" w:type="dxa"/>
            <w:vAlign w:val="center"/>
          </w:tcPr>
          <w:p w14:paraId="6414F623">
            <w:pPr>
              <w:jc w:val="left"/>
            </w:pPr>
            <w:r>
              <w:rPr>
                <w:rFonts w:ascii="宋体" w:hAnsi="宋体" w:eastAsia="宋体" w:cs="宋体"/>
                <w:b w:val="0"/>
                <w:i w:val="0"/>
                <w:color w:val="000000"/>
                <w:sz w:val="11"/>
              </w:rPr>
              <w:t>交通运输支出</w:t>
            </w:r>
          </w:p>
        </w:tc>
        <w:tc>
          <w:tcPr>
            <w:tcW w:w="940" w:type="dxa"/>
            <w:vAlign w:val="center"/>
          </w:tcPr>
          <w:p w14:paraId="5A67D52F">
            <w:pPr>
              <w:jc w:val="right"/>
            </w:pPr>
            <w:r>
              <w:rPr>
                <w:rFonts w:ascii="宋体" w:hAnsi="宋体" w:eastAsia="宋体" w:cs="宋体"/>
                <w:b w:val="0"/>
                <w:i w:val="0"/>
                <w:color w:val="000000"/>
                <w:sz w:val="11"/>
              </w:rPr>
              <w:t>53.00</w:t>
            </w:r>
          </w:p>
        </w:tc>
        <w:tc>
          <w:tcPr>
            <w:tcW w:w="1000" w:type="dxa"/>
            <w:vAlign w:val="center"/>
          </w:tcPr>
          <w:p w14:paraId="654DC062"/>
        </w:tc>
        <w:tc>
          <w:tcPr>
            <w:tcW w:w="980" w:type="dxa"/>
            <w:vAlign w:val="center"/>
          </w:tcPr>
          <w:p w14:paraId="6B7EA3A9">
            <w:pPr>
              <w:jc w:val="right"/>
            </w:pPr>
            <w:r>
              <w:rPr>
                <w:rFonts w:ascii="宋体" w:hAnsi="宋体" w:eastAsia="宋体" w:cs="宋体"/>
                <w:b w:val="0"/>
                <w:i w:val="0"/>
                <w:color w:val="000000"/>
                <w:sz w:val="11"/>
              </w:rPr>
              <w:t>53.00</w:t>
            </w:r>
          </w:p>
        </w:tc>
        <w:tc>
          <w:tcPr>
            <w:tcW w:w="920" w:type="dxa"/>
            <w:vAlign w:val="center"/>
          </w:tcPr>
          <w:p w14:paraId="7826467D"/>
        </w:tc>
        <w:tc>
          <w:tcPr>
            <w:tcW w:w="960" w:type="dxa"/>
            <w:vAlign w:val="center"/>
          </w:tcPr>
          <w:p w14:paraId="12146B46"/>
        </w:tc>
        <w:tc>
          <w:tcPr>
            <w:tcW w:w="926" w:type="dxa"/>
            <w:vAlign w:val="center"/>
          </w:tcPr>
          <w:p w14:paraId="3F431493"/>
        </w:tc>
      </w:tr>
      <w:tr w14:paraId="41875A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4842772">
            <w:pPr>
              <w:jc w:val="left"/>
            </w:pPr>
            <w:r>
              <w:rPr>
                <w:rFonts w:ascii="宋体" w:hAnsi="宋体" w:eastAsia="宋体" w:cs="宋体"/>
                <w:b w:val="0"/>
                <w:i w:val="0"/>
                <w:color w:val="000000"/>
                <w:sz w:val="11"/>
              </w:rPr>
              <w:t>21401</w:t>
            </w:r>
          </w:p>
        </w:tc>
        <w:tc>
          <w:tcPr>
            <w:tcW w:w="1760" w:type="dxa"/>
            <w:vAlign w:val="center"/>
          </w:tcPr>
          <w:p w14:paraId="0005D31D">
            <w:pPr>
              <w:jc w:val="left"/>
            </w:pPr>
            <w:r>
              <w:rPr>
                <w:rFonts w:ascii="宋体" w:hAnsi="宋体" w:eastAsia="宋体" w:cs="宋体"/>
                <w:b w:val="0"/>
                <w:i w:val="0"/>
                <w:color w:val="000000"/>
                <w:sz w:val="11"/>
              </w:rPr>
              <w:t>公路水路运输</w:t>
            </w:r>
          </w:p>
        </w:tc>
        <w:tc>
          <w:tcPr>
            <w:tcW w:w="940" w:type="dxa"/>
            <w:vAlign w:val="center"/>
          </w:tcPr>
          <w:p w14:paraId="247AC0BE">
            <w:pPr>
              <w:jc w:val="right"/>
            </w:pPr>
            <w:r>
              <w:rPr>
                <w:rFonts w:ascii="宋体" w:hAnsi="宋体" w:eastAsia="宋体" w:cs="宋体"/>
                <w:b w:val="0"/>
                <w:i w:val="0"/>
                <w:color w:val="000000"/>
                <w:sz w:val="11"/>
              </w:rPr>
              <w:t>53.00</w:t>
            </w:r>
          </w:p>
        </w:tc>
        <w:tc>
          <w:tcPr>
            <w:tcW w:w="1000" w:type="dxa"/>
            <w:vAlign w:val="center"/>
          </w:tcPr>
          <w:p w14:paraId="79564381"/>
        </w:tc>
        <w:tc>
          <w:tcPr>
            <w:tcW w:w="980" w:type="dxa"/>
            <w:vAlign w:val="center"/>
          </w:tcPr>
          <w:p w14:paraId="21DD4EF0">
            <w:pPr>
              <w:jc w:val="right"/>
            </w:pPr>
            <w:r>
              <w:rPr>
                <w:rFonts w:ascii="宋体" w:hAnsi="宋体" w:eastAsia="宋体" w:cs="宋体"/>
                <w:b w:val="0"/>
                <w:i w:val="0"/>
                <w:color w:val="000000"/>
                <w:sz w:val="11"/>
              </w:rPr>
              <w:t>53.00</w:t>
            </w:r>
          </w:p>
        </w:tc>
        <w:tc>
          <w:tcPr>
            <w:tcW w:w="920" w:type="dxa"/>
            <w:vAlign w:val="center"/>
          </w:tcPr>
          <w:p w14:paraId="03A3D7C1"/>
        </w:tc>
        <w:tc>
          <w:tcPr>
            <w:tcW w:w="960" w:type="dxa"/>
            <w:vAlign w:val="center"/>
          </w:tcPr>
          <w:p w14:paraId="04BDC8F2"/>
        </w:tc>
        <w:tc>
          <w:tcPr>
            <w:tcW w:w="926" w:type="dxa"/>
            <w:vAlign w:val="center"/>
          </w:tcPr>
          <w:p w14:paraId="26752930"/>
        </w:tc>
      </w:tr>
      <w:tr w14:paraId="5F413C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9760CD6">
            <w:pPr>
              <w:jc w:val="left"/>
            </w:pPr>
            <w:r>
              <w:rPr>
                <w:rFonts w:ascii="宋体" w:hAnsi="宋体" w:eastAsia="宋体" w:cs="宋体"/>
                <w:b w:val="0"/>
                <w:i w:val="0"/>
                <w:color w:val="000000"/>
                <w:sz w:val="11"/>
              </w:rPr>
              <w:t>2140199</w:t>
            </w:r>
          </w:p>
        </w:tc>
        <w:tc>
          <w:tcPr>
            <w:tcW w:w="1760" w:type="dxa"/>
            <w:vAlign w:val="center"/>
          </w:tcPr>
          <w:p w14:paraId="05116FD9">
            <w:pPr>
              <w:jc w:val="left"/>
            </w:pPr>
            <w:r>
              <w:rPr>
                <w:rFonts w:ascii="宋体" w:hAnsi="宋体" w:eastAsia="宋体" w:cs="宋体"/>
                <w:b w:val="0"/>
                <w:i w:val="0"/>
                <w:color w:val="000000"/>
                <w:sz w:val="11"/>
              </w:rPr>
              <w:t>其他公路水路运输支出</w:t>
            </w:r>
          </w:p>
        </w:tc>
        <w:tc>
          <w:tcPr>
            <w:tcW w:w="940" w:type="dxa"/>
            <w:vAlign w:val="center"/>
          </w:tcPr>
          <w:p w14:paraId="1F8C1529">
            <w:pPr>
              <w:jc w:val="right"/>
            </w:pPr>
            <w:r>
              <w:rPr>
                <w:rFonts w:ascii="宋体" w:hAnsi="宋体" w:eastAsia="宋体" w:cs="宋体"/>
                <w:b w:val="0"/>
                <w:i w:val="0"/>
                <w:color w:val="000000"/>
                <w:sz w:val="11"/>
              </w:rPr>
              <w:t>53.00</w:t>
            </w:r>
          </w:p>
        </w:tc>
        <w:tc>
          <w:tcPr>
            <w:tcW w:w="1000" w:type="dxa"/>
            <w:vAlign w:val="center"/>
          </w:tcPr>
          <w:p w14:paraId="102DFFBD"/>
        </w:tc>
        <w:tc>
          <w:tcPr>
            <w:tcW w:w="980" w:type="dxa"/>
            <w:vAlign w:val="center"/>
          </w:tcPr>
          <w:p w14:paraId="789C09FA">
            <w:pPr>
              <w:jc w:val="right"/>
            </w:pPr>
            <w:r>
              <w:rPr>
                <w:rFonts w:ascii="宋体" w:hAnsi="宋体" w:eastAsia="宋体" w:cs="宋体"/>
                <w:b w:val="0"/>
                <w:i w:val="0"/>
                <w:color w:val="000000"/>
                <w:sz w:val="11"/>
              </w:rPr>
              <w:t>53.00</w:t>
            </w:r>
          </w:p>
        </w:tc>
        <w:tc>
          <w:tcPr>
            <w:tcW w:w="920" w:type="dxa"/>
            <w:vAlign w:val="center"/>
          </w:tcPr>
          <w:p w14:paraId="7A174241"/>
        </w:tc>
        <w:tc>
          <w:tcPr>
            <w:tcW w:w="960" w:type="dxa"/>
            <w:vAlign w:val="center"/>
          </w:tcPr>
          <w:p w14:paraId="273D4C8B"/>
        </w:tc>
        <w:tc>
          <w:tcPr>
            <w:tcW w:w="926" w:type="dxa"/>
            <w:vAlign w:val="center"/>
          </w:tcPr>
          <w:p w14:paraId="11FCCEBE"/>
        </w:tc>
      </w:tr>
      <w:tr w14:paraId="705E94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BB131E7">
            <w:pPr>
              <w:jc w:val="left"/>
            </w:pPr>
            <w:r>
              <w:rPr>
                <w:rFonts w:ascii="宋体" w:hAnsi="宋体" w:eastAsia="宋体" w:cs="宋体"/>
                <w:b w:val="0"/>
                <w:i w:val="0"/>
                <w:color w:val="000000"/>
                <w:sz w:val="11"/>
              </w:rPr>
              <w:t>221</w:t>
            </w:r>
          </w:p>
        </w:tc>
        <w:tc>
          <w:tcPr>
            <w:tcW w:w="1760" w:type="dxa"/>
            <w:vAlign w:val="center"/>
          </w:tcPr>
          <w:p w14:paraId="0D595F7D">
            <w:pPr>
              <w:jc w:val="left"/>
            </w:pPr>
            <w:r>
              <w:rPr>
                <w:rFonts w:ascii="宋体" w:hAnsi="宋体" w:eastAsia="宋体" w:cs="宋体"/>
                <w:b w:val="0"/>
                <w:i w:val="0"/>
                <w:color w:val="000000"/>
                <w:sz w:val="11"/>
              </w:rPr>
              <w:t>住房保障支出</w:t>
            </w:r>
          </w:p>
        </w:tc>
        <w:tc>
          <w:tcPr>
            <w:tcW w:w="940" w:type="dxa"/>
            <w:vAlign w:val="center"/>
          </w:tcPr>
          <w:p w14:paraId="352D7704">
            <w:pPr>
              <w:jc w:val="right"/>
            </w:pPr>
            <w:r>
              <w:rPr>
                <w:rFonts w:ascii="宋体" w:hAnsi="宋体" w:eastAsia="宋体" w:cs="宋体"/>
                <w:b w:val="0"/>
                <w:i w:val="0"/>
                <w:color w:val="000000"/>
                <w:sz w:val="11"/>
              </w:rPr>
              <w:t>5,628.57</w:t>
            </w:r>
          </w:p>
        </w:tc>
        <w:tc>
          <w:tcPr>
            <w:tcW w:w="1000" w:type="dxa"/>
            <w:vAlign w:val="center"/>
          </w:tcPr>
          <w:p w14:paraId="75402CF3">
            <w:pPr>
              <w:jc w:val="right"/>
            </w:pPr>
            <w:r>
              <w:rPr>
                <w:rFonts w:ascii="宋体" w:hAnsi="宋体" w:eastAsia="宋体" w:cs="宋体"/>
                <w:b w:val="0"/>
                <w:i w:val="0"/>
                <w:color w:val="000000"/>
                <w:sz w:val="11"/>
              </w:rPr>
              <w:t>403.64</w:t>
            </w:r>
          </w:p>
        </w:tc>
        <w:tc>
          <w:tcPr>
            <w:tcW w:w="980" w:type="dxa"/>
            <w:vAlign w:val="center"/>
          </w:tcPr>
          <w:p w14:paraId="28ACB3D8">
            <w:pPr>
              <w:jc w:val="right"/>
            </w:pPr>
            <w:r>
              <w:rPr>
                <w:rFonts w:ascii="宋体" w:hAnsi="宋体" w:eastAsia="宋体" w:cs="宋体"/>
                <w:b w:val="0"/>
                <w:i w:val="0"/>
                <w:color w:val="000000"/>
                <w:sz w:val="11"/>
              </w:rPr>
              <w:t>5,224.93</w:t>
            </w:r>
          </w:p>
        </w:tc>
        <w:tc>
          <w:tcPr>
            <w:tcW w:w="920" w:type="dxa"/>
            <w:vAlign w:val="center"/>
          </w:tcPr>
          <w:p w14:paraId="098D9FBE"/>
        </w:tc>
        <w:tc>
          <w:tcPr>
            <w:tcW w:w="960" w:type="dxa"/>
            <w:vAlign w:val="center"/>
          </w:tcPr>
          <w:p w14:paraId="734CFDE7"/>
        </w:tc>
        <w:tc>
          <w:tcPr>
            <w:tcW w:w="926" w:type="dxa"/>
            <w:vAlign w:val="center"/>
          </w:tcPr>
          <w:p w14:paraId="3F6B4558"/>
        </w:tc>
      </w:tr>
      <w:tr w14:paraId="25221C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095DAD9">
            <w:pPr>
              <w:jc w:val="left"/>
            </w:pPr>
            <w:r>
              <w:rPr>
                <w:rFonts w:ascii="宋体" w:hAnsi="宋体" w:eastAsia="宋体" w:cs="宋体"/>
                <w:b w:val="0"/>
                <w:i w:val="0"/>
                <w:color w:val="000000"/>
                <w:sz w:val="11"/>
              </w:rPr>
              <w:t>22101</w:t>
            </w:r>
          </w:p>
        </w:tc>
        <w:tc>
          <w:tcPr>
            <w:tcW w:w="1760" w:type="dxa"/>
            <w:vAlign w:val="center"/>
          </w:tcPr>
          <w:p w14:paraId="5393B5EB">
            <w:pPr>
              <w:jc w:val="left"/>
            </w:pPr>
            <w:r>
              <w:rPr>
                <w:rFonts w:ascii="宋体" w:hAnsi="宋体" w:eastAsia="宋体" w:cs="宋体"/>
                <w:b w:val="0"/>
                <w:i w:val="0"/>
                <w:color w:val="000000"/>
                <w:sz w:val="11"/>
              </w:rPr>
              <w:t>保障性安居工程支出</w:t>
            </w:r>
          </w:p>
        </w:tc>
        <w:tc>
          <w:tcPr>
            <w:tcW w:w="940" w:type="dxa"/>
            <w:vAlign w:val="center"/>
          </w:tcPr>
          <w:p w14:paraId="44860A98">
            <w:pPr>
              <w:jc w:val="right"/>
            </w:pPr>
            <w:r>
              <w:rPr>
                <w:rFonts w:ascii="宋体" w:hAnsi="宋体" w:eastAsia="宋体" w:cs="宋体"/>
                <w:b w:val="0"/>
                <w:i w:val="0"/>
                <w:color w:val="000000"/>
                <w:sz w:val="11"/>
              </w:rPr>
              <w:t>5,524.93</w:t>
            </w:r>
          </w:p>
        </w:tc>
        <w:tc>
          <w:tcPr>
            <w:tcW w:w="1000" w:type="dxa"/>
            <w:vAlign w:val="center"/>
          </w:tcPr>
          <w:p w14:paraId="49075287">
            <w:pPr>
              <w:jc w:val="right"/>
            </w:pPr>
            <w:r>
              <w:rPr>
                <w:rFonts w:ascii="宋体" w:hAnsi="宋体" w:eastAsia="宋体" w:cs="宋体"/>
                <w:b w:val="0"/>
                <w:i w:val="0"/>
                <w:color w:val="000000"/>
                <w:sz w:val="11"/>
              </w:rPr>
              <w:t>300.00</w:t>
            </w:r>
          </w:p>
        </w:tc>
        <w:tc>
          <w:tcPr>
            <w:tcW w:w="980" w:type="dxa"/>
            <w:vAlign w:val="center"/>
          </w:tcPr>
          <w:p w14:paraId="13992DEA">
            <w:pPr>
              <w:jc w:val="right"/>
            </w:pPr>
            <w:r>
              <w:rPr>
                <w:rFonts w:ascii="宋体" w:hAnsi="宋体" w:eastAsia="宋体" w:cs="宋体"/>
                <w:b w:val="0"/>
                <w:i w:val="0"/>
                <w:color w:val="000000"/>
                <w:sz w:val="11"/>
              </w:rPr>
              <w:t>5,224.93</w:t>
            </w:r>
          </w:p>
        </w:tc>
        <w:tc>
          <w:tcPr>
            <w:tcW w:w="920" w:type="dxa"/>
            <w:vAlign w:val="center"/>
          </w:tcPr>
          <w:p w14:paraId="12862C9C"/>
        </w:tc>
        <w:tc>
          <w:tcPr>
            <w:tcW w:w="960" w:type="dxa"/>
            <w:vAlign w:val="center"/>
          </w:tcPr>
          <w:p w14:paraId="38B32F11"/>
        </w:tc>
        <w:tc>
          <w:tcPr>
            <w:tcW w:w="926" w:type="dxa"/>
            <w:vAlign w:val="center"/>
          </w:tcPr>
          <w:p w14:paraId="0773A218"/>
        </w:tc>
      </w:tr>
      <w:tr w14:paraId="4DAC44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86AD51F">
            <w:pPr>
              <w:jc w:val="left"/>
            </w:pPr>
            <w:r>
              <w:rPr>
                <w:rFonts w:ascii="宋体" w:hAnsi="宋体" w:eastAsia="宋体" w:cs="宋体"/>
                <w:b w:val="0"/>
                <w:i w:val="0"/>
                <w:color w:val="000000"/>
                <w:sz w:val="11"/>
              </w:rPr>
              <w:t>2210106</w:t>
            </w:r>
          </w:p>
        </w:tc>
        <w:tc>
          <w:tcPr>
            <w:tcW w:w="1760" w:type="dxa"/>
            <w:vAlign w:val="center"/>
          </w:tcPr>
          <w:p w14:paraId="5C663199">
            <w:pPr>
              <w:jc w:val="left"/>
            </w:pPr>
            <w:r>
              <w:rPr>
                <w:rFonts w:ascii="宋体" w:hAnsi="宋体" w:eastAsia="宋体" w:cs="宋体"/>
                <w:b w:val="0"/>
                <w:i w:val="0"/>
                <w:color w:val="000000"/>
                <w:sz w:val="11"/>
              </w:rPr>
              <w:t>公共租赁住房</w:t>
            </w:r>
          </w:p>
        </w:tc>
        <w:tc>
          <w:tcPr>
            <w:tcW w:w="940" w:type="dxa"/>
            <w:vAlign w:val="center"/>
          </w:tcPr>
          <w:p w14:paraId="4C2F35C1">
            <w:pPr>
              <w:jc w:val="right"/>
            </w:pPr>
            <w:r>
              <w:rPr>
                <w:rFonts w:ascii="宋体" w:hAnsi="宋体" w:eastAsia="宋体" w:cs="宋体"/>
                <w:b w:val="0"/>
                <w:i w:val="0"/>
                <w:color w:val="000000"/>
                <w:sz w:val="11"/>
              </w:rPr>
              <w:t>813.81</w:t>
            </w:r>
          </w:p>
        </w:tc>
        <w:tc>
          <w:tcPr>
            <w:tcW w:w="1000" w:type="dxa"/>
            <w:vAlign w:val="center"/>
          </w:tcPr>
          <w:p w14:paraId="328780AA">
            <w:pPr>
              <w:jc w:val="right"/>
            </w:pPr>
            <w:r>
              <w:rPr>
                <w:rFonts w:ascii="宋体" w:hAnsi="宋体" w:eastAsia="宋体" w:cs="宋体"/>
                <w:b w:val="0"/>
                <w:i w:val="0"/>
                <w:color w:val="000000"/>
                <w:sz w:val="11"/>
              </w:rPr>
              <w:t>300.00</w:t>
            </w:r>
          </w:p>
        </w:tc>
        <w:tc>
          <w:tcPr>
            <w:tcW w:w="980" w:type="dxa"/>
            <w:vAlign w:val="center"/>
          </w:tcPr>
          <w:p w14:paraId="01E18B5E">
            <w:pPr>
              <w:jc w:val="right"/>
            </w:pPr>
            <w:r>
              <w:rPr>
                <w:rFonts w:ascii="宋体" w:hAnsi="宋体" w:eastAsia="宋体" w:cs="宋体"/>
                <w:b w:val="0"/>
                <w:i w:val="0"/>
                <w:color w:val="000000"/>
                <w:sz w:val="11"/>
              </w:rPr>
              <w:t>513.81</w:t>
            </w:r>
          </w:p>
        </w:tc>
        <w:tc>
          <w:tcPr>
            <w:tcW w:w="920" w:type="dxa"/>
            <w:vAlign w:val="center"/>
          </w:tcPr>
          <w:p w14:paraId="1B3F6097"/>
        </w:tc>
        <w:tc>
          <w:tcPr>
            <w:tcW w:w="960" w:type="dxa"/>
            <w:vAlign w:val="center"/>
          </w:tcPr>
          <w:p w14:paraId="185EB209"/>
        </w:tc>
        <w:tc>
          <w:tcPr>
            <w:tcW w:w="926" w:type="dxa"/>
            <w:vAlign w:val="center"/>
          </w:tcPr>
          <w:p w14:paraId="3E282E31"/>
        </w:tc>
      </w:tr>
      <w:tr w14:paraId="254BA9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4D00CEC">
            <w:pPr>
              <w:jc w:val="left"/>
            </w:pPr>
            <w:r>
              <w:rPr>
                <w:rFonts w:ascii="宋体" w:hAnsi="宋体" w:eastAsia="宋体" w:cs="宋体"/>
                <w:b w:val="0"/>
                <w:i w:val="0"/>
                <w:color w:val="000000"/>
                <w:sz w:val="11"/>
              </w:rPr>
              <w:t>2210107</w:t>
            </w:r>
          </w:p>
        </w:tc>
        <w:tc>
          <w:tcPr>
            <w:tcW w:w="1760" w:type="dxa"/>
            <w:vAlign w:val="center"/>
          </w:tcPr>
          <w:p w14:paraId="211A38F4">
            <w:pPr>
              <w:jc w:val="left"/>
            </w:pPr>
            <w:r>
              <w:rPr>
                <w:rFonts w:ascii="宋体" w:hAnsi="宋体" w:eastAsia="宋体" w:cs="宋体"/>
                <w:b w:val="0"/>
                <w:i w:val="0"/>
                <w:color w:val="000000"/>
                <w:sz w:val="11"/>
              </w:rPr>
              <w:t>保障性住房租金补贴</w:t>
            </w:r>
          </w:p>
        </w:tc>
        <w:tc>
          <w:tcPr>
            <w:tcW w:w="940" w:type="dxa"/>
            <w:vAlign w:val="center"/>
          </w:tcPr>
          <w:p w14:paraId="1DAFB93E">
            <w:pPr>
              <w:jc w:val="right"/>
            </w:pPr>
            <w:r>
              <w:rPr>
                <w:rFonts w:ascii="宋体" w:hAnsi="宋体" w:eastAsia="宋体" w:cs="宋体"/>
                <w:b w:val="0"/>
                <w:i w:val="0"/>
                <w:color w:val="000000"/>
                <w:sz w:val="11"/>
              </w:rPr>
              <w:t>1,053.07</w:t>
            </w:r>
          </w:p>
        </w:tc>
        <w:tc>
          <w:tcPr>
            <w:tcW w:w="1000" w:type="dxa"/>
            <w:vAlign w:val="center"/>
          </w:tcPr>
          <w:p w14:paraId="6739E757"/>
        </w:tc>
        <w:tc>
          <w:tcPr>
            <w:tcW w:w="980" w:type="dxa"/>
            <w:vAlign w:val="center"/>
          </w:tcPr>
          <w:p w14:paraId="3133383D">
            <w:pPr>
              <w:jc w:val="right"/>
            </w:pPr>
            <w:r>
              <w:rPr>
                <w:rFonts w:ascii="宋体" w:hAnsi="宋体" w:eastAsia="宋体" w:cs="宋体"/>
                <w:b w:val="0"/>
                <w:i w:val="0"/>
                <w:color w:val="000000"/>
                <w:sz w:val="11"/>
              </w:rPr>
              <w:t>1,053.07</w:t>
            </w:r>
          </w:p>
        </w:tc>
        <w:tc>
          <w:tcPr>
            <w:tcW w:w="920" w:type="dxa"/>
            <w:vAlign w:val="center"/>
          </w:tcPr>
          <w:p w14:paraId="043E9ECB"/>
        </w:tc>
        <w:tc>
          <w:tcPr>
            <w:tcW w:w="960" w:type="dxa"/>
            <w:vAlign w:val="center"/>
          </w:tcPr>
          <w:p w14:paraId="5F5A9A7F"/>
        </w:tc>
        <w:tc>
          <w:tcPr>
            <w:tcW w:w="926" w:type="dxa"/>
            <w:vAlign w:val="center"/>
          </w:tcPr>
          <w:p w14:paraId="63606DF8"/>
        </w:tc>
      </w:tr>
      <w:tr w14:paraId="243A4E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49298E3">
            <w:pPr>
              <w:jc w:val="left"/>
            </w:pPr>
            <w:r>
              <w:rPr>
                <w:rFonts w:ascii="宋体" w:hAnsi="宋体" w:eastAsia="宋体" w:cs="宋体"/>
                <w:b w:val="0"/>
                <w:i w:val="0"/>
                <w:color w:val="000000"/>
                <w:sz w:val="11"/>
              </w:rPr>
              <w:t>2210108</w:t>
            </w:r>
          </w:p>
        </w:tc>
        <w:tc>
          <w:tcPr>
            <w:tcW w:w="1760" w:type="dxa"/>
            <w:vAlign w:val="center"/>
          </w:tcPr>
          <w:p w14:paraId="3CD955C7">
            <w:pPr>
              <w:jc w:val="left"/>
            </w:pPr>
            <w:r>
              <w:rPr>
                <w:rFonts w:ascii="宋体" w:hAnsi="宋体" w:eastAsia="宋体" w:cs="宋体"/>
                <w:b w:val="0"/>
                <w:i w:val="0"/>
                <w:color w:val="000000"/>
                <w:sz w:val="11"/>
              </w:rPr>
              <w:t>老旧小区改造</w:t>
            </w:r>
          </w:p>
        </w:tc>
        <w:tc>
          <w:tcPr>
            <w:tcW w:w="940" w:type="dxa"/>
            <w:vAlign w:val="center"/>
          </w:tcPr>
          <w:p w14:paraId="0763C6A4">
            <w:pPr>
              <w:jc w:val="right"/>
            </w:pPr>
            <w:r>
              <w:rPr>
                <w:rFonts w:ascii="宋体" w:hAnsi="宋体" w:eastAsia="宋体" w:cs="宋体"/>
                <w:b w:val="0"/>
                <w:i w:val="0"/>
                <w:color w:val="000000"/>
                <w:sz w:val="11"/>
              </w:rPr>
              <w:t>3,606.00</w:t>
            </w:r>
          </w:p>
        </w:tc>
        <w:tc>
          <w:tcPr>
            <w:tcW w:w="1000" w:type="dxa"/>
            <w:vAlign w:val="center"/>
          </w:tcPr>
          <w:p w14:paraId="65520F34"/>
        </w:tc>
        <w:tc>
          <w:tcPr>
            <w:tcW w:w="980" w:type="dxa"/>
            <w:vAlign w:val="center"/>
          </w:tcPr>
          <w:p w14:paraId="0A1A438F">
            <w:pPr>
              <w:jc w:val="right"/>
            </w:pPr>
            <w:r>
              <w:rPr>
                <w:rFonts w:ascii="宋体" w:hAnsi="宋体" w:eastAsia="宋体" w:cs="宋体"/>
                <w:b w:val="0"/>
                <w:i w:val="0"/>
                <w:color w:val="000000"/>
                <w:sz w:val="11"/>
              </w:rPr>
              <w:t>3,606.00</w:t>
            </w:r>
          </w:p>
        </w:tc>
        <w:tc>
          <w:tcPr>
            <w:tcW w:w="920" w:type="dxa"/>
            <w:vAlign w:val="center"/>
          </w:tcPr>
          <w:p w14:paraId="5A6468F5"/>
        </w:tc>
        <w:tc>
          <w:tcPr>
            <w:tcW w:w="960" w:type="dxa"/>
            <w:vAlign w:val="center"/>
          </w:tcPr>
          <w:p w14:paraId="62C15F21"/>
        </w:tc>
        <w:tc>
          <w:tcPr>
            <w:tcW w:w="926" w:type="dxa"/>
            <w:vAlign w:val="center"/>
          </w:tcPr>
          <w:p w14:paraId="310A8AA4"/>
        </w:tc>
      </w:tr>
      <w:tr w14:paraId="74AF0F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9778322">
            <w:pPr>
              <w:jc w:val="left"/>
            </w:pPr>
            <w:r>
              <w:rPr>
                <w:rFonts w:ascii="宋体" w:hAnsi="宋体" w:eastAsia="宋体" w:cs="宋体"/>
                <w:b w:val="0"/>
                <w:i w:val="0"/>
                <w:color w:val="000000"/>
                <w:sz w:val="11"/>
              </w:rPr>
              <w:t>2210110</w:t>
            </w:r>
          </w:p>
        </w:tc>
        <w:tc>
          <w:tcPr>
            <w:tcW w:w="1760" w:type="dxa"/>
            <w:vAlign w:val="center"/>
          </w:tcPr>
          <w:p w14:paraId="2E5DDB95">
            <w:pPr>
              <w:jc w:val="left"/>
            </w:pPr>
            <w:r>
              <w:rPr>
                <w:rFonts w:ascii="宋体" w:hAnsi="宋体" w:eastAsia="宋体" w:cs="宋体"/>
                <w:b w:val="0"/>
                <w:i w:val="0"/>
                <w:color w:val="000000"/>
                <w:sz w:val="11"/>
              </w:rPr>
              <w:t>保障性租赁住房</w:t>
            </w:r>
          </w:p>
        </w:tc>
        <w:tc>
          <w:tcPr>
            <w:tcW w:w="940" w:type="dxa"/>
            <w:vAlign w:val="center"/>
          </w:tcPr>
          <w:p w14:paraId="4036545B">
            <w:pPr>
              <w:jc w:val="right"/>
            </w:pPr>
            <w:r>
              <w:rPr>
                <w:rFonts w:ascii="宋体" w:hAnsi="宋体" w:eastAsia="宋体" w:cs="宋体"/>
                <w:b w:val="0"/>
                <w:i w:val="0"/>
                <w:color w:val="000000"/>
                <w:sz w:val="11"/>
              </w:rPr>
              <w:t>28.00</w:t>
            </w:r>
          </w:p>
        </w:tc>
        <w:tc>
          <w:tcPr>
            <w:tcW w:w="1000" w:type="dxa"/>
            <w:vAlign w:val="center"/>
          </w:tcPr>
          <w:p w14:paraId="03792857"/>
        </w:tc>
        <w:tc>
          <w:tcPr>
            <w:tcW w:w="980" w:type="dxa"/>
            <w:vAlign w:val="center"/>
          </w:tcPr>
          <w:p w14:paraId="18F4DE90">
            <w:pPr>
              <w:jc w:val="right"/>
            </w:pPr>
            <w:r>
              <w:rPr>
                <w:rFonts w:ascii="宋体" w:hAnsi="宋体" w:eastAsia="宋体" w:cs="宋体"/>
                <w:b w:val="0"/>
                <w:i w:val="0"/>
                <w:color w:val="000000"/>
                <w:sz w:val="11"/>
              </w:rPr>
              <w:t>28.00</w:t>
            </w:r>
          </w:p>
        </w:tc>
        <w:tc>
          <w:tcPr>
            <w:tcW w:w="920" w:type="dxa"/>
            <w:vAlign w:val="center"/>
          </w:tcPr>
          <w:p w14:paraId="7A55428E"/>
        </w:tc>
        <w:tc>
          <w:tcPr>
            <w:tcW w:w="960" w:type="dxa"/>
            <w:vAlign w:val="center"/>
          </w:tcPr>
          <w:p w14:paraId="70EED36E"/>
        </w:tc>
        <w:tc>
          <w:tcPr>
            <w:tcW w:w="926" w:type="dxa"/>
            <w:vAlign w:val="center"/>
          </w:tcPr>
          <w:p w14:paraId="228F4ADA"/>
        </w:tc>
      </w:tr>
      <w:tr w14:paraId="1A3767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C031863">
            <w:pPr>
              <w:jc w:val="left"/>
            </w:pPr>
            <w:r>
              <w:rPr>
                <w:rFonts w:ascii="宋体" w:hAnsi="宋体" w:eastAsia="宋体" w:cs="宋体"/>
                <w:b w:val="0"/>
                <w:i w:val="0"/>
                <w:color w:val="000000"/>
                <w:sz w:val="11"/>
              </w:rPr>
              <w:t>2210199</w:t>
            </w:r>
          </w:p>
        </w:tc>
        <w:tc>
          <w:tcPr>
            <w:tcW w:w="1760" w:type="dxa"/>
            <w:vAlign w:val="center"/>
          </w:tcPr>
          <w:p w14:paraId="20A63161">
            <w:pPr>
              <w:jc w:val="left"/>
            </w:pPr>
            <w:r>
              <w:rPr>
                <w:rFonts w:ascii="宋体" w:hAnsi="宋体" w:eastAsia="宋体" w:cs="宋体"/>
                <w:b w:val="0"/>
                <w:i w:val="0"/>
                <w:color w:val="000000"/>
                <w:sz w:val="11"/>
              </w:rPr>
              <w:t>其他保障性安居工程支出</w:t>
            </w:r>
          </w:p>
        </w:tc>
        <w:tc>
          <w:tcPr>
            <w:tcW w:w="940" w:type="dxa"/>
            <w:vAlign w:val="center"/>
          </w:tcPr>
          <w:p w14:paraId="26C3D7A7">
            <w:pPr>
              <w:jc w:val="right"/>
            </w:pPr>
            <w:r>
              <w:rPr>
                <w:rFonts w:ascii="宋体" w:hAnsi="宋体" w:eastAsia="宋体" w:cs="宋体"/>
                <w:b w:val="0"/>
                <w:i w:val="0"/>
                <w:color w:val="000000"/>
                <w:sz w:val="11"/>
              </w:rPr>
              <w:t>24.05</w:t>
            </w:r>
          </w:p>
        </w:tc>
        <w:tc>
          <w:tcPr>
            <w:tcW w:w="1000" w:type="dxa"/>
            <w:vAlign w:val="center"/>
          </w:tcPr>
          <w:p w14:paraId="26BABBA2"/>
        </w:tc>
        <w:tc>
          <w:tcPr>
            <w:tcW w:w="980" w:type="dxa"/>
            <w:vAlign w:val="center"/>
          </w:tcPr>
          <w:p w14:paraId="656EEB49">
            <w:pPr>
              <w:jc w:val="right"/>
            </w:pPr>
            <w:r>
              <w:rPr>
                <w:rFonts w:ascii="宋体" w:hAnsi="宋体" w:eastAsia="宋体" w:cs="宋体"/>
                <w:b w:val="0"/>
                <w:i w:val="0"/>
                <w:color w:val="000000"/>
                <w:sz w:val="11"/>
              </w:rPr>
              <w:t>24.05</w:t>
            </w:r>
          </w:p>
        </w:tc>
        <w:tc>
          <w:tcPr>
            <w:tcW w:w="920" w:type="dxa"/>
            <w:vAlign w:val="center"/>
          </w:tcPr>
          <w:p w14:paraId="14EF4104"/>
        </w:tc>
        <w:tc>
          <w:tcPr>
            <w:tcW w:w="960" w:type="dxa"/>
            <w:vAlign w:val="center"/>
          </w:tcPr>
          <w:p w14:paraId="4BAE2A88"/>
        </w:tc>
        <w:tc>
          <w:tcPr>
            <w:tcW w:w="926" w:type="dxa"/>
            <w:vAlign w:val="center"/>
          </w:tcPr>
          <w:p w14:paraId="6B562207"/>
        </w:tc>
      </w:tr>
      <w:tr w14:paraId="05C634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D26C107">
            <w:pPr>
              <w:jc w:val="left"/>
            </w:pPr>
            <w:r>
              <w:rPr>
                <w:rFonts w:ascii="宋体" w:hAnsi="宋体" w:eastAsia="宋体" w:cs="宋体"/>
                <w:b w:val="0"/>
                <w:i w:val="0"/>
                <w:color w:val="000000"/>
                <w:sz w:val="11"/>
              </w:rPr>
              <w:t>22102</w:t>
            </w:r>
          </w:p>
        </w:tc>
        <w:tc>
          <w:tcPr>
            <w:tcW w:w="1760" w:type="dxa"/>
            <w:vAlign w:val="center"/>
          </w:tcPr>
          <w:p w14:paraId="5D543EC7">
            <w:pPr>
              <w:jc w:val="left"/>
            </w:pPr>
            <w:r>
              <w:rPr>
                <w:rFonts w:ascii="宋体" w:hAnsi="宋体" w:eastAsia="宋体" w:cs="宋体"/>
                <w:b w:val="0"/>
                <w:i w:val="0"/>
                <w:color w:val="000000"/>
                <w:sz w:val="11"/>
              </w:rPr>
              <w:t>住房改革支出</w:t>
            </w:r>
          </w:p>
        </w:tc>
        <w:tc>
          <w:tcPr>
            <w:tcW w:w="940" w:type="dxa"/>
            <w:vAlign w:val="center"/>
          </w:tcPr>
          <w:p w14:paraId="5EA08E7B">
            <w:pPr>
              <w:jc w:val="right"/>
            </w:pPr>
            <w:r>
              <w:rPr>
                <w:rFonts w:ascii="宋体" w:hAnsi="宋体" w:eastAsia="宋体" w:cs="宋体"/>
                <w:b w:val="0"/>
                <w:i w:val="0"/>
                <w:color w:val="000000"/>
                <w:sz w:val="11"/>
              </w:rPr>
              <w:t>103.64</w:t>
            </w:r>
          </w:p>
        </w:tc>
        <w:tc>
          <w:tcPr>
            <w:tcW w:w="1000" w:type="dxa"/>
            <w:vAlign w:val="center"/>
          </w:tcPr>
          <w:p w14:paraId="1C3B5457">
            <w:pPr>
              <w:jc w:val="right"/>
            </w:pPr>
            <w:r>
              <w:rPr>
                <w:rFonts w:ascii="宋体" w:hAnsi="宋体" w:eastAsia="宋体" w:cs="宋体"/>
                <w:b w:val="0"/>
                <w:i w:val="0"/>
                <w:color w:val="000000"/>
                <w:sz w:val="11"/>
              </w:rPr>
              <w:t>103.64</w:t>
            </w:r>
          </w:p>
        </w:tc>
        <w:tc>
          <w:tcPr>
            <w:tcW w:w="980" w:type="dxa"/>
            <w:vAlign w:val="center"/>
          </w:tcPr>
          <w:p w14:paraId="1CDCD66D"/>
        </w:tc>
        <w:tc>
          <w:tcPr>
            <w:tcW w:w="920" w:type="dxa"/>
            <w:vAlign w:val="center"/>
          </w:tcPr>
          <w:p w14:paraId="3DCEAF32"/>
        </w:tc>
        <w:tc>
          <w:tcPr>
            <w:tcW w:w="960" w:type="dxa"/>
            <w:vAlign w:val="center"/>
          </w:tcPr>
          <w:p w14:paraId="1FB9C0B8"/>
        </w:tc>
        <w:tc>
          <w:tcPr>
            <w:tcW w:w="926" w:type="dxa"/>
            <w:vAlign w:val="center"/>
          </w:tcPr>
          <w:p w14:paraId="5619068F"/>
        </w:tc>
      </w:tr>
      <w:tr w14:paraId="7F0DD3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7B691BA">
            <w:pPr>
              <w:jc w:val="left"/>
            </w:pPr>
            <w:r>
              <w:rPr>
                <w:rFonts w:ascii="宋体" w:hAnsi="宋体" w:eastAsia="宋体" w:cs="宋体"/>
                <w:b w:val="0"/>
                <w:i w:val="0"/>
                <w:color w:val="000000"/>
                <w:sz w:val="11"/>
              </w:rPr>
              <w:t>2210201</w:t>
            </w:r>
          </w:p>
        </w:tc>
        <w:tc>
          <w:tcPr>
            <w:tcW w:w="1760" w:type="dxa"/>
            <w:vAlign w:val="center"/>
          </w:tcPr>
          <w:p w14:paraId="4E9D6FFE">
            <w:pPr>
              <w:jc w:val="left"/>
            </w:pPr>
            <w:r>
              <w:rPr>
                <w:rFonts w:ascii="宋体" w:hAnsi="宋体" w:eastAsia="宋体" w:cs="宋体"/>
                <w:b w:val="0"/>
                <w:i w:val="0"/>
                <w:color w:val="000000"/>
                <w:sz w:val="11"/>
              </w:rPr>
              <w:t>住房公积金</w:t>
            </w:r>
          </w:p>
        </w:tc>
        <w:tc>
          <w:tcPr>
            <w:tcW w:w="940" w:type="dxa"/>
            <w:vAlign w:val="center"/>
          </w:tcPr>
          <w:p w14:paraId="132C841C">
            <w:pPr>
              <w:jc w:val="right"/>
            </w:pPr>
            <w:r>
              <w:rPr>
                <w:rFonts w:ascii="宋体" w:hAnsi="宋体" w:eastAsia="宋体" w:cs="宋体"/>
                <w:b w:val="0"/>
                <w:i w:val="0"/>
                <w:color w:val="000000"/>
                <w:sz w:val="11"/>
              </w:rPr>
              <w:t>103.64</w:t>
            </w:r>
          </w:p>
        </w:tc>
        <w:tc>
          <w:tcPr>
            <w:tcW w:w="1000" w:type="dxa"/>
            <w:vAlign w:val="center"/>
          </w:tcPr>
          <w:p w14:paraId="0E9F2EEB">
            <w:pPr>
              <w:jc w:val="right"/>
            </w:pPr>
            <w:r>
              <w:rPr>
                <w:rFonts w:ascii="宋体" w:hAnsi="宋体" w:eastAsia="宋体" w:cs="宋体"/>
                <w:b w:val="0"/>
                <w:i w:val="0"/>
                <w:color w:val="000000"/>
                <w:sz w:val="11"/>
              </w:rPr>
              <w:t>103.64</w:t>
            </w:r>
          </w:p>
        </w:tc>
        <w:tc>
          <w:tcPr>
            <w:tcW w:w="980" w:type="dxa"/>
            <w:vAlign w:val="center"/>
          </w:tcPr>
          <w:p w14:paraId="11FBBAA3"/>
        </w:tc>
        <w:tc>
          <w:tcPr>
            <w:tcW w:w="920" w:type="dxa"/>
            <w:vAlign w:val="center"/>
          </w:tcPr>
          <w:p w14:paraId="4AE902EA"/>
        </w:tc>
        <w:tc>
          <w:tcPr>
            <w:tcW w:w="960" w:type="dxa"/>
            <w:vAlign w:val="center"/>
          </w:tcPr>
          <w:p w14:paraId="1829F83D"/>
        </w:tc>
        <w:tc>
          <w:tcPr>
            <w:tcW w:w="926" w:type="dxa"/>
            <w:vAlign w:val="center"/>
          </w:tcPr>
          <w:p w14:paraId="6A30CA13"/>
        </w:tc>
      </w:tr>
      <w:tr w14:paraId="03EB15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C76EC8F">
            <w:pPr>
              <w:jc w:val="left"/>
            </w:pPr>
            <w:r>
              <w:rPr>
                <w:rFonts w:ascii="宋体" w:hAnsi="宋体" w:eastAsia="宋体" w:cs="宋体"/>
                <w:b w:val="0"/>
                <w:i w:val="0"/>
                <w:color w:val="000000"/>
                <w:sz w:val="11"/>
              </w:rPr>
              <w:t>229</w:t>
            </w:r>
          </w:p>
        </w:tc>
        <w:tc>
          <w:tcPr>
            <w:tcW w:w="1760" w:type="dxa"/>
            <w:vAlign w:val="center"/>
          </w:tcPr>
          <w:p w14:paraId="73D11066">
            <w:pPr>
              <w:jc w:val="left"/>
            </w:pPr>
            <w:r>
              <w:rPr>
                <w:rFonts w:ascii="宋体" w:hAnsi="宋体" w:eastAsia="宋体" w:cs="宋体"/>
                <w:b w:val="0"/>
                <w:i w:val="0"/>
                <w:color w:val="000000"/>
                <w:sz w:val="11"/>
              </w:rPr>
              <w:t>其他支出</w:t>
            </w:r>
          </w:p>
        </w:tc>
        <w:tc>
          <w:tcPr>
            <w:tcW w:w="940" w:type="dxa"/>
            <w:vAlign w:val="center"/>
          </w:tcPr>
          <w:p w14:paraId="61D2F9F3">
            <w:pPr>
              <w:jc w:val="right"/>
            </w:pPr>
            <w:r>
              <w:rPr>
                <w:rFonts w:ascii="宋体" w:hAnsi="宋体" w:eastAsia="宋体" w:cs="宋体"/>
                <w:b w:val="0"/>
                <w:i w:val="0"/>
                <w:color w:val="000000"/>
                <w:sz w:val="11"/>
              </w:rPr>
              <w:t>33,046.63</w:t>
            </w:r>
          </w:p>
        </w:tc>
        <w:tc>
          <w:tcPr>
            <w:tcW w:w="1000" w:type="dxa"/>
            <w:vAlign w:val="center"/>
          </w:tcPr>
          <w:p w14:paraId="79E4CDBD">
            <w:pPr>
              <w:jc w:val="right"/>
            </w:pPr>
            <w:r>
              <w:rPr>
                <w:rFonts w:ascii="宋体" w:hAnsi="宋体" w:eastAsia="宋体" w:cs="宋体"/>
                <w:b w:val="0"/>
                <w:i w:val="0"/>
                <w:color w:val="000000"/>
                <w:sz w:val="11"/>
              </w:rPr>
              <w:t>56.63</w:t>
            </w:r>
          </w:p>
        </w:tc>
        <w:tc>
          <w:tcPr>
            <w:tcW w:w="980" w:type="dxa"/>
            <w:vAlign w:val="center"/>
          </w:tcPr>
          <w:p w14:paraId="3872C5D5">
            <w:pPr>
              <w:jc w:val="right"/>
            </w:pPr>
            <w:r>
              <w:rPr>
                <w:rFonts w:ascii="宋体" w:hAnsi="宋体" w:eastAsia="宋体" w:cs="宋体"/>
                <w:b w:val="0"/>
                <w:i w:val="0"/>
                <w:color w:val="000000"/>
                <w:sz w:val="11"/>
              </w:rPr>
              <w:t>32,990.00</w:t>
            </w:r>
          </w:p>
        </w:tc>
        <w:tc>
          <w:tcPr>
            <w:tcW w:w="920" w:type="dxa"/>
            <w:vAlign w:val="center"/>
          </w:tcPr>
          <w:p w14:paraId="6D0402FB"/>
        </w:tc>
        <w:tc>
          <w:tcPr>
            <w:tcW w:w="960" w:type="dxa"/>
            <w:vAlign w:val="center"/>
          </w:tcPr>
          <w:p w14:paraId="72C3B1E3"/>
        </w:tc>
        <w:tc>
          <w:tcPr>
            <w:tcW w:w="926" w:type="dxa"/>
            <w:vAlign w:val="center"/>
          </w:tcPr>
          <w:p w14:paraId="4C29F51D"/>
        </w:tc>
      </w:tr>
      <w:tr w14:paraId="5C7E51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9ED61D0">
            <w:pPr>
              <w:jc w:val="left"/>
            </w:pPr>
            <w:r>
              <w:rPr>
                <w:rFonts w:ascii="宋体" w:hAnsi="宋体" w:eastAsia="宋体" w:cs="宋体"/>
                <w:b w:val="0"/>
                <w:i w:val="0"/>
                <w:color w:val="000000"/>
                <w:sz w:val="11"/>
              </w:rPr>
              <w:t>22904</w:t>
            </w:r>
          </w:p>
        </w:tc>
        <w:tc>
          <w:tcPr>
            <w:tcW w:w="1760" w:type="dxa"/>
            <w:vAlign w:val="center"/>
          </w:tcPr>
          <w:p w14:paraId="7D2D3586">
            <w:pPr>
              <w:jc w:val="left"/>
            </w:pPr>
            <w:r>
              <w:rPr>
                <w:rFonts w:ascii="宋体" w:hAnsi="宋体" w:eastAsia="宋体" w:cs="宋体"/>
                <w:b w:val="0"/>
                <w:i w:val="0"/>
                <w:color w:val="000000"/>
                <w:sz w:val="11"/>
              </w:rPr>
              <w:t>其他政府性基金及对应专项债务收入安排的支出</w:t>
            </w:r>
          </w:p>
        </w:tc>
        <w:tc>
          <w:tcPr>
            <w:tcW w:w="940" w:type="dxa"/>
            <w:vAlign w:val="center"/>
          </w:tcPr>
          <w:p w14:paraId="4AF0529F">
            <w:pPr>
              <w:jc w:val="right"/>
            </w:pPr>
            <w:r>
              <w:rPr>
                <w:rFonts w:ascii="宋体" w:hAnsi="宋体" w:eastAsia="宋体" w:cs="宋体"/>
                <w:b w:val="0"/>
                <w:i w:val="0"/>
                <w:color w:val="000000"/>
                <w:sz w:val="11"/>
              </w:rPr>
              <w:t>32,990.00</w:t>
            </w:r>
          </w:p>
        </w:tc>
        <w:tc>
          <w:tcPr>
            <w:tcW w:w="1000" w:type="dxa"/>
            <w:vAlign w:val="center"/>
          </w:tcPr>
          <w:p w14:paraId="13425736"/>
        </w:tc>
        <w:tc>
          <w:tcPr>
            <w:tcW w:w="980" w:type="dxa"/>
            <w:vAlign w:val="center"/>
          </w:tcPr>
          <w:p w14:paraId="1CEAAAA4">
            <w:pPr>
              <w:jc w:val="right"/>
            </w:pPr>
            <w:r>
              <w:rPr>
                <w:rFonts w:ascii="宋体" w:hAnsi="宋体" w:eastAsia="宋体" w:cs="宋体"/>
                <w:b w:val="0"/>
                <w:i w:val="0"/>
                <w:color w:val="000000"/>
                <w:sz w:val="11"/>
              </w:rPr>
              <w:t>32,990.00</w:t>
            </w:r>
          </w:p>
        </w:tc>
        <w:tc>
          <w:tcPr>
            <w:tcW w:w="920" w:type="dxa"/>
            <w:vAlign w:val="center"/>
          </w:tcPr>
          <w:p w14:paraId="0356CFD6"/>
        </w:tc>
        <w:tc>
          <w:tcPr>
            <w:tcW w:w="960" w:type="dxa"/>
            <w:vAlign w:val="center"/>
          </w:tcPr>
          <w:p w14:paraId="44432548"/>
        </w:tc>
        <w:tc>
          <w:tcPr>
            <w:tcW w:w="926" w:type="dxa"/>
            <w:vAlign w:val="center"/>
          </w:tcPr>
          <w:p w14:paraId="405705AB"/>
        </w:tc>
      </w:tr>
      <w:tr w14:paraId="523326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48ADCC4">
            <w:pPr>
              <w:jc w:val="left"/>
            </w:pPr>
            <w:r>
              <w:rPr>
                <w:rFonts w:ascii="宋体" w:hAnsi="宋体" w:eastAsia="宋体" w:cs="宋体"/>
                <w:b w:val="0"/>
                <w:i w:val="0"/>
                <w:color w:val="000000"/>
                <w:sz w:val="11"/>
              </w:rPr>
              <w:t>2290402</w:t>
            </w:r>
          </w:p>
        </w:tc>
        <w:tc>
          <w:tcPr>
            <w:tcW w:w="1760" w:type="dxa"/>
            <w:vAlign w:val="center"/>
          </w:tcPr>
          <w:p w14:paraId="00FC6872">
            <w:pPr>
              <w:jc w:val="left"/>
            </w:pPr>
            <w:r>
              <w:rPr>
                <w:rFonts w:ascii="宋体" w:hAnsi="宋体" w:eastAsia="宋体" w:cs="宋体"/>
                <w:b w:val="0"/>
                <w:i w:val="0"/>
                <w:color w:val="000000"/>
                <w:sz w:val="11"/>
              </w:rPr>
              <w:t>其他地方自行试点项目收益专项债券收入安排的支出</w:t>
            </w:r>
          </w:p>
        </w:tc>
        <w:tc>
          <w:tcPr>
            <w:tcW w:w="940" w:type="dxa"/>
            <w:vAlign w:val="center"/>
          </w:tcPr>
          <w:p w14:paraId="14716666">
            <w:pPr>
              <w:jc w:val="right"/>
            </w:pPr>
            <w:r>
              <w:rPr>
                <w:rFonts w:ascii="宋体" w:hAnsi="宋体" w:eastAsia="宋体" w:cs="宋体"/>
                <w:b w:val="0"/>
                <w:i w:val="0"/>
                <w:color w:val="000000"/>
                <w:sz w:val="11"/>
              </w:rPr>
              <w:t>32,990.00</w:t>
            </w:r>
          </w:p>
        </w:tc>
        <w:tc>
          <w:tcPr>
            <w:tcW w:w="1000" w:type="dxa"/>
            <w:vAlign w:val="center"/>
          </w:tcPr>
          <w:p w14:paraId="74FD21B4"/>
        </w:tc>
        <w:tc>
          <w:tcPr>
            <w:tcW w:w="980" w:type="dxa"/>
            <w:vAlign w:val="center"/>
          </w:tcPr>
          <w:p w14:paraId="362A1870">
            <w:pPr>
              <w:jc w:val="right"/>
            </w:pPr>
            <w:r>
              <w:rPr>
                <w:rFonts w:ascii="宋体" w:hAnsi="宋体" w:eastAsia="宋体" w:cs="宋体"/>
                <w:b w:val="0"/>
                <w:i w:val="0"/>
                <w:color w:val="000000"/>
                <w:sz w:val="11"/>
              </w:rPr>
              <w:t>32,990.00</w:t>
            </w:r>
          </w:p>
        </w:tc>
        <w:tc>
          <w:tcPr>
            <w:tcW w:w="920" w:type="dxa"/>
            <w:vAlign w:val="center"/>
          </w:tcPr>
          <w:p w14:paraId="0F986119"/>
        </w:tc>
        <w:tc>
          <w:tcPr>
            <w:tcW w:w="960" w:type="dxa"/>
            <w:vAlign w:val="center"/>
          </w:tcPr>
          <w:p w14:paraId="39F912C9"/>
        </w:tc>
        <w:tc>
          <w:tcPr>
            <w:tcW w:w="926" w:type="dxa"/>
            <w:vAlign w:val="center"/>
          </w:tcPr>
          <w:p w14:paraId="717FD709"/>
        </w:tc>
      </w:tr>
      <w:tr w14:paraId="17A2A7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89AA8B1">
            <w:pPr>
              <w:jc w:val="left"/>
            </w:pPr>
            <w:r>
              <w:rPr>
                <w:rFonts w:ascii="宋体" w:hAnsi="宋体" w:eastAsia="宋体" w:cs="宋体"/>
                <w:b w:val="0"/>
                <w:i w:val="0"/>
                <w:color w:val="000000"/>
                <w:sz w:val="11"/>
              </w:rPr>
              <w:t>22999</w:t>
            </w:r>
          </w:p>
        </w:tc>
        <w:tc>
          <w:tcPr>
            <w:tcW w:w="1760" w:type="dxa"/>
            <w:vAlign w:val="center"/>
          </w:tcPr>
          <w:p w14:paraId="6312FCEA">
            <w:pPr>
              <w:jc w:val="left"/>
            </w:pPr>
            <w:r>
              <w:rPr>
                <w:rFonts w:ascii="宋体" w:hAnsi="宋体" w:eastAsia="宋体" w:cs="宋体"/>
                <w:b w:val="0"/>
                <w:i w:val="0"/>
                <w:color w:val="000000"/>
                <w:sz w:val="11"/>
              </w:rPr>
              <w:t>其他支出</w:t>
            </w:r>
          </w:p>
        </w:tc>
        <w:tc>
          <w:tcPr>
            <w:tcW w:w="940" w:type="dxa"/>
            <w:vAlign w:val="center"/>
          </w:tcPr>
          <w:p w14:paraId="7B421291">
            <w:pPr>
              <w:jc w:val="right"/>
            </w:pPr>
            <w:r>
              <w:rPr>
                <w:rFonts w:ascii="宋体" w:hAnsi="宋体" w:eastAsia="宋体" w:cs="宋体"/>
                <w:b w:val="0"/>
                <w:i w:val="0"/>
                <w:color w:val="000000"/>
                <w:sz w:val="11"/>
              </w:rPr>
              <w:t>56.63</w:t>
            </w:r>
          </w:p>
        </w:tc>
        <w:tc>
          <w:tcPr>
            <w:tcW w:w="1000" w:type="dxa"/>
            <w:vAlign w:val="center"/>
          </w:tcPr>
          <w:p w14:paraId="3C8544FD">
            <w:pPr>
              <w:jc w:val="right"/>
            </w:pPr>
            <w:r>
              <w:rPr>
                <w:rFonts w:ascii="宋体" w:hAnsi="宋体" w:eastAsia="宋体" w:cs="宋体"/>
                <w:b w:val="0"/>
                <w:i w:val="0"/>
                <w:color w:val="000000"/>
                <w:sz w:val="11"/>
              </w:rPr>
              <w:t>56.63</w:t>
            </w:r>
          </w:p>
        </w:tc>
        <w:tc>
          <w:tcPr>
            <w:tcW w:w="980" w:type="dxa"/>
            <w:vAlign w:val="center"/>
          </w:tcPr>
          <w:p w14:paraId="4C9954A2"/>
        </w:tc>
        <w:tc>
          <w:tcPr>
            <w:tcW w:w="920" w:type="dxa"/>
            <w:vAlign w:val="center"/>
          </w:tcPr>
          <w:p w14:paraId="418B9DB7"/>
        </w:tc>
        <w:tc>
          <w:tcPr>
            <w:tcW w:w="960" w:type="dxa"/>
            <w:vAlign w:val="center"/>
          </w:tcPr>
          <w:p w14:paraId="5C48BE88"/>
        </w:tc>
        <w:tc>
          <w:tcPr>
            <w:tcW w:w="926" w:type="dxa"/>
            <w:vAlign w:val="center"/>
          </w:tcPr>
          <w:p w14:paraId="4031DD54"/>
        </w:tc>
      </w:tr>
      <w:tr w14:paraId="4C6C61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C624608">
            <w:pPr>
              <w:jc w:val="left"/>
            </w:pPr>
            <w:r>
              <w:rPr>
                <w:rFonts w:ascii="宋体" w:hAnsi="宋体" w:eastAsia="宋体" w:cs="宋体"/>
                <w:b w:val="0"/>
                <w:i w:val="0"/>
                <w:color w:val="000000"/>
                <w:sz w:val="11"/>
              </w:rPr>
              <w:t>2299999</w:t>
            </w:r>
          </w:p>
        </w:tc>
        <w:tc>
          <w:tcPr>
            <w:tcW w:w="1760" w:type="dxa"/>
            <w:vAlign w:val="center"/>
          </w:tcPr>
          <w:p w14:paraId="2C629BA5">
            <w:pPr>
              <w:jc w:val="left"/>
            </w:pPr>
            <w:r>
              <w:rPr>
                <w:rFonts w:ascii="宋体" w:hAnsi="宋体" w:eastAsia="宋体" w:cs="宋体"/>
                <w:b w:val="0"/>
                <w:i w:val="0"/>
                <w:color w:val="000000"/>
                <w:sz w:val="11"/>
              </w:rPr>
              <w:t>其他支出</w:t>
            </w:r>
          </w:p>
        </w:tc>
        <w:tc>
          <w:tcPr>
            <w:tcW w:w="940" w:type="dxa"/>
            <w:vAlign w:val="center"/>
          </w:tcPr>
          <w:p w14:paraId="14010B6A">
            <w:pPr>
              <w:jc w:val="right"/>
            </w:pPr>
            <w:r>
              <w:rPr>
                <w:rFonts w:ascii="宋体" w:hAnsi="宋体" w:eastAsia="宋体" w:cs="宋体"/>
                <w:b w:val="0"/>
                <w:i w:val="0"/>
                <w:color w:val="000000"/>
                <w:sz w:val="11"/>
              </w:rPr>
              <w:t>56.63</w:t>
            </w:r>
          </w:p>
        </w:tc>
        <w:tc>
          <w:tcPr>
            <w:tcW w:w="1000" w:type="dxa"/>
            <w:vAlign w:val="center"/>
          </w:tcPr>
          <w:p w14:paraId="77E61D0B">
            <w:pPr>
              <w:jc w:val="right"/>
            </w:pPr>
            <w:r>
              <w:rPr>
                <w:rFonts w:ascii="宋体" w:hAnsi="宋体" w:eastAsia="宋体" w:cs="宋体"/>
                <w:b w:val="0"/>
                <w:i w:val="0"/>
                <w:color w:val="000000"/>
                <w:sz w:val="11"/>
              </w:rPr>
              <w:t>56.63</w:t>
            </w:r>
          </w:p>
        </w:tc>
        <w:tc>
          <w:tcPr>
            <w:tcW w:w="980" w:type="dxa"/>
            <w:vAlign w:val="center"/>
          </w:tcPr>
          <w:p w14:paraId="3DD4F465"/>
        </w:tc>
        <w:tc>
          <w:tcPr>
            <w:tcW w:w="920" w:type="dxa"/>
            <w:vAlign w:val="center"/>
          </w:tcPr>
          <w:p w14:paraId="7131830E"/>
        </w:tc>
        <w:tc>
          <w:tcPr>
            <w:tcW w:w="960" w:type="dxa"/>
            <w:vAlign w:val="center"/>
          </w:tcPr>
          <w:p w14:paraId="34D602A7"/>
        </w:tc>
        <w:tc>
          <w:tcPr>
            <w:tcW w:w="926" w:type="dxa"/>
            <w:vAlign w:val="center"/>
          </w:tcPr>
          <w:p w14:paraId="3321F33F"/>
        </w:tc>
      </w:tr>
      <w:tr w14:paraId="00364B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3" w:hRule="exact"/>
          <w:jc w:val="center"/>
        </w:trPr>
        <w:tc>
          <w:tcPr>
            <w:tcW w:w="280"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388191CE">
            <w:pPr>
              <w:jc w:val="left"/>
            </w:pPr>
            <w:r>
              <w:rPr>
                <w:rFonts w:ascii="宋体" w:hAnsi="宋体" w:eastAsia="宋体" w:cs="宋体"/>
                <w:b w:val="0"/>
                <w:i w:val="0"/>
                <w:color w:val="000000"/>
                <w:sz w:val="11"/>
              </w:rPr>
              <w:t>注：本表反映部门（单位）本年度各项支出情况。</w:t>
            </w:r>
          </w:p>
        </w:tc>
      </w:tr>
    </w:tbl>
    <w:p w14:paraId="1BCC1793">
      <w:pPr>
        <w:snapToGrid w:val="0"/>
        <w:spacing w:before="200" w:after="200" w:line="200" w:lineRule="auto"/>
      </w:pPr>
      <w:r>
        <w:rPr>
          <w:sz w:val="8"/>
        </w:rPr>
        <w:t xml:space="preserve"> </w:t>
      </w:r>
    </w:p>
    <w:p w14:paraId="6280E821">
      <w:pPr>
        <w:pageBreakBefore/>
        <w:jc w:val="center"/>
        <w:outlineLvl w:val="1"/>
        <w:rPr>
          <w:rFonts w:hint="eastAsia" w:ascii="黑体" w:hAnsi="宋体" w:eastAsia="黑体" w:cs="黑体"/>
          <w:sz w:val="32"/>
          <w:szCs w:val="32"/>
          <w:lang w:bidi="en-AU"/>
        </w:rPr>
        <w:sectPr>
          <w:footerReference r:id="rId3" w:type="default"/>
          <w:pgSz w:w="11906" w:h="16838"/>
          <w:pgMar w:top="1440" w:right="1800" w:bottom="1440" w:left="1800" w:header="851" w:footer="992" w:gutter="0"/>
          <w:cols w:space="720" w:num="1"/>
          <w:docGrid w:type="lines" w:linePitch="312" w:charSpace="0"/>
        </w:sectPr>
      </w:pPr>
    </w:p>
    <w:p w14:paraId="39BEEDAB">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财政拨款收入支出决算总表</w:t>
      </w:r>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14:paraId="5C5576C0">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gridSpan w:val="3"/>
          </w:tcPr>
          <w:p w14:paraId="3D94B49D">
            <w:pPr>
              <w:jc w:val="right"/>
            </w:pPr>
            <w:r>
              <w:rPr>
                <w:rFonts w:ascii="宋体" w:hAnsi="宋体" w:eastAsia="宋体" w:cs="宋体"/>
                <w:sz w:val="20"/>
              </w:rPr>
              <w:t>公开04表</w:t>
            </w:r>
          </w:p>
        </w:tc>
      </w:tr>
      <w:tr w14:paraId="5DC4B415">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tcPr>
          <w:p w14:paraId="78E273AB">
            <w:pPr>
              <w:jc w:val="left"/>
            </w:pPr>
            <w:r>
              <w:rPr>
                <w:rFonts w:ascii="宋体" w:hAnsi="宋体" w:eastAsia="宋体" w:cs="宋体"/>
                <w:sz w:val="20"/>
              </w:rPr>
              <w:t>部门：南昌市青云谱区住房和城乡建设局</w:t>
            </w:r>
          </w:p>
        </w:tc>
        <w:tc>
          <w:tcPr>
            <w:tcW w:w="2000" w:type="dxa"/>
          </w:tcPr>
          <w:p w14:paraId="6827A232">
            <w:pPr>
              <w:jc w:val="center"/>
            </w:pPr>
            <w:r>
              <w:rPr>
                <w:rFonts w:ascii="宋体" w:hAnsi="宋体" w:eastAsia="宋体" w:cs="宋体"/>
                <w:sz w:val="20"/>
              </w:rPr>
              <w:t>2023年度</w:t>
            </w:r>
          </w:p>
        </w:tc>
        <w:tc>
          <w:tcPr>
            <w:tcW w:w="5979" w:type="dxa"/>
          </w:tcPr>
          <w:p w14:paraId="48C46917">
            <w:pPr>
              <w:jc w:val="right"/>
            </w:pPr>
            <w:r>
              <w:rPr>
                <w:rFonts w:ascii="宋体" w:hAnsi="宋体" w:eastAsia="宋体" w:cs="宋体"/>
                <w:sz w:val="20"/>
              </w:rPr>
              <w:t>金额单位：万元</w:t>
            </w:r>
          </w:p>
        </w:tc>
      </w:tr>
    </w:tbl>
    <w:p w14:paraId="53AFFCB4">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40"/>
        <w:gridCol w:w="420"/>
        <w:gridCol w:w="1480"/>
        <w:gridCol w:w="2980"/>
        <w:gridCol w:w="420"/>
        <w:gridCol w:w="1460"/>
        <w:gridCol w:w="1460"/>
        <w:gridCol w:w="1460"/>
        <w:gridCol w:w="1438"/>
      </w:tblGrid>
      <w:tr w14:paraId="22F3CE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gridSpan w:val="3"/>
            <w:vAlign w:val="center"/>
          </w:tcPr>
          <w:p w14:paraId="11F5A84B">
            <w:pPr>
              <w:jc w:val="center"/>
            </w:pPr>
            <w:r>
              <w:rPr>
                <w:rFonts w:ascii="宋体" w:hAnsi="宋体" w:eastAsia="宋体" w:cs="宋体"/>
                <w:b w:val="0"/>
                <w:i w:val="0"/>
                <w:color w:val="000000"/>
                <w:sz w:val="17"/>
              </w:rPr>
              <w:t>收     入</w:t>
            </w:r>
          </w:p>
        </w:tc>
        <w:tc>
          <w:tcPr>
            <w:tcW w:w="2980" w:type="dxa"/>
            <w:gridSpan w:val="6"/>
            <w:vAlign w:val="center"/>
          </w:tcPr>
          <w:p w14:paraId="27EEBA10">
            <w:pPr>
              <w:jc w:val="center"/>
            </w:pPr>
            <w:r>
              <w:rPr>
                <w:rFonts w:ascii="宋体" w:hAnsi="宋体" w:eastAsia="宋体" w:cs="宋体"/>
                <w:b w:val="0"/>
                <w:i w:val="0"/>
                <w:color w:val="000000"/>
                <w:sz w:val="17"/>
              </w:rPr>
              <w:t>支     出</w:t>
            </w:r>
          </w:p>
        </w:tc>
      </w:tr>
      <w:tr w14:paraId="3902C0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Merge w:val="restart"/>
            <w:vAlign w:val="center"/>
          </w:tcPr>
          <w:p w14:paraId="3A8DAC52">
            <w:pPr>
              <w:jc w:val="center"/>
            </w:pPr>
            <w:r>
              <w:rPr>
                <w:rFonts w:ascii="宋体" w:hAnsi="宋体" w:eastAsia="宋体" w:cs="宋体"/>
                <w:b w:val="0"/>
                <w:i w:val="0"/>
                <w:color w:val="000000"/>
                <w:sz w:val="17"/>
              </w:rPr>
              <w:t>项    目</w:t>
            </w:r>
          </w:p>
        </w:tc>
        <w:tc>
          <w:tcPr>
            <w:tcW w:w="420" w:type="dxa"/>
            <w:vMerge w:val="restart"/>
            <w:vAlign w:val="center"/>
          </w:tcPr>
          <w:p w14:paraId="2670072F">
            <w:pPr>
              <w:jc w:val="center"/>
            </w:pPr>
            <w:r>
              <w:rPr>
                <w:rFonts w:ascii="宋体" w:hAnsi="宋体" w:eastAsia="宋体" w:cs="宋体"/>
                <w:b w:val="0"/>
                <w:i w:val="0"/>
                <w:color w:val="000000"/>
                <w:sz w:val="17"/>
              </w:rPr>
              <w:t>行次</w:t>
            </w:r>
          </w:p>
        </w:tc>
        <w:tc>
          <w:tcPr>
            <w:tcW w:w="1480" w:type="dxa"/>
            <w:vMerge w:val="restart"/>
            <w:vAlign w:val="center"/>
          </w:tcPr>
          <w:p w14:paraId="0BC736C6">
            <w:pPr>
              <w:jc w:val="center"/>
            </w:pPr>
            <w:r>
              <w:rPr>
                <w:rFonts w:ascii="宋体" w:hAnsi="宋体" w:eastAsia="宋体" w:cs="宋体"/>
                <w:b w:val="0"/>
                <w:i w:val="0"/>
                <w:color w:val="000000"/>
                <w:sz w:val="17"/>
              </w:rPr>
              <w:t>决算数</w:t>
            </w:r>
          </w:p>
        </w:tc>
        <w:tc>
          <w:tcPr>
            <w:tcW w:w="2980" w:type="dxa"/>
            <w:vMerge w:val="restart"/>
            <w:vAlign w:val="center"/>
          </w:tcPr>
          <w:p w14:paraId="4FDEE0B7">
            <w:pPr>
              <w:jc w:val="center"/>
            </w:pPr>
            <w:r>
              <w:rPr>
                <w:rFonts w:ascii="宋体" w:hAnsi="宋体" w:eastAsia="宋体" w:cs="宋体"/>
                <w:b w:val="0"/>
                <w:i w:val="0"/>
                <w:color w:val="000000"/>
                <w:sz w:val="17"/>
              </w:rPr>
              <w:t>项目（按功能分类）</w:t>
            </w:r>
          </w:p>
        </w:tc>
        <w:tc>
          <w:tcPr>
            <w:tcW w:w="420" w:type="dxa"/>
            <w:vMerge w:val="restart"/>
            <w:vAlign w:val="center"/>
          </w:tcPr>
          <w:p w14:paraId="5ABAC813">
            <w:pPr>
              <w:jc w:val="center"/>
            </w:pPr>
            <w:r>
              <w:rPr>
                <w:rFonts w:ascii="宋体" w:hAnsi="宋体" w:eastAsia="宋体" w:cs="宋体"/>
                <w:b w:val="0"/>
                <w:i w:val="0"/>
                <w:color w:val="000000"/>
                <w:sz w:val="17"/>
              </w:rPr>
              <w:t>行次</w:t>
            </w:r>
          </w:p>
        </w:tc>
        <w:tc>
          <w:tcPr>
            <w:tcW w:w="1460" w:type="dxa"/>
            <w:vMerge w:val="restart"/>
            <w:vAlign w:val="center"/>
          </w:tcPr>
          <w:p w14:paraId="3649B821">
            <w:pPr>
              <w:jc w:val="center"/>
            </w:pPr>
            <w:r>
              <w:rPr>
                <w:rFonts w:ascii="宋体" w:hAnsi="宋体" w:eastAsia="宋体" w:cs="宋体"/>
                <w:b w:val="0"/>
                <w:i w:val="0"/>
                <w:color w:val="000000"/>
                <w:sz w:val="17"/>
              </w:rPr>
              <w:t>小计</w:t>
            </w:r>
          </w:p>
        </w:tc>
        <w:tc>
          <w:tcPr>
            <w:tcW w:w="1460" w:type="dxa"/>
            <w:vMerge w:val="restart"/>
            <w:vAlign w:val="center"/>
          </w:tcPr>
          <w:p w14:paraId="67E135A3">
            <w:pPr>
              <w:jc w:val="center"/>
            </w:pPr>
            <w:r>
              <w:rPr>
                <w:rFonts w:ascii="宋体" w:hAnsi="宋体" w:eastAsia="宋体" w:cs="宋体"/>
                <w:b w:val="0"/>
                <w:i w:val="0"/>
                <w:color w:val="000000"/>
                <w:sz w:val="17"/>
              </w:rPr>
              <w:t>一般公共预算财政拨款</w:t>
            </w:r>
          </w:p>
        </w:tc>
        <w:tc>
          <w:tcPr>
            <w:tcW w:w="1460" w:type="dxa"/>
            <w:vMerge w:val="restart"/>
            <w:vAlign w:val="center"/>
          </w:tcPr>
          <w:p w14:paraId="2D7C7D86">
            <w:pPr>
              <w:jc w:val="center"/>
            </w:pPr>
            <w:r>
              <w:rPr>
                <w:rFonts w:ascii="宋体" w:hAnsi="宋体" w:eastAsia="宋体" w:cs="宋体"/>
                <w:b w:val="0"/>
                <w:i w:val="0"/>
                <w:color w:val="000000"/>
                <w:sz w:val="17"/>
              </w:rPr>
              <w:t>政府性基金预算财政拨款</w:t>
            </w:r>
          </w:p>
        </w:tc>
        <w:tc>
          <w:tcPr>
            <w:tcW w:w="1438" w:type="dxa"/>
            <w:vMerge w:val="restart"/>
            <w:vAlign w:val="center"/>
          </w:tcPr>
          <w:p w14:paraId="4CC78CD5">
            <w:pPr>
              <w:jc w:val="center"/>
            </w:pPr>
            <w:r>
              <w:rPr>
                <w:rFonts w:ascii="宋体" w:hAnsi="宋体" w:eastAsia="宋体" w:cs="宋体"/>
                <w:b w:val="0"/>
                <w:i w:val="0"/>
                <w:color w:val="000000"/>
                <w:sz w:val="17"/>
              </w:rPr>
              <w:t>国有资本经营预算财政拨款</w:t>
            </w:r>
          </w:p>
        </w:tc>
      </w:tr>
      <w:tr w14:paraId="3B7091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3" w:hRule="exact"/>
          <w:jc w:val="center"/>
        </w:trPr>
        <w:tc>
          <w:tcPr>
            <w:tcW w:w="2840" w:type="dxa"/>
            <w:vMerge w:val="continue"/>
            <w:vAlign w:val="center"/>
          </w:tcPr>
          <w:p w14:paraId="6246CC8F"/>
        </w:tc>
        <w:tc>
          <w:tcPr>
            <w:tcW w:w="420" w:type="dxa"/>
            <w:vMerge w:val="continue"/>
            <w:vAlign w:val="center"/>
          </w:tcPr>
          <w:p w14:paraId="6CE9B885"/>
        </w:tc>
        <w:tc>
          <w:tcPr>
            <w:tcW w:w="1480" w:type="dxa"/>
            <w:vMerge w:val="continue"/>
            <w:vAlign w:val="center"/>
          </w:tcPr>
          <w:p w14:paraId="29E9E450"/>
        </w:tc>
        <w:tc>
          <w:tcPr>
            <w:tcW w:w="2980" w:type="dxa"/>
            <w:vMerge w:val="continue"/>
            <w:vAlign w:val="center"/>
          </w:tcPr>
          <w:p w14:paraId="2BAAC46C"/>
        </w:tc>
        <w:tc>
          <w:tcPr>
            <w:tcW w:w="420" w:type="dxa"/>
            <w:vMerge w:val="continue"/>
            <w:vAlign w:val="center"/>
          </w:tcPr>
          <w:p w14:paraId="6F08AF59"/>
        </w:tc>
        <w:tc>
          <w:tcPr>
            <w:tcW w:w="1460" w:type="dxa"/>
            <w:vMerge w:val="continue"/>
            <w:vAlign w:val="center"/>
          </w:tcPr>
          <w:p w14:paraId="00492B5B"/>
        </w:tc>
        <w:tc>
          <w:tcPr>
            <w:tcW w:w="1460" w:type="dxa"/>
            <w:vMerge w:val="continue"/>
            <w:vAlign w:val="center"/>
          </w:tcPr>
          <w:p w14:paraId="15EB9187"/>
        </w:tc>
        <w:tc>
          <w:tcPr>
            <w:tcW w:w="1460" w:type="dxa"/>
            <w:vMerge w:val="continue"/>
            <w:vAlign w:val="center"/>
          </w:tcPr>
          <w:p w14:paraId="483D6059"/>
        </w:tc>
        <w:tc>
          <w:tcPr>
            <w:tcW w:w="1438" w:type="dxa"/>
            <w:vMerge w:val="continue"/>
            <w:vAlign w:val="center"/>
          </w:tcPr>
          <w:p w14:paraId="31B4B434"/>
        </w:tc>
      </w:tr>
      <w:tr w14:paraId="1CDB2F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0EB268CA">
            <w:pPr>
              <w:jc w:val="center"/>
            </w:pPr>
            <w:r>
              <w:rPr>
                <w:rFonts w:ascii="宋体" w:hAnsi="宋体" w:eastAsia="宋体" w:cs="宋体"/>
                <w:b w:val="0"/>
                <w:i w:val="0"/>
                <w:color w:val="000000"/>
                <w:sz w:val="17"/>
              </w:rPr>
              <w:t>栏    次</w:t>
            </w:r>
          </w:p>
        </w:tc>
        <w:tc>
          <w:tcPr>
            <w:tcW w:w="420" w:type="dxa"/>
            <w:vAlign w:val="center"/>
          </w:tcPr>
          <w:p w14:paraId="3A9FAFEC"/>
        </w:tc>
        <w:tc>
          <w:tcPr>
            <w:tcW w:w="1480" w:type="dxa"/>
            <w:vAlign w:val="center"/>
          </w:tcPr>
          <w:p w14:paraId="3000A829">
            <w:pPr>
              <w:jc w:val="center"/>
            </w:pPr>
            <w:r>
              <w:rPr>
                <w:rFonts w:ascii="宋体" w:hAnsi="宋体" w:eastAsia="宋体" w:cs="宋体"/>
                <w:b w:val="0"/>
                <w:i w:val="0"/>
                <w:color w:val="000000"/>
                <w:sz w:val="17"/>
              </w:rPr>
              <w:t>1</w:t>
            </w:r>
          </w:p>
        </w:tc>
        <w:tc>
          <w:tcPr>
            <w:tcW w:w="2980" w:type="dxa"/>
            <w:vAlign w:val="center"/>
          </w:tcPr>
          <w:p w14:paraId="1FAAA120">
            <w:pPr>
              <w:jc w:val="center"/>
            </w:pPr>
            <w:r>
              <w:rPr>
                <w:rFonts w:ascii="宋体" w:hAnsi="宋体" w:eastAsia="宋体" w:cs="宋体"/>
                <w:b w:val="0"/>
                <w:i w:val="0"/>
                <w:color w:val="000000"/>
                <w:sz w:val="17"/>
              </w:rPr>
              <w:t>栏    次</w:t>
            </w:r>
          </w:p>
        </w:tc>
        <w:tc>
          <w:tcPr>
            <w:tcW w:w="420" w:type="dxa"/>
            <w:vAlign w:val="center"/>
          </w:tcPr>
          <w:p w14:paraId="051D25A2"/>
        </w:tc>
        <w:tc>
          <w:tcPr>
            <w:tcW w:w="1460" w:type="dxa"/>
            <w:vAlign w:val="center"/>
          </w:tcPr>
          <w:p w14:paraId="145C0FC8">
            <w:pPr>
              <w:jc w:val="center"/>
            </w:pPr>
            <w:r>
              <w:rPr>
                <w:rFonts w:ascii="宋体" w:hAnsi="宋体" w:eastAsia="宋体" w:cs="宋体"/>
                <w:b w:val="0"/>
                <w:i w:val="0"/>
                <w:color w:val="000000"/>
                <w:sz w:val="17"/>
              </w:rPr>
              <w:t>2</w:t>
            </w:r>
          </w:p>
        </w:tc>
        <w:tc>
          <w:tcPr>
            <w:tcW w:w="1460" w:type="dxa"/>
            <w:vAlign w:val="center"/>
          </w:tcPr>
          <w:p w14:paraId="3C88DBF3">
            <w:pPr>
              <w:jc w:val="center"/>
            </w:pPr>
            <w:r>
              <w:rPr>
                <w:rFonts w:ascii="宋体" w:hAnsi="宋体" w:eastAsia="宋体" w:cs="宋体"/>
                <w:b w:val="0"/>
                <w:i w:val="0"/>
                <w:color w:val="000000"/>
                <w:sz w:val="17"/>
              </w:rPr>
              <w:t>3</w:t>
            </w:r>
          </w:p>
        </w:tc>
        <w:tc>
          <w:tcPr>
            <w:tcW w:w="1460" w:type="dxa"/>
            <w:vAlign w:val="center"/>
          </w:tcPr>
          <w:p w14:paraId="506978A4">
            <w:pPr>
              <w:jc w:val="center"/>
            </w:pPr>
            <w:r>
              <w:rPr>
                <w:rFonts w:ascii="宋体" w:hAnsi="宋体" w:eastAsia="宋体" w:cs="宋体"/>
                <w:b w:val="0"/>
                <w:i w:val="0"/>
                <w:color w:val="000000"/>
                <w:sz w:val="17"/>
              </w:rPr>
              <w:t>4</w:t>
            </w:r>
          </w:p>
        </w:tc>
        <w:tc>
          <w:tcPr>
            <w:tcW w:w="1438" w:type="dxa"/>
            <w:vAlign w:val="center"/>
          </w:tcPr>
          <w:p w14:paraId="5BAD8ED9">
            <w:pPr>
              <w:jc w:val="center"/>
            </w:pPr>
            <w:r>
              <w:rPr>
                <w:rFonts w:ascii="宋体" w:hAnsi="宋体" w:eastAsia="宋体" w:cs="宋体"/>
                <w:b w:val="0"/>
                <w:i w:val="0"/>
                <w:color w:val="000000"/>
                <w:sz w:val="17"/>
              </w:rPr>
              <w:t>5</w:t>
            </w:r>
          </w:p>
        </w:tc>
      </w:tr>
      <w:tr w14:paraId="470CC7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A324B9F">
            <w:pPr>
              <w:jc w:val="left"/>
            </w:pPr>
            <w:r>
              <w:rPr>
                <w:rFonts w:ascii="宋体" w:hAnsi="宋体" w:eastAsia="宋体" w:cs="宋体"/>
                <w:b w:val="0"/>
                <w:i w:val="0"/>
                <w:color w:val="000000"/>
                <w:sz w:val="17"/>
              </w:rPr>
              <w:t>一、一般公共预算财政拨款</w:t>
            </w:r>
          </w:p>
        </w:tc>
        <w:tc>
          <w:tcPr>
            <w:tcW w:w="420" w:type="dxa"/>
            <w:vAlign w:val="center"/>
          </w:tcPr>
          <w:p w14:paraId="61DBC1C0">
            <w:pPr>
              <w:jc w:val="center"/>
            </w:pPr>
            <w:r>
              <w:rPr>
                <w:rFonts w:ascii="宋体" w:hAnsi="宋体" w:eastAsia="宋体" w:cs="宋体"/>
                <w:b w:val="0"/>
                <w:i w:val="0"/>
                <w:color w:val="000000"/>
                <w:sz w:val="17"/>
              </w:rPr>
              <w:t>1</w:t>
            </w:r>
          </w:p>
        </w:tc>
        <w:tc>
          <w:tcPr>
            <w:tcW w:w="1480" w:type="dxa"/>
            <w:vAlign w:val="center"/>
          </w:tcPr>
          <w:p w14:paraId="0B52426C">
            <w:pPr>
              <w:jc w:val="right"/>
            </w:pPr>
            <w:r>
              <w:rPr>
                <w:rFonts w:ascii="宋体" w:hAnsi="宋体" w:eastAsia="宋体" w:cs="宋体"/>
                <w:b w:val="0"/>
                <w:i w:val="0"/>
                <w:color w:val="000000"/>
                <w:sz w:val="17"/>
              </w:rPr>
              <w:t>14,453.45</w:t>
            </w:r>
          </w:p>
        </w:tc>
        <w:tc>
          <w:tcPr>
            <w:tcW w:w="2980" w:type="dxa"/>
            <w:vAlign w:val="center"/>
          </w:tcPr>
          <w:p w14:paraId="41D604C3">
            <w:pPr>
              <w:jc w:val="left"/>
            </w:pPr>
            <w:r>
              <w:rPr>
                <w:rFonts w:ascii="宋体" w:hAnsi="宋体" w:eastAsia="宋体" w:cs="宋体"/>
                <w:b w:val="0"/>
                <w:i w:val="0"/>
                <w:color w:val="000000"/>
                <w:sz w:val="17"/>
              </w:rPr>
              <w:t>一、一般公共服务支出</w:t>
            </w:r>
          </w:p>
        </w:tc>
        <w:tc>
          <w:tcPr>
            <w:tcW w:w="420" w:type="dxa"/>
            <w:vAlign w:val="center"/>
          </w:tcPr>
          <w:p w14:paraId="044D589D">
            <w:pPr>
              <w:jc w:val="center"/>
            </w:pPr>
            <w:r>
              <w:rPr>
                <w:rFonts w:ascii="宋体" w:hAnsi="宋体" w:eastAsia="宋体" w:cs="宋体"/>
                <w:b w:val="0"/>
                <w:i w:val="0"/>
                <w:color w:val="000000"/>
                <w:sz w:val="17"/>
              </w:rPr>
              <w:t>33</w:t>
            </w:r>
          </w:p>
        </w:tc>
        <w:tc>
          <w:tcPr>
            <w:tcW w:w="1460" w:type="dxa"/>
            <w:vAlign w:val="center"/>
          </w:tcPr>
          <w:p w14:paraId="72BD6479">
            <w:pPr>
              <w:jc w:val="right"/>
            </w:pPr>
            <w:r>
              <w:rPr>
                <w:rFonts w:ascii="宋体" w:hAnsi="宋体" w:eastAsia="宋体" w:cs="宋体"/>
                <w:b w:val="0"/>
                <w:i w:val="0"/>
                <w:color w:val="000000"/>
                <w:sz w:val="17"/>
              </w:rPr>
              <w:t>10.00</w:t>
            </w:r>
          </w:p>
        </w:tc>
        <w:tc>
          <w:tcPr>
            <w:tcW w:w="1460" w:type="dxa"/>
            <w:vAlign w:val="center"/>
          </w:tcPr>
          <w:p w14:paraId="049BB870">
            <w:pPr>
              <w:jc w:val="right"/>
            </w:pPr>
            <w:r>
              <w:rPr>
                <w:rFonts w:ascii="宋体" w:hAnsi="宋体" w:eastAsia="宋体" w:cs="宋体"/>
                <w:b w:val="0"/>
                <w:i w:val="0"/>
                <w:color w:val="000000"/>
                <w:sz w:val="17"/>
              </w:rPr>
              <w:t>10.00</w:t>
            </w:r>
          </w:p>
        </w:tc>
        <w:tc>
          <w:tcPr>
            <w:tcW w:w="1460" w:type="dxa"/>
            <w:vAlign w:val="center"/>
          </w:tcPr>
          <w:p w14:paraId="2206427B"/>
        </w:tc>
        <w:tc>
          <w:tcPr>
            <w:tcW w:w="1438" w:type="dxa"/>
            <w:vAlign w:val="center"/>
          </w:tcPr>
          <w:p w14:paraId="590530A2"/>
        </w:tc>
      </w:tr>
      <w:tr w14:paraId="494C75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625C6EA">
            <w:pPr>
              <w:jc w:val="left"/>
            </w:pPr>
            <w:r>
              <w:rPr>
                <w:rFonts w:ascii="宋体" w:hAnsi="宋体" w:eastAsia="宋体" w:cs="宋体"/>
                <w:b w:val="0"/>
                <w:i w:val="0"/>
                <w:color w:val="000000"/>
                <w:sz w:val="17"/>
              </w:rPr>
              <w:t>二、政府性基金预算财政拨款</w:t>
            </w:r>
          </w:p>
        </w:tc>
        <w:tc>
          <w:tcPr>
            <w:tcW w:w="420" w:type="dxa"/>
            <w:vAlign w:val="center"/>
          </w:tcPr>
          <w:p w14:paraId="089BD045">
            <w:pPr>
              <w:jc w:val="center"/>
            </w:pPr>
            <w:r>
              <w:rPr>
                <w:rFonts w:ascii="宋体" w:hAnsi="宋体" w:eastAsia="宋体" w:cs="宋体"/>
                <w:b w:val="0"/>
                <w:i w:val="0"/>
                <w:color w:val="000000"/>
                <w:sz w:val="17"/>
              </w:rPr>
              <w:t>2</w:t>
            </w:r>
          </w:p>
        </w:tc>
        <w:tc>
          <w:tcPr>
            <w:tcW w:w="1480" w:type="dxa"/>
            <w:vAlign w:val="center"/>
          </w:tcPr>
          <w:p w14:paraId="4D9A21A6">
            <w:pPr>
              <w:jc w:val="right"/>
            </w:pPr>
            <w:r>
              <w:rPr>
                <w:rFonts w:ascii="宋体" w:hAnsi="宋体" w:eastAsia="宋体" w:cs="宋体"/>
                <w:b w:val="0"/>
                <w:i w:val="0"/>
                <w:color w:val="000000"/>
                <w:sz w:val="17"/>
              </w:rPr>
              <w:t>32,990.00</w:t>
            </w:r>
          </w:p>
        </w:tc>
        <w:tc>
          <w:tcPr>
            <w:tcW w:w="2980" w:type="dxa"/>
            <w:vAlign w:val="center"/>
          </w:tcPr>
          <w:p w14:paraId="78F4782F">
            <w:pPr>
              <w:jc w:val="left"/>
            </w:pPr>
            <w:r>
              <w:rPr>
                <w:rFonts w:ascii="宋体" w:hAnsi="宋体" w:eastAsia="宋体" w:cs="宋体"/>
                <w:b w:val="0"/>
                <w:i w:val="0"/>
                <w:color w:val="000000"/>
                <w:sz w:val="17"/>
              </w:rPr>
              <w:t>二、外交支出</w:t>
            </w:r>
          </w:p>
        </w:tc>
        <w:tc>
          <w:tcPr>
            <w:tcW w:w="420" w:type="dxa"/>
            <w:vAlign w:val="center"/>
          </w:tcPr>
          <w:p w14:paraId="5CA07563">
            <w:pPr>
              <w:jc w:val="center"/>
            </w:pPr>
            <w:r>
              <w:rPr>
                <w:rFonts w:ascii="宋体" w:hAnsi="宋体" w:eastAsia="宋体" w:cs="宋体"/>
                <w:b w:val="0"/>
                <w:i w:val="0"/>
                <w:color w:val="000000"/>
                <w:sz w:val="17"/>
              </w:rPr>
              <w:t>34</w:t>
            </w:r>
          </w:p>
        </w:tc>
        <w:tc>
          <w:tcPr>
            <w:tcW w:w="1460" w:type="dxa"/>
            <w:vAlign w:val="center"/>
          </w:tcPr>
          <w:p w14:paraId="624B0CF1"/>
        </w:tc>
        <w:tc>
          <w:tcPr>
            <w:tcW w:w="1460" w:type="dxa"/>
            <w:vAlign w:val="center"/>
          </w:tcPr>
          <w:p w14:paraId="56C0928B"/>
        </w:tc>
        <w:tc>
          <w:tcPr>
            <w:tcW w:w="1460" w:type="dxa"/>
            <w:vAlign w:val="center"/>
          </w:tcPr>
          <w:p w14:paraId="6EF40003"/>
        </w:tc>
        <w:tc>
          <w:tcPr>
            <w:tcW w:w="1438" w:type="dxa"/>
            <w:vAlign w:val="center"/>
          </w:tcPr>
          <w:p w14:paraId="311B559B"/>
        </w:tc>
      </w:tr>
      <w:tr w14:paraId="6A6A2A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3DC6E98">
            <w:pPr>
              <w:jc w:val="left"/>
            </w:pPr>
            <w:r>
              <w:rPr>
                <w:rFonts w:ascii="宋体" w:hAnsi="宋体" w:eastAsia="宋体" w:cs="宋体"/>
                <w:b w:val="0"/>
                <w:i w:val="0"/>
                <w:color w:val="000000"/>
                <w:sz w:val="17"/>
              </w:rPr>
              <w:t>三、国有资本经营预算财政拨款</w:t>
            </w:r>
          </w:p>
        </w:tc>
        <w:tc>
          <w:tcPr>
            <w:tcW w:w="420" w:type="dxa"/>
            <w:vAlign w:val="center"/>
          </w:tcPr>
          <w:p w14:paraId="78EAB849">
            <w:pPr>
              <w:jc w:val="center"/>
            </w:pPr>
            <w:r>
              <w:rPr>
                <w:rFonts w:ascii="宋体" w:hAnsi="宋体" w:eastAsia="宋体" w:cs="宋体"/>
                <w:b w:val="0"/>
                <w:i w:val="0"/>
                <w:color w:val="000000"/>
                <w:sz w:val="17"/>
              </w:rPr>
              <w:t>3</w:t>
            </w:r>
          </w:p>
        </w:tc>
        <w:tc>
          <w:tcPr>
            <w:tcW w:w="1480" w:type="dxa"/>
            <w:vAlign w:val="center"/>
          </w:tcPr>
          <w:p w14:paraId="1EFD0B7D"/>
        </w:tc>
        <w:tc>
          <w:tcPr>
            <w:tcW w:w="2980" w:type="dxa"/>
            <w:vAlign w:val="center"/>
          </w:tcPr>
          <w:p w14:paraId="46718E08">
            <w:pPr>
              <w:jc w:val="left"/>
            </w:pPr>
            <w:r>
              <w:rPr>
                <w:rFonts w:ascii="宋体" w:hAnsi="宋体" w:eastAsia="宋体" w:cs="宋体"/>
                <w:b w:val="0"/>
                <w:i w:val="0"/>
                <w:color w:val="000000"/>
                <w:sz w:val="17"/>
              </w:rPr>
              <w:t>三、国防支出</w:t>
            </w:r>
          </w:p>
        </w:tc>
        <w:tc>
          <w:tcPr>
            <w:tcW w:w="420" w:type="dxa"/>
            <w:vAlign w:val="center"/>
          </w:tcPr>
          <w:p w14:paraId="67D68150">
            <w:pPr>
              <w:jc w:val="center"/>
            </w:pPr>
            <w:r>
              <w:rPr>
                <w:rFonts w:ascii="宋体" w:hAnsi="宋体" w:eastAsia="宋体" w:cs="宋体"/>
                <w:b w:val="0"/>
                <w:i w:val="0"/>
                <w:color w:val="000000"/>
                <w:sz w:val="17"/>
              </w:rPr>
              <w:t>35</w:t>
            </w:r>
          </w:p>
        </w:tc>
        <w:tc>
          <w:tcPr>
            <w:tcW w:w="1460" w:type="dxa"/>
            <w:vAlign w:val="center"/>
          </w:tcPr>
          <w:p w14:paraId="3BD8935F"/>
        </w:tc>
        <w:tc>
          <w:tcPr>
            <w:tcW w:w="1460" w:type="dxa"/>
            <w:vAlign w:val="center"/>
          </w:tcPr>
          <w:p w14:paraId="47C31364"/>
        </w:tc>
        <w:tc>
          <w:tcPr>
            <w:tcW w:w="1460" w:type="dxa"/>
            <w:vAlign w:val="center"/>
          </w:tcPr>
          <w:p w14:paraId="2C0CCF47"/>
        </w:tc>
        <w:tc>
          <w:tcPr>
            <w:tcW w:w="1438" w:type="dxa"/>
            <w:vAlign w:val="center"/>
          </w:tcPr>
          <w:p w14:paraId="5151B9F1"/>
        </w:tc>
      </w:tr>
      <w:tr w14:paraId="18D71A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4BCF0B5"/>
        </w:tc>
        <w:tc>
          <w:tcPr>
            <w:tcW w:w="420" w:type="dxa"/>
            <w:vAlign w:val="center"/>
          </w:tcPr>
          <w:p w14:paraId="3515F778">
            <w:pPr>
              <w:jc w:val="center"/>
            </w:pPr>
            <w:r>
              <w:rPr>
                <w:rFonts w:ascii="宋体" w:hAnsi="宋体" w:eastAsia="宋体" w:cs="宋体"/>
                <w:b w:val="0"/>
                <w:i w:val="0"/>
                <w:color w:val="000000"/>
                <w:sz w:val="17"/>
              </w:rPr>
              <w:t>4</w:t>
            </w:r>
          </w:p>
        </w:tc>
        <w:tc>
          <w:tcPr>
            <w:tcW w:w="1480" w:type="dxa"/>
            <w:vAlign w:val="center"/>
          </w:tcPr>
          <w:p w14:paraId="3A6EC7CB"/>
        </w:tc>
        <w:tc>
          <w:tcPr>
            <w:tcW w:w="2980" w:type="dxa"/>
            <w:vAlign w:val="center"/>
          </w:tcPr>
          <w:p w14:paraId="4DCA004D">
            <w:pPr>
              <w:jc w:val="left"/>
            </w:pPr>
            <w:r>
              <w:rPr>
                <w:rFonts w:ascii="宋体" w:hAnsi="宋体" w:eastAsia="宋体" w:cs="宋体"/>
                <w:b w:val="0"/>
                <w:i w:val="0"/>
                <w:color w:val="000000"/>
                <w:sz w:val="17"/>
              </w:rPr>
              <w:t>四、公共安全支出</w:t>
            </w:r>
          </w:p>
        </w:tc>
        <w:tc>
          <w:tcPr>
            <w:tcW w:w="420" w:type="dxa"/>
            <w:vAlign w:val="center"/>
          </w:tcPr>
          <w:p w14:paraId="037C431C">
            <w:pPr>
              <w:jc w:val="center"/>
            </w:pPr>
            <w:r>
              <w:rPr>
                <w:rFonts w:ascii="宋体" w:hAnsi="宋体" w:eastAsia="宋体" w:cs="宋体"/>
                <w:b w:val="0"/>
                <w:i w:val="0"/>
                <w:color w:val="000000"/>
                <w:sz w:val="17"/>
              </w:rPr>
              <w:t>36</w:t>
            </w:r>
          </w:p>
        </w:tc>
        <w:tc>
          <w:tcPr>
            <w:tcW w:w="1460" w:type="dxa"/>
            <w:vAlign w:val="center"/>
          </w:tcPr>
          <w:p w14:paraId="2869F8F0"/>
        </w:tc>
        <w:tc>
          <w:tcPr>
            <w:tcW w:w="1460" w:type="dxa"/>
            <w:vAlign w:val="center"/>
          </w:tcPr>
          <w:p w14:paraId="19729148"/>
        </w:tc>
        <w:tc>
          <w:tcPr>
            <w:tcW w:w="1460" w:type="dxa"/>
            <w:vAlign w:val="center"/>
          </w:tcPr>
          <w:p w14:paraId="17A7B964"/>
        </w:tc>
        <w:tc>
          <w:tcPr>
            <w:tcW w:w="1438" w:type="dxa"/>
            <w:vAlign w:val="center"/>
          </w:tcPr>
          <w:p w14:paraId="25D4ED80"/>
        </w:tc>
      </w:tr>
      <w:tr w14:paraId="681134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840" w:type="dxa"/>
            <w:vAlign w:val="center"/>
          </w:tcPr>
          <w:p w14:paraId="66E987B3"/>
        </w:tc>
        <w:tc>
          <w:tcPr>
            <w:tcW w:w="420" w:type="dxa"/>
            <w:vAlign w:val="center"/>
          </w:tcPr>
          <w:p w14:paraId="7308B56B">
            <w:pPr>
              <w:jc w:val="center"/>
            </w:pPr>
            <w:r>
              <w:rPr>
                <w:rFonts w:ascii="宋体" w:hAnsi="宋体" w:eastAsia="宋体" w:cs="宋体"/>
                <w:b w:val="0"/>
                <w:i w:val="0"/>
                <w:color w:val="000000"/>
                <w:sz w:val="17"/>
              </w:rPr>
              <w:t>5</w:t>
            </w:r>
          </w:p>
        </w:tc>
        <w:tc>
          <w:tcPr>
            <w:tcW w:w="1480" w:type="dxa"/>
            <w:vAlign w:val="center"/>
          </w:tcPr>
          <w:p w14:paraId="68B8D71B"/>
        </w:tc>
        <w:tc>
          <w:tcPr>
            <w:tcW w:w="2980" w:type="dxa"/>
            <w:vAlign w:val="center"/>
          </w:tcPr>
          <w:p w14:paraId="559A548D">
            <w:pPr>
              <w:jc w:val="left"/>
            </w:pPr>
            <w:r>
              <w:rPr>
                <w:rFonts w:ascii="宋体" w:hAnsi="宋体" w:eastAsia="宋体" w:cs="宋体"/>
                <w:b w:val="0"/>
                <w:i w:val="0"/>
                <w:color w:val="000000"/>
                <w:sz w:val="17"/>
              </w:rPr>
              <w:t>五、教育支出</w:t>
            </w:r>
          </w:p>
        </w:tc>
        <w:tc>
          <w:tcPr>
            <w:tcW w:w="420" w:type="dxa"/>
            <w:vAlign w:val="center"/>
          </w:tcPr>
          <w:p w14:paraId="721190E5">
            <w:pPr>
              <w:jc w:val="center"/>
            </w:pPr>
            <w:r>
              <w:rPr>
                <w:rFonts w:ascii="宋体" w:hAnsi="宋体" w:eastAsia="宋体" w:cs="宋体"/>
                <w:b w:val="0"/>
                <w:i w:val="0"/>
                <w:color w:val="000000"/>
                <w:sz w:val="17"/>
              </w:rPr>
              <w:t>37</w:t>
            </w:r>
          </w:p>
        </w:tc>
        <w:tc>
          <w:tcPr>
            <w:tcW w:w="1460" w:type="dxa"/>
            <w:vAlign w:val="center"/>
          </w:tcPr>
          <w:p w14:paraId="5366B8B4"/>
        </w:tc>
        <w:tc>
          <w:tcPr>
            <w:tcW w:w="1460" w:type="dxa"/>
            <w:vAlign w:val="center"/>
          </w:tcPr>
          <w:p w14:paraId="5D0BC290"/>
        </w:tc>
        <w:tc>
          <w:tcPr>
            <w:tcW w:w="1460" w:type="dxa"/>
            <w:vAlign w:val="center"/>
          </w:tcPr>
          <w:p w14:paraId="494A9BEC"/>
        </w:tc>
        <w:tc>
          <w:tcPr>
            <w:tcW w:w="1438" w:type="dxa"/>
            <w:vAlign w:val="center"/>
          </w:tcPr>
          <w:p w14:paraId="53368B90"/>
        </w:tc>
      </w:tr>
      <w:tr w14:paraId="5E57D5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7B4259E"/>
        </w:tc>
        <w:tc>
          <w:tcPr>
            <w:tcW w:w="420" w:type="dxa"/>
            <w:vAlign w:val="center"/>
          </w:tcPr>
          <w:p w14:paraId="39069236">
            <w:pPr>
              <w:jc w:val="center"/>
            </w:pPr>
            <w:r>
              <w:rPr>
                <w:rFonts w:ascii="宋体" w:hAnsi="宋体" w:eastAsia="宋体" w:cs="宋体"/>
                <w:b w:val="0"/>
                <w:i w:val="0"/>
                <w:color w:val="000000"/>
                <w:sz w:val="17"/>
              </w:rPr>
              <w:t>6</w:t>
            </w:r>
          </w:p>
        </w:tc>
        <w:tc>
          <w:tcPr>
            <w:tcW w:w="1480" w:type="dxa"/>
            <w:vAlign w:val="center"/>
          </w:tcPr>
          <w:p w14:paraId="481EAE09"/>
        </w:tc>
        <w:tc>
          <w:tcPr>
            <w:tcW w:w="2980" w:type="dxa"/>
            <w:vAlign w:val="center"/>
          </w:tcPr>
          <w:p w14:paraId="3187461F">
            <w:pPr>
              <w:jc w:val="left"/>
            </w:pPr>
            <w:r>
              <w:rPr>
                <w:rFonts w:ascii="宋体" w:hAnsi="宋体" w:eastAsia="宋体" w:cs="宋体"/>
                <w:b w:val="0"/>
                <w:i w:val="0"/>
                <w:color w:val="000000"/>
                <w:sz w:val="17"/>
              </w:rPr>
              <w:t>六、科学技术支出</w:t>
            </w:r>
          </w:p>
        </w:tc>
        <w:tc>
          <w:tcPr>
            <w:tcW w:w="420" w:type="dxa"/>
            <w:vAlign w:val="center"/>
          </w:tcPr>
          <w:p w14:paraId="05973AD0">
            <w:pPr>
              <w:jc w:val="center"/>
            </w:pPr>
            <w:r>
              <w:rPr>
                <w:rFonts w:ascii="宋体" w:hAnsi="宋体" w:eastAsia="宋体" w:cs="宋体"/>
                <w:b w:val="0"/>
                <w:i w:val="0"/>
                <w:color w:val="000000"/>
                <w:sz w:val="17"/>
              </w:rPr>
              <w:t>38</w:t>
            </w:r>
          </w:p>
        </w:tc>
        <w:tc>
          <w:tcPr>
            <w:tcW w:w="1460" w:type="dxa"/>
            <w:vAlign w:val="center"/>
          </w:tcPr>
          <w:p w14:paraId="05CE262C"/>
        </w:tc>
        <w:tc>
          <w:tcPr>
            <w:tcW w:w="1460" w:type="dxa"/>
            <w:vAlign w:val="center"/>
          </w:tcPr>
          <w:p w14:paraId="2CADAB44"/>
        </w:tc>
        <w:tc>
          <w:tcPr>
            <w:tcW w:w="1460" w:type="dxa"/>
            <w:vAlign w:val="center"/>
          </w:tcPr>
          <w:p w14:paraId="2E23C8E7"/>
        </w:tc>
        <w:tc>
          <w:tcPr>
            <w:tcW w:w="1438" w:type="dxa"/>
            <w:vAlign w:val="center"/>
          </w:tcPr>
          <w:p w14:paraId="6C3EC411"/>
        </w:tc>
      </w:tr>
      <w:tr w14:paraId="269E7D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4CAF39A"/>
        </w:tc>
        <w:tc>
          <w:tcPr>
            <w:tcW w:w="420" w:type="dxa"/>
            <w:vAlign w:val="center"/>
          </w:tcPr>
          <w:p w14:paraId="458DE2E7">
            <w:pPr>
              <w:jc w:val="center"/>
            </w:pPr>
            <w:r>
              <w:rPr>
                <w:rFonts w:ascii="宋体" w:hAnsi="宋体" w:eastAsia="宋体" w:cs="宋体"/>
                <w:b w:val="0"/>
                <w:i w:val="0"/>
                <w:color w:val="000000"/>
                <w:sz w:val="17"/>
              </w:rPr>
              <w:t>7</w:t>
            </w:r>
          </w:p>
        </w:tc>
        <w:tc>
          <w:tcPr>
            <w:tcW w:w="1480" w:type="dxa"/>
            <w:vAlign w:val="center"/>
          </w:tcPr>
          <w:p w14:paraId="7993CEB9"/>
        </w:tc>
        <w:tc>
          <w:tcPr>
            <w:tcW w:w="2980" w:type="dxa"/>
            <w:vAlign w:val="center"/>
          </w:tcPr>
          <w:p w14:paraId="0A5A85E2">
            <w:pPr>
              <w:jc w:val="left"/>
            </w:pPr>
            <w:r>
              <w:rPr>
                <w:rFonts w:ascii="宋体" w:hAnsi="宋体" w:eastAsia="宋体" w:cs="宋体"/>
                <w:b w:val="0"/>
                <w:i w:val="0"/>
                <w:color w:val="000000"/>
                <w:sz w:val="17"/>
              </w:rPr>
              <w:t>七、文化旅游体育与传媒支出</w:t>
            </w:r>
          </w:p>
        </w:tc>
        <w:tc>
          <w:tcPr>
            <w:tcW w:w="420" w:type="dxa"/>
            <w:vAlign w:val="center"/>
          </w:tcPr>
          <w:p w14:paraId="61D54703">
            <w:pPr>
              <w:jc w:val="center"/>
            </w:pPr>
            <w:r>
              <w:rPr>
                <w:rFonts w:ascii="宋体" w:hAnsi="宋体" w:eastAsia="宋体" w:cs="宋体"/>
                <w:b w:val="0"/>
                <w:i w:val="0"/>
                <w:color w:val="000000"/>
                <w:sz w:val="17"/>
              </w:rPr>
              <w:t>39</w:t>
            </w:r>
          </w:p>
        </w:tc>
        <w:tc>
          <w:tcPr>
            <w:tcW w:w="1460" w:type="dxa"/>
            <w:vAlign w:val="center"/>
          </w:tcPr>
          <w:p w14:paraId="655344D7"/>
        </w:tc>
        <w:tc>
          <w:tcPr>
            <w:tcW w:w="1460" w:type="dxa"/>
            <w:vAlign w:val="center"/>
          </w:tcPr>
          <w:p w14:paraId="6430FF3A"/>
        </w:tc>
        <w:tc>
          <w:tcPr>
            <w:tcW w:w="1460" w:type="dxa"/>
            <w:vAlign w:val="center"/>
          </w:tcPr>
          <w:p w14:paraId="56126E6F"/>
        </w:tc>
        <w:tc>
          <w:tcPr>
            <w:tcW w:w="1438" w:type="dxa"/>
            <w:vAlign w:val="center"/>
          </w:tcPr>
          <w:p w14:paraId="60C06D92"/>
        </w:tc>
      </w:tr>
      <w:tr w14:paraId="5858B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57EB382"/>
        </w:tc>
        <w:tc>
          <w:tcPr>
            <w:tcW w:w="420" w:type="dxa"/>
            <w:vAlign w:val="center"/>
          </w:tcPr>
          <w:p w14:paraId="15A6597E">
            <w:pPr>
              <w:jc w:val="center"/>
            </w:pPr>
            <w:r>
              <w:rPr>
                <w:rFonts w:ascii="宋体" w:hAnsi="宋体" w:eastAsia="宋体" w:cs="宋体"/>
                <w:b w:val="0"/>
                <w:i w:val="0"/>
                <w:color w:val="000000"/>
                <w:sz w:val="17"/>
              </w:rPr>
              <w:t>8</w:t>
            </w:r>
          </w:p>
        </w:tc>
        <w:tc>
          <w:tcPr>
            <w:tcW w:w="1480" w:type="dxa"/>
            <w:vAlign w:val="center"/>
          </w:tcPr>
          <w:p w14:paraId="34F70F54"/>
        </w:tc>
        <w:tc>
          <w:tcPr>
            <w:tcW w:w="2980" w:type="dxa"/>
            <w:vAlign w:val="center"/>
          </w:tcPr>
          <w:p w14:paraId="2AAD7052">
            <w:pPr>
              <w:jc w:val="left"/>
            </w:pPr>
            <w:r>
              <w:rPr>
                <w:rFonts w:ascii="宋体" w:hAnsi="宋体" w:eastAsia="宋体" w:cs="宋体"/>
                <w:b w:val="0"/>
                <w:i w:val="0"/>
                <w:color w:val="000000"/>
                <w:sz w:val="17"/>
              </w:rPr>
              <w:t>八、社会保障和就业支出</w:t>
            </w:r>
          </w:p>
        </w:tc>
        <w:tc>
          <w:tcPr>
            <w:tcW w:w="420" w:type="dxa"/>
            <w:vAlign w:val="center"/>
          </w:tcPr>
          <w:p w14:paraId="4ED566B9">
            <w:pPr>
              <w:jc w:val="center"/>
            </w:pPr>
            <w:r>
              <w:rPr>
                <w:rFonts w:ascii="宋体" w:hAnsi="宋体" w:eastAsia="宋体" w:cs="宋体"/>
                <w:b w:val="0"/>
                <w:i w:val="0"/>
                <w:color w:val="000000"/>
                <w:sz w:val="17"/>
              </w:rPr>
              <w:t>40</w:t>
            </w:r>
          </w:p>
        </w:tc>
        <w:tc>
          <w:tcPr>
            <w:tcW w:w="1460" w:type="dxa"/>
            <w:vAlign w:val="center"/>
          </w:tcPr>
          <w:p w14:paraId="0741A382">
            <w:pPr>
              <w:jc w:val="right"/>
            </w:pPr>
            <w:r>
              <w:rPr>
                <w:rFonts w:ascii="宋体" w:hAnsi="宋体" w:eastAsia="宋体" w:cs="宋体"/>
                <w:b w:val="0"/>
                <w:i w:val="0"/>
                <w:color w:val="000000"/>
                <w:sz w:val="17"/>
              </w:rPr>
              <w:t>34.59</w:t>
            </w:r>
          </w:p>
        </w:tc>
        <w:tc>
          <w:tcPr>
            <w:tcW w:w="1460" w:type="dxa"/>
            <w:vAlign w:val="center"/>
          </w:tcPr>
          <w:p w14:paraId="2B80FA0C">
            <w:pPr>
              <w:jc w:val="right"/>
            </w:pPr>
            <w:r>
              <w:rPr>
                <w:rFonts w:ascii="宋体" w:hAnsi="宋体" w:eastAsia="宋体" w:cs="宋体"/>
                <w:b w:val="0"/>
                <w:i w:val="0"/>
                <w:color w:val="000000"/>
                <w:sz w:val="17"/>
              </w:rPr>
              <w:t>34.59</w:t>
            </w:r>
          </w:p>
        </w:tc>
        <w:tc>
          <w:tcPr>
            <w:tcW w:w="1460" w:type="dxa"/>
            <w:vAlign w:val="center"/>
          </w:tcPr>
          <w:p w14:paraId="2ADB1BE2"/>
        </w:tc>
        <w:tc>
          <w:tcPr>
            <w:tcW w:w="1438" w:type="dxa"/>
            <w:vAlign w:val="center"/>
          </w:tcPr>
          <w:p w14:paraId="29119114"/>
        </w:tc>
      </w:tr>
      <w:tr w14:paraId="53FF24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D20B73D"/>
        </w:tc>
        <w:tc>
          <w:tcPr>
            <w:tcW w:w="420" w:type="dxa"/>
            <w:vAlign w:val="center"/>
          </w:tcPr>
          <w:p w14:paraId="7525E2FA">
            <w:pPr>
              <w:jc w:val="center"/>
            </w:pPr>
            <w:r>
              <w:rPr>
                <w:rFonts w:ascii="宋体" w:hAnsi="宋体" w:eastAsia="宋体" w:cs="宋体"/>
                <w:b w:val="0"/>
                <w:i w:val="0"/>
                <w:color w:val="000000"/>
                <w:sz w:val="17"/>
              </w:rPr>
              <w:t>9</w:t>
            </w:r>
          </w:p>
        </w:tc>
        <w:tc>
          <w:tcPr>
            <w:tcW w:w="1480" w:type="dxa"/>
            <w:vAlign w:val="center"/>
          </w:tcPr>
          <w:p w14:paraId="55778AB6"/>
        </w:tc>
        <w:tc>
          <w:tcPr>
            <w:tcW w:w="2980" w:type="dxa"/>
            <w:vAlign w:val="center"/>
          </w:tcPr>
          <w:p w14:paraId="032FDE74">
            <w:pPr>
              <w:jc w:val="left"/>
            </w:pPr>
            <w:r>
              <w:rPr>
                <w:rFonts w:ascii="宋体" w:hAnsi="宋体" w:eastAsia="宋体" w:cs="宋体"/>
                <w:b w:val="0"/>
                <w:i w:val="0"/>
                <w:color w:val="000000"/>
                <w:sz w:val="17"/>
              </w:rPr>
              <w:t>九、卫生健康支出</w:t>
            </w:r>
          </w:p>
        </w:tc>
        <w:tc>
          <w:tcPr>
            <w:tcW w:w="420" w:type="dxa"/>
            <w:vAlign w:val="center"/>
          </w:tcPr>
          <w:p w14:paraId="5571D1D1">
            <w:pPr>
              <w:jc w:val="center"/>
            </w:pPr>
            <w:r>
              <w:rPr>
                <w:rFonts w:ascii="宋体" w:hAnsi="宋体" w:eastAsia="宋体" w:cs="宋体"/>
                <w:b w:val="0"/>
                <w:i w:val="0"/>
                <w:color w:val="000000"/>
                <w:sz w:val="17"/>
              </w:rPr>
              <w:t>41</w:t>
            </w:r>
          </w:p>
        </w:tc>
        <w:tc>
          <w:tcPr>
            <w:tcW w:w="1460" w:type="dxa"/>
            <w:vAlign w:val="center"/>
          </w:tcPr>
          <w:p w14:paraId="4AC69D68">
            <w:pPr>
              <w:jc w:val="right"/>
            </w:pPr>
            <w:r>
              <w:rPr>
                <w:rFonts w:ascii="宋体" w:hAnsi="宋体" w:eastAsia="宋体" w:cs="宋体"/>
                <w:b w:val="0"/>
                <w:i w:val="0"/>
                <w:color w:val="000000"/>
                <w:sz w:val="17"/>
              </w:rPr>
              <w:t>930.58</w:t>
            </w:r>
          </w:p>
        </w:tc>
        <w:tc>
          <w:tcPr>
            <w:tcW w:w="1460" w:type="dxa"/>
            <w:vAlign w:val="center"/>
          </w:tcPr>
          <w:p w14:paraId="5FB6352A">
            <w:pPr>
              <w:jc w:val="right"/>
            </w:pPr>
            <w:r>
              <w:rPr>
                <w:rFonts w:ascii="宋体" w:hAnsi="宋体" w:eastAsia="宋体" w:cs="宋体"/>
                <w:b w:val="0"/>
                <w:i w:val="0"/>
                <w:color w:val="000000"/>
                <w:sz w:val="17"/>
              </w:rPr>
              <w:t>930.58</w:t>
            </w:r>
          </w:p>
        </w:tc>
        <w:tc>
          <w:tcPr>
            <w:tcW w:w="1460" w:type="dxa"/>
            <w:vAlign w:val="center"/>
          </w:tcPr>
          <w:p w14:paraId="3D66D457"/>
        </w:tc>
        <w:tc>
          <w:tcPr>
            <w:tcW w:w="1438" w:type="dxa"/>
            <w:vAlign w:val="center"/>
          </w:tcPr>
          <w:p w14:paraId="129ECD94"/>
        </w:tc>
      </w:tr>
      <w:tr w14:paraId="352A2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8F52874"/>
        </w:tc>
        <w:tc>
          <w:tcPr>
            <w:tcW w:w="420" w:type="dxa"/>
            <w:vAlign w:val="center"/>
          </w:tcPr>
          <w:p w14:paraId="0601E847">
            <w:pPr>
              <w:jc w:val="center"/>
            </w:pPr>
            <w:r>
              <w:rPr>
                <w:rFonts w:ascii="宋体" w:hAnsi="宋体" w:eastAsia="宋体" w:cs="宋体"/>
                <w:b w:val="0"/>
                <w:i w:val="0"/>
                <w:color w:val="000000"/>
                <w:sz w:val="17"/>
              </w:rPr>
              <w:t>10</w:t>
            </w:r>
          </w:p>
        </w:tc>
        <w:tc>
          <w:tcPr>
            <w:tcW w:w="1480" w:type="dxa"/>
            <w:vAlign w:val="center"/>
          </w:tcPr>
          <w:p w14:paraId="78B579F0"/>
        </w:tc>
        <w:tc>
          <w:tcPr>
            <w:tcW w:w="2980" w:type="dxa"/>
            <w:vAlign w:val="center"/>
          </w:tcPr>
          <w:p w14:paraId="48BA7A8F">
            <w:pPr>
              <w:jc w:val="left"/>
            </w:pPr>
            <w:r>
              <w:rPr>
                <w:rFonts w:ascii="宋体" w:hAnsi="宋体" w:eastAsia="宋体" w:cs="宋体"/>
                <w:b w:val="0"/>
                <w:i w:val="0"/>
                <w:color w:val="000000"/>
                <w:sz w:val="17"/>
              </w:rPr>
              <w:t>十、节能环保支出</w:t>
            </w:r>
          </w:p>
        </w:tc>
        <w:tc>
          <w:tcPr>
            <w:tcW w:w="420" w:type="dxa"/>
            <w:vAlign w:val="center"/>
          </w:tcPr>
          <w:p w14:paraId="359AB7B7">
            <w:pPr>
              <w:jc w:val="center"/>
            </w:pPr>
            <w:r>
              <w:rPr>
                <w:rFonts w:ascii="宋体" w:hAnsi="宋体" w:eastAsia="宋体" w:cs="宋体"/>
                <w:b w:val="0"/>
                <w:i w:val="0"/>
                <w:color w:val="000000"/>
                <w:sz w:val="17"/>
              </w:rPr>
              <w:t>42</w:t>
            </w:r>
          </w:p>
        </w:tc>
        <w:tc>
          <w:tcPr>
            <w:tcW w:w="1460" w:type="dxa"/>
            <w:vAlign w:val="center"/>
          </w:tcPr>
          <w:p w14:paraId="146AECB7">
            <w:pPr>
              <w:jc w:val="right"/>
            </w:pPr>
            <w:r>
              <w:rPr>
                <w:rFonts w:ascii="宋体" w:hAnsi="宋体" w:eastAsia="宋体" w:cs="宋体"/>
                <w:b w:val="0"/>
                <w:i w:val="0"/>
                <w:color w:val="000000"/>
                <w:sz w:val="17"/>
              </w:rPr>
              <w:t>3,241.51</w:t>
            </w:r>
          </w:p>
        </w:tc>
        <w:tc>
          <w:tcPr>
            <w:tcW w:w="1460" w:type="dxa"/>
            <w:vAlign w:val="center"/>
          </w:tcPr>
          <w:p w14:paraId="68EE62E1">
            <w:pPr>
              <w:jc w:val="right"/>
            </w:pPr>
            <w:r>
              <w:rPr>
                <w:rFonts w:ascii="宋体" w:hAnsi="宋体" w:eastAsia="宋体" w:cs="宋体"/>
                <w:b w:val="0"/>
                <w:i w:val="0"/>
                <w:color w:val="000000"/>
                <w:sz w:val="17"/>
              </w:rPr>
              <w:t>3,241.51</w:t>
            </w:r>
          </w:p>
        </w:tc>
        <w:tc>
          <w:tcPr>
            <w:tcW w:w="1460" w:type="dxa"/>
            <w:vAlign w:val="center"/>
          </w:tcPr>
          <w:p w14:paraId="2E18AAED"/>
        </w:tc>
        <w:tc>
          <w:tcPr>
            <w:tcW w:w="1438" w:type="dxa"/>
            <w:vAlign w:val="center"/>
          </w:tcPr>
          <w:p w14:paraId="435D55FC"/>
        </w:tc>
      </w:tr>
      <w:tr w14:paraId="136485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50982AD"/>
        </w:tc>
        <w:tc>
          <w:tcPr>
            <w:tcW w:w="420" w:type="dxa"/>
            <w:vAlign w:val="center"/>
          </w:tcPr>
          <w:p w14:paraId="7C264B7C">
            <w:pPr>
              <w:jc w:val="center"/>
            </w:pPr>
            <w:r>
              <w:rPr>
                <w:rFonts w:ascii="宋体" w:hAnsi="宋体" w:eastAsia="宋体" w:cs="宋体"/>
                <w:b w:val="0"/>
                <w:i w:val="0"/>
                <w:color w:val="000000"/>
                <w:sz w:val="17"/>
              </w:rPr>
              <w:t>11</w:t>
            </w:r>
          </w:p>
        </w:tc>
        <w:tc>
          <w:tcPr>
            <w:tcW w:w="1480" w:type="dxa"/>
            <w:vAlign w:val="center"/>
          </w:tcPr>
          <w:p w14:paraId="516C14D3"/>
        </w:tc>
        <w:tc>
          <w:tcPr>
            <w:tcW w:w="2980" w:type="dxa"/>
            <w:vAlign w:val="center"/>
          </w:tcPr>
          <w:p w14:paraId="06B9435B">
            <w:pPr>
              <w:jc w:val="left"/>
            </w:pPr>
            <w:r>
              <w:rPr>
                <w:rFonts w:ascii="宋体" w:hAnsi="宋体" w:eastAsia="宋体" w:cs="宋体"/>
                <w:b w:val="0"/>
                <w:i w:val="0"/>
                <w:color w:val="000000"/>
                <w:sz w:val="17"/>
              </w:rPr>
              <w:t>十一、城乡社区支出</w:t>
            </w:r>
          </w:p>
        </w:tc>
        <w:tc>
          <w:tcPr>
            <w:tcW w:w="420" w:type="dxa"/>
            <w:vAlign w:val="center"/>
          </w:tcPr>
          <w:p w14:paraId="43F3DE0A">
            <w:pPr>
              <w:jc w:val="center"/>
            </w:pPr>
            <w:r>
              <w:rPr>
                <w:rFonts w:ascii="宋体" w:hAnsi="宋体" w:eastAsia="宋体" w:cs="宋体"/>
                <w:b w:val="0"/>
                <w:i w:val="0"/>
                <w:color w:val="000000"/>
                <w:sz w:val="17"/>
              </w:rPr>
              <w:t>43</w:t>
            </w:r>
          </w:p>
        </w:tc>
        <w:tc>
          <w:tcPr>
            <w:tcW w:w="1460" w:type="dxa"/>
            <w:vAlign w:val="center"/>
          </w:tcPr>
          <w:p w14:paraId="24407215">
            <w:pPr>
              <w:jc w:val="right"/>
            </w:pPr>
            <w:r>
              <w:rPr>
                <w:rFonts w:ascii="宋体" w:hAnsi="宋体" w:eastAsia="宋体" w:cs="宋体"/>
                <w:b w:val="0"/>
                <w:i w:val="0"/>
                <w:color w:val="000000"/>
                <w:sz w:val="17"/>
              </w:rPr>
              <w:t>5,642.55</w:t>
            </w:r>
          </w:p>
        </w:tc>
        <w:tc>
          <w:tcPr>
            <w:tcW w:w="1460" w:type="dxa"/>
            <w:vAlign w:val="center"/>
          </w:tcPr>
          <w:p w14:paraId="7C9FD0E8">
            <w:pPr>
              <w:jc w:val="right"/>
            </w:pPr>
            <w:r>
              <w:rPr>
                <w:rFonts w:ascii="宋体" w:hAnsi="宋体" w:eastAsia="宋体" w:cs="宋体"/>
                <w:b w:val="0"/>
                <w:i w:val="0"/>
                <w:color w:val="000000"/>
                <w:sz w:val="17"/>
              </w:rPr>
              <w:t>5,642.55</w:t>
            </w:r>
          </w:p>
        </w:tc>
        <w:tc>
          <w:tcPr>
            <w:tcW w:w="1460" w:type="dxa"/>
            <w:vAlign w:val="center"/>
          </w:tcPr>
          <w:p w14:paraId="1BD3E046"/>
        </w:tc>
        <w:tc>
          <w:tcPr>
            <w:tcW w:w="1438" w:type="dxa"/>
            <w:vAlign w:val="center"/>
          </w:tcPr>
          <w:p w14:paraId="7B395A64"/>
        </w:tc>
      </w:tr>
      <w:tr w14:paraId="1F8F80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F9E005F"/>
        </w:tc>
        <w:tc>
          <w:tcPr>
            <w:tcW w:w="420" w:type="dxa"/>
            <w:vAlign w:val="center"/>
          </w:tcPr>
          <w:p w14:paraId="6BA98232">
            <w:pPr>
              <w:jc w:val="center"/>
            </w:pPr>
            <w:r>
              <w:rPr>
                <w:rFonts w:ascii="宋体" w:hAnsi="宋体" w:eastAsia="宋体" w:cs="宋体"/>
                <w:b w:val="0"/>
                <w:i w:val="0"/>
                <w:color w:val="000000"/>
                <w:sz w:val="17"/>
              </w:rPr>
              <w:t>12</w:t>
            </w:r>
          </w:p>
        </w:tc>
        <w:tc>
          <w:tcPr>
            <w:tcW w:w="1480" w:type="dxa"/>
            <w:vAlign w:val="center"/>
          </w:tcPr>
          <w:p w14:paraId="017FF10E"/>
        </w:tc>
        <w:tc>
          <w:tcPr>
            <w:tcW w:w="2980" w:type="dxa"/>
            <w:vAlign w:val="center"/>
          </w:tcPr>
          <w:p w14:paraId="37F121A2">
            <w:pPr>
              <w:jc w:val="left"/>
            </w:pPr>
            <w:r>
              <w:rPr>
                <w:rFonts w:ascii="宋体" w:hAnsi="宋体" w:eastAsia="宋体" w:cs="宋体"/>
                <w:b w:val="0"/>
                <w:i w:val="0"/>
                <w:color w:val="000000"/>
                <w:sz w:val="17"/>
              </w:rPr>
              <w:t>十二、农林水支出</w:t>
            </w:r>
          </w:p>
        </w:tc>
        <w:tc>
          <w:tcPr>
            <w:tcW w:w="420" w:type="dxa"/>
            <w:vAlign w:val="center"/>
          </w:tcPr>
          <w:p w14:paraId="73308F29">
            <w:pPr>
              <w:jc w:val="center"/>
            </w:pPr>
            <w:r>
              <w:rPr>
                <w:rFonts w:ascii="宋体" w:hAnsi="宋体" w:eastAsia="宋体" w:cs="宋体"/>
                <w:b w:val="0"/>
                <w:i w:val="0"/>
                <w:color w:val="000000"/>
                <w:sz w:val="17"/>
              </w:rPr>
              <w:t>44</w:t>
            </w:r>
          </w:p>
        </w:tc>
        <w:tc>
          <w:tcPr>
            <w:tcW w:w="1460" w:type="dxa"/>
            <w:vAlign w:val="center"/>
          </w:tcPr>
          <w:p w14:paraId="73BA26A7">
            <w:pPr>
              <w:jc w:val="right"/>
            </w:pPr>
            <w:r>
              <w:rPr>
                <w:rFonts w:ascii="宋体" w:hAnsi="宋体" w:eastAsia="宋体" w:cs="宋体"/>
                <w:b w:val="0"/>
                <w:i w:val="0"/>
                <w:color w:val="000000"/>
                <w:sz w:val="17"/>
              </w:rPr>
              <w:t>34.34</w:t>
            </w:r>
          </w:p>
        </w:tc>
        <w:tc>
          <w:tcPr>
            <w:tcW w:w="1460" w:type="dxa"/>
            <w:vAlign w:val="center"/>
          </w:tcPr>
          <w:p w14:paraId="4A24FC00">
            <w:pPr>
              <w:jc w:val="right"/>
            </w:pPr>
            <w:r>
              <w:rPr>
                <w:rFonts w:ascii="宋体" w:hAnsi="宋体" w:eastAsia="宋体" w:cs="宋体"/>
                <w:b w:val="0"/>
                <w:i w:val="0"/>
                <w:color w:val="000000"/>
                <w:sz w:val="17"/>
              </w:rPr>
              <w:t>34.34</w:t>
            </w:r>
          </w:p>
        </w:tc>
        <w:tc>
          <w:tcPr>
            <w:tcW w:w="1460" w:type="dxa"/>
            <w:vAlign w:val="center"/>
          </w:tcPr>
          <w:p w14:paraId="301A6408"/>
        </w:tc>
        <w:tc>
          <w:tcPr>
            <w:tcW w:w="1438" w:type="dxa"/>
            <w:vAlign w:val="center"/>
          </w:tcPr>
          <w:p w14:paraId="52AF9185"/>
        </w:tc>
      </w:tr>
      <w:tr w14:paraId="7987B9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45A6C35"/>
        </w:tc>
        <w:tc>
          <w:tcPr>
            <w:tcW w:w="420" w:type="dxa"/>
            <w:vAlign w:val="center"/>
          </w:tcPr>
          <w:p w14:paraId="2589158B">
            <w:pPr>
              <w:jc w:val="center"/>
            </w:pPr>
            <w:r>
              <w:rPr>
                <w:rFonts w:ascii="宋体" w:hAnsi="宋体" w:eastAsia="宋体" w:cs="宋体"/>
                <w:b w:val="0"/>
                <w:i w:val="0"/>
                <w:color w:val="000000"/>
                <w:sz w:val="17"/>
              </w:rPr>
              <w:t>13</w:t>
            </w:r>
          </w:p>
        </w:tc>
        <w:tc>
          <w:tcPr>
            <w:tcW w:w="1480" w:type="dxa"/>
            <w:vAlign w:val="center"/>
          </w:tcPr>
          <w:p w14:paraId="43A77BB9"/>
        </w:tc>
        <w:tc>
          <w:tcPr>
            <w:tcW w:w="2980" w:type="dxa"/>
            <w:vAlign w:val="center"/>
          </w:tcPr>
          <w:p w14:paraId="712EB73B">
            <w:pPr>
              <w:jc w:val="left"/>
            </w:pPr>
            <w:r>
              <w:rPr>
                <w:rFonts w:ascii="宋体" w:hAnsi="宋体" w:eastAsia="宋体" w:cs="宋体"/>
                <w:b w:val="0"/>
                <w:i w:val="0"/>
                <w:color w:val="000000"/>
                <w:sz w:val="17"/>
              </w:rPr>
              <w:t>十三、交通运输支出</w:t>
            </w:r>
          </w:p>
        </w:tc>
        <w:tc>
          <w:tcPr>
            <w:tcW w:w="420" w:type="dxa"/>
            <w:vAlign w:val="center"/>
          </w:tcPr>
          <w:p w14:paraId="3BF01B69">
            <w:pPr>
              <w:jc w:val="center"/>
            </w:pPr>
            <w:r>
              <w:rPr>
                <w:rFonts w:ascii="宋体" w:hAnsi="宋体" w:eastAsia="宋体" w:cs="宋体"/>
                <w:b w:val="0"/>
                <w:i w:val="0"/>
                <w:color w:val="000000"/>
                <w:sz w:val="17"/>
              </w:rPr>
              <w:t>45</w:t>
            </w:r>
          </w:p>
        </w:tc>
        <w:tc>
          <w:tcPr>
            <w:tcW w:w="1460" w:type="dxa"/>
            <w:vAlign w:val="center"/>
          </w:tcPr>
          <w:p w14:paraId="1BB3C5FB">
            <w:pPr>
              <w:jc w:val="right"/>
            </w:pPr>
            <w:r>
              <w:rPr>
                <w:rFonts w:ascii="宋体" w:hAnsi="宋体" w:eastAsia="宋体" w:cs="宋体"/>
                <w:b w:val="0"/>
                <w:i w:val="0"/>
                <w:color w:val="000000"/>
                <w:sz w:val="17"/>
              </w:rPr>
              <w:t>53.00</w:t>
            </w:r>
          </w:p>
        </w:tc>
        <w:tc>
          <w:tcPr>
            <w:tcW w:w="1460" w:type="dxa"/>
            <w:vAlign w:val="center"/>
          </w:tcPr>
          <w:p w14:paraId="226C19EE">
            <w:pPr>
              <w:jc w:val="right"/>
            </w:pPr>
            <w:r>
              <w:rPr>
                <w:rFonts w:ascii="宋体" w:hAnsi="宋体" w:eastAsia="宋体" w:cs="宋体"/>
                <w:b w:val="0"/>
                <w:i w:val="0"/>
                <w:color w:val="000000"/>
                <w:sz w:val="17"/>
              </w:rPr>
              <w:t>53.00</w:t>
            </w:r>
          </w:p>
        </w:tc>
        <w:tc>
          <w:tcPr>
            <w:tcW w:w="1460" w:type="dxa"/>
            <w:vAlign w:val="center"/>
          </w:tcPr>
          <w:p w14:paraId="4FB37DB1"/>
        </w:tc>
        <w:tc>
          <w:tcPr>
            <w:tcW w:w="1438" w:type="dxa"/>
            <w:vAlign w:val="center"/>
          </w:tcPr>
          <w:p w14:paraId="33447C11"/>
        </w:tc>
      </w:tr>
      <w:tr w14:paraId="3D8085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455F6DD"/>
        </w:tc>
        <w:tc>
          <w:tcPr>
            <w:tcW w:w="420" w:type="dxa"/>
            <w:vAlign w:val="center"/>
          </w:tcPr>
          <w:p w14:paraId="340019F8">
            <w:pPr>
              <w:jc w:val="center"/>
            </w:pPr>
            <w:r>
              <w:rPr>
                <w:rFonts w:ascii="宋体" w:hAnsi="宋体" w:eastAsia="宋体" w:cs="宋体"/>
                <w:b w:val="0"/>
                <w:i w:val="0"/>
                <w:color w:val="000000"/>
                <w:sz w:val="17"/>
              </w:rPr>
              <w:t>14</w:t>
            </w:r>
          </w:p>
        </w:tc>
        <w:tc>
          <w:tcPr>
            <w:tcW w:w="1480" w:type="dxa"/>
            <w:vAlign w:val="center"/>
          </w:tcPr>
          <w:p w14:paraId="14F4EF29"/>
        </w:tc>
        <w:tc>
          <w:tcPr>
            <w:tcW w:w="2980" w:type="dxa"/>
            <w:vAlign w:val="center"/>
          </w:tcPr>
          <w:p w14:paraId="5DDB86CB">
            <w:pPr>
              <w:jc w:val="left"/>
            </w:pPr>
            <w:r>
              <w:rPr>
                <w:rFonts w:ascii="宋体" w:hAnsi="宋体" w:eastAsia="宋体" w:cs="宋体"/>
                <w:b w:val="0"/>
                <w:i w:val="0"/>
                <w:color w:val="000000"/>
                <w:sz w:val="17"/>
              </w:rPr>
              <w:t>十四、资源勘探工业信息等支出</w:t>
            </w:r>
          </w:p>
        </w:tc>
        <w:tc>
          <w:tcPr>
            <w:tcW w:w="420" w:type="dxa"/>
            <w:vAlign w:val="center"/>
          </w:tcPr>
          <w:p w14:paraId="02ACD35B">
            <w:pPr>
              <w:jc w:val="center"/>
            </w:pPr>
            <w:r>
              <w:rPr>
                <w:rFonts w:ascii="宋体" w:hAnsi="宋体" w:eastAsia="宋体" w:cs="宋体"/>
                <w:b w:val="0"/>
                <w:i w:val="0"/>
                <w:color w:val="000000"/>
                <w:sz w:val="17"/>
              </w:rPr>
              <w:t>46</w:t>
            </w:r>
          </w:p>
        </w:tc>
        <w:tc>
          <w:tcPr>
            <w:tcW w:w="1460" w:type="dxa"/>
            <w:vAlign w:val="center"/>
          </w:tcPr>
          <w:p w14:paraId="73F65B9E"/>
        </w:tc>
        <w:tc>
          <w:tcPr>
            <w:tcW w:w="1460" w:type="dxa"/>
            <w:vAlign w:val="center"/>
          </w:tcPr>
          <w:p w14:paraId="186DF6D7"/>
        </w:tc>
        <w:tc>
          <w:tcPr>
            <w:tcW w:w="1460" w:type="dxa"/>
            <w:vAlign w:val="center"/>
          </w:tcPr>
          <w:p w14:paraId="625339A5"/>
        </w:tc>
        <w:tc>
          <w:tcPr>
            <w:tcW w:w="1438" w:type="dxa"/>
            <w:vAlign w:val="center"/>
          </w:tcPr>
          <w:p w14:paraId="502316C9"/>
        </w:tc>
      </w:tr>
      <w:tr w14:paraId="591BAE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06EA157"/>
        </w:tc>
        <w:tc>
          <w:tcPr>
            <w:tcW w:w="420" w:type="dxa"/>
            <w:vAlign w:val="center"/>
          </w:tcPr>
          <w:p w14:paraId="26FD4ECF">
            <w:pPr>
              <w:jc w:val="center"/>
            </w:pPr>
            <w:r>
              <w:rPr>
                <w:rFonts w:ascii="宋体" w:hAnsi="宋体" w:eastAsia="宋体" w:cs="宋体"/>
                <w:b w:val="0"/>
                <w:i w:val="0"/>
                <w:color w:val="000000"/>
                <w:sz w:val="17"/>
              </w:rPr>
              <w:t>15</w:t>
            </w:r>
          </w:p>
        </w:tc>
        <w:tc>
          <w:tcPr>
            <w:tcW w:w="1480" w:type="dxa"/>
            <w:vAlign w:val="center"/>
          </w:tcPr>
          <w:p w14:paraId="03642A8C"/>
        </w:tc>
        <w:tc>
          <w:tcPr>
            <w:tcW w:w="2980" w:type="dxa"/>
            <w:vAlign w:val="center"/>
          </w:tcPr>
          <w:p w14:paraId="55220D89">
            <w:pPr>
              <w:jc w:val="left"/>
            </w:pPr>
            <w:r>
              <w:rPr>
                <w:rFonts w:ascii="宋体" w:hAnsi="宋体" w:eastAsia="宋体" w:cs="宋体"/>
                <w:b w:val="0"/>
                <w:i w:val="0"/>
                <w:color w:val="000000"/>
                <w:sz w:val="17"/>
              </w:rPr>
              <w:t>十五、商业服务业等支出</w:t>
            </w:r>
          </w:p>
        </w:tc>
        <w:tc>
          <w:tcPr>
            <w:tcW w:w="420" w:type="dxa"/>
            <w:vAlign w:val="center"/>
          </w:tcPr>
          <w:p w14:paraId="6BB9CEA0">
            <w:pPr>
              <w:jc w:val="center"/>
            </w:pPr>
            <w:r>
              <w:rPr>
                <w:rFonts w:ascii="宋体" w:hAnsi="宋体" w:eastAsia="宋体" w:cs="宋体"/>
                <w:b w:val="0"/>
                <w:i w:val="0"/>
                <w:color w:val="000000"/>
                <w:sz w:val="17"/>
              </w:rPr>
              <w:t>47</w:t>
            </w:r>
          </w:p>
        </w:tc>
        <w:tc>
          <w:tcPr>
            <w:tcW w:w="1460" w:type="dxa"/>
            <w:vAlign w:val="center"/>
          </w:tcPr>
          <w:p w14:paraId="08641FF0"/>
        </w:tc>
        <w:tc>
          <w:tcPr>
            <w:tcW w:w="1460" w:type="dxa"/>
            <w:vAlign w:val="center"/>
          </w:tcPr>
          <w:p w14:paraId="6763AC64"/>
        </w:tc>
        <w:tc>
          <w:tcPr>
            <w:tcW w:w="1460" w:type="dxa"/>
            <w:vAlign w:val="center"/>
          </w:tcPr>
          <w:p w14:paraId="051611BD"/>
        </w:tc>
        <w:tc>
          <w:tcPr>
            <w:tcW w:w="1438" w:type="dxa"/>
            <w:vAlign w:val="center"/>
          </w:tcPr>
          <w:p w14:paraId="1D2034A5"/>
        </w:tc>
      </w:tr>
      <w:tr w14:paraId="093B29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E042644"/>
        </w:tc>
        <w:tc>
          <w:tcPr>
            <w:tcW w:w="420" w:type="dxa"/>
            <w:vAlign w:val="center"/>
          </w:tcPr>
          <w:p w14:paraId="0DEF55E2">
            <w:pPr>
              <w:jc w:val="center"/>
            </w:pPr>
            <w:r>
              <w:rPr>
                <w:rFonts w:ascii="宋体" w:hAnsi="宋体" w:eastAsia="宋体" w:cs="宋体"/>
                <w:b w:val="0"/>
                <w:i w:val="0"/>
                <w:color w:val="000000"/>
                <w:sz w:val="17"/>
              </w:rPr>
              <w:t>16</w:t>
            </w:r>
          </w:p>
        </w:tc>
        <w:tc>
          <w:tcPr>
            <w:tcW w:w="1480" w:type="dxa"/>
            <w:vAlign w:val="center"/>
          </w:tcPr>
          <w:p w14:paraId="4295CD0F"/>
        </w:tc>
        <w:tc>
          <w:tcPr>
            <w:tcW w:w="2980" w:type="dxa"/>
            <w:vAlign w:val="center"/>
          </w:tcPr>
          <w:p w14:paraId="1D86D0DE">
            <w:pPr>
              <w:jc w:val="left"/>
            </w:pPr>
            <w:r>
              <w:rPr>
                <w:rFonts w:ascii="宋体" w:hAnsi="宋体" w:eastAsia="宋体" w:cs="宋体"/>
                <w:b w:val="0"/>
                <w:i w:val="0"/>
                <w:color w:val="000000"/>
                <w:sz w:val="17"/>
              </w:rPr>
              <w:t>十六、金融支出</w:t>
            </w:r>
          </w:p>
        </w:tc>
        <w:tc>
          <w:tcPr>
            <w:tcW w:w="420" w:type="dxa"/>
            <w:vAlign w:val="center"/>
          </w:tcPr>
          <w:p w14:paraId="6389FDBF">
            <w:pPr>
              <w:jc w:val="center"/>
            </w:pPr>
            <w:r>
              <w:rPr>
                <w:rFonts w:ascii="宋体" w:hAnsi="宋体" w:eastAsia="宋体" w:cs="宋体"/>
                <w:b w:val="0"/>
                <w:i w:val="0"/>
                <w:color w:val="000000"/>
                <w:sz w:val="17"/>
              </w:rPr>
              <w:t>48</w:t>
            </w:r>
          </w:p>
        </w:tc>
        <w:tc>
          <w:tcPr>
            <w:tcW w:w="1460" w:type="dxa"/>
            <w:vAlign w:val="center"/>
          </w:tcPr>
          <w:p w14:paraId="32E17BDC"/>
        </w:tc>
        <w:tc>
          <w:tcPr>
            <w:tcW w:w="1460" w:type="dxa"/>
            <w:vAlign w:val="center"/>
          </w:tcPr>
          <w:p w14:paraId="72624AB2"/>
        </w:tc>
        <w:tc>
          <w:tcPr>
            <w:tcW w:w="1460" w:type="dxa"/>
            <w:vAlign w:val="center"/>
          </w:tcPr>
          <w:p w14:paraId="368EF06D"/>
        </w:tc>
        <w:tc>
          <w:tcPr>
            <w:tcW w:w="1438" w:type="dxa"/>
            <w:vAlign w:val="center"/>
          </w:tcPr>
          <w:p w14:paraId="2AA3E74F"/>
        </w:tc>
      </w:tr>
      <w:tr w14:paraId="0CA974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F8F473E"/>
        </w:tc>
        <w:tc>
          <w:tcPr>
            <w:tcW w:w="420" w:type="dxa"/>
            <w:vAlign w:val="center"/>
          </w:tcPr>
          <w:p w14:paraId="7A7211CA">
            <w:pPr>
              <w:jc w:val="center"/>
            </w:pPr>
            <w:r>
              <w:rPr>
                <w:rFonts w:ascii="宋体" w:hAnsi="宋体" w:eastAsia="宋体" w:cs="宋体"/>
                <w:b w:val="0"/>
                <w:i w:val="0"/>
                <w:color w:val="000000"/>
                <w:sz w:val="17"/>
              </w:rPr>
              <w:t>17</w:t>
            </w:r>
          </w:p>
        </w:tc>
        <w:tc>
          <w:tcPr>
            <w:tcW w:w="1480" w:type="dxa"/>
            <w:vAlign w:val="center"/>
          </w:tcPr>
          <w:p w14:paraId="387740F9"/>
        </w:tc>
        <w:tc>
          <w:tcPr>
            <w:tcW w:w="2980" w:type="dxa"/>
            <w:vAlign w:val="center"/>
          </w:tcPr>
          <w:p w14:paraId="5E4F6628">
            <w:pPr>
              <w:jc w:val="left"/>
            </w:pPr>
            <w:r>
              <w:rPr>
                <w:rFonts w:ascii="宋体" w:hAnsi="宋体" w:eastAsia="宋体" w:cs="宋体"/>
                <w:b w:val="0"/>
                <w:i w:val="0"/>
                <w:color w:val="000000"/>
                <w:sz w:val="17"/>
              </w:rPr>
              <w:t>十七、援助其他地区支出</w:t>
            </w:r>
          </w:p>
        </w:tc>
        <w:tc>
          <w:tcPr>
            <w:tcW w:w="420" w:type="dxa"/>
            <w:vAlign w:val="center"/>
          </w:tcPr>
          <w:p w14:paraId="2AD4ACD2">
            <w:pPr>
              <w:jc w:val="center"/>
            </w:pPr>
            <w:r>
              <w:rPr>
                <w:rFonts w:ascii="宋体" w:hAnsi="宋体" w:eastAsia="宋体" w:cs="宋体"/>
                <w:b w:val="0"/>
                <w:i w:val="0"/>
                <w:color w:val="000000"/>
                <w:sz w:val="17"/>
              </w:rPr>
              <w:t>49</w:t>
            </w:r>
          </w:p>
        </w:tc>
        <w:tc>
          <w:tcPr>
            <w:tcW w:w="1460" w:type="dxa"/>
            <w:vAlign w:val="center"/>
          </w:tcPr>
          <w:p w14:paraId="4CB2FD5E"/>
        </w:tc>
        <w:tc>
          <w:tcPr>
            <w:tcW w:w="1460" w:type="dxa"/>
            <w:vAlign w:val="center"/>
          </w:tcPr>
          <w:p w14:paraId="4D2EA51B"/>
        </w:tc>
        <w:tc>
          <w:tcPr>
            <w:tcW w:w="1460" w:type="dxa"/>
            <w:vAlign w:val="center"/>
          </w:tcPr>
          <w:p w14:paraId="59A9E2D3"/>
        </w:tc>
        <w:tc>
          <w:tcPr>
            <w:tcW w:w="1438" w:type="dxa"/>
            <w:vAlign w:val="center"/>
          </w:tcPr>
          <w:p w14:paraId="02A367E1"/>
        </w:tc>
      </w:tr>
      <w:tr w14:paraId="620011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FB4E796"/>
        </w:tc>
        <w:tc>
          <w:tcPr>
            <w:tcW w:w="420" w:type="dxa"/>
            <w:vAlign w:val="center"/>
          </w:tcPr>
          <w:p w14:paraId="755C9FB9">
            <w:pPr>
              <w:jc w:val="center"/>
            </w:pPr>
            <w:r>
              <w:rPr>
                <w:rFonts w:ascii="宋体" w:hAnsi="宋体" w:eastAsia="宋体" w:cs="宋体"/>
                <w:b w:val="0"/>
                <w:i w:val="0"/>
                <w:color w:val="000000"/>
                <w:sz w:val="17"/>
              </w:rPr>
              <w:t>18</w:t>
            </w:r>
          </w:p>
        </w:tc>
        <w:tc>
          <w:tcPr>
            <w:tcW w:w="1480" w:type="dxa"/>
            <w:vAlign w:val="center"/>
          </w:tcPr>
          <w:p w14:paraId="68A2CF86"/>
        </w:tc>
        <w:tc>
          <w:tcPr>
            <w:tcW w:w="2980" w:type="dxa"/>
            <w:vAlign w:val="center"/>
          </w:tcPr>
          <w:p w14:paraId="6FC97D40">
            <w:pPr>
              <w:jc w:val="left"/>
            </w:pPr>
            <w:r>
              <w:rPr>
                <w:rFonts w:ascii="宋体" w:hAnsi="宋体" w:eastAsia="宋体" w:cs="宋体"/>
                <w:b w:val="0"/>
                <w:i w:val="0"/>
                <w:color w:val="000000"/>
                <w:sz w:val="17"/>
              </w:rPr>
              <w:t>十八、自然资源海洋气象等支出</w:t>
            </w:r>
          </w:p>
        </w:tc>
        <w:tc>
          <w:tcPr>
            <w:tcW w:w="420" w:type="dxa"/>
            <w:vAlign w:val="center"/>
          </w:tcPr>
          <w:p w14:paraId="440CAA3F">
            <w:pPr>
              <w:jc w:val="center"/>
            </w:pPr>
            <w:r>
              <w:rPr>
                <w:rFonts w:ascii="宋体" w:hAnsi="宋体" w:eastAsia="宋体" w:cs="宋体"/>
                <w:b w:val="0"/>
                <w:i w:val="0"/>
                <w:color w:val="000000"/>
                <w:sz w:val="17"/>
              </w:rPr>
              <w:t>50</w:t>
            </w:r>
          </w:p>
        </w:tc>
        <w:tc>
          <w:tcPr>
            <w:tcW w:w="1460" w:type="dxa"/>
            <w:vAlign w:val="center"/>
          </w:tcPr>
          <w:p w14:paraId="7A526AAC"/>
        </w:tc>
        <w:tc>
          <w:tcPr>
            <w:tcW w:w="1460" w:type="dxa"/>
            <w:vAlign w:val="center"/>
          </w:tcPr>
          <w:p w14:paraId="0B570E5D"/>
        </w:tc>
        <w:tc>
          <w:tcPr>
            <w:tcW w:w="1460" w:type="dxa"/>
            <w:vAlign w:val="center"/>
          </w:tcPr>
          <w:p w14:paraId="3D16D64A"/>
        </w:tc>
        <w:tc>
          <w:tcPr>
            <w:tcW w:w="1438" w:type="dxa"/>
            <w:vAlign w:val="center"/>
          </w:tcPr>
          <w:p w14:paraId="750530E8"/>
        </w:tc>
      </w:tr>
      <w:tr w14:paraId="341048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349B48B"/>
        </w:tc>
        <w:tc>
          <w:tcPr>
            <w:tcW w:w="420" w:type="dxa"/>
            <w:vAlign w:val="center"/>
          </w:tcPr>
          <w:p w14:paraId="38780C20">
            <w:pPr>
              <w:jc w:val="center"/>
            </w:pPr>
            <w:r>
              <w:rPr>
                <w:rFonts w:ascii="宋体" w:hAnsi="宋体" w:eastAsia="宋体" w:cs="宋体"/>
                <w:b w:val="0"/>
                <w:i w:val="0"/>
                <w:color w:val="000000"/>
                <w:sz w:val="17"/>
              </w:rPr>
              <w:t>19</w:t>
            </w:r>
          </w:p>
        </w:tc>
        <w:tc>
          <w:tcPr>
            <w:tcW w:w="1480" w:type="dxa"/>
            <w:vAlign w:val="center"/>
          </w:tcPr>
          <w:p w14:paraId="2123F272"/>
        </w:tc>
        <w:tc>
          <w:tcPr>
            <w:tcW w:w="2980" w:type="dxa"/>
            <w:vAlign w:val="center"/>
          </w:tcPr>
          <w:p w14:paraId="2EA91B86">
            <w:pPr>
              <w:jc w:val="left"/>
            </w:pPr>
            <w:r>
              <w:rPr>
                <w:rFonts w:ascii="宋体" w:hAnsi="宋体" w:eastAsia="宋体" w:cs="宋体"/>
                <w:b w:val="0"/>
                <w:i w:val="0"/>
                <w:color w:val="000000"/>
                <w:sz w:val="17"/>
              </w:rPr>
              <w:t>十九、住房保障支出</w:t>
            </w:r>
          </w:p>
        </w:tc>
        <w:tc>
          <w:tcPr>
            <w:tcW w:w="420" w:type="dxa"/>
            <w:vAlign w:val="center"/>
          </w:tcPr>
          <w:p w14:paraId="677D798A">
            <w:pPr>
              <w:jc w:val="center"/>
            </w:pPr>
            <w:r>
              <w:rPr>
                <w:rFonts w:ascii="宋体" w:hAnsi="宋体" w:eastAsia="宋体" w:cs="宋体"/>
                <w:b w:val="0"/>
                <w:i w:val="0"/>
                <w:color w:val="000000"/>
                <w:sz w:val="17"/>
              </w:rPr>
              <w:t>51</w:t>
            </w:r>
          </w:p>
        </w:tc>
        <w:tc>
          <w:tcPr>
            <w:tcW w:w="1460" w:type="dxa"/>
            <w:vAlign w:val="center"/>
          </w:tcPr>
          <w:p w14:paraId="5D9120EF">
            <w:pPr>
              <w:jc w:val="right"/>
            </w:pPr>
            <w:r>
              <w:rPr>
                <w:rFonts w:ascii="宋体" w:hAnsi="宋体" w:eastAsia="宋体" w:cs="宋体"/>
                <w:b w:val="0"/>
                <w:i w:val="0"/>
                <w:color w:val="000000"/>
                <w:sz w:val="17"/>
              </w:rPr>
              <w:t>4,506.87</w:t>
            </w:r>
          </w:p>
        </w:tc>
        <w:tc>
          <w:tcPr>
            <w:tcW w:w="1460" w:type="dxa"/>
            <w:vAlign w:val="center"/>
          </w:tcPr>
          <w:p w14:paraId="72979FDD">
            <w:pPr>
              <w:jc w:val="right"/>
            </w:pPr>
            <w:r>
              <w:rPr>
                <w:rFonts w:ascii="宋体" w:hAnsi="宋体" w:eastAsia="宋体" w:cs="宋体"/>
                <w:b w:val="0"/>
                <w:i w:val="0"/>
                <w:color w:val="000000"/>
                <w:sz w:val="17"/>
              </w:rPr>
              <w:t>4,506.87</w:t>
            </w:r>
          </w:p>
        </w:tc>
        <w:tc>
          <w:tcPr>
            <w:tcW w:w="1460" w:type="dxa"/>
            <w:vAlign w:val="center"/>
          </w:tcPr>
          <w:p w14:paraId="39361E38"/>
        </w:tc>
        <w:tc>
          <w:tcPr>
            <w:tcW w:w="1438" w:type="dxa"/>
            <w:vAlign w:val="center"/>
          </w:tcPr>
          <w:p w14:paraId="053AD2F3"/>
        </w:tc>
      </w:tr>
      <w:tr w14:paraId="48A004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CD1E557"/>
        </w:tc>
        <w:tc>
          <w:tcPr>
            <w:tcW w:w="420" w:type="dxa"/>
            <w:vAlign w:val="center"/>
          </w:tcPr>
          <w:p w14:paraId="0B97AFE8">
            <w:pPr>
              <w:jc w:val="center"/>
            </w:pPr>
            <w:r>
              <w:rPr>
                <w:rFonts w:ascii="宋体" w:hAnsi="宋体" w:eastAsia="宋体" w:cs="宋体"/>
                <w:b w:val="0"/>
                <w:i w:val="0"/>
                <w:color w:val="000000"/>
                <w:sz w:val="17"/>
              </w:rPr>
              <w:t>20</w:t>
            </w:r>
          </w:p>
        </w:tc>
        <w:tc>
          <w:tcPr>
            <w:tcW w:w="1480" w:type="dxa"/>
            <w:vAlign w:val="center"/>
          </w:tcPr>
          <w:p w14:paraId="18D581E9"/>
        </w:tc>
        <w:tc>
          <w:tcPr>
            <w:tcW w:w="2980" w:type="dxa"/>
            <w:vAlign w:val="center"/>
          </w:tcPr>
          <w:p w14:paraId="74FA8A07">
            <w:pPr>
              <w:jc w:val="left"/>
            </w:pPr>
            <w:r>
              <w:rPr>
                <w:rFonts w:ascii="宋体" w:hAnsi="宋体" w:eastAsia="宋体" w:cs="宋体"/>
                <w:b w:val="0"/>
                <w:i w:val="0"/>
                <w:color w:val="000000"/>
                <w:sz w:val="17"/>
              </w:rPr>
              <w:t>二十、粮油物资储备支出</w:t>
            </w:r>
          </w:p>
        </w:tc>
        <w:tc>
          <w:tcPr>
            <w:tcW w:w="420" w:type="dxa"/>
            <w:vAlign w:val="center"/>
          </w:tcPr>
          <w:p w14:paraId="6237AF8D">
            <w:pPr>
              <w:jc w:val="center"/>
            </w:pPr>
            <w:r>
              <w:rPr>
                <w:rFonts w:ascii="宋体" w:hAnsi="宋体" w:eastAsia="宋体" w:cs="宋体"/>
                <w:b w:val="0"/>
                <w:i w:val="0"/>
                <w:color w:val="000000"/>
                <w:sz w:val="17"/>
              </w:rPr>
              <w:t>52</w:t>
            </w:r>
          </w:p>
        </w:tc>
        <w:tc>
          <w:tcPr>
            <w:tcW w:w="1460" w:type="dxa"/>
            <w:vAlign w:val="center"/>
          </w:tcPr>
          <w:p w14:paraId="15D6DFA9"/>
        </w:tc>
        <w:tc>
          <w:tcPr>
            <w:tcW w:w="1460" w:type="dxa"/>
            <w:vAlign w:val="center"/>
          </w:tcPr>
          <w:p w14:paraId="26D4D131"/>
        </w:tc>
        <w:tc>
          <w:tcPr>
            <w:tcW w:w="1460" w:type="dxa"/>
            <w:vAlign w:val="center"/>
          </w:tcPr>
          <w:p w14:paraId="54B0315D"/>
        </w:tc>
        <w:tc>
          <w:tcPr>
            <w:tcW w:w="1438" w:type="dxa"/>
            <w:vAlign w:val="center"/>
          </w:tcPr>
          <w:p w14:paraId="75AE5DAE"/>
        </w:tc>
      </w:tr>
      <w:tr w14:paraId="732F5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41E4938"/>
        </w:tc>
        <w:tc>
          <w:tcPr>
            <w:tcW w:w="420" w:type="dxa"/>
            <w:vAlign w:val="center"/>
          </w:tcPr>
          <w:p w14:paraId="51EEADD1">
            <w:pPr>
              <w:jc w:val="center"/>
            </w:pPr>
            <w:r>
              <w:rPr>
                <w:rFonts w:ascii="宋体" w:hAnsi="宋体" w:eastAsia="宋体" w:cs="宋体"/>
                <w:b w:val="0"/>
                <w:i w:val="0"/>
                <w:color w:val="000000"/>
                <w:sz w:val="17"/>
              </w:rPr>
              <w:t>21</w:t>
            </w:r>
          </w:p>
        </w:tc>
        <w:tc>
          <w:tcPr>
            <w:tcW w:w="1480" w:type="dxa"/>
            <w:vAlign w:val="center"/>
          </w:tcPr>
          <w:p w14:paraId="350A229E"/>
        </w:tc>
        <w:tc>
          <w:tcPr>
            <w:tcW w:w="2980" w:type="dxa"/>
            <w:vAlign w:val="center"/>
          </w:tcPr>
          <w:p w14:paraId="7D2AB11C">
            <w:pPr>
              <w:jc w:val="left"/>
            </w:pPr>
            <w:r>
              <w:rPr>
                <w:rFonts w:ascii="宋体" w:hAnsi="宋体" w:eastAsia="宋体" w:cs="宋体"/>
                <w:b w:val="0"/>
                <w:i w:val="0"/>
                <w:color w:val="000000"/>
                <w:sz w:val="17"/>
              </w:rPr>
              <w:t>二十一、国有资本经营预算支出</w:t>
            </w:r>
          </w:p>
        </w:tc>
        <w:tc>
          <w:tcPr>
            <w:tcW w:w="420" w:type="dxa"/>
            <w:vAlign w:val="center"/>
          </w:tcPr>
          <w:p w14:paraId="4E04C6E4">
            <w:pPr>
              <w:jc w:val="center"/>
            </w:pPr>
            <w:r>
              <w:rPr>
                <w:rFonts w:ascii="宋体" w:hAnsi="宋体" w:eastAsia="宋体" w:cs="宋体"/>
                <w:b w:val="0"/>
                <w:i w:val="0"/>
                <w:color w:val="000000"/>
                <w:sz w:val="17"/>
              </w:rPr>
              <w:t>53</w:t>
            </w:r>
          </w:p>
        </w:tc>
        <w:tc>
          <w:tcPr>
            <w:tcW w:w="1460" w:type="dxa"/>
            <w:vAlign w:val="center"/>
          </w:tcPr>
          <w:p w14:paraId="24574247"/>
        </w:tc>
        <w:tc>
          <w:tcPr>
            <w:tcW w:w="1460" w:type="dxa"/>
            <w:vAlign w:val="center"/>
          </w:tcPr>
          <w:p w14:paraId="506410BE"/>
        </w:tc>
        <w:tc>
          <w:tcPr>
            <w:tcW w:w="1460" w:type="dxa"/>
            <w:vAlign w:val="center"/>
          </w:tcPr>
          <w:p w14:paraId="261B7B5B"/>
        </w:tc>
        <w:tc>
          <w:tcPr>
            <w:tcW w:w="1438" w:type="dxa"/>
            <w:vAlign w:val="center"/>
          </w:tcPr>
          <w:p w14:paraId="343541D3"/>
        </w:tc>
      </w:tr>
      <w:tr w14:paraId="3E6348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1541E3C"/>
        </w:tc>
        <w:tc>
          <w:tcPr>
            <w:tcW w:w="420" w:type="dxa"/>
            <w:vAlign w:val="center"/>
          </w:tcPr>
          <w:p w14:paraId="2848C756">
            <w:pPr>
              <w:jc w:val="center"/>
            </w:pPr>
            <w:r>
              <w:rPr>
                <w:rFonts w:ascii="宋体" w:hAnsi="宋体" w:eastAsia="宋体" w:cs="宋体"/>
                <w:b w:val="0"/>
                <w:i w:val="0"/>
                <w:color w:val="000000"/>
                <w:sz w:val="17"/>
              </w:rPr>
              <w:t>22</w:t>
            </w:r>
          </w:p>
        </w:tc>
        <w:tc>
          <w:tcPr>
            <w:tcW w:w="1480" w:type="dxa"/>
            <w:vAlign w:val="center"/>
          </w:tcPr>
          <w:p w14:paraId="7F366320"/>
        </w:tc>
        <w:tc>
          <w:tcPr>
            <w:tcW w:w="2980" w:type="dxa"/>
            <w:vAlign w:val="center"/>
          </w:tcPr>
          <w:p w14:paraId="1E1D6C96">
            <w:pPr>
              <w:jc w:val="left"/>
            </w:pPr>
            <w:r>
              <w:rPr>
                <w:rFonts w:ascii="宋体" w:hAnsi="宋体" w:eastAsia="宋体" w:cs="宋体"/>
                <w:b w:val="0"/>
                <w:i w:val="0"/>
                <w:color w:val="000000"/>
                <w:sz w:val="17"/>
              </w:rPr>
              <w:t>二十二、灾害防治及应急管理支出</w:t>
            </w:r>
          </w:p>
        </w:tc>
        <w:tc>
          <w:tcPr>
            <w:tcW w:w="420" w:type="dxa"/>
            <w:vAlign w:val="center"/>
          </w:tcPr>
          <w:p w14:paraId="4CE7C7E9">
            <w:pPr>
              <w:jc w:val="center"/>
            </w:pPr>
            <w:r>
              <w:rPr>
                <w:rFonts w:ascii="宋体" w:hAnsi="宋体" w:eastAsia="宋体" w:cs="宋体"/>
                <w:b w:val="0"/>
                <w:i w:val="0"/>
                <w:color w:val="000000"/>
                <w:sz w:val="17"/>
              </w:rPr>
              <w:t>54</w:t>
            </w:r>
          </w:p>
        </w:tc>
        <w:tc>
          <w:tcPr>
            <w:tcW w:w="1460" w:type="dxa"/>
            <w:vAlign w:val="center"/>
          </w:tcPr>
          <w:p w14:paraId="4F330414"/>
        </w:tc>
        <w:tc>
          <w:tcPr>
            <w:tcW w:w="1460" w:type="dxa"/>
            <w:vAlign w:val="center"/>
          </w:tcPr>
          <w:p w14:paraId="4E7AB8BC"/>
        </w:tc>
        <w:tc>
          <w:tcPr>
            <w:tcW w:w="1460" w:type="dxa"/>
            <w:vAlign w:val="center"/>
          </w:tcPr>
          <w:p w14:paraId="5C6F3067"/>
        </w:tc>
        <w:tc>
          <w:tcPr>
            <w:tcW w:w="1438" w:type="dxa"/>
            <w:vAlign w:val="center"/>
          </w:tcPr>
          <w:p w14:paraId="3C23C1D3"/>
        </w:tc>
      </w:tr>
      <w:tr w14:paraId="59BCE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4522C10"/>
        </w:tc>
        <w:tc>
          <w:tcPr>
            <w:tcW w:w="420" w:type="dxa"/>
            <w:vAlign w:val="center"/>
          </w:tcPr>
          <w:p w14:paraId="518019B3">
            <w:pPr>
              <w:jc w:val="center"/>
            </w:pPr>
            <w:r>
              <w:rPr>
                <w:rFonts w:ascii="宋体" w:hAnsi="宋体" w:eastAsia="宋体" w:cs="宋体"/>
                <w:b w:val="0"/>
                <w:i w:val="0"/>
                <w:color w:val="000000"/>
                <w:sz w:val="17"/>
              </w:rPr>
              <w:t>23</w:t>
            </w:r>
          </w:p>
        </w:tc>
        <w:tc>
          <w:tcPr>
            <w:tcW w:w="1480" w:type="dxa"/>
            <w:vAlign w:val="center"/>
          </w:tcPr>
          <w:p w14:paraId="25A72A7B"/>
        </w:tc>
        <w:tc>
          <w:tcPr>
            <w:tcW w:w="2980" w:type="dxa"/>
            <w:vAlign w:val="center"/>
          </w:tcPr>
          <w:p w14:paraId="7FA90495">
            <w:pPr>
              <w:jc w:val="left"/>
            </w:pPr>
            <w:r>
              <w:rPr>
                <w:rFonts w:ascii="宋体" w:hAnsi="宋体" w:eastAsia="宋体" w:cs="宋体"/>
                <w:b w:val="0"/>
                <w:i w:val="0"/>
                <w:color w:val="000000"/>
                <w:sz w:val="17"/>
              </w:rPr>
              <w:t>二十三、其他支出</w:t>
            </w:r>
          </w:p>
        </w:tc>
        <w:tc>
          <w:tcPr>
            <w:tcW w:w="420" w:type="dxa"/>
            <w:vAlign w:val="center"/>
          </w:tcPr>
          <w:p w14:paraId="74684773">
            <w:pPr>
              <w:jc w:val="center"/>
            </w:pPr>
            <w:r>
              <w:rPr>
                <w:rFonts w:ascii="宋体" w:hAnsi="宋体" w:eastAsia="宋体" w:cs="宋体"/>
                <w:b w:val="0"/>
                <w:i w:val="0"/>
                <w:color w:val="000000"/>
                <w:sz w:val="17"/>
              </w:rPr>
              <w:t>55</w:t>
            </w:r>
          </w:p>
        </w:tc>
        <w:tc>
          <w:tcPr>
            <w:tcW w:w="1460" w:type="dxa"/>
            <w:vAlign w:val="center"/>
          </w:tcPr>
          <w:p w14:paraId="41993BB7">
            <w:pPr>
              <w:jc w:val="right"/>
            </w:pPr>
            <w:r>
              <w:rPr>
                <w:rFonts w:ascii="宋体" w:hAnsi="宋体" w:eastAsia="宋体" w:cs="宋体"/>
                <w:b w:val="0"/>
                <w:i w:val="0"/>
                <w:color w:val="000000"/>
                <w:sz w:val="17"/>
              </w:rPr>
              <w:t>32,990.00</w:t>
            </w:r>
          </w:p>
        </w:tc>
        <w:tc>
          <w:tcPr>
            <w:tcW w:w="1460" w:type="dxa"/>
            <w:vAlign w:val="center"/>
          </w:tcPr>
          <w:p w14:paraId="3267DA60"/>
        </w:tc>
        <w:tc>
          <w:tcPr>
            <w:tcW w:w="1460" w:type="dxa"/>
            <w:vAlign w:val="center"/>
          </w:tcPr>
          <w:p w14:paraId="18D70014">
            <w:pPr>
              <w:jc w:val="right"/>
            </w:pPr>
            <w:r>
              <w:rPr>
                <w:rFonts w:ascii="宋体" w:hAnsi="宋体" w:eastAsia="宋体" w:cs="宋体"/>
                <w:b w:val="0"/>
                <w:i w:val="0"/>
                <w:color w:val="000000"/>
                <w:sz w:val="17"/>
              </w:rPr>
              <w:t>32,990.00</w:t>
            </w:r>
          </w:p>
        </w:tc>
        <w:tc>
          <w:tcPr>
            <w:tcW w:w="1438" w:type="dxa"/>
            <w:vAlign w:val="center"/>
          </w:tcPr>
          <w:p w14:paraId="31F2E836"/>
        </w:tc>
      </w:tr>
      <w:tr w14:paraId="45A0B5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7F4BA3C"/>
        </w:tc>
        <w:tc>
          <w:tcPr>
            <w:tcW w:w="420" w:type="dxa"/>
            <w:vAlign w:val="center"/>
          </w:tcPr>
          <w:p w14:paraId="413BB118">
            <w:pPr>
              <w:jc w:val="center"/>
            </w:pPr>
            <w:r>
              <w:rPr>
                <w:rFonts w:ascii="宋体" w:hAnsi="宋体" w:eastAsia="宋体" w:cs="宋体"/>
                <w:b w:val="0"/>
                <w:i w:val="0"/>
                <w:color w:val="000000"/>
                <w:sz w:val="17"/>
              </w:rPr>
              <w:t>24</w:t>
            </w:r>
          </w:p>
        </w:tc>
        <w:tc>
          <w:tcPr>
            <w:tcW w:w="1480" w:type="dxa"/>
            <w:vAlign w:val="center"/>
          </w:tcPr>
          <w:p w14:paraId="3B210B71"/>
        </w:tc>
        <w:tc>
          <w:tcPr>
            <w:tcW w:w="2980" w:type="dxa"/>
            <w:vAlign w:val="center"/>
          </w:tcPr>
          <w:p w14:paraId="305A46BB">
            <w:pPr>
              <w:jc w:val="left"/>
            </w:pPr>
            <w:r>
              <w:rPr>
                <w:rFonts w:ascii="宋体" w:hAnsi="宋体" w:eastAsia="宋体" w:cs="宋体"/>
                <w:b w:val="0"/>
                <w:i w:val="0"/>
                <w:color w:val="000000"/>
                <w:sz w:val="17"/>
              </w:rPr>
              <w:t>二十四、债务还本支出</w:t>
            </w:r>
          </w:p>
        </w:tc>
        <w:tc>
          <w:tcPr>
            <w:tcW w:w="420" w:type="dxa"/>
            <w:vAlign w:val="center"/>
          </w:tcPr>
          <w:p w14:paraId="177ACF40">
            <w:pPr>
              <w:jc w:val="center"/>
            </w:pPr>
            <w:r>
              <w:rPr>
                <w:rFonts w:ascii="宋体" w:hAnsi="宋体" w:eastAsia="宋体" w:cs="宋体"/>
                <w:b w:val="0"/>
                <w:i w:val="0"/>
                <w:color w:val="000000"/>
                <w:sz w:val="17"/>
              </w:rPr>
              <w:t>56</w:t>
            </w:r>
          </w:p>
        </w:tc>
        <w:tc>
          <w:tcPr>
            <w:tcW w:w="1460" w:type="dxa"/>
            <w:vAlign w:val="center"/>
          </w:tcPr>
          <w:p w14:paraId="3DA4772C"/>
        </w:tc>
        <w:tc>
          <w:tcPr>
            <w:tcW w:w="1460" w:type="dxa"/>
            <w:vAlign w:val="center"/>
          </w:tcPr>
          <w:p w14:paraId="43036EA1"/>
        </w:tc>
        <w:tc>
          <w:tcPr>
            <w:tcW w:w="1460" w:type="dxa"/>
            <w:vAlign w:val="center"/>
          </w:tcPr>
          <w:p w14:paraId="0170DAEE"/>
        </w:tc>
        <w:tc>
          <w:tcPr>
            <w:tcW w:w="1438" w:type="dxa"/>
            <w:vAlign w:val="center"/>
          </w:tcPr>
          <w:p w14:paraId="001024E4"/>
        </w:tc>
      </w:tr>
      <w:tr w14:paraId="67ADD2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D3B3D1C"/>
        </w:tc>
        <w:tc>
          <w:tcPr>
            <w:tcW w:w="420" w:type="dxa"/>
            <w:vAlign w:val="center"/>
          </w:tcPr>
          <w:p w14:paraId="671CFAB5">
            <w:pPr>
              <w:jc w:val="center"/>
            </w:pPr>
            <w:r>
              <w:rPr>
                <w:rFonts w:ascii="宋体" w:hAnsi="宋体" w:eastAsia="宋体" w:cs="宋体"/>
                <w:b w:val="0"/>
                <w:i w:val="0"/>
                <w:color w:val="000000"/>
                <w:sz w:val="17"/>
              </w:rPr>
              <w:t>25</w:t>
            </w:r>
          </w:p>
        </w:tc>
        <w:tc>
          <w:tcPr>
            <w:tcW w:w="1480" w:type="dxa"/>
            <w:vAlign w:val="center"/>
          </w:tcPr>
          <w:p w14:paraId="721318DD"/>
        </w:tc>
        <w:tc>
          <w:tcPr>
            <w:tcW w:w="2980" w:type="dxa"/>
            <w:vAlign w:val="center"/>
          </w:tcPr>
          <w:p w14:paraId="151F002C">
            <w:pPr>
              <w:jc w:val="left"/>
            </w:pPr>
            <w:r>
              <w:rPr>
                <w:rFonts w:ascii="宋体" w:hAnsi="宋体" w:eastAsia="宋体" w:cs="宋体"/>
                <w:b w:val="0"/>
                <w:i w:val="0"/>
                <w:color w:val="000000"/>
                <w:sz w:val="17"/>
              </w:rPr>
              <w:t>二十五、债务付息支出</w:t>
            </w:r>
          </w:p>
        </w:tc>
        <w:tc>
          <w:tcPr>
            <w:tcW w:w="420" w:type="dxa"/>
            <w:vAlign w:val="center"/>
          </w:tcPr>
          <w:p w14:paraId="25002434">
            <w:pPr>
              <w:jc w:val="center"/>
            </w:pPr>
            <w:r>
              <w:rPr>
                <w:rFonts w:ascii="宋体" w:hAnsi="宋体" w:eastAsia="宋体" w:cs="宋体"/>
                <w:b w:val="0"/>
                <w:i w:val="0"/>
                <w:color w:val="000000"/>
                <w:sz w:val="17"/>
              </w:rPr>
              <w:t>57</w:t>
            </w:r>
          </w:p>
        </w:tc>
        <w:tc>
          <w:tcPr>
            <w:tcW w:w="1460" w:type="dxa"/>
            <w:vAlign w:val="center"/>
          </w:tcPr>
          <w:p w14:paraId="17B9639E"/>
        </w:tc>
        <w:tc>
          <w:tcPr>
            <w:tcW w:w="1460" w:type="dxa"/>
            <w:vAlign w:val="center"/>
          </w:tcPr>
          <w:p w14:paraId="6AC23CB5"/>
        </w:tc>
        <w:tc>
          <w:tcPr>
            <w:tcW w:w="1460" w:type="dxa"/>
            <w:vAlign w:val="center"/>
          </w:tcPr>
          <w:p w14:paraId="5EA22563"/>
        </w:tc>
        <w:tc>
          <w:tcPr>
            <w:tcW w:w="1438" w:type="dxa"/>
            <w:vAlign w:val="center"/>
          </w:tcPr>
          <w:p w14:paraId="0B12F3CB"/>
        </w:tc>
      </w:tr>
      <w:tr w14:paraId="216CFF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CE95C10"/>
        </w:tc>
        <w:tc>
          <w:tcPr>
            <w:tcW w:w="420" w:type="dxa"/>
            <w:vAlign w:val="center"/>
          </w:tcPr>
          <w:p w14:paraId="7D32A45F">
            <w:pPr>
              <w:jc w:val="center"/>
            </w:pPr>
            <w:r>
              <w:rPr>
                <w:rFonts w:ascii="宋体" w:hAnsi="宋体" w:eastAsia="宋体" w:cs="宋体"/>
                <w:b w:val="0"/>
                <w:i w:val="0"/>
                <w:color w:val="000000"/>
                <w:sz w:val="17"/>
              </w:rPr>
              <w:t>26</w:t>
            </w:r>
          </w:p>
        </w:tc>
        <w:tc>
          <w:tcPr>
            <w:tcW w:w="1480" w:type="dxa"/>
            <w:vAlign w:val="center"/>
          </w:tcPr>
          <w:p w14:paraId="55CCE53D"/>
        </w:tc>
        <w:tc>
          <w:tcPr>
            <w:tcW w:w="2980" w:type="dxa"/>
            <w:vAlign w:val="center"/>
          </w:tcPr>
          <w:p w14:paraId="61A4ABB5">
            <w:pPr>
              <w:jc w:val="left"/>
            </w:pPr>
            <w:r>
              <w:rPr>
                <w:rFonts w:ascii="宋体" w:hAnsi="宋体" w:eastAsia="宋体" w:cs="宋体"/>
                <w:b w:val="0"/>
                <w:i w:val="0"/>
                <w:color w:val="000000"/>
                <w:sz w:val="17"/>
              </w:rPr>
              <w:t>二十六、抗疫特别国债安排的支出</w:t>
            </w:r>
          </w:p>
        </w:tc>
        <w:tc>
          <w:tcPr>
            <w:tcW w:w="420" w:type="dxa"/>
            <w:vAlign w:val="center"/>
          </w:tcPr>
          <w:p w14:paraId="5C09570C">
            <w:pPr>
              <w:jc w:val="center"/>
            </w:pPr>
            <w:r>
              <w:rPr>
                <w:rFonts w:ascii="宋体" w:hAnsi="宋体" w:eastAsia="宋体" w:cs="宋体"/>
                <w:b w:val="0"/>
                <w:i w:val="0"/>
                <w:color w:val="000000"/>
                <w:sz w:val="17"/>
              </w:rPr>
              <w:t>58</w:t>
            </w:r>
          </w:p>
        </w:tc>
        <w:tc>
          <w:tcPr>
            <w:tcW w:w="1460" w:type="dxa"/>
            <w:vAlign w:val="center"/>
          </w:tcPr>
          <w:p w14:paraId="7217F23D"/>
        </w:tc>
        <w:tc>
          <w:tcPr>
            <w:tcW w:w="1460" w:type="dxa"/>
            <w:vAlign w:val="center"/>
          </w:tcPr>
          <w:p w14:paraId="75803CEA"/>
        </w:tc>
        <w:tc>
          <w:tcPr>
            <w:tcW w:w="1460" w:type="dxa"/>
            <w:vAlign w:val="center"/>
          </w:tcPr>
          <w:p w14:paraId="73D780A2"/>
        </w:tc>
        <w:tc>
          <w:tcPr>
            <w:tcW w:w="1438" w:type="dxa"/>
            <w:vAlign w:val="center"/>
          </w:tcPr>
          <w:p w14:paraId="6CB5D351"/>
        </w:tc>
      </w:tr>
      <w:tr w14:paraId="6345FA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D043FE6">
            <w:pPr>
              <w:jc w:val="center"/>
            </w:pPr>
            <w:r>
              <w:rPr>
                <w:rFonts w:ascii="宋体" w:hAnsi="宋体" w:eastAsia="宋体" w:cs="宋体"/>
                <w:b/>
                <w:i w:val="0"/>
                <w:color w:val="000000"/>
                <w:sz w:val="17"/>
              </w:rPr>
              <w:t>本年收入合计</w:t>
            </w:r>
          </w:p>
        </w:tc>
        <w:tc>
          <w:tcPr>
            <w:tcW w:w="420" w:type="dxa"/>
            <w:vAlign w:val="center"/>
          </w:tcPr>
          <w:p w14:paraId="4BF3CC35">
            <w:pPr>
              <w:jc w:val="center"/>
            </w:pPr>
            <w:r>
              <w:rPr>
                <w:rFonts w:ascii="宋体" w:hAnsi="宋体" w:eastAsia="宋体" w:cs="宋体"/>
                <w:b w:val="0"/>
                <w:i w:val="0"/>
                <w:color w:val="000000"/>
                <w:sz w:val="17"/>
              </w:rPr>
              <w:t>27</w:t>
            </w:r>
          </w:p>
        </w:tc>
        <w:tc>
          <w:tcPr>
            <w:tcW w:w="1480" w:type="dxa"/>
            <w:vAlign w:val="center"/>
          </w:tcPr>
          <w:p w14:paraId="206B5C98">
            <w:pPr>
              <w:jc w:val="right"/>
            </w:pPr>
            <w:r>
              <w:rPr>
                <w:rFonts w:ascii="宋体" w:hAnsi="宋体" w:eastAsia="宋体" w:cs="宋体"/>
                <w:b w:val="0"/>
                <w:i w:val="0"/>
                <w:color w:val="000000"/>
                <w:sz w:val="17"/>
              </w:rPr>
              <w:t>47,443.45</w:t>
            </w:r>
          </w:p>
        </w:tc>
        <w:tc>
          <w:tcPr>
            <w:tcW w:w="2980" w:type="dxa"/>
            <w:vAlign w:val="center"/>
          </w:tcPr>
          <w:p w14:paraId="0EE0B494">
            <w:pPr>
              <w:jc w:val="center"/>
            </w:pPr>
            <w:r>
              <w:rPr>
                <w:rFonts w:ascii="宋体" w:hAnsi="宋体" w:eastAsia="宋体" w:cs="宋体"/>
                <w:b/>
                <w:i w:val="0"/>
                <w:color w:val="000000"/>
                <w:sz w:val="17"/>
              </w:rPr>
              <w:t>本年支出合计</w:t>
            </w:r>
          </w:p>
        </w:tc>
        <w:tc>
          <w:tcPr>
            <w:tcW w:w="420" w:type="dxa"/>
            <w:vAlign w:val="center"/>
          </w:tcPr>
          <w:p w14:paraId="470A1900">
            <w:pPr>
              <w:jc w:val="center"/>
            </w:pPr>
            <w:r>
              <w:rPr>
                <w:rFonts w:ascii="宋体" w:hAnsi="宋体" w:eastAsia="宋体" w:cs="宋体"/>
                <w:b w:val="0"/>
                <w:i w:val="0"/>
                <w:color w:val="000000"/>
                <w:sz w:val="17"/>
              </w:rPr>
              <w:t>59</w:t>
            </w:r>
          </w:p>
        </w:tc>
        <w:tc>
          <w:tcPr>
            <w:tcW w:w="1460" w:type="dxa"/>
            <w:vAlign w:val="center"/>
          </w:tcPr>
          <w:p w14:paraId="198BEA94">
            <w:pPr>
              <w:jc w:val="right"/>
            </w:pPr>
            <w:r>
              <w:rPr>
                <w:rFonts w:ascii="宋体" w:hAnsi="宋体" w:eastAsia="宋体" w:cs="宋体"/>
                <w:b w:val="0"/>
                <w:i w:val="0"/>
                <w:color w:val="000000"/>
                <w:sz w:val="17"/>
              </w:rPr>
              <w:t>47,443.45</w:t>
            </w:r>
          </w:p>
        </w:tc>
        <w:tc>
          <w:tcPr>
            <w:tcW w:w="1460" w:type="dxa"/>
            <w:vAlign w:val="center"/>
          </w:tcPr>
          <w:p w14:paraId="63158EBF">
            <w:pPr>
              <w:jc w:val="right"/>
            </w:pPr>
            <w:r>
              <w:rPr>
                <w:rFonts w:ascii="宋体" w:hAnsi="宋体" w:eastAsia="宋体" w:cs="宋体"/>
                <w:b w:val="0"/>
                <w:i w:val="0"/>
                <w:color w:val="000000"/>
                <w:sz w:val="17"/>
              </w:rPr>
              <w:t>14,453.45</w:t>
            </w:r>
          </w:p>
        </w:tc>
        <w:tc>
          <w:tcPr>
            <w:tcW w:w="1460" w:type="dxa"/>
            <w:vAlign w:val="center"/>
          </w:tcPr>
          <w:p w14:paraId="392D2DF1">
            <w:pPr>
              <w:jc w:val="right"/>
            </w:pPr>
            <w:r>
              <w:rPr>
                <w:rFonts w:ascii="宋体" w:hAnsi="宋体" w:eastAsia="宋体" w:cs="宋体"/>
                <w:b w:val="0"/>
                <w:i w:val="0"/>
                <w:color w:val="000000"/>
                <w:sz w:val="17"/>
              </w:rPr>
              <w:t>32,990.00</w:t>
            </w:r>
          </w:p>
        </w:tc>
        <w:tc>
          <w:tcPr>
            <w:tcW w:w="1438" w:type="dxa"/>
            <w:vAlign w:val="center"/>
          </w:tcPr>
          <w:p w14:paraId="2469A129"/>
        </w:tc>
      </w:tr>
      <w:tr w14:paraId="68C9E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ABC8F50">
            <w:pPr>
              <w:jc w:val="left"/>
            </w:pPr>
            <w:r>
              <w:rPr>
                <w:rFonts w:ascii="宋体" w:hAnsi="宋体" w:eastAsia="宋体" w:cs="宋体"/>
                <w:b w:val="0"/>
                <w:i w:val="0"/>
                <w:color w:val="000000"/>
                <w:sz w:val="17"/>
              </w:rPr>
              <w:t>年初财政拨款结转和结余</w:t>
            </w:r>
          </w:p>
        </w:tc>
        <w:tc>
          <w:tcPr>
            <w:tcW w:w="420" w:type="dxa"/>
            <w:vAlign w:val="center"/>
          </w:tcPr>
          <w:p w14:paraId="778ED857">
            <w:pPr>
              <w:jc w:val="center"/>
            </w:pPr>
            <w:r>
              <w:rPr>
                <w:rFonts w:ascii="宋体" w:hAnsi="宋体" w:eastAsia="宋体" w:cs="宋体"/>
                <w:b w:val="0"/>
                <w:i w:val="0"/>
                <w:color w:val="000000"/>
                <w:sz w:val="17"/>
              </w:rPr>
              <w:t>28</w:t>
            </w:r>
          </w:p>
        </w:tc>
        <w:tc>
          <w:tcPr>
            <w:tcW w:w="1480" w:type="dxa"/>
            <w:vAlign w:val="center"/>
          </w:tcPr>
          <w:p w14:paraId="4C78F893"/>
        </w:tc>
        <w:tc>
          <w:tcPr>
            <w:tcW w:w="2980" w:type="dxa"/>
            <w:vAlign w:val="center"/>
          </w:tcPr>
          <w:p w14:paraId="6541E376">
            <w:pPr>
              <w:jc w:val="left"/>
            </w:pPr>
            <w:r>
              <w:rPr>
                <w:rFonts w:ascii="宋体" w:hAnsi="宋体" w:eastAsia="宋体" w:cs="宋体"/>
                <w:b w:val="0"/>
                <w:i w:val="0"/>
                <w:color w:val="000000"/>
                <w:sz w:val="17"/>
              </w:rPr>
              <w:t>年末财政拨款结转和结余</w:t>
            </w:r>
          </w:p>
        </w:tc>
        <w:tc>
          <w:tcPr>
            <w:tcW w:w="420" w:type="dxa"/>
            <w:vAlign w:val="center"/>
          </w:tcPr>
          <w:p w14:paraId="261C7D64">
            <w:pPr>
              <w:jc w:val="center"/>
            </w:pPr>
            <w:r>
              <w:rPr>
                <w:rFonts w:ascii="宋体" w:hAnsi="宋体" w:eastAsia="宋体" w:cs="宋体"/>
                <w:b w:val="0"/>
                <w:i w:val="0"/>
                <w:color w:val="000000"/>
                <w:sz w:val="17"/>
              </w:rPr>
              <w:t>60</w:t>
            </w:r>
          </w:p>
        </w:tc>
        <w:tc>
          <w:tcPr>
            <w:tcW w:w="1460" w:type="dxa"/>
            <w:vAlign w:val="center"/>
          </w:tcPr>
          <w:p w14:paraId="16332DC1"/>
        </w:tc>
        <w:tc>
          <w:tcPr>
            <w:tcW w:w="1460" w:type="dxa"/>
            <w:vAlign w:val="center"/>
          </w:tcPr>
          <w:p w14:paraId="5591AEB1"/>
        </w:tc>
        <w:tc>
          <w:tcPr>
            <w:tcW w:w="1460" w:type="dxa"/>
            <w:vAlign w:val="center"/>
          </w:tcPr>
          <w:p w14:paraId="62A25891"/>
        </w:tc>
        <w:tc>
          <w:tcPr>
            <w:tcW w:w="1438" w:type="dxa"/>
            <w:vAlign w:val="center"/>
          </w:tcPr>
          <w:p w14:paraId="2A0DE2CE"/>
        </w:tc>
      </w:tr>
      <w:tr w14:paraId="629A40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C81F9BD">
            <w:pPr>
              <w:jc w:val="left"/>
            </w:pPr>
            <w:r>
              <w:rPr>
                <w:rFonts w:ascii="宋体" w:hAnsi="宋体" w:eastAsia="宋体" w:cs="宋体"/>
                <w:b w:val="0"/>
                <w:i w:val="0"/>
                <w:color w:val="000000"/>
                <w:sz w:val="17"/>
              </w:rPr>
              <w:t>一、一般公共预算财政拨款</w:t>
            </w:r>
          </w:p>
        </w:tc>
        <w:tc>
          <w:tcPr>
            <w:tcW w:w="420" w:type="dxa"/>
            <w:vAlign w:val="center"/>
          </w:tcPr>
          <w:p w14:paraId="1F6C1597">
            <w:pPr>
              <w:jc w:val="center"/>
            </w:pPr>
            <w:r>
              <w:rPr>
                <w:rFonts w:ascii="宋体" w:hAnsi="宋体" w:eastAsia="宋体" w:cs="宋体"/>
                <w:b w:val="0"/>
                <w:i w:val="0"/>
                <w:color w:val="000000"/>
                <w:sz w:val="17"/>
              </w:rPr>
              <w:t>29</w:t>
            </w:r>
          </w:p>
        </w:tc>
        <w:tc>
          <w:tcPr>
            <w:tcW w:w="1480" w:type="dxa"/>
            <w:vAlign w:val="center"/>
          </w:tcPr>
          <w:p w14:paraId="55863691"/>
        </w:tc>
        <w:tc>
          <w:tcPr>
            <w:tcW w:w="2980" w:type="dxa"/>
            <w:vAlign w:val="center"/>
          </w:tcPr>
          <w:p w14:paraId="37D6A7E0"/>
        </w:tc>
        <w:tc>
          <w:tcPr>
            <w:tcW w:w="420" w:type="dxa"/>
            <w:vAlign w:val="center"/>
          </w:tcPr>
          <w:p w14:paraId="38EC1E10">
            <w:pPr>
              <w:jc w:val="center"/>
            </w:pPr>
            <w:r>
              <w:rPr>
                <w:rFonts w:ascii="宋体" w:hAnsi="宋体" w:eastAsia="宋体" w:cs="宋体"/>
                <w:b w:val="0"/>
                <w:i w:val="0"/>
                <w:color w:val="000000"/>
                <w:sz w:val="17"/>
              </w:rPr>
              <w:t>61</w:t>
            </w:r>
          </w:p>
        </w:tc>
        <w:tc>
          <w:tcPr>
            <w:tcW w:w="1460" w:type="dxa"/>
            <w:vAlign w:val="center"/>
          </w:tcPr>
          <w:p w14:paraId="1ED0F717"/>
        </w:tc>
        <w:tc>
          <w:tcPr>
            <w:tcW w:w="1460" w:type="dxa"/>
            <w:vAlign w:val="center"/>
          </w:tcPr>
          <w:p w14:paraId="289816EE"/>
        </w:tc>
        <w:tc>
          <w:tcPr>
            <w:tcW w:w="1460" w:type="dxa"/>
            <w:vAlign w:val="center"/>
          </w:tcPr>
          <w:p w14:paraId="1B074F2F"/>
        </w:tc>
        <w:tc>
          <w:tcPr>
            <w:tcW w:w="1438" w:type="dxa"/>
            <w:vAlign w:val="center"/>
          </w:tcPr>
          <w:p w14:paraId="03422115"/>
        </w:tc>
      </w:tr>
      <w:tr w14:paraId="4C75A7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31A0038D">
            <w:pPr>
              <w:jc w:val="left"/>
            </w:pPr>
            <w:r>
              <w:rPr>
                <w:rFonts w:ascii="宋体" w:hAnsi="宋体" w:eastAsia="宋体" w:cs="宋体"/>
                <w:b w:val="0"/>
                <w:i w:val="0"/>
                <w:color w:val="000000"/>
                <w:sz w:val="17"/>
              </w:rPr>
              <w:t>二、政府性基金预算财政拨款</w:t>
            </w:r>
          </w:p>
        </w:tc>
        <w:tc>
          <w:tcPr>
            <w:tcW w:w="420" w:type="dxa"/>
            <w:vAlign w:val="center"/>
          </w:tcPr>
          <w:p w14:paraId="3972B9DD">
            <w:pPr>
              <w:jc w:val="center"/>
            </w:pPr>
            <w:r>
              <w:rPr>
                <w:rFonts w:ascii="宋体" w:hAnsi="宋体" w:eastAsia="宋体" w:cs="宋体"/>
                <w:b w:val="0"/>
                <w:i w:val="0"/>
                <w:color w:val="000000"/>
                <w:sz w:val="17"/>
              </w:rPr>
              <w:t>30</w:t>
            </w:r>
          </w:p>
        </w:tc>
        <w:tc>
          <w:tcPr>
            <w:tcW w:w="1480" w:type="dxa"/>
            <w:vAlign w:val="center"/>
          </w:tcPr>
          <w:p w14:paraId="66EEFCAA"/>
        </w:tc>
        <w:tc>
          <w:tcPr>
            <w:tcW w:w="2980" w:type="dxa"/>
            <w:vAlign w:val="center"/>
          </w:tcPr>
          <w:p w14:paraId="26A237AA"/>
        </w:tc>
        <w:tc>
          <w:tcPr>
            <w:tcW w:w="420" w:type="dxa"/>
            <w:vAlign w:val="center"/>
          </w:tcPr>
          <w:p w14:paraId="750E59D8">
            <w:pPr>
              <w:jc w:val="center"/>
            </w:pPr>
            <w:r>
              <w:rPr>
                <w:rFonts w:ascii="宋体" w:hAnsi="宋体" w:eastAsia="宋体" w:cs="宋体"/>
                <w:b w:val="0"/>
                <w:i w:val="0"/>
                <w:color w:val="000000"/>
                <w:sz w:val="17"/>
              </w:rPr>
              <w:t>62</w:t>
            </w:r>
          </w:p>
        </w:tc>
        <w:tc>
          <w:tcPr>
            <w:tcW w:w="1460" w:type="dxa"/>
            <w:vAlign w:val="center"/>
          </w:tcPr>
          <w:p w14:paraId="7FAD9FD5"/>
        </w:tc>
        <w:tc>
          <w:tcPr>
            <w:tcW w:w="1460" w:type="dxa"/>
            <w:vAlign w:val="center"/>
          </w:tcPr>
          <w:p w14:paraId="33760F94"/>
        </w:tc>
        <w:tc>
          <w:tcPr>
            <w:tcW w:w="1460" w:type="dxa"/>
            <w:vAlign w:val="center"/>
          </w:tcPr>
          <w:p w14:paraId="0E6FF29B"/>
        </w:tc>
        <w:tc>
          <w:tcPr>
            <w:tcW w:w="1438" w:type="dxa"/>
            <w:vAlign w:val="center"/>
          </w:tcPr>
          <w:p w14:paraId="60C90B4A"/>
        </w:tc>
      </w:tr>
      <w:tr w14:paraId="6CD504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4B45487B">
            <w:pPr>
              <w:jc w:val="left"/>
            </w:pPr>
            <w:r>
              <w:rPr>
                <w:rFonts w:ascii="宋体" w:hAnsi="宋体" w:eastAsia="宋体" w:cs="宋体"/>
                <w:b w:val="0"/>
                <w:i w:val="0"/>
                <w:color w:val="000000"/>
                <w:sz w:val="17"/>
              </w:rPr>
              <w:t>三、国有资本经营预算财政拨款</w:t>
            </w:r>
          </w:p>
        </w:tc>
        <w:tc>
          <w:tcPr>
            <w:tcW w:w="420" w:type="dxa"/>
            <w:vAlign w:val="center"/>
          </w:tcPr>
          <w:p w14:paraId="6550E0B0">
            <w:pPr>
              <w:jc w:val="center"/>
            </w:pPr>
            <w:r>
              <w:rPr>
                <w:rFonts w:ascii="宋体" w:hAnsi="宋体" w:eastAsia="宋体" w:cs="宋体"/>
                <w:b w:val="0"/>
                <w:i w:val="0"/>
                <w:color w:val="000000"/>
                <w:sz w:val="17"/>
              </w:rPr>
              <w:t>31</w:t>
            </w:r>
          </w:p>
        </w:tc>
        <w:tc>
          <w:tcPr>
            <w:tcW w:w="1480" w:type="dxa"/>
            <w:vAlign w:val="center"/>
          </w:tcPr>
          <w:p w14:paraId="3076CFEC"/>
        </w:tc>
        <w:tc>
          <w:tcPr>
            <w:tcW w:w="2980" w:type="dxa"/>
            <w:vAlign w:val="center"/>
          </w:tcPr>
          <w:p w14:paraId="7B567702"/>
        </w:tc>
        <w:tc>
          <w:tcPr>
            <w:tcW w:w="420" w:type="dxa"/>
            <w:vAlign w:val="center"/>
          </w:tcPr>
          <w:p w14:paraId="0963D7D5">
            <w:pPr>
              <w:jc w:val="center"/>
            </w:pPr>
            <w:r>
              <w:rPr>
                <w:rFonts w:ascii="宋体" w:hAnsi="宋体" w:eastAsia="宋体" w:cs="宋体"/>
                <w:b w:val="0"/>
                <w:i w:val="0"/>
                <w:color w:val="000000"/>
                <w:sz w:val="17"/>
              </w:rPr>
              <w:t>63</w:t>
            </w:r>
          </w:p>
        </w:tc>
        <w:tc>
          <w:tcPr>
            <w:tcW w:w="1460" w:type="dxa"/>
            <w:vAlign w:val="center"/>
          </w:tcPr>
          <w:p w14:paraId="01B457D0"/>
        </w:tc>
        <w:tc>
          <w:tcPr>
            <w:tcW w:w="1460" w:type="dxa"/>
            <w:vAlign w:val="center"/>
          </w:tcPr>
          <w:p w14:paraId="3AAAAD71"/>
        </w:tc>
        <w:tc>
          <w:tcPr>
            <w:tcW w:w="1460" w:type="dxa"/>
            <w:vAlign w:val="center"/>
          </w:tcPr>
          <w:p w14:paraId="031667F0"/>
        </w:tc>
        <w:tc>
          <w:tcPr>
            <w:tcW w:w="1438" w:type="dxa"/>
            <w:vAlign w:val="center"/>
          </w:tcPr>
          <w:p w14:paraId="0C4A5340"/>
        </w:tc>
      </w:tr>
      <w:tr w14:paraId="0FAEBB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1FA656D0">
            <w:pPr>
              <w:jc w:val="center"/>
            </w:pPr>
            <w:r>
              <w:rPr>
                <w:rFonts w:ascii="宋体" w:hAnsi="宋体" w:eastAsia="宋体" w:cs="宋体"/>
                <w:b/>
                <w:i w:val="0"/>
                <w:color w:val="000000"/>
                <w:sz w:val="17"/>
              </w:rPr>
              <w:t>总计</w:t>
            </w:r>
          </w:p>
        </w:tc>
        <w:tc>
          <w:tcPr>
            <w:tcW w:w="420" w:type="dxa"/>
            <w:vAlign w:val="center"/>
          </w:tcPr>
          <w:p w14:paraId="2663EE61">
            <w:pPr>
              <w:jc w:val="center"/>
            </w:pPr>
            <w:r>
              <w:rPr>
                <w:rFonts w:ascii="宋体" w:hAnsi="宋体" w:eastAsia="宋体" w:cs="宋体"/>
                <w:b w:val="0"/>
                <w:i w:val="0"/>
                <w:color w:val="000000"/>
                <w:sz w:val="17"/>
              </w:rPr>
              <w:t>32</w:t>
            </w:r>
          </w:p>
        </w:tc>
        <w:tc>
          <w:tcPr>
            <w:tcW w:w="1480" w:type="dxa"/>
            <w:vAlign w:val="center"/>
          </w:tcPr>
          <w:p w14:paraId="54E551B5">
            <w:pPr>
              <w:jc w:val="right"/>
            </w:pPr>
            <w:r>
              <w:rPr>
                <w:rFonts w:ascii="宋体" w:hAnsi="宋体" w:eastAsia="宋体" w:cs="宋体"/>
                <w:b w:val="0"/>
                <w:i w:val="0"/>
                <w:color w:val="000000"/>
                <w:sz w:val="17"/>
              </w:rPr>
              <w:t>47,443.45</w:t>
            </w:r>
          </w:p>
        </w:tc>
        <w:tc>
          <w:tcPr>
            <w:tcW w:w="2980" w:type="dxa"/>
            <w:vAlign w:val="center"/>
          </w:tcPr>
          <w:p w14:paraId="67366715">
            <w:pPr>
              <w:jc w:val="center"/>
            </w:pPr>
            <w:r>
              <w:rPr>
                <w:rFonts w:ascii="宋体" w:hAnsi="宋体" w:eastAsia="宋体" w:cs="宋体"/>
                <w:b/>
                <w:i w:val="0"/>
                <w:color w:val="000000"/>
                <w:sz w:val="17"/>
              </w:rPr>
              <w:t>总计</w:t>
            </w:r>
          </w:p>
        </w:tc>
        <w:tc>
          <w:tcPr>
            <w:tcW w:w="420" w:type="dxa"/>
            <w:vAlign w:val="center"/>
          </w:tcPr>
          <w:p w14:paraId="735A82D3">
            <w:pPr>
              <w:jc w:val="center"/>
            </w:pPr>
            <w:r>
              <w:rPr>
                <w:rFonts w:ascii="宋体" w:hAnsi="宋体" w:eastAsia="宋体" w:cs="宋体"/>
                <w:b w:val="0"/>
                <w:i w:val="0"/>
                <w:color w:val="000000"/>
                <w:sz w:val="17"/>
              </w:rPr>
              <w:t>64</w:t>
            </w:r>
          </w:p>
        </w:tc>
        <w:tc>
          <w:tcPr>
            <w:tcW w:w="1460" w:type="dxa"/>
            <w:vAlign w:val="center"/>
          </w:tcPr>
          <w:p w14:paraId="2065CE28">
            <w:pPr>
              <w:jc w:val="right"/>
            </w:pPr>
            <w:r>
              <w:rPr>
                <w:rFonts w:ascii="宋体" w:hAnsi="宋体" w:eastAsia="宋体" w:cs="宋体"/>
                <w:b w:val="0"/>
                <w:i w:val="0"/>
                <w:color w:val="000000"/>
                <w:sz w:val="17"/>
              </w:rPr>
              <w:t>47,443.45</w:t>
            </w:r>
          </w:p>
        </w:tc>
        <w:tc>
          <w:tcPr>
            <w:tcW w:w="1460" w:type="dxa"/>
            <w:vAlign w:val="center"/>
          </w:tcPr>
          <w:p w14:paraId="65372CF3">
            <w:pPr>
              <w:jc w:val="right"/>
            </w:pPr>
            <w:r>
              <w:rPr>
                <w:rFonts w:ascii="宋体" w:hAnsi="宋体" w:eastAsia="宋体" w:cs="宋体"/>
                <w:b w:val="0"/>
                <w:i w:val="0"/>
                <w:color w:val="000000"/>
                <w:sz w:val="17"/>
              </w:rPr>
              <w:t>14,453.45</w:t>
            </w:r>
          </w:p>
        </w:tc>
        <w:tc>
          <w:tcPr>
            <w:tcW w:w="1460" w:type="dxa"/>
            <w:vAlign w:val="center"/>
          </w:tcPr>
          <w:p w14:paraId="64787D6A">
            <w:pPr>
              <w:jc w:val="right"/>
            </w:pPr>
            <w:r>
              <w:rPr>
                <w:rFonts w:ascii="宋体" w:hAnsi="宋体" w:eastAsia="宋体" w:cs="宋体"/>
                <w:b w:val="0"/>
                <w:i w:val="0"/>
                <w:color w:val="000000"/>
                <w:sz w:val="17"/>
              </w:rPr>
              <w:t>32,990.00</w:t>
            </w:r>
          </w:p>
        </w:tc>
        <w:tc>
          <w:tcPr>
            <w:tcW w:w="1438" w:type="dxa"/>
            <w:vAlign w:val="center"/>
          </w:tcPr>
          <w:p w14:paraId="2F624071"/>
        </w:tc>
      </w:tr>
      <w:tr w14:paraId="1DA911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5" w:hRule="exact"/>
          <w:jc w:val="center"/>
        </w:trPr>
        <w:tc>
          <w:tcPr>
            <w:tcW w:w="2840"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505627C9">
            <w:pPr>
              <w:jc w:val="left"/>
            </w:pPr>
            <w:r>
              <w:rPr>
                <w:rFonts w:ascii="宋体" w:hAnsi="宋体" w:eastAsia="宋体" w:cs="宋体"/>
                <w:b w:val="0"/>
                <w:i w:val="0"/>
                <w:color w:val="000000"/>
                <w:sz w:val="17"/>
              </w:rPr>
              <w:t>注：本表反映部门(单位)本年度一般公共预算财政拨款、政府性基金预算财政拨款和国有资本经营预算财政拨款的总收支和年末结转结余情况。</w:t>
            </w:r>
          </w:p>
        </w:tc>
      </w:tr>
    </w:tbl>
    <w:p w14:paraId="69A38C36">
      <w:pPr>
        <w:snapToGrid w:val="0"/>
        <w:spacing w:before="200" w:after="200" w:line="200" w:lineRule="auto"/>
      </w:pPr>
      <w:r>
        <w:rPr>
          <w:sz w:val="8"/>
        </w:rPr>
        <w:t xml:space="preserve"> </w:t>
      </w:r>
    </w:p>
    <w:p w14:paraId="6DB646F1">
      <w:pPr>
        <w:pageBreakBefore/>
        <w:jc w:val="center"/>
        <w:outlineLvl w:val="1"/>
        <w:rPr>
          <w:rFonts w:hint="eastAsia" w:ascii="黑体" w:hAnsi="宋体" w:eastAsia="黑体" w:cs="黑体"/>
          <w:sz w:val="32"/>
          <w:szCs w:val="32"/>
          <w:lang w:bidi="en-AU"/>
        </w:rPr>
        <w:sectPr>
          <w:pgSz w:w="16838" w:h="11906" w:orient="landscape"/>
          <w:pgMar w:top="1800" w:right="1440" w:bottom="1800" w:left="1440" w:header="851" w:footer="992" w:gutter="0"/>
          <w:cols w:space="720" w:num="1"/>
          <w:docGrid w:type="lines" w:linePitch="312" w:charSpace="0"/>
        </w:sectPr>
      </w:pPr>
    </w:p>
    <w:p w14:paraId="6E18BB23">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一般公共预算财政拨款支出决算表</w:t>
      </w:r>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4EF886F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69EA7326">
            <w:pPr>
              <w:jc w:val="right"/>
            </w:pPr>
            <w:r>
              <w:rPr>
                <w:rFonts w:ascii="宋体" w:hAnsi="宋体" w:eastAsia="宋体" w:cs="宋体"/>
                <w:sz w:val="20"/>
              </w:rPr>
              <w:t>公开05表</w:t>
            </w:r>
          </w:p>
        </w:tc>
      </w:tr>
      <w:tr w14:paraId="043F496F">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5F598AEC">
            <w:pPr>
              <w:jc w:val="left"/>
            </w:pPr>
            <w:r>
              <w:rPr>
                <w:rFonts w:ascii="宋体" w:hAnsi="宋体" w:eastAsia="宋体" w:cs="宋体"/>
                <w:sz w:val="20"/>
              </w:rPr>
              <w:t>部门：南昌市青云谱区住房和城乡建设局</w:t>
            </w:r>
          </w:p>
        </w:tc>
        <w:tc>
          <w:tcPr>
            <w:tcW w:w="2000" w:type="dxa"/>
          </w:tcPr>
          <w:p w14:paraId="5060A8B7">
            <w:pPr>
              <w:jc w:val="center"/>
            </w:pPr>
            <w:r>
              <w:rPr>
                <w:rFonts w:ascii="宋体" w:hAnsi="宋体" w:eastAsia="宋体" w:cs="宋体"/>
                <w:sz w:val="20"/>
              </w:rPr>
              <w:t>2023年度</w:t>
            </w:r>
          </w:p>
        </w:tc>
        <w:tc>
          <w:tcPr>
            <w:tcW w:w="3153" w:type="dxa"/>
          </w:tcPr>
          <w:p w14:paraId="124555FB">
            <w:pPr>
              <w:jc w:val="right"/>
            </w:pPr>
            <w:r>
              <w:rPr>
                <w:rFonts w:ascii="宋体" w:hAnsi="宋体" w:eastAsia="宋体" w:cs="宋体"/>
                <w:sz w:val="20"/>
              </w:rPr>
              <w:t>金额单位：万元</w:t>
            </w:r>
          </w:p>
        </w:tc>
      </w:tr>
    </w:tbl>
    <w:p w14:paraId="773E8CB9">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60"/>
        <w:gridCol w:w="400"/>
        <w:gridCol w:w="380"/>
        <w:gridCol w:w="2700"/>
        <w:gridCol w:w="1420"/>
        <w:gridCol w:w="1520"/>
        <w:gridCol w:w="1526"/>
      </w:tblGrid>
      <w:tr w14:paraId="747B09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gridSpan w:val="4"/>
            <w:vAlign w:val="center"/>
          </w:tcPr>
          <w:p w14:paraId="659E3547">
            <w:pPr>
              <w:jc w:val="center"/>
            </w:pPr>
            <w:r>
              <w:rPr>
                <w:rFonts w:ascii="宋体" w:hAnsi="宋体" w:eastAsia="宋体" w:cs="宋体"/>
                <w:b w:val="0"/>
                <w:i w:val="0"/>
                <w:color w:val="000000"/>
                <w:sz w:val="16"/>
              </w:rPr>
              <w:t>项    目</w:t>
            </w:r>
          </w:p>
        </w:tc>
        <w:tc>
          <w:tcPr>
            <w:tcW w:w="1420" w:type="dxa"/>
            <w:vMerge w:val="restart"/>
            <w:vAlign w:val="center"/>
          </w:tcPr>
          <w:p w14:paraId="6311DBA4">
            <w:pPr>
              <w:jc w:val="center"/>
            </w:pPr>
            <w:r>
              <w:rPr>
                <w:rFonts w:ascii="宋体" w:hAnsi="宋体" w:eastAsia="宋体" w:cs="宋体"/>
                <w:b w:val="0"/>
                <w:i w:val="0"/>
                <w:color w:val="000000"/>
                <w:sz w:val="16"/>
              </w:rPr>
              <w:t>本年支出合计</w:t>
            </w:r>
          </w:p>
        </w:tc>
        <w:tc>
          <w:tcPr>
            <w:tcW w:w="1520" w:type="dxa"/>
            <w:vMerge w:val="restart"/>
            <w:vAlign w:val="center"/>
          </w:tcPr>
          <w:p w14:paraId="447C62CF">
            <w:pPr>
              <w:jc w:val="center"/>
            </w:pPr>
            <w:r>
              <w:rPr>
                <w:rFonts w:ascii="宋体" w:hAnsi="宋体" w:eastAsia="宋体" w:cs="宋体"/>
                <w:b w:val="0"/>
                <w:i w:val="0"/>
                <w:color w:val="000000"/>
                <w:sz w:val="16"/>
              </w:rPr>
              <w:t>基本支出</w:t>
            </w:r>
          </w:p>
        </w:tc>
        <w:tc>
          <w:tcPr>
            <w:tcW w:w="1526" w:type="dxa"/>
            <w:vMerge w:val="restart"/>
            <w:vAlign w:val="center"/>
          </w:tcPr>
          <w:p w14:paraId="196E2A22">
            <w:pPr>
              <w:jc w:val="center"/>
            </w:pPr>
            <w:r>
              <w:rPr>
                <w:rFonts w:ascii="宋体" w:hAnsi="宋体" w:eastAsia="宋体" w:cs="宋体"/>
                <w:b w:val="0"/>
                <w:i w:val="0"/>
                <w:color w:val="000000"/>
                <w:sz w:val="16"/>
              </w:rPr>
              <w:t>项目支出</w:t>
            </w:r>
          </w:p>
        </w:tc>
      </w:tr>
      <w:tr w14:paraId="1EE057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Merge w:val="restart"/>
            <w:vAlign w:val="center"/>
          </w:tcPr>
          <w:p w14:paraId="51E8140E">
            <w:pPr>
              <w:jc w:val="center"/>
            </w:pPr>
            <w:r>
              <w:rPr>
                <w:rFonts w:ascii="宋体" w:hAnsi="宋体" w:eastAsia="宋体" w:cs="宋体"/>
                <w:b w:val="0"/>
                <w:i w:val="0"/>
                <w:color w:val="000000"/>
                <w:sz w:val="16"/>
              </w:rPr>
              <w:t>支出功能分类科目编码</w:t>
            </w:r>
          </w:p>
        </w:tc>
        <w:tc>
          <w:tcPr>
            <w:tcW w:w="2700" w:type="dxa"/>
            <w:vMerge w:val="restart"/>
            <w:vAlign w:val="center"/>
          </w:tcPr>
          <w:p w14:paraId="28163C9D">
            <w:pPr>
              <w:jc w:val="center"/>
            </w:pPr>
            <w:r>
              <w:rPr>
                <w:rFonts w:ascii="宋体" w:hAnsi="宋体" w:eastAsia="宋体" w:cs="宋体"/>
                <w:b w:val="0"/>
                <w:i w:val="0"/>
                <w:color w:val="000000"/>
                <w:sz w:val="16"/>
              </w:rPr>
              <w:t>科目名称</w:t>
            </w:r>
          </w:p>
        </w:tc>
        <w:tc>
          <w:tcPr>
            <w:tcW w:w="1420" w:type="dxa"/>
            <w:vMerge w:val="continue"/>
            <w:vAlign w:val="center"/>
          </w:tcPr>
          <w:p w14:paraId="59FF92D9"/>
        </w:tc>
        <w:tc>
          <w:tcPr>
            <w:tcW w:w="1520" w:type="dxa"/>
            <w:vMerge w:val="continue"/>
            <w:vAlign w:val="center"/>
          </w:tcPr>
          <w:p w14:paraId="4AC305AC"/>
        </w:tc>
        <w:tc>
          <w:tcPr>
            <w:tcW w:w="1526" w:type="dxa"/>
            <w:vMerge w:val="continue"/>
            <w:vAlign w:val="center"/>
          </w:tcPr>
          <w:p w14:paraId="6A669935"/>
        </w:tc>
      </w:tr>
      <w:tr w14:paraId="79FD91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360" w:type="dxa"/>
            <w:gridSpan w:val="3"/>
            <w:vMerge w:val="continue"/>
            <w:vAlign w:val="center"/>
          </w:tcPr>
          <w:p w14:paraId="23224E00"/>
        </w:tc>
        <w:tc>
          <w:tcPr>
            <w:tcW w:w="2700" w:type="dxa"/>
            <w:vMerge w:val="continue"/>
            <w:vAlign w:val="center"/>
          </w:tcPr>
          <w:p w14:paraId="564C1581"/>
        </w:tc>
        <w:tc>
          <w:tcPr>
            <w:tcW w:w="1420" w:type="dxa"/>
            <w:vMerge w:val="continue"/>
            <w:vAlign w:val="center"/>
          </w:tcPr>
          <w:p w14:paraId="082D53F7"/>
        </w:tc>
        <w:tc>
          <w:tcPr>
            <w:tcW w:w="1520" w:type="dxa"/>
            <w:vMerge w:val="continue"/>
            <w:vAlign w:val="center"/>
          </w:tcPr>
          <w:p w14:paraId="2341EA5F"/>
        </w:tc>
        <w:tc>
          <w:tcPr>
            <w:tcW w:w="1526" w:type="dxa"/>
            <w:vMerge w:val="continue"/>
            <w:vAlign w:val="center"/>
          </w:tcPr>
          <w:p w14:paraId="36379495"/>
        </w:tc>
      </w:tr>
      <w:tr w14:paraId="2E5413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Merge w:val="continue"/>
            <w:vAlign w:val="center"/>
          </w:tcPr>
          <w:p w14:paraId="6C1E024C"/>
        </w:tc>
        <w:tc>
          <w:tcPr>
            <w:tcW w:w="2700" w:type="dxa"/>
            <w:vMerge w:val="continue"/>
            <w:vAlign w:val="center"/>
          </w:tcPr>
          <w:p w14:paraId="3F5A164A"/>
        </w:tc>
        <w:tc>
          <w:tcPr>
            <w:tcW w:w="1420" w:type="dxa"/>
            <w:vMerge w:val="continue"/>
            <w:vAlign w:val="center"/>
          </w:tcPr>
          <w:p w14:paraId="64EB0F77"/>
        </w:tc>
        <w:tc>
          <w:tcPr>
            <w:tcW w:w="1520" w:type="dxa"/>
            <w:vMerge w:val="continue"/>
            <w:vAlign w:val="center"/>
          </w:tcPr>
          <w:p w14:paraId="7BCD9942"/>
        </w:tc>
        <w:tc>
          <w:tcPr>
            <w:tcW w:w="1526" w:type="dxa"/>
            <w:vMerge w:val="continue"/>
            <w:vAlign w:val="center"/>
          </w:tcPr>
          <w:p w14:paraId="40F23A8B"/>
        </w:tc>
      </w:tr>
      <w:tr w14:paraId="4898D2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vMerge w:val="restart"/>
            <w:vAlign w:val="center"/>
          </w:tcPr>
          <w:p w14:paraId="5261A33A">
            <w:pPr>
              <w:jc w:val="center"/>
            </w:pPr>
            <w:r>
              <w:rPr>
                <w:rFonts w:ascii="宋体" w:hAnsi="宋体" w:eastAsia="宋体" w:cs="宋体"/>
                <w:b w:val="0"/>
                <w:i w:val="0"/>
                <w:color w:val="000000"/>
                <w:sz w:val="16"/>
              </w:rPr>
              <w:t>类</w:t>
            </w:r>
          </w:p>
        </w:tc>
        <w:tc>
          <w:tcPr>
            <w:tcW w:w="400" w:type="dxa"/>
            <w:vMerge w:val="restart"/>
            <w:vAlign w:val="center"/>
          </w:tcPr>
          <w:p w14:paraId="1DD3240C">
            <w:pPr>
              <w:jc w:val="center"/>
            </w:pPr>
            <w:r>
              <w:rPr>
                <w:rFonts w:ascii="宋体" w:hAnsi="宋体" w:eastAsia="宋体" w:cs="宋体"/>
                <w:b w:val="0"/>
                <w:i w:val="0"/>
                <w:color w:val="000000"/>
                <w:sz w:val="16"/>
              </w:rPr>
              <w:t>款</w:t>
            </w:r>
          </w:p>
        </w:tc>
        <w:tc>
          <w:tcPr>
            <w:tcW w:w="380" w:type="dxa"/>
            <w:vMerge w:val="restart"/>
            <w:vAlign w:val="center"/>
          </w:tcPr>
          <w:p w14:paraId="6E72F239">
            <w:pPr>
              <w:jc w:val="center"/>
            </w:pPr>
            <w:r>
              <w:rPr>
                <w:rFonts w:ascii="宋体" w:hAnsi="宋体" w:eastAsia="宋体" w:cs="宋体"/>
                <w:b w:val="0"/>
                <w:i w:val="0"/>
                <w:color w:val="000000"/>
                <w:sz w:val="16"/>
              </w:rPr>
              <w:t>项</w:t>
            </w:r>
          </w:p>
        </w:tc>
        <w:tc>
          <w:tcPr>
            <w:tcW w:w="2700" w:type="dxa"/>
            <w:vAlign w:val="center"/>
          </w:tcPr>
          <w:p w14:paraId="543F0E78">
            <w:pPr>
              <w:jc w:val="center"/>
            </w:pPr>
            <w:r>
              <w:rPr>
                <w:rFonts w:ascii="宋体" w:hAnsi="宋体" w:eastAsia="宋体" w:cs="宋体"/>
                <w:b w:val="0"/>
                <w:i w:val="0"/>
                <w:color w:val="000000"/>
                <w:sz w:val="16"/>
              </w:rPr>
              <w:t>栏次</w:t>
            </w:r>
          </w:p>
        </w:tc>
        <w:tc>
          <w:tcPr>
            <w:tcW w:w="1420" w:type="dxa"/>
            <w:vAlign w:val="center"/>
          </w:tcPr>
          <w:p w14:paraId="354AFCA4">
            <w:pPr>
              <w:jc w:val="center"/>
            </w:pPr>
            <w:r>
              <w:rPr>
                <w:rFonts w:ascii="宋体" w:hAnsi="宋体" w:eastAsia="宋体" w:cs="宋体"/>
                <w:b w:val="0"/>
                <w:i w:val="0"/>
                <w:color w:val="000000"/>
                <w:sz w:val="16"/>
              </w:rPr>
              <w:t>1</w:t>
            </w:r>
          </w:p>
        </w:tc>
        <w:tc>
          <w:tcPr>
            <w:tcW w:w="1520" w:type="dxa"/>
            <w:vAlign w:val="center"/>
          </w:tcPr>
          <w:p w14:paraId="516DE438">
            <w:pPr>
              <w:jc w:val="center"/>
            </w:pPr>
            <w:r>
              <w:rPr>
                <w:rFonts w:ascii="宋体" w:hAnsi="宋体" w:eastAsia="宋体" w:cs="宋体"/>
                <w:b w:val="0"/>
                <w:i w:val="0"/>
                <w:color w:val="000000"/>
                <w:sz w:val="16"/>
              </w:rPr>
              <w:t>2</w:t>
            </w:r>
          </w:p>
        </w:tc>
        <w:tc>
          <w:tcPr>
            <w:tcW w:w="1526" w:type="dxa"/>
            <w:vAlign w:val="center"/>
          </w:tcPr>
          <w:p w14:paraId="6B9B6700">
            <w:pPr>
              <w:jc w:val="center"/>
            </w:pPr>
            <w:r>
              <w:rPr>
                <w:rFonts w:ascii="宋体" w:hAnsi="宋体" w:eastAsia="宋体" w:cs="宋体"/>
                <w:b w:val="0"/>
                <w:i w:val="0"/>
                <w:color w:val="000000"/>
                <w:sz w:val="16"/>
              </w:rPr>
              <w:t>3</w:t>
            </w:r>
          </w:p>
        </w:tc>
      </w:tr>
      <w:tr w14:paraId="08A53C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vMerge w:val="continue"/>
            <w:vAlign w:val="center"/>
          </w:tcPr>
          <w:p w14:paraId="1D293444"/>
        </w:tc>
        <w:tc>
          <w:tcPr>
            <w:tcW w:w="400" w:type="dxa"/>
            <w:vMerge w:val="continue"/>
            <w:vAlign w:val="center"/>
          </w:tcPr>
          <w:p w14:paraId="41449D84"/>
        </w:tc>
        <w:tc>
          <w:tcPr>
            <w:tcW w:w="380" w:type="dxa"/>
            <w:vMerge w:val="continue"/>
            <w:vAlign w:val="center"/>
          </w:tcPr>
          <w:p w14:paraId="6359C5A5"/>
        </w:tc>
        <w:tc>
          <w:tcPr>
            <w:tcW w:w="2700" w:type="dxa"/>
            <w:vAlign w:val="center"/>
          </w:tcPr>
          <w:p w14:paraId="0663460E">
            <w:pPr>
              <w:jc w:val="center"/>
            </w:pPr>
            <w:r>
              <w:rPr>
                <w:rFonts w:ascii="宋体" w:hAnsi="宋体" w:eastAsia="宋体" w:cs="宋体"/>
                <w:b w:val="0"/>
                <w:i w:val="0"/>
                <w:color w:val="000000"/>
                <w:sz w:val="16"/>
              </w:rPr>
              <w:t>合计</w:t>
            </w:r>
          </w:p>
        </w:tc>
        <w:tc>
          <w:tcPr>
            <w:tcW w:w="1420" w:type="dxa"/>
            <w:vAlign w:val="center"/>
          </w:tcPr>
          <w:p w14:paraId="1534EC2A">
            <w:pPr>
              <w:jc w:val="right"/>
            </w:pPr>
            <w:r>
              <w:rPr>
                <w:rFonts w:ascii="宋体" w:hAnsi="宋体" w:eastAsia="宋体" w:cs="宋体"/>
                <w:b w:val="0"/>
                <w:i w:val="0"/>
                <w:color w:val="000000"/>
                <w:sz w:val="16"/>
              </w:rPr>
              <w:t>14,453.45</w:t>
            </w:r>
          </w:p>
        </w:tc>
        <w:tc>
          <w:tcPr>
            <w:tcW w:w="1520" w:type="dxa"/>
            <w:vAlign w:val="center"/>
          </w:tcPr>
          <w:p w14:paraId="7CA500D6">
            <w:pPr>
              <w:jc w:val="right"/>
            </w:pPr>
            <w:r>
              <w:rPr>
                <w:rFonts w:ascii="宋体" w:hAnsi="宋体" w:eastAsia="宋体" w:cs="宋体"/>
                <w:b w:val="0"/>
                <w:i w:val="0"/>
                <w:color w:val="000000"/>
                <w:sz w:val="16"/>
              </w:rPr>
              <w:t>4,156.58</w:t>
            </w:r>
          </w:p>
        </w:tc>
        <w:tc>
          <w:tcPr>
            <w:tcW w:w="1526" w:type="dxa"/>
            <w:vAlign w:val="center"/>
          </w:tcPr>
          <w:p w14:paraId="09BD05BD">
            <w:pPr>
              <w:jc w:val="right"/>
            </w:pPr>
            <w:r>
              <w:rPr>
                <w:rFonts w:ascii="宋体" w:hAnsi="宋体" w:eastAsia="宋体" w:cs="宋体"/>
                <w:b w:val="0"/>
                <w:i w:val="0"/>
                <w:color w:val="000000"/>
                <w:sz w:val="16"/>
              </w:rPr>
              <w:t>10,296.86</w:t>
            </w:r>
          </w:p>
        </w:tc>
      </w:tr>
      <w:tr w14:paraId="638E20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8886333">
            <w:pPr>
              <w:jc w:val="left"/>
            </w:pPr>
            <w:r>
              <w:rPr>
                <w:rFonts w:ascii="宋体" w:hAnsi="宋体" w:eastAsia="宋体" w:cs="宋体"/>
                <w:b w:val="0"/>
                <w:i w:val="0"/>
                <w:color w:val="000000"/>
                <w:sz w:val="16"/>
              </w:rPr>
              <w:t>201</w:t>
            </w:r>
          </w:p>
        </w:tc>
        <w:tc>
          <w:tcPr>
            <w:tcW w:w="2700" w:type="dxa"/>
            <w:vAlign w:val="center"/>
          </w:tcPr>
          <w:p w14:paraId="543F01FE">
            <w:pPr>
              <w:jc w:val="left"/>
            </w:pPr>
            <w:r>
              <w:rPr>
                <w:rFonts w:ascii="宋体" w:hAnsi="宋体" w:eastAsia="宋体" w:cs="宋体"/>
                <w:b w:val="0"/>
                <w:i w:val="0"/>
                <w:color w:val="000000"/>
                <w:sz w:val="16"/>
              </w:rPr>
              <w:t>一般公共服务支出</w:t>
            </w:r>
          </w:p>
        </w:tc>
        <w:tc>
          <w:tcPr>
            <w:tcW w:w="1420" w:type="dxa"/>
            <w:vAlign w:val="center"/>
          </w:tcPr>
          <w:p w14:paraId="43A47F0C">
            <w:pPr>
              <w:jc w:val="right"/>
            </w:pPr>
            <w:r>
              <w:rPr>
                <w:rFonts w:ascii="宋体" w:hAnsi="宋体" w:eastAsia="宋体" w:cs="宋体"/>
                <w:b w:val="0"/>
                <w:i w:val="0"/>
                <w:color w:val="000000"/>
                <w:sz w:val="16"/>
              </w:rPr>
              <w:t>10.00</w:t>
            </w:r>
          </w:p>
        </w:tc>
        <w:tc>
          <w:tcPr>
            <w:tcW w:w="1520" w:type="dxa"/>
            <w:vAlign w:val="center"/>
          </w:tcPr>
          <w:p w14:paraId="7631D7C3"/>
        </w:tc>
        <w:tc>
          <w:tcPr>
            <w:tcW w:w="1526" w:type="dxa"/>
            <w:vAlign w:val="center"/>
          </w:tcPr>
          <w:p w14:paraId="34FC38AC">
            <w:pPr>
              <w:jc w:val="right"/>
            </w:pPr>
            <w:r>
              <w:rPr>
                <w:rFonts w:ascii="宋体" w:hAnsi="宋体" w:eastAsia="宋体" w:cs="宋体"/>
                <w:b w:val="0"/>
                <w:i w:val="0"/>
                <w:color w:val="000000"/>
                <w:sz w:val="16"/>
              </w:rPr>
              <w:t>10.00</w:t>
            </w:r>
          </w:p>
        </w:tc>
      </w:tr>
      <w:tr w14:paraId="6CBA12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08EB580">
            <w:pPr>
              <w:jc w:val="left"/>
            </w:pPr>
            <w:r>
              <w:rPr>
                <w:rFonts w:ascii="宋体" w:hAnsi="宋体" w:eastAsia="宋体" w:cs="宋体"/>
                <w:b w:val="0"/>
                <w:i w:val="0"/>
                <w:color w:val="000000"/>
                <w:sz w:val="16"/>
              </w:rPr>
              <w:t>20103</w:t>
            </w:r>
          </w:p>
        </w:tc>
        <w:tc>
          <w:tcPr>
            <w:tcW w:w="2700" w:type="dxa"/>
            <w:vAlign w:val="center"/>
          </w:tcPr>
          <w:p w14:paraId="2B7B0BB0">
            <w:pPr>
              <w:jc w:val="left"/>
            </w:pPr>
            <w:r>
              <w:rPr>
                <w:rFonts w:ascii="宋体" w:hAnsi="宋体" w:eastAsia="宋体" w:cs="宋体"/>
                <w:b w:val="0"/>
                <w:i w:val="0"/>
                <w:color w:val="000000"/>
                <w:sz w:val="16"/>
              </w:rPr>
              <w:t>政府办公厅（室）及相关机构事务</w:t>
            </w:r>
          </w:p>
        </w:tc>
        <w:tc>
          <w:tcPr>
            <w:tcW w:w="1420" w:type="dxa"/>
            <w:vAlign w:val="center"/>
          </w:tcPr>
          <w:p w14:paraId="5DB0CADB">
            <w:pPr>
              <w:jc w:val="right"/>
            </w:pPr>
            <w:r>
              <w:rPr>
                <w:rFonts w:ascii="宋体" w:hAnsi="宋体" w:eastAsia="宋体" w:cs="宋体"/>
                <w:b w:val="0"/>
                <w:i w:val="0"/>
                <w:color w:val="000000"/>
                <w:sz w:val="16"/>
              </w:rPr>
              <w:t>10.00</w:t>
            </w:r>
          </w:p>
        </w:tc>
        <w:tc>
          <w:tcPr>
            <w:tcW w:w="1520" w:type="dxa"/>
            <w:vAlign w:val="center"/>
          </w:tcPr>
          <w:p w14:paraId="68CA3D3F"/>
        </w:tc>
        <w:tc>
          <w:tcPr>
            <w:tcW w:w="1526" w:type="dxa"/>
            <w:vAlign w:val="center"/>
          </w:tcPr>
          <w:p w14:paraId="3A703137">
            <w:pPr>
              <w:jc w:val="right"/>
            </w:pPr>
            <w:r>
              <w:rPr>
                <w:rFonts w:ascii="宋体" w:hAnsi="宋体" w:eastAsia="宋体" w:cs="宋体"/>
                <w:b w:val="0"/>
                <w:i w:val="0"/>
                <w:color w:val="000000"/>
                <w:sz w:val="16"/>
              </w:rPr>
              <w:t>10.00</w:t>
            </w:r>
          </w:p>
        </w:tc>
      </w:tr>
      <w:tr w14:paraId="49D16F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F0A60D8">
            <w:pPr>
              <w:jc w:val="left"/>
            </w:pPr>
            <w:r>
              <w:rPr>
                <w:rFonts w:ascii="宋体" w:hAnsi="宋体" w:eastAsia="宋体" w:cs="宋体"/>
                <w:b w:val="0"/>
                <w:i w:val="0"/>
                <w:color w:val="000000"/>
                <w:sz w:val="16"/>
              </w:rPr>
              <w:t>2010302</w:t>
            </w:r>
          </w:p>
        </w:tc>
        <w:tc>
          <w:tcPr>
            <w:tcW w:w="2700" w:type="dxa"/>
            <w:vAlign w:val="center"/>
          </w:tcPr>
          <w:p w14:paraId="359BB659">
            <w:pPr>
              <w:jc w:val="left"/>
            </w:pPr>
            <w:r>
              <w:rPr>
                <w:rFonts w:ascii="宋体" w:hAnsi="宋体" w:eastAsia="宋体" w:cs="宋体"/>
                <w:b w:val="0"/>
                <w:i w:val="0"/>
                <w:color w:val="000000"/>
                <w:sz w:val="16"/>
              </w:rPr>
              <w:t>一般行政管理事务</w:t>
            </w:r>
          </w:p>
        </w:tc>
        <w:tc>
          <w:tcPr>
            <w:tcW w:w="1420" w:type="dxa"/>
            <w:vAlign w:val="center"/>
          </w:tcPr>
          <w:p w14:paraId="1555857B">
            <w:pPr>
              <w:jc w:val="right"/>
            </w:pPr>
            <w:r>
              <w:rPr>
                <w:rFonts w:ascii="宋体" w:hAnsi="宋体" w:eastAsia="宋体" w:cs="宋体"/>
                <w:b w:val="0"/>
                <w:i w:val="0"/>
                <w:color w:val="000000"/>
                <w:sz w:val="16"/>
              </w:rPr>
              <w:t>10.00</w:t>
            </w:r>
          </w:p>
        </w:tc>
        <w:tc>
          <w:tcPr>
            <w:tcW w:w="1520" w:type="dxa"/>
            <w:vAlign w:val="center"/>
          </w:tcPr>
          <w:p w14:paraId="0263A5E8"/>
        </w:tc>
        <w:tc>
          <w:tcPr>
            <w:tcW w:w="1526" w:type="dxa"/>
            <w:vAlign w:val="center"/>
          </w:tcPr>
          <w:p w14:paraId="1F37DB92">
            <w:pPr>
              <w:jc w:val="right"/>
            </w:pPr>
            <w:r>
              <w:rPr>
                <w:rFonts w:ascii="宋体" w:hAnsi="宋体" w:eastAsia="宋体" w:cs="宋体"/>
                <w:b w:val="0"/>
                <w:i w:val="0"/>
                <w:color w:val="000000"/>
                <w:sz w:val="16"/>
              </w:rPr>
              <w:t>10.00</w:t>
            </w:r>
          </w:p>
        </w:tc>
      </w:tr>
      <w:tr w14:paraId="38E5AA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E87A760">
            <w:pPr>
              <w:jc w:val="left"/>
            </w:pPr>
            <w:r>
              <w:rPr>
                <w:rFonts w:ascii="宋体" w:hAnsi="宋体" w:eastAsia="宋体" w:cs="宋体"/>
                <w:b w:val="0"/>
                <w:i w:val="0"/>
                <w:color w:val="000000"/>
                <w:sz w:val="16"/>
              </w:rPr>
              <w:t>208</w:t>
            </w:r>
          </w:p>
        </w:tc>
        <w:tc>
          <w:tcPr>
            <w:tcW w:w="2700" w:type="dxa"/>
            <w:vAlign w:val="center"/>
          </w:tcPr>
          <w:p w14:paraId="3DC38567">
            <w:pPr>
              <w:jc w:val="left"/>
            </w:pPr>
            <w:r>
              <w:rPr>
                <w:rFonts w:ascii="宋体" w:hAnsi="宋体" w:eastAsia="宋体" w:cs="宋体"/>
                <w:b w:val="0"/>
                <w:i w:val="0"/>
                <w:color w:val="000000"/>
                <w:sz w:val="16"/>
              </w:rPr>
              <w:t>社会保障和就业支出</w:t>
            </w:r>
          </w:p>
        </w:tc>
        <w:tc>
          <w:tcPr>
            <w:tcW w:w="1420" w:type="dxa"/>
            <w:vAlign w:val="center"/>
          </w:tcPr>
          <w:p w14:paraId="20523F22">
            <w:pPr>
              <w:jc w:val="right"/>
            </w:pPr>
            <w:r>
              <w:rPr>
                <w:rFonts w:ascii="宋体" w:hAnsi="宋体" w:eastAsia="宋体" w:cs="宋体"/>
                <w:b w:val="0"/>
                <w:i w:val="0"/>
                <w:color w:val="000000"/>
                <w:sz w:val="16"/>
              </w:rPr>
              <w:t>34.59</w:t>
            </w:r>
          </w:p>
        </w:tc>
        <w:tc>
          <w:tcPr>
            <w:tcW w:w="1520" w:type="dxa"/>
            <w:vAlign w:val="center"/>
          </w:tcPr>
          <w:p w14:paraId="4268409E">
            <w:pPr>
              <w:jc w:val="right"/>
            </w:pPr>
            <w:r>
              <w:rPr>
                <w:rFonts w:ascii="宋体" w:hAnsi="宋体" w:eastAsia="宋体" w:cs="宋体"/>
                <w:b w:val="0"/>
                <w:i w:val="0"/>
                <w:color w:val="000000"/>
                <w:sz w:val="16"/>
              </w:rPr>
              <w:t>34.59</w:t>
            </w:r>
          </w:p>
        </w:tc>
        <w:tc>
          <w:tcPr>
            <w:tcW w:w="1526" w:type="dxa"/>
            <w:vAlign w:val="center"/>
          </w:tcPr>
          <w:p w14:paraId="00826D16"/>
        </w:tc>
      </w:tr>
      <w:tr w14:paraId="0AED88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8243572">
            <w:pPr>
              <w:jc w:val="left"/>
            </w:pPr>
            <w:r>
              <w:rPr>
                <w:rFonts w:ascii="宋体" w:hAnsi="宋体" w:eastAsia="宋体" w:cs="宋体"/>
                <w:b w:val="0"/>
                <w:i w:val="0"/>
                <w:color w:val="000000"/>
                <w:sz w:val="16"/>
              </w:rPr>
              <w:t>20805</w:t>
            </w:r>
          </w:p>
        </w:tc>
        <w:tc>
          <w:tcPr>
            <w:tcW w:w="2700" w:type="dxa"/>
            <w:vAlign w:val="center"/>
          </w:tcPr>
          <w:p w14:paraId="0AFD7910">
            <w:pPr>
              <w:jc w:val="left"/>
            </w:pPr>
            <w:r>
              <w:rPr>
                <w:rFonts w:ascii="宋体" w:hAnsi="宋体" w:eastAsia="宋体" w:cs="宋体"/>
                <w:b w:val="0"/>
                <w:i w:val="0"/>
                <w:color w:val="000000"/>
                <w:sz w:val="16"/>
              </w:rPr>
              <w:t>行政事业单位养老支出</w:t>
            </w:r>
          </w:p>
        </w:tc>
        <w:tc>
          <w:tcPr>
            <w:tcW w:w="1420" w:type="dxa"/>
            <w:vAlign w:val="center"/>
          </w:tcPr>
          <w:p w14:paraId="70F700C0">
            <w:pPr>
              <w:jc w:val="right"/>
            </w:pPr>
            <w:r>
              <w:rPr>
                <w:rFonts w:ascii="宋体" w:hAnsi="宋体" w:eastAsia="宋体" w:cs="宋体"/>
                <w:b w:val="0"/>
                <w:i w:val="0"/>
                <w:color w:val="000000"/>
                <w:sz w:val="16"/>
              </w:rPr>
              <w:t>34.59</w:t>
            </w:r>
          </w:p>
        </w:tc>
        <w:tc>
          <w:tcPr>
            <w:tcW w:w="1520" w:type="dxa"/>
            <w:vAlign w:val="center"/>
          </w:tcPr>
          <w:p w14:paraId="3B7F3BA3">
            <w:pPr>
              <w:jc w:val="right"/>
            </w:pPr>
            <w:r>
              <w:rPr>
                <w:rFonts w:ascii="宋体" w:hAnsi="宋体" w:eastAsia="宋体" w:cs="宋体"/>
                <w:b w:val="0"/>
                <w:i w:val="0"/>
                <w:color w:val="000000"/>
                <w:sz w:val="16"/>
              </w:rPr>
              <w:t>34.59</w:t>
            </w:r>
          </w:p>
        </w:tc>
        <w:tc>
          <w:tcPr>
            <w:tcW w:w="1526" w:type="dxa"/>
            <w:vAlign w:val="center"/>
          </w:tcPr>
          <w:p w14:paraId="67F3351A"/>
        </w:tc>
      </w:tr>
      <w:tr w14:paraId="0140F8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8149E59">
            <w:pPr>
              <w:jc w:val="left"/>
            </w:pPr>
            <w:r>
              <w:rPr>
                <w:rFonts w:ascii="宋体" w:hAnsi="宋体" w:eastAsia="宋体" w:cs="宋体"/>
                <w:b w:val="0"/>
                <w:i w:val="0"/>
                <w:color w:val="000000"/>
                <w:sz w:val="16"/>
              </w:rPr>
              <w:t>2080501</w:t>
            </w:r>
          </w:p>
        </w:tc>
        <w:tc>
          <w:tcPr>
            <w:tcW w:w="2700" w:type="dxa"/>
            <w:vAlign w:val="center"/>
          </w:tcPr>
          <w:p w14:paraId="24BB5DAB">
            <w:pPr>
              <w:jc w:val="left"/>
            </w:pPr>
            <w:r>
              <w:rPr>
                <w:rFonts w:ascii="宋体" w:hAnsi="宋体" w:eastAsia="宋体" w:cs="宋体"/>
                <w:b w:val="0"/>
                <w:i w:val="0"/>
                <w:color w:val="000000"/>
                <w:sz w:val="16"/>
              </w:rPr>
              <w:t>行政单位离退休</w:t>
            </w:r>
          </w:p>
        </w:tc>
        <w:tc>
          <w:tcPr>
            <w:tcW w:w="1420" w:type="dxa"/>
            <w:vAlign w:val="center"/>
          </w:tcPr>
          <w:p w14:paraId="2DA5E0A3">
            <w:pPr>
              <w:jc w:val="right"/>
            </w:pPr>
            <w:r>
              <w:rPr>
                <w:rFonts w:ascii="宋体" w:hAnsi="宋体" w:eastAsia="宋体" w:cs="宋体"/>
                <w:b w:val="0"/>
                <w:i w:val="0"/>
                <w:color w:val="000000"/>
                <w:sz w:val="16"/>
              </w:rPr>
              <w:t>8.09</w:t>
            </w:r>
          </w:p>
        </w:tc>
        <w:tc>
          <w:tcPr>
            <w:tcW w:w="1520" w:type="dxa"/>
            <w:vAlign w:val="center"/>
          </w:tcPr>
          <w:p w14:paraId="2E9F874B">
            <w:pPr>
              <w:jc w:val="right"/>
            </w:pPr>
            <w:r>
              <w:rPr>
                <w:rFonts w:ascii="宋体" w:hAnsi="宋体" w:eastAsia="宋体" w:cs="宋体"/>
                <w:b w:val="0"/>
                <w:i w:val="0"/>
                <w:color w:val="000000"/>
                <w:sz w:val="16"/>
              </w:rPr>
              <w:t>8.09</w:t>
            </w:r>
          </w:p>
        </w:tc>
        <w:tc>
          <w:tcPr>
            <w:tcW w:w="1526" w:type="dxa"/>
            <w:vAlign w:val="center"/>
          </w:tcPr>
          <w:p w14:paraId="2F911CC0"/>
        </w:tc>
      </w:tr>
      <w:tr w14:paraId="33A5D2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B3F1D29">
            <w:pPr>
              <w:jc w:val="left"/>
            </w:pPr>
            <w:r>
              <w:rPr>
                <w:rFonts w:ascii="宋体" w:hAnsi="宋体" w:eastAsia="宋体" w:cs="宋体"/>
                <w:b w:val="0"/>
                <w:i w:val="0"/>
                <w:color w:val="000000"/>
                <w:sz w:val="16"/>
              </w:rPr>
              <w:t>2080502</w:t>
            </w:r>
          </w:p>
        </w:tc>
        <w:tc>
          <w:tcPr>
            <w:tcW w:w="2700" w:type="dxa"/>
            <w:vAlign w:val="center"/>
          </w:tcPr>
          <w:p w14:paraId="30E75F1C">
            <w:pPr>
              <w:jc w:val="left"/>
            </w:pPr>
            <w:r>
              <w:rPr>
                <w:rFonts w:ascii="宋体" w:hAnsi="宋体" w:eastAsia="宋体" w:cs="宋体"/>
                <w:b w:val="0"/>
                <w:i w:val="0"/>
                <w:color w:val="000000"/>
                <w:sz w:val="16"/>
              </w:rPr>
              <w:t>事业单位离退休</w:t>
            </w:r>
          </w:p>
        </w:tc>
        <w:tc>
          <w:tcPr>
            <w:tcW w:w="1420" w:type="dxa"/>
            <w:vAlign w:val="center"/>
          </w:tcPr>
          <w:p w14:paraId="79169C51">
            <w:pPr>
              <w:jc w:val="right"/>
            </w:pPr>
            <w:r>
              <w:rPr>
                <w:rFonts w:ascii="宋体" w:hAnsi="宋体" w:eastAsia="宋体" w:cs="宋体"/>
                <w:b w:val="0"/>
                <w:i w:val="0"/>
                <w:color w:val="000000"/>
                <w:sz w:val="16"/>
              </w:rPr>
              <w:t>26.50</w:t>
            </w:r>
          </w:p>
        </w:tc>
        <w:tc>
          <w:tcPr>
            <w:tcW w:w="1520" w:type="dxa"/>
            <w:vAlign w:val="center"/>
          </w:tcPr>
          <w:p w14:paraId="1C6204FD">
            <w:pPr>
              <w:jc w:val="right"/>
            </w:pPr>
            <w:r>
              <w:rPr>
                <w:rFonts w:ascii="宋体" w:hAnsi="宋体" w:eastAsia="宋体" w:cs="宋体"/>
                <w:b w:val="0"/>
                <w:i w:val="0"/>
                <w:color w:val="000000"/>
                <w:sz w:val="16"/>
              </w:rPr>
              <w:t>26.50</w:t>
            </w:r>
          </w:p>
        </w:tc>
        <w:tc>
          <w:tcPr>
            <w:tcW w:w="1526" w:type="dxa"/>
            <w:vAlign w:val="center"/>
          </w:tcPr>
          <w:p w14:paraId="0B0F6F7D"/>
        </w:tc>
      </w:tr>
      <w:tr w14:paraId="561014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6DEDBA6">
            <w:pPr>
              <w:jc w:val="left"/>
            </w:pPr>
            <w:r>
              <w:rPr>
                <w:rFonts w:ascii="宋体" w:hAnsi="宋体" w:eastAsia="宋体" w:cs="宋体"/>
                <w:b w:val="0"/>
                <w:i w:val="0"/>
                <w:color w:val="000000"/>
                <w:sz w:val="16"/>
              </w:rPr>
              <w:t>210</w:t>
            </w:r>
          </w:p>
        </w:tc>
        <w:tc>
          <w:tcPr>
            <w:tcW w:w="2700" w:type="dxa"/>
            <w:vAlign w:val="center"/>
          </w:tcPr>
          <w:p w14:paraId="7111BC4F">
            <w:pPr>
              <w:jc w:val="left"/>
            </w:pPr>
            <w:r>
              <w:rPr>
                <w:rFonts w:ascii="宋体" w:hAnsi="宋体" w:eastAsia="宋体" w:cs="宋体"/>
                <w:b w:val="0"/>
                <w:i w:val="0"/>
                <w:color w:val="000000"/>
                <w:sz w:val="16"/>
              </w:rPr>
              <w:t>卫生健康支出</w:t>
            </w:r>
          </w:p>
        </w:tc>
        <w:tc>
          <w:tcPr>
            <w:tcW w:w="1420" w:type="dxa"/>
            <w:vAlign w:val="center"/>
          </w:tcPr>
          <w:p w14:paraId="28A3AE31">
            <w:pPr>
              <w:jc w:val="right"/>
            </w:pPr>
            <w:r>
              <w:rPr>
                <w:rFonts w:ascii="宋体" w:hAnsi="宋体" w:eastAsia="宋体" w:cs="宋体"/>
                <w:b w:val="0"/>
                <w:i w:val="0"/>
                <w:color w:val="000000"/>
                <w:sz w:val="16"/>
              </w:rPr>
              <w:t>930.58</w:t>
            </w:r>
          </w:p>
        </w:tc>
        <w:tc>
          <w:tcPr>
            <w:tcW w:w="1520" w:type="dxa"/>
            <w:vAlign w:val="center"/>
          </w:tcPr>
          <w:p w14:paraId="72833F92"/>
        </w:tc>
        <w:tc>
          <w:tcPr>
            <w:tcW w:w="1526" w:type="dxa"/>
            <w:vAlign w:val="center"/>
          </w:tcPr>
          <w:p w14:paraId="09581E3C">
            <w:pPr>
              <w:jc w:val="right"/>
            </w:pPr>
            <w:r>
              <w:rPr>
                <w:rFonts w:ascii="宋体" w:hAnsi="宋体" w:eastAsia="宋体" w:cs="宋体"/>
                <w:b w:val="0"/>
                <w:i w:val="0"/>
                <w:color w:val="000000"/>
                <w:sz w:val="16"/>
              </w:rPr>
              <w:t>930.58</w:t>
            </w:r>
          </w:p>
        </w:tc>
      </w:tr>
      <w:tr w14:paraId="676959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F16FF15">
            <w:pPr>
              <w:jc w:val="left"/>
            </w:pPr>
            <w:r>
              <w:rPr>
                <w:rFonts w:ascii="宋体" w:hAnsi="宋体" w:eastAsia="宋体" w:cs="宋体"/>
                <w:b w:val="0"/>
                <w:i w:val="0"/>
                <w:color w:val="000000"/>
                <w:sz w:val="16"/>
              </w:rPr>
              <w:t>21004</w:t>
            </w:r>
          </w:p>
        </w:tc>
        <w:tc>
          <w:tcPr>
            <w:tcW w:w="2700" w:type="dxa"/>
            <w:vAlign w:val="center"/>
          </w:tcPr>
          <w:p w14:paraId="6A79CD1E">
            <w:pPr>
              <w:jc w:val="left"/>
            </w:pPr>
            <w:r>
              <w:rPr>
                <w:rFonts w:ascii="宋体" w:hAnsi="宋体" w:eastAsia="宋体" w:cs="宋体"/>
                <w:b w:val="0"/>
                <w:i w:val="0"/>
                <w:color w:val="000000"/>
                <w:sz w:val="16"/>
              </w:rPr>
              <w:t>公共卫生</w:t>
            </w:r>
          </w:p>
        </w:tc>
        <w:tc>
          <w:tcPr>
            <w:tcW w:w="1420" w:type="dxa"/>
            <w:vAlign w:val="center"/>
          </w:tcPr>
          <w:p w14:paraId="60DD7126">
            <w:pPr>
              <w:jc w:val="right"/>
            </w:pPr>
            <w:r>
              <w:rPr>
                <w:rFonts w:ascii="宋体" w:hAnsi="宋体" w:eastAsia="宋体" w:cs="宋体"/>
                <w:b w:val="0"/>
                <w:i w:val="0"/>
                <w:color w:val="000000"/>
                <w:sz w:val="16"/>
              </w:rPr>
              <w:t>930.58</w:t>
            </w:r>
          </w:p>
        </w:tc>
        <w:tc>
          <w:tcPr>
            <w:tcW w:w="1520" w:type="dxa"/>
            <w:vAlign w:val="center"/>
          </w:tcPr>
          <w:p w14:paraId="44EA950F"/>
        </w:tc>
        <w:tc>
          <w:tcPr>
            <w:tcW w:w="1526" w:type="dxa"/>
            <w:vAlign w:val="center"/>
          </w:tcPr>
          <w:p w14:paraId="2E42AC66">
            <w:pPr>
              <w:jc w:val="right"/>
            </w:pPr>
            <w:r>
              <w:rPr>
                <w:rFonts w:ascii="宋体" w:hAnsi="宋体" w:eastAsia="宋体" w:cs="宋体"/>
                <w:b w:val="0"/>
                <w:i w:val="0"/>
                <w:color w:val="000000"/>
                <w:sz w:val="16"/>
              </w:rPr>
              <w:t>930.58</w:t>
            </w:r>
          </w:p>
        </w:tc>
      </w:tr>
      <w:tr w14:paraId="77F499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10F501B">
            <w:pPr>
              <w:jc w:val="left"/>
            </w:pPr>
            <w:r>
              <w:rPr>
                <w:rFonts w:ascii="宋体" w:hAnsi="宋体" w:eastAsia="宋体" w:cs="宋体"/>
                <w:b w:val="0"/>
                <w:i w:val="0"/>
                <w:color w:val="000000"/>
                <w:sz w:val="16"/>
              </w:rPr>
              <w:t>2100409</w:t>
            </w:r>
          </w:p>
        </w:tc>
        <w:tc>
          <w:tcPr>
            <w:tcW w:w="2700" w:type="dxa"/>
            <w:vAlign w:val="center"/>
          </w:tcPr>
          <w:p w14:paraId="4AEDFCCF">
            <w:pPr>
              <w:jc w:val="left"/>
            </w:pPr>
            <w:r>
              <w:rPr>
                <w:rFonts w:ascii="宋体" w:hAnsi="宋体" w:eastAsia="宋体" w:cs="宋体"/>
                <w:b w:val="0"/>
                <w:i w:val="0"/>
                <w:color w:val="000000"/>
                <w:sz w:val="16"/>
              </w:rPr>
              <w:t>重大公共卫生服务</w:t>
            </w:r>
          </w:p>
        </w:tc>
        <w:tc>
          <w:tcPr>
            <w:tcW w:w="1420" w:type="dxa"/>
            <w:vAlign w:val="center"/>
          </w:tcPr>
          <w:p w14:paraId="40F86102">
            <w:pPr>
              <w:jc w:val="right"/>
            </w:pPr>
            <w:r>
              <w:rPr>
                <w:rFonts w:ascii="宋体" w:hAnsi="宋体" w:eastAsia="宋体" w:cs="宋体"/>
                <w:b w:val="0"/>
                <w:i w:val="0"/>
                <w:color w:val="000000"/>
                <w:sz w:val="16"/>
              </w:rPr>
              <w:t>930.58</w:t>
            </w:r>
          </w:p>
        </w:tc>
        <w:tc>
          <w:tcPr>
            <w:tcW w:w="1520" w:type="dxa"/>
            <w:vAlign w:val="center"/>
          </w:tcPr>
          <w:p w14:paraId="66FF03E7"/>
        </w:tc>
        <w:tc>
          <w:tcPr>
            <w:tcW w:w="1526" w:type="dxa"/>
            <w:vAlign w:val="center"/>
          </w:tcPr>
          <w:p w14:paraId="7865F6DA">
            <w:pPr>
              <w:jc w:val="right"/>
            </w:pPr>
            <w:r>
              <w:rPr>
                <w:rFonts w:ascii="宋体" w:hAnsi="宋体" w:eastAsia="宋体" w:cs="宋体"/>
                <w:b w:val="0"/>
                <w:i w:val="0"/>
                <w:color w:val="000000"/>
                <w:sz w:val="16"/>
              </w:rPr>
              <w:t>930.58</w:t>
            </w:r>
          </w:p>
        </w:tc>
      </w:tr>
      <w:tr w14:paraId="5D3061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060B2F2">
            <w:pPr>
              <w:jc w:val="left"/>
            </w:pPr>
            <w:r>
              <w:rPr>
                <w:rFonts w:ascii="宋体" w:hAnsi="宋体" w:eastAsia="宋体" w:cs="宋体"/>
                <w:b w:val="0"/>
                <w:i w:val="0"/>
                <w:color w:val="000000"/>
                <w:sz w:val="16"/>
              </w:rPr>
              <w:t>211</w:t>
            </w:r>
          </w:p>
        </w:tc>
        <w:tc>
          <w:tcPr>
            <w:tcW w:w="2700" w:type="dxa"/>
            <w:vAlign w:val="center"/>
          </w:tcPr>
          <w:p w14:paraId="3A54DBBE">
            <w:pPr>
              <w:jc w:val="left"/>
            </w:pPr>
            <w:r>
              <w:rPr>
                <w:rFonts w:ascii="宋体" w:hAnsi="宋体" w:eastAsia="宋体" w:cs="宋体"/>
                <w:b w:val="0"/>
                <w:i w:val="0"/>
                <w:color w:val="000000"/>
                <w:sz w:val="16"/>
              </w:rPr>
              <w:t>节能环保支出</w:t>
            </w:r>
          </w:p>
        </w:tc>
        <w:tc>
          <w:tcPr>
            <w:tcW w:w="1420" w:type="dxa"/>
            <w:vAlign w:val="center"/>
          </w:tcPr>
          <w:p w14:paraId="36494D59">
            <w:pPr>
              <w:jc w:val="right"/>
            </w:pPr>
            <w:r>
              <w:rPr>
                <w:rFonts w:ascii="宋体" w:hAnsi="宋体" w:eastAsia="宋体" w:cs="宋体"/>
                <w:b w:val="0"/>
                <w:i w:val="0"/>
                <w:color w:val="000000"/>
                <w:sz w:val="16"/>
              </w:rPr>
              <w:t>3,241.51</w:t>
            </w:r>
          </w:p>
        </w:tc>
        <w:tc>
          <w:tcPr>
            <w:tcW w:w="1520" w:type="dxa"/>
            <w:vAlign w:val="center"/>
          </w:tcPr>
          <w:p w14:paraId="7EAA99BE"/>
        </w:tc>
        <w:tc>
          <w:tcPr>
            <w:tcW w:w="1526" w:type="dxa"/>
            <w:vAlign w:val="center"/>
          </w:tcPr>
          <w:p w14:paraId="448DE8C8">
            <w:pPr>
              <w:jc w:val="right"/>
            </w:pPr>
            <w:r>
              <w:rPr>
                <w:rFonts w:ascii="宋体" w:hAnsi="宋体" w:eastAsia="宋体" w:cs="宋体"/>
                <w:b w:val="0"/>
                <w:i w:val="0"/>
                <w:color w:val="000000"/>
                <w:sz w:val="16"/>
              </w:rPr>
              <w:t>3,241.51</w:t>
            </w:r>
          </w:p>
        </w:tc>
      </w:tr>
      <w:tr w14:paraId="15C56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9AF3BAE">
            <w:pPr>
              <w:jc w:val="left"/>
            </w:pPr>
            <w:r>
              <w:rPr>
                <w:rFonts w:ascii="宋体" w:hAnsi="宋体" w:eastAsia="宋体" w:cs="宋体"/>
                <w:b w:val="0"/>
                <w:i w:val="0"/>
                <w:color w:val="000000"/>
                <w:sz w:val="16"/>
              </w:rPr>
              <w:t>21103</w:t>
            </w:r>
          </w:p>
        </w:tc>
        <w:tc>
          <w:tcPr>
            <w:tcW w:w="2700" w:type="dxa"/>
            <w:vAlign w:val="center"/>
          </w:tcPr>
          <w:p w14:paraId="4DD09116">
            <w:pPr>
              <w:jc w:val="left"/>
            </w:pPr>
            <w:r>
              <w:rPr>
                <w:rFonts w:ascii="宋体" w:hAnsi="宋体" w:eastAsia="宋体" w:cs="宋体"/>
                <w:b w:val="0"/>
                <w:i w:val="0"/>
                <w:color w:val="000000"/>
                <w:sz w:val="16"/>
              </w:rPr>
              <w:t>污染防治</w:t>
            </w:r>
          </w:p>
        </w:tc>
        <w:tc>
          <w:tcPr>
            <w:tcW w:w="1420" w:type="dxa"/>
            <w:vAlign w:val="center"/>
          </w:tcPr>
          <w:p w14:paraId="23A12308">
            <w:pPr>
              <w:jc w:val="right"/>
            </w:pPr>
            <w:r>
              <w:rPr>
                <w:rFonts w:ascii="宋体" w:hAnsi="宋体" w:eastAsia="宋体" w:cs="宋体"/>
                <w:b w:val="0"/>
                <w:i w:val="0"/>
                <w:color w:val="000000"/>
                <w:sz w:val="16"/>
              </w:rPr>
              <w:t>3,062.00</w:t>
            </w:r>
          </w:p>
        </w:tc>
        <w:tc>
          <w:tcPr>
            <w:tcW w:w="1520" w:type="dxa"/>
            <w:vAlign w:val="center"/>
          </w:tcPr>
          <w:p w14:paraId="5914FF1A"/>
        </w:tc>
        <w:tc>
          <w:tcPr>
            <w:tcW w:w="1526" w:type="dxa"/>
            <w:vAlign w:val="center"/>
          </w:tcPr>
          <w:p w14:paraId="6CEAAC51">
            <w:pPr>
              <w:jc w:val="right"/>
            </w:pPr>
            <w:r>
              <w:rPr>
                <w:rFonts w:ascii="宋体" w:hAnsi="宋体" w:eastAsia="宋体" w:cs="宋体"/>
                <w:b w:val="0"/>
                <w:i w:val="0"/>
                <w:color w:val="000000"/>
                <w:sz w:val="16"/>
              </w:rPr>
              <w:t>3,062.00</w:t>
            </w:r>
          </w:p>
        </w:tc>
      </w:tr>
      <w:tr w14:paraId="70F8B2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52D6751">
            <w:pPr>
              <w:jc w:val="left"/>
            </w:pPr>
            <w:r>
              <w:rPr>
                <w:rFonts w:ascii="宋体" w:hAnsi="宋体" w:eastAsia="宋体" w:cs="宋体"/>
                <w:b w:val="0"/>
                <w:i w:val="0"/>
                <w:color w:val="000000"/>
                <w:sz w:val="16"/>
              </w:rPr>
              <w:t>2110302</w:t>
            </w:r>
          </w:p>
        </w:tc>
        <w:tc>
          <w:tcPr>
            <w:tcW w:w="2700" w:type="dxa"/>
            <w:vAlign w:val="center"/>
          </w:tcPr>
          <w:p w14:paraId="1E0DA970">
            <w:pPr>
              <w:jc w:val="left"/>
            </w:pPr>
            <w:r>
              <w:rPr>
                <w:rFonts w:ascii="宋体" w:hAnsi="宋体" w:eastAsia="宋体" w:cs="宋体"/>
                <w:b w:val="0"/>
                <w:i w:val="0"/>
                <w:color w:val="000000"/>
                <w:sz w:val="16"/>
              </w:rPr>
              <w:t>水体</w:t>
            </w:r>
          </w:p>
        </w:tc>
        <w:tc>
          <w:tcPr>
            <w:tcW w:w="1420" w:type="dxa"/>
            <w:vAlign w:val="center"/>
          </w:tcPr>
          <w:p w14:paraId="49622934">
            <w:pPr>
              <w:jc w:val="right"/>
            </w:pPr>
            <w:r>
              <w:rPr>
                <w:rFonts w:ascii="宋体" w:hAnsi="宋体" w:eastAsia="宋体" w:cs="宋体"/>
                <w:b w:val="0"/>
                <w:i w:val="0"/>
                <w:color w:val="000000"/>
                <w:sz w:val="16"/>
              </w:rPr>
              <w:t>3,062.00</w:t>
            </w:r>
          </w:p>
        </w:tc>
        <w:tc>
          <w:tcPr>
            <w:tcW w:w="1520" w:type="dxa"/>
            <w:vAlign w:val="center"/>
          </w:tcPr>
          <w:p w14:paraId="7F71279D"/>
        </w:tc>
        <w:tc>
          <w:tcPr>
            <w:tcW w:w="1526" w:type="dxa"/>
            <w:vAlign w:val="center"/>
          </w:tcPr>
          <w:p w14:paraId="63A1CE40">
            <w:pPr>
              <w:jc w:val="right"/>
            </w:pPr>
            <w:r>
              <w:rPr>
                <w:rFonts w:ascii="宋体" w:hAnsi="宋体" w:eastAsia="宋体" w:cs="宋体"/>
                <w:b w:val="0"/>
                <w:i w:val="0"/>
                <w:color w:val="000000"/>
                <w:sz w:val="16"/>
              </w:rPr>
              <w:t>3,062.00</w:t>
            </w:r>
          </w:p>
        </w:tc>
      </w:tr>
      <w:tr w14:paraId="1E4399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DBC5CCF">
            <w:pPr>
              <w:jc w:val="left"/>
            </w:pPr>
            <w:r>
              <w:rPr>
                <w:rFonts w:ascii="宋体" w:hAnsi="宋体" w:eastAsia="宋体" w:cs="宋体"/>
                <w:b w:val="0"/>
                <w:i w:val="0"/>
                <w:color w:val="000000"/>
                <w:sz w:val="16"/>
              </w:rPr>
              <w:t>21104</w:t>
            </w:r>
          </w:p>
        </w:tc>
        <w:tc>
          <w:tcPr>
            <w:tcW w:w="2700" w:type="dxa"/>
            <w:vAlign w:val="center"/>
          </w:tcPr>
          <w:p w14:paraId="3FFDA871">
            <w:pPr>
              <w:jc w:val="left"/>
            </w:pPr>
            <w:r>
              <w:rPr>
                <w:rFonts w:ascii="宋体" w:hAnsi="宋体" w:eastAsia="宋体" w:cs="宋体"/>
                <w:b w:val="0"/>
                <w:i w:val="0"/>
                <w:color w:val="000000"/>
                <w:sz w:val="16"/>
              </w:rPr>
              <w:t>自然生态保护</w:t>
            </w:r>
          </w:p>
        </w:tc>
        <w:tc>
          <w:tcPr>
            <w:tcW w:w="1420" w:type="dxa"/>
            <w:vAlign w:val="center"/>
          </w:tcPr>
          <w:p w14:paraId="2EFEC281">
            <w:pPr>
              <w:jc w:val="right"/>
            </w:pPr>
            <w:r>
              <w:rPr>
                <w:rFonts w:ascii="宋体" w:hAnsi="宋体" w:eastAsia="宋体" w:cs="宋体"/>
                <w:b w:val="0"/>
                <w:i w:val="0"/>
                <w:color w:val="000000"/>
                <w:sz w:val="16"/>
              </w:rPr>
              <w:t>179.51</w:t>
            </w:r>
          </w:p>
        </w:tc>
        <w:tc>
          <w:tcPr>
            <w:tcW w:w="1520" w:type="dxa"/>
            <w:vAlign w:val="center"/>
          </w:tcPr>
          <w:p w14:paraId="4D0FE6BC"/>
        </w:tc>
        <w:tc>
          <w:tcPr>
            <w:tcW w:w="1526" w:type="dxa"/>
            <w:vAlign w:val="center"/>
          </w:tcPr>
          <w:p w14:paraId="01668810">
            <w:pPr>
              <w:jc w:val="right"/>
            </w:pPr>
            <w:r>
              <w:rPr>
                <w:rFonts w:ascii="宋体" w:hAnsi="宋体" w:eastAsia="宋体" w:cs="宋体"/>
                <w:b w:val="0"/>
                <w:i w:val="0"/>
                <w:color w:val="000000"/>
                <w:sz w:val="16"/>
              </w:rPr>
              <w:t>179.51</w:t>
            </w:r>
          </w:p>
        </w:tc>
      </w:tr>
      <w:tr w14:paraId="61DCE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0279EBD">
            <w:pPr>
              <w:jc w:val="left"/>
            </w:pPr>
            <w:r>
              <w:rPr>
                <w:rFonts w:ascii="宋体" w:hAnsi="宋体" w:eastAsia="宋体" w:cs="宋体"/>
                <w:b w:val="0"/>
                <w:i w:val="0"/>
                <w:color w:val="000000"/>
                <w:sz w:val="16"/>
              </w:rPr>
              <w:t>2110499</w:t>
            </w:r>
          </w:p>
        </w:tc>
        <w:tc>
          <w:tcPr>
            <w:tcW w:w="2700" w:type="dxa"/>
            <w:vAlign w:val="center"/>
          </w:tcPr>
          <w:p w14:paraId="6289B4D0">
            <w:pPr>
              <w:jc w:val="left"/>
            </w:pPr>
            <w:r>
              <w:rPr>
                <w:rFonts w:ascii="宋体" w:hAnsi="宋体" w:eastAsia="宋体" w:cs="宋体"/>
                <w:b w:val="0"/>
                <w:i w:val="0"/>
                <w:color w:val="000000"/>
                <w:sz w:val="16"/>
              </w:rPr>
              <w:t>其他自然生态保护支出</w:t>
            </w:r>
          </w:p>
        </w:tc>
        <w:tc>
          <w:tcPr>
            <w:tcW w:w="1420" w:type="dxa"/>
            <w:vAlign w:val="center"/>
          </w:tcPr>
          <w:p w14:paraId="62DA99A6">
            <w:pPr>
              <w:jc w:val="right"/>
            </w:pPr>
            <w:r>
              <w:rPr>
                <w:rFonts w:ascii="宋体" w:hAnsi="宋体" w:eastAsia="宋体" w:cs="宋体"/>
                <w:b w:val="0"/>
                <w:i w:val="0"/>
                <w:color w:val="000000"/>
                <w:sz w:val="16"/>
              </w:rPr>
              <w:t>179.51</w:t>
            </w:r>
          </w:p>
        </w:tc>
        <w:tc>
          <w:tcPr>
            <w:tcW w:w="1520" w:type="dxa"/>
            <w:vAlign w:val="center"/>
          </w:tcPr>
          <w:p w14:paraId="2D304FC2"/>
        </w:tc>
        <w:tc>
          <w:tcPr>
            <w:tcW w:w="1526" w:type="dxa"/>
            <w:vAlign w:val="center"/>
          </w:tcPr>
          <w:p w14:paraId="0C2FE36B">
            <w:pPr>
              <w:jc w:val="right"/>
            </w:pPr>
            <w:r>
              <w:rPr>
                <w:rFonts w:ascii="宋体" w:hAnsi="宋体" w:eastAsia="宋体" w:cs="宋体"/>
                <w:b w:val="0"/>
                <w:i w:val="0"/>
                <w:color w:val="000000"/>
                <w:sz w:val="16"/>
              </w:rPr>
              <w:t>179.51</w:t>
            </w:r>
          </w:p>
        </w:tc>
      </w:tr>
      <w:tr w14:paraId="46B9C5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B8F2705">
            <w:pPr>
              <w:jc w:val="left"/>
            </w:pPr>
            <w:r>
              <w:rPr>
                <w:rFonts w:ascii="宋体" w:hAnsi="宋体" w:eastAsia="宋体" w:cs="宋体"/>
                <w:b w:val="0"/>
                <w:i w:val="0"/>
                <w:color w:val="000000"/>
                <w:sz w:val="16"/>
              </w:rPr>
              <w:t>212</w:t>
            </w:r>
          </w:p>
        </w:tc>
        <w:tc>
          <w:tcPr>
            <w:tcW w:w="2700" w:type="dxa"/>
            <w:vAlign w:val="center"/>
          </w:tcPr>
          <w:p w14:paraId="202ADEED">
            <w:pPr>
              <w:jc w:val="left"/>
            </w:pPr>
            <w:r>
              <w:rPr>
                <w:rFonts w:ascii="宋体" w:hAnsi="宋体" w:eastAsia="宋体" w:cs="宋体"/>
                <w:b w:val="0"/>
                <w:i w:val="0"/>
                <w:color w:val="000000"/>
                <w:sz w:val="16"/>
              </w:rPr>
              <w:t>城乡社区支出</w:t>
            </w:r>
          </w:p>
        </w:tc>
        <w:tc>
          <w:tcPr>
            <w:tcW w:w="1420" w:type="dxa"/>
            <w:vAlign w:val="center"/>
          </w:tcPr>
          <w:p w14:paraId="7292E054">
            <w:pPr>
              <w:jc w:val="right"/>
            </w:pPr>
            <w:r>
              <w:rPr>
                <w:rFonts w:ascii="宋体" w:hAnsi="宋体" w:eastAsia="宋体" w:cs="宋体"/>
                <w:b w:val="0"/>
                <w:i w:val="0"/>
                <w:color w:val="000000"/>
                <w:sz w:val="16"/>
              </w:rPr>
              <w:t>5,642.55</w:t>
            </w:r>
          </w:p>
        </w:tc>
        <w:tc>
          <w:tcPr>
            <w:tcW w:w="1520" w:type="dxa"/>
            <w:vAlign w:val="center"/>
          </w:tcPr>
          <w:p w14:paraId="5ECD4CA4">
            <w:pPr>
              <w:jc w:val="right"/>
            </w:pPr>
            <w:r>
              <w:rPr>
                <w:rFonts w:ascii="宋体" w:hAnsi="宋体" w:eastAsia="宋体" w:cs="宋体"/>
                <w:b w:val="0"/>
                <w:i w:val="0"/>
                <w:color w:val="000000"/>
                <w:sz w:val="16"/>
              </w:rPr>
              <w:t>3,701.01</w:t>
            </w:r>
          </w:p>
        </w:tc>
        <w:tc>
          <w:tcPr>
            <w:tcW w:w="1526" w:type="dxa"/>
            <w:vAlign w:val="center"/>
          </w:tcPr>
          <w:p w14:paraId="242CE125">
            <w:pPr>
              <w:jc w:val="right"/>
            </w:pPr>
            <w:r>
              <w:rPr>
                <w:rFonts w:ascii="宋体" w:hAnsi="宋体" w:eastAsia="宋体" w:cs="宋体"/>
                <w:b w:val="0"/>
                <w:i w:val="0"/>
                <w:color w:val="000000"/>
                <w:sz w:val="16"/>
              </w:rPr>
              <w:t>1,941.55</w:t>
            </w:r>
          </w:p>
        </w:tc>
      </w:tr>
      <w:tr w14:paraId="59EB63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9A589B9">
            <w:pPr>
              <w:jc w:val="left"/>
            </w:pPr>
            <w:r>
              <w:rPr>
                <w:rFonts w:ascii="宋体" w:hAnsi="宋体" w:eastAsia="宋体" w:cs="宋体"/>
                <w:b w:val="0"/>
                <w:i w:val="0"/>
                <w:color w:val="000000"/>
                <w:sz w:val="16"/>
              </w:rPr>
              <w:t>21201</w:t>
            </w:r>
          </w:p>
        </w:tc>
        <w:tc>
          <w:tcPr>
            <w:tcW w:w="2700" w:type="dxa"/>
            <w:vAlign w:val="center"/>
          </w:tcPr>
          <w:p w14:paraId="2258988D">
            <w:pPr>
              <w:jc w:val="left"/>
            </w:pPr>
            <w:r>
              <w:rPr>
                <w:rFonts w:ascii="宋体" w:hAnsi="宋体" w:eastAsia="宋体" w:cs="宋体"/>
                <w:b w:val="0"/>
                <w:i w:val="0"/>
                <w:color w:val="000000"/>
                <w:sz w:val="16"/>
              </w:rPr>
              <w:t>城乡社区管理事务</w:t>
            </w:r>
          </w:p>
        </w:tc>
        <w:tc>
          <w:tcPr>
            <w:tcW w:w="1420" w:type="dxa"/>
            <w:vAlign w:val="center"/>
          </w:tcPr>
          <w:p w14:paraId="0C70B00A">
            <w:pPr>
              <w:jc w:val="right"/>
            </w:pPr>
            <w:r>
              <w:rPr>
                <w:rFonts w:ascii="宋体" w:hAnsi="宋体" w:eastAsia="宋体" w:cs="宋体"/>
                <w:b w:val="0"/>
                <w:i w:val="0"/>
                <w:color w:val="000000"/>
                <w:sz w:val="16"/>
              </w:rPr>
              <w:t>3,526.37</w:t>
            </w:r>
          </w:p>
        </w:tc>
        <w:tc>
          <w:tcPr>
            <w:tcW w:w="1520" w:type="dxa"/>
            <w:vAlign w:val="center"/>
          </w:tcPr>
          <w:p w14:paraId="739C0C60">
            <w:pPr>
              <w:jc w:val="right"/>
            </w:pPr>
            <w:r>
              <w:rPr>
                <w:rFonts w:ascii="宋体" w:hAnsi="宋体" w:eastAsia="宋体" w:cs="宋体"/>
                <w:b w:val="0"/>
                <w:i w:val="0"/>
                <w:color w:val="000000"/>
                <w:sz w:val="16"/>
              </w:rPr>
              <w:t>2,714.54</w:t>
            </w:r>
          </w:p>
        </w:tc>
        <w:tc>
          <w:tcPr>
            <w:tcW w:w="1526" w:type="dxa"/>
            <w:vAlign w:val="center"/>
          </w:tcPr>
          <w:p w14:paraId="6C1441E0">
            <w:pPr>
              <w:jc w:val="right"/>
            </w:pPr>
            <w:r>
              <w:rPr>
                <w:rFonts w:ascii="宋体" w:hAnsi="宋体" w:eastAsia="宋体" w:cs="宋体"/>
                <w:b w:val="0"/>
                <w:i w:val="0"/>
                <w:color w:val="000000"/>
                <w:sz w:val="16"/>
              </w:rPr>
              <w:t>811.83</w:t>
            </w:r>
          </w:p>
        </w:tc>
      </w:tr>
      <w:tr w14:paraId="38E96A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FC7DC87">
            <w:pPr>
              <w:jc w:val="left"/>
            </w:pPr>
            <w:r>
              <w:rPr>
                <w:rFonts w:ascii="宋体" w:hAnsi="宋体" w:eastAsia="宋体" w:cs="宋体"/>
                <w:b w:val="0"/>
                <w:i w:val="0"/>
                <w:color w:val="000000"/>
                <w:sz w:val="16"/>
              </w:rPr>
              <w:t>2120101</w:t>
            </w:r>
          </w:p>
        </w:tc>
        <w:tc>
          <w:tcPr>
            <w:tcW w:w="2700" w:type="dxa"/>
            <w:vAlign w:val="center"/>
          </w:tcPr>
          <w:p w14:paraId="7E056EB5">
            <w:pPr>
              <w:jc w:val="left"/>
            </w:pPr>
            <w:r>
              <w:rPr>
                <w:rFonts w:ascii="宋体" w:hAnsi="宋体" w:eastAsia="宋体" w:cs="宋体"/>
                <w:b w:val="0"/>
                <w:i w:val="0"/>
                <w:color w:val="000000"/>
                <w:sz w:val="16"/>
              </w:rPr>
              <w:t>行政运行</w:t>
            </w:r>
          </w:p>
        </w:tc>
        <w:tc>
          <w:tcPr>
            <w:tcW w:w="1420" w:type="dxa"/>
            <w:vAlign w:val="center"/>
          </w:tcPr>
          <w:p w14:paraId="569F4D61">
            <w:pPr>
              <w:jc w:val="right"/>
            </w:pPr>
            <w:r>
              <w:rPr>
                <w:rFonts w:ascii="宋体" w:hAnsi="宋体" w:eastAsia="宋体" w:cs="宋体"/>
                <w:b w:val="0"/>
                <w:i w:val="0"/>
                <w:color w:val="000000"/>
                <w:sz w:val="16"/>
              </w:rPr>
              <w:t>411.44</w:t>
            </w:r>
          </w:p>
        </w:tc>
        <w:tc>
          <w:tcPr>
            <w:tcW w:w="1520" w:type="dxa"/>
            <w:vAlign w:val="center"/>
          </w:tcPr>
          <w:p w14:paraId="079889AD">
            <w:pPr>
              <w:jc w:val="right"/>
            </w:pPr>
            <w:r>
              <w:rPr>
                <w:rFonts w:ascii="宋体" w:hAnsi="宋体" w:eastAsia="宋体" w:cs="宋体"/>
                <w:b w:val="0"/>
                <w:i w:val="0"/>
                <w:color w:val="000000"/>
                <w:sz w:val="16"/>
              </w:rPr>
              <w:t>411.44</w:t>
            </w:r>
          </w:p>
        </w:tc>
        <w:tc>
          <w:tcPr>
            <w:tcW w:w="1526" w:type="dxa"/>
            <w:vAlign w:val="center"/>
          </w:tcPr>
          <w:p w14:paraId="242E20CF"/>
        </w:tc>
      </w:tr>
      <w:tr w14:paraId="13DB50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BF81425">
            <w:pPr>
              <w:jc w:val="left"/>
            </w:pPr>
            <w:r>
              <w:rPr>
                <w:rFonts w:ascii="宋体" w:hAnsi="宋体" w:eastAsia="宋体" w:cs="宋体"/>
                <w:b w:val="0"/>
                <w:i w:val="0"/>
                <w:color w:val="000000"/>
                <w:sz w:val="16"/>
              </w:rPr>
              <w:t>2120199</w:t>
            </w:r>
          </w:p>
        </w:tc>
        <w:tc>
          <w:tcPr>
            <w:tcW w:w="2700" w:type="dxa"/>
            <w:vAlign w:val="center"/>
          </w:tcPr>
          <w:p w14:paraId="736FCBDA">
            <w:pPr>
              <w:jc w:val="left"/>
            </w:pPr>
            <w:r>
              <w:rPr>
                <w:rFonts w:ascii="宋体" w:hAnsi="宋体" w:eastAsia="宋体" w:cs="宋体"/>
                <w:b w:val="0"/>
                <w:i w:val="0"/>
                <w:color w:val="000000"/>
                <w:sz w:val="16"/>
              </w:rPr>
              <w:t>其他城乡社区管理事务支出</w:t>
            </w:r>
          </w:p>
        </w:tc>
        <w:tc>
          <w:tcPr>
            <w:tcW w:w="1420" w:type="dxa"/>
            <w:vAlign w:val="center"/>
          </w:tcPr>
          <w:p w14:paraId="0EBB3325">
            <w:pPr>
              <w:jc w:val="right"/>
            </w:pPr>
            <w:r>
              <w:rPr>
                <w:rFonts w:ascii="宋体" w:hAnsi="宋体" w:eastAsia="宋体" w:cs="宋体"/>
                <w:b w:val="0"/>
                <w:i w:val="0"/>
                <w:color w:val="000000"/>
                <w:sz w:val="16"/>
              </w:rPr>
              <w:t>3,114.92</w:t>
            </w:r>
          </w:p>
        </w:tc>
        <w:tc>
          <w:tcPr>
            <w:tcW w:w="1520" w:type="dxa"/>
            <w:vAlign w:val="center"/>
          </w:tcPr>
          <w:p w14:paraId="2F36A076">
            <w:pPr>
              <w:jc w:val="right"/>
            </w:pPr>
            <w:r>
              <w:rPr>
                <w:rFonts w:ascii="宋体" w:hAnsi="宋体" w:eastAsia="宋体" w:cs="宋体"/>
                <w:b w:val="0"/>
                <w:i w:val="0"/>
                <w:color w:val="000000"/>
                <w:sz w:val="16"/>
              </w:rPr>
              <w:t>2,303.10</w:t>
            </w:r>
          </w:p>
        </w:tc>
        <w:tc>
          <w:tcPr>
            <w:tcW w:w="1526" w:type="dxa"/>
            <w:vAlign w:val="center"/>
          </w:tcPr>
          <w:p w14:paraId="1B5B0CDD">
            <w:pPr>
              <w:jc w:val="right"/>
            </w:pPr>
            <w:r>
              <w:rPr>
                <w:rFonts w:ascii="宋体" w:hAnsi="宋体" w:eastAsia="宋体" w:cs="宋体"/>
                <w:b w:val="0"/>
                <w:i w:val="0"/>
                <w:color w:val="000000"/>
                <w:sz w:val="16"/>
              </w:rPr>
              <w:t>811.83</w:t>
            </w:r>
          </w:p>
        </w:tc>
      </w:tr>
      <w:tr w14:paraId="10F537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F54F934">
            <w:pPr>
              <w:jc w:val="left"/>
            </w:pPr>
            <w:r>
              <w:rPr>
                <w:rFonts w:ascii="宋体" w:hAnsi="宋体" w:eastAsia="宋体" w:cs="宋体"/>
                <w:b w:val="0"/>
                <w:i w:val="0"/>
                <w:color w:val="000000"/>
                <w:sz w:val="16"/>
              </w:rPr>
              <w:t>21299</w:t>
            </w:r>
          </w:p>
        </w:tc>
        <w:tc>
          <w:tcPr>
            <w:tcW w:w="2700" w:type="dxa"/>
            <w:vAlign w:val="center"/>
          </w:tcPr>
          <w:p w14:paraId="25C7C263">
            <w:pPr>
              <w:jc w:val="left"/>
            </w:pPr>
            <w:r>
              <w:rPr>
                <w:rFonts w:ascii="宋体" w:hAnsi="宋体" w:eastAsia="宋体" w:cs="宋体"/>
                <w:b w:val="0"/>
                <w:i w:val="0"/>
                <w:color w:val="000000"/>
                <w:sz w:val="16"/>
              </w:rPr>
              <w:t>其他城乡社区支出</w:t>
            </w:r>
          </w:p>
        </w:tc>
        <w:tc>
          <w:tcPr>
            <w:tcW w:w="1420" w:type="dxa"/>
            <w:vAlign w:val="center"/>
          </w:tcPr>
          <w:p w14:paraId="7A786DE6">
            <w:pPr>
              <w:jc w:val="right"/>
            </w:pPr>
            <w:r>
              <w:rPr>
                <w:rFonts w:ascii="宋体" w:hAnsi="宋体" w:eastAsia="宋体" w:cs="宋体"/>
                <w:b w:val="0"/>
                <w:i w:val="0"/>
                <w:color w:val="000000"/>
                <w:sz w:val="16"/>
              </w:rPr>
              <w:t>2,116.19</w:t>
            </w:r>
          </w:p>
        </w:tc>
        <w:tc>
          <w:tcPr>
            <w:tcW w:w="1520" w:type="dxa"/>
            <w:vAlign w:val="center"/>
          </w:tcPr>
          <w:p w14:paraId="12552306">
            <w:pPr>
              <w:jc w:val="right"/>
            </w:pPr>
            <w:r>
              <w:rPr>
                <w:rFonts w:ascii="宋体" w:hAnsi="宋体" w:eastAsia="宋体" w:cs="宋体"/>
                <w:b w:val="0"/>
                <w:i w:val="0"/>
                <w:color w:val="000000"/>
                <w:sz w:val="16"/>
              </w:rPr>
              <w:t>986.47</w:t>
            </w:r>
          </w:p>
        </w:tc>
        <w:tc>
          <w:tcPr>
            <w:tcW w:w="1526" w:type="dxa"/>
            <w:vAlign w:val="center"/>
          </w:tcPr>
          <w:p w14:paraId="7B4F4B02">
            <w:pPr>
              <w:jc w:val="right"/>
            </w:pPr>
            <w:r>
              <w:rPr>
                <w:rFonts w:ascii="宋体" w:hAnsi="宋体" w:eastAsia="宋体" w:cs="宋体"/>
                <w:b w:val="0"/>
                <w:i w:val="0"/>
                <w:color w:val="000000"/>
                <w:sz w:val="16"/>
              </w:rPr>
              <w:t>1,129.72</w:t>
            </w:r>
          </w:p>
        </w:tc>
      </w:tr>
      <w:tr w14:paraId="4D637E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D0C4455">
            <w:pPr>
              <w:jc w:val="left"/>
            </w:pPr>
            <w:r>
              <w:rPr>
                <w:rFonts w:ascii="宋体" w:hAnsi="宋体" w:eastAsia="宋体" w:cs="宋体"/>
                <w:b w:val="0"/>
                <w:i w:val="0"/>
                <w:color w:val="000000"/>
                <w:sz w:val="16"/>
              </w:rPr>
              <w:t>2129999</w:t>
            </w:r>
          </w:p>
        </w:tc>
        <w:tc>
          <w:tcPr>
            <w:tcW w:w="2700" w:type="dxa"/>
            <w:vAlign w:val="center"/>
          </w:tcPr>
          <w:p w14:paraId="10F92B6A">
            <w:pPr>
              <w:jc w:val="left"/>
            </w:pPr>
            <w:r>
              <w:rPr>
                <w:rFonts w:ascii="宋体" w:hAnsi="宋体" w:eastAsia="宋体" w:cs="宋体"/>
                <w:b w:val="0"/>
                <w:i w:val="0"/>
                <w:color w:val="000000"/>
                <w:sz w:val="16"/>
              </w:rPr>
              <w:t>其他城乡社区支出</w:t>
            </w:r>
          </w:p>
        </w:tc>
        <w:tc>
          <w:tcPr>
            <w:tcW w:w="1420" w:type="dxa"/>
            <w:vAlign w:val="center"/>
          </w:tcPr>
          <w:p w14:paraId="696A1575">
            <w:pPr>
              <w:jc w:val="right"/>
            </w:pPr>
            <w:r>
              <w:rPr>
                <w:rFonts w:ascii="宋体" w:hAnsi="宋体" w:eastAsia="宋体" w:cs="宋体"/>
                <w:b w:val="0"/>
                <w:i w:val="0"/>
                <w:color w:val="000000"/>
                <w:sz w:val="16"/>
              </w:rPr>
              <w:t>2,116.19</w:t>
            </w:r>
          </w:p>
        </w:tc>
        <w:tc>
          <w:tcPr>
            <w:tcW w:w="1520" w:type="dxa"/>
            <w:vAlign w:val="center"/>
          </w:tcPr>
          <w:p w14:paraId="175AD1C7">
            <w:pPr>
              <w:jc w:val="right"/>
            </w:pPr>
            <w:r>
              <w:rPr>
                <w:rFonts w:ascii="宋体" w:hAnsi="宋体" w:eastAsia="宋体" w:cs="宋体"/>
                <w:b w:val="0"/>
                <w:i w:val="0"/>
                <w:color w:val="000000"/>
                <w:sz w:val="16"/>
              </w:rPr>
              <w:t>986.47</w:t>
            </w:r>
          </w:p>
        </w:tc>
        <w:tc>
          <w:tcPr>
            <w:tcW w:w="1526" w:type="dxa"/>
            <w:vAlign w:val="center"/>
          </w:tcPr>
          <w:p w14:paraId="0430D429">
            <w:pPr>
              <w:jc w:val="right"/>
            </w:pPr>
            <w:r>
              <w:rPr>
                <w:rFonts w:ascii="宋体" w:hAnsi="宋体" w:eastAsia="宋体" w:cs="宋体"/>
                <w:b w:val="0"/>
                <w:i w:val="0"/>
                <w:color w:val="000000"/>
                <w:sz w:val="16"/>
              </w:rPr>
              <w:t>1,129.72</w:t>
            </w:r>
          </w:p>
        </w:tc>
      </w:tr>
      <w:tr w14:paraId="59D081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869CC93">
            <w:pPr>
              <w:jc w:val="left"/>
            </w:pPr>
            <w:r>
              <w:rPr>
                <w:rFonts w:ascii="宋体" w:hAnsi="宋体" w:eastAsia="宋体" w:cs="宋体"/>
                <w:b w:val="0"/>
                <w:i w:val="0"/>
                <w:color w:val="000000"/>
                <w:sz w:val="16"/>
              </w:rPr>
              <w:t>213</w:t>
            </w:r>
          </w:p>
        </w:tc>
        <w:tc>
          <w:tcPr>
            <w:tcW w:w="2700" w:type="dxa"/>
            <w:vAlign w:val="center"/>
          </w:tcPr>
          <w:p w14:paraId="16820D48">
            <w:pPr>
              <w:jc w:val="left"/>
            </w:pPr>
            <w:r>
              <w:rPr>
                <w:rFonts w:ascii="宋体" w:hAnsi="宋体" w:eastAsia="宋体" w:cs="宋体"/>
                <w:b w:val="0"/>
                <w:i w:val="0"/>
                <w:color w:val="000000"/>
                <w:sz w:val="16"/>
              </w:rPr>
              <w:t>农林水支出</w:t>
            </w:r>
          </w:p>
        </w:tc>
        <w:tc>
          <w:tcPr>
            <w:tcW w:w="1420" w:type="dxa"/>
            <w:vAlign w:val="center"/>
          </w:tcPr>
          <w:p w14:paraId="7C7DA9FE">
            <w:pPr>
              <w:jc w:val="right"/>
            </w:pPr>
            <w:r>
              <w:rPr>
                <w:rFonts w:ascii="宋体" w:hAnsi="宋体" w:eastAsia="宋体" w:cs="宋体"/>
                <w:b w:val="0"/>
                <w:i w:val="0"/>
                <w:color w:val="000000"/>
                <w:sz w:val="16"/>
              </w:rPr>
              <w:t>34.34</w:t>
            </w:r>
          </w:p>
        </w:tc>
        <w:tc>
          <w:tcPr>
            <w:tcW w:w="1520" w:type="dxa"/>
            <w:vAlign w:val="center"/>
          </w:tcPr>
          <w:p w14:paraId="6EAD5927">
            <w:pPr>
              <w:jc w:val="right"/>
            </w:pPr>
            <w:r>
              <w:rPr>
                <w:rFonts w:ascii="宋体" w:hAnsi="宋体" w:eastAsia="宋体" w:cs="宋体"/>
                <w:b w:val="0"/>
                <w:i w:val="0"/>
                <w:color w:val="000000"/>
                <w:sz w:val="16"/>
              </w:rPr>
              <w:t>17.34</w:t>
            </w:r>
          </w:p>
        </w:tc>
        <w:tc>
          <w:tcPr>
            <w:tcW w:w="1526" w:type="dxa"/>
            <w:vAlign w:val="center"/>
          </w:tcPr>
          <w:p w14:paraId="0965CF62">
            <w:pPr>
              <w:jc w:val="right"/>
            </w:pPr>
            <w:r>
              <w:rPr>
                <w:rFonts w:ascii="宋体" w:hAnsi="宋体" w:eastAsia="宋体" w:cs="宋体"/>
                <w:b w:val="0"/>
                <w:i w:val="0"/>
                <w:color w:val="000000"/>
                <w:sz w:val="16"/>
              </w:rPr>
              <w:t>17.00</w:t>
            </w:r>
          </w:p>
        </w:tc>
      </w:tr>
      <w:tr w14:paraId="091D8C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C05F294">
            <w:pPr>
              <w:jc w:val="left"/>
            </w:pPr>
            <w:r>
              <w:rPr>
                <w:rFonts w:ascii="宋体" w:hAnsi="宋体" w:eastAsia="宋体" w:cs="宋体"/>
                <w:b w:val="0"/>
                <w:i w:val="0"/>
                <w:color w:val="000000"/>
                <w:sz w:val="16"/>
              </w:rPr>
              <w:t>21303</w:t>
            </w:r>
          </w:p>
        </w:tc>
        <w:tc>
          <w:tcPr>
            <w:tcW w:w="2700" w:type="dxa"/>
            <w:vAlign w:val="center"/>
          </w:tcPr>
          <w:p w14:paraId="7AA00E75">
            <w:pPr>
              <w:jc w:val="left"/>
            </w:pPr>
            <w:r>
              <w:rPr>
                <w:rFonts w:ascii="宋体" w:hAnsi="宋体" w:eastAsia="宋体" w:cs="宋体"/>
                <w:b w:val="0"/>
                <w:i w:val="0"/>
                <w:color w:val="000000"/>
                <w:sz w:val="16"/>
              </w:rPr>
              <w:t>水利</w:t>
            </w:r>
          </w:p>
        </w:tc>
        <w:tc>
          <w:tcPr>
            <w:tcW w:w="1420" w:type="dxa"/>
            <w:vAlign w:val="center"/>
          </w:tcPr>
          <w:p w14:paraId="1F5DA3FC">
            <w:pPr>
              <w:jc w:val="right"/>
            </w:pPr>
            <w:r>
              <w:rPr>
                <w:rFonts w:ascii="宋体" w:hAnsi="宋体" w:eastAsia="宋体" w:cs="宋体"/>
                <w:b w:val="0"/>
                <w:i w:val="0"/>
                <w:color w:val="000000"/>
                <w:sz w:val="16"/>
              </w:rPr>
              <w:t>34.34</w:t>
            </w:r>
          </w:p>
        </w:tc>
        <w:tc>
          <w:tcPr>
            <w:tcW w:w="1520" w:type="dxa"/>
            <w:vAlign w:val="center"/>
          </w:tcPr>
          <w:p w14:paraId="645A5288">
            <w:pPr>
              <w:jc w:val="right"/>
            </w:pPr>
            <w:r>
              <w:rPr>
                <w:rFonts w:ascii="宋体" w:hAnsi="宋体" w:eastAsia="宋体" w:cs="宋体"/>
                <w:b w:val="0"/>
                <w:i w:val="0"/>
                <w:color w:val="000000"/>
                <w:sz w:val="16"/>
              </w:rPr>
              <w:t>17.34</w:t>
            </w:r>
          </w:p>
        </w:tc>
        <w:tc>
          <w:tcPr>
            <w:tcW w:w="1526" w:type="dxa"/>
            <w:vAlign w:val="center"/>
          </w:tcPr>
          <w:p w14:paraId="7B2F2105">
            <w:pPr>
              <w:jc w:val="right"/>
            </w:pPr>
            <w:r>
              <w:rPr>
                <w:rFonts w:ascii="宋体" w:hAnsi="宋体" w:eastAsia="宋体" w:cs="宋体"/>
                <w:b w:val="0"/>
                <w:i w:val="0"/>
                <w:color w:val="000000"/>
                <w:sz w:val="16"/>
              </w:rPr>
              <w:t>17.00</w:t>
            </w:r>
          </w:p>
        </w:tc>
      </w:tr>
      <w:tr w14:paraId="4E4E14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4A164EB">
            <w:pPr>
              <w:jc w:val="left"/>
            </w:pPr>
            <w:r>
              <w:rPr>
                <w:rFonts w:ascii="宋体" w:hAnsi="宋体" w:eastAsia="宋体" w:cs="宋体"/>
                <w:b w:val="0"/>
                <w:i w:val="0"/>
                <w:color w:val="000000"/>
                <w:sz w:val="16"/>
              </w:rPr>
              <w:t>2130310</w:t>
            </w:r>
          </w:p>
        </w:tc>
        <w:tc>
          <w:tcPr>
            <w:tcW w:w="2700" w:type="dxa"/>
            <w:vAlign w:val="center"/>
          </w:tcPr>
          <w:p w14:paraId="1B3D8AEC">
            <w:pPr>
              <w:jc w:val="left"/>
            </w:pPr>
            <w:r>
              <w:rPr>
                <w:rFonts w:ascii="宋体" w:hAnsi="宋体" w:eastAsia="宋体" w:cs="宋体"/>
                <w:b w:val="0"/>
                <w:i w:val="0"/>
                <w:color w:val="000000"/>
                <w:sz w:val="16"/>
              </w:rPr>
              <w:t>水土保持</w:t>
            </w:r>
          </w:p>
        </w:tc>
        <w:tc>
          <w:tcPr>
            <w:tcW w:w="1420" w:type="dxa"/>
            <w:vAlign w:val="center"/>
          </w:tcPr>
          <w:p w14:paraId="4DF814EE">
            <w:pPr>
              <w:jc w:val="right"/>
            </w:pPr>
            <w:r>
              <w:rPr>
                <w:rFonts w:ascii="宋体" w:hAnsi="宋体" w:eastAsia="宋体" w:cs="宋体"/>
                <w:b w:val="0"/>
                <w:i w:val="0"/>
                <w:color w:val="000000"/>
                <w:sz w:val="16"/>
              </w:rPr>
              <w:t>17.34</w:t>
            </w:r>
          </w:p>
        </w:tc>
        <w:tc>
          <w:tcPr>
            <w:tcW w:w="1520" w:type="dxa"/>
            <w:vAlign w:val="center"/>
          </w:tcPr>
          <w:p w14:paraId="3AEFCDD1">
            <w:pPr>
              <w:jc w:val="right"/>
            </w:pPr>
            <w:r>
              <w:rPr>
                <w:rFonts w:ascii="宋体" w:hAnsi="宋体" w:eastAsia="宋体" w:cs="宋体"/>
                <w:b w:val="0"/>
                <w:i w:val="0"/>
                <w:color w:val="000000"/>
                <w:sz w:val="16"/>
              </w:rPr>
              <w:t>17.34</w:t>
            </w:r>
          </w:p>
        </w:tc>
        <w:tc>
          <w:tcPr>
            <w:tcW w:w="1526" w:type="dxa"/>
            <w:vAlign w:val="center"/>
          </w:tcPr>
          <w:p w14:paraId="4B248D2F"/>
        </w:tc>
      </w:tr>
      <w:tr w14:paraId="131DFF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4AB3975">
            <w:pPr>
              <w:jc w:val="left"/>
            </w:pPr>
            <w:r>
              <w:rPr>
                <w:rFonts w:ascii="宋体" w:hAnsi="宋体" w:eastAsia="宋体" w:cs="宋体"/>
                <w:b w:val="0"/>
                <w:i w:val="0"/>
                <w:color w:val="000000"/>
                <w:sz w:val="16"/>
              </w:rPr>
              <w:t>2130399</w:t>
            </w:r>
          </w:p>
        </w:tc>
        <w:tc>
          <w:tcPr>
            <w:tcW w:w="2700" w:type="dxa"/>
            <w:vAlign w:val="center"/>
          </w:tcPr>
          <w:p w14:paraId="7F8BE508">
            <w:pPr>
              <w:jc w:val="left"/>
            </w:pPr>
            <w:r>
              <w:rPr>
                <w:rFonts w:ascii="宋体" w:hAnsi="宋体" w:eastAsia="宋体" w:cs="宋体"/>
                <w:b w:val="0"/>
                <w:i w:val="0"/>
                <w:color w:val="000000"/>
                <w:sz w:val="16"/>
              </w:rPr>
              <w:t>其他水利支出</w:t>
            </w:r>
          </w:p>
        </w:tc>
        <w:tc>
          <w:tcPr>
            <w:tcW w:w="1420" w:type="dxa"/>
            <w:vAlign w:val="center"/>
          </w:tcPr>
          <w:p w14:paraId="73A7E653">
            <w:pPr>
              <w:jc w:val="right"/>
            </w:pPr>
            <w:r>
              <w:rPr>
                <w:rFonts w:ascii="宋体" w:hAnsi="宋体" w:eastAsia="宋体" w:cs="宋体"/>
                <w:b w:val="0"/>
                <w:i w:val="0"/>
                <w:color w:val="000000"/>
                <w:sz w:val="16"/>
              </w:rPr>
              <w:t>17.00</w:t>
            </w:r>
          </w:p>
        </w:tc>
        <w:tc>
          <w:tcPr>
            <w:tcW w:w="1520" w:type="dxa"/>
            <w:vAlign w:val="center"/>
          </w:tcPr>
          <w:p w14:paraId="7A5B8DD9"/>
        </w:tc>
        <w:tc>
          <w:tcPr>
            <w:tcW w:w="1526" w:type="dxa"/>
            <w:vAlign w:val="center"/>
          </w:tcPr>
          <w:p w14:paraId="198453B2">
            <w:pPr>
              <w:jc w:val="right"/>
            </w:pPr>
            <w:r>
              <w:rPr>
                <w:rFonts w:ascii="宋体" w:hAnsi="宋体" w:eastAsia="宋体" w:cs="宋体"/>
                <w:b w:val="0"/>
                <w:i w:val="0"/>
                <w:color w:val="000000"/>
                <w:sz w:val="16"/>
              </w:rPr>
              <w:t>17.00</w:t>
            </w:r>
          </w:p>
        </w:tc>
      </w:tr>
      <w:tr w14:paraId="4B9407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5091E46">
            <w:pPr>
              <w:jc w:val="left"/>
            </w:pPr>
            <w:r>
              <w:rPr>
                <w:rFonts w:ascii="宋体" w:hAnsi="宋体" w:eastAsia="宋体" w:cs="宋体"/>
                <w:b w:val="0"/>
                <w:i w:val="0"/>
                <w:color w:val="000000"/>
                <w:sz w:val="16"/>
              </w:rPr>
              <w:t>214</w:t>
            </w:r>
          </w:p>
        </w:tc>
        <w:tc>
          <w:tcPr>
            <w:tcW w:w="2700" w:type="dxa"/>
            <w:vAlign w:val="center"/>
          </w:tcPr>
          <w:p w14:paraId="517AA463">
            <w:pPr>
              <w:jc w:val="left"/>
            </w:pPr>
            <w:r>
              <w:rPr>
                <w:rFonts w:ascii="宋体" w:hAnsi="宋体" w:eastAsia="宋体" w:cs="宋体"/>
                <w:b w:val="0"/>
                <w:i w:val="0"/>
                <w:color w:val="000000"/>
                <w:sz w:val="16"/>
              </w:rPr>
              <w:t>交通运输支出</w:t>
            </w:r>
          </w:p>
        </w:tc>
        <w:tc>
          <w:tcPr>
            <w:tcW w:w="1420" w:type="dxa"/>
            <w:vAlign w:val="center"/>
          </w:tcPr>
          <w:p w14:paraId="51BC4673">
            <w:pPr>
              <w:jc w:val="right"/>
            </w:pPr>
            <w:r>
              <w:rPr>
                <w:rFonts w:ascii="宋体" w:hAnsi="宋体" w:eastAsia="宋体" w:cs="宋体"/>
                <w:b w:val="0"/>
                <w:i w:val="0"/>
                <w:color w:val="000000"/>
                <w:sz w:val="16"/>
              </w:rPr>
              <w:t>53.00</w:t>
            </w:r>
          </w:p>
        </w:tc>
        <w:tc>
          <w:tcPr>
            <w:tcW w:w="1520" w:type="dxa"/>
            <w:vAlign w:val="center"/>
          </w:tcPr>
          <w:p w14:paraId="287D8C2F"/>
        </w:tc>
        <w:tc>
          <w:tcPr>
            <w:tcW w:w="1526" w:type="dxa"/>
            <w:vAlign w:val="center"/>
          </w:tcPr>
          <w:p w14:paraId="395131DD">
            <w:pPr>
              <w:jc w:val="right"/>
            </w:pPr>
            <w:r>
              <w:rPr>
                <w:rFonts w:ascii="宋体" w:hAnsi="宋体" w:eastAsia="宋体" w:cs="宋体"/>
                <w:b w:val="0"/>
                <w:i w:val="0"/>
                <w:color w:val="000000"/>
                <w:sz w:val="16"/>
              </w:rPr>
              <w:t>53.00</w:t>
            </w:r>
          </w:p>
        </w:tc>
      </w:tr>
      <w:tr w14:paraId="5F2F46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6A2F0C2">
            <w:pPr>
              <w:jc w:val="left"/>
            </w:pPr>
            <w:r>
              <w:rPr>
                <w:rFonts w:ascii="宋体" w:hAnsi="宋体" w:eastAsia="宋体" w:cs="宋体"/>
                <w:b w:val="0"/>
                <w:i w:val="0"/>
                <w:color w:val="000000"/>
                <w:sz w:val="16"/>
              </w:rPr>
              <w:t>21401</w:t>
            </w:r>
          </w:p>
        </w:tc>
        <w:tc>
          <w:tcPr>
            <w:tcW w:w="2700" w:type="dxa"/>
            <w:vAlign w:val="center"/>
          </w:tcPr>
          <w:p w14:paraId="77AC995A">
            <w:pPr>
              <w:jc w:val="left"/>
            </w:pPr>
            <w:r>
              <w:rPr>
                <w:rFonts w:ascii="宋体" w:hAnsi="宋体" w:eastAsia="宋体" w:cs="宋体"/>
                <w:b w:val="0"/>
                <w:i w:val="0"/>
                <w:color w:val="000000"/>
                <w:sz w:val="16"/>
              </w:rPr>
              <w:t>公路水路运输</w:t>
            </w:r>
          </w:p>
        </w:tc>
        <w:tc>
          <w:tcPr>
            <w:tcW w:w="1420" w:type="dxa"/>
            <w:vAlign w:val="center"/>
          </w:tcPr>
          <w:p w14:paraId="0DBB0603">
            <w:pPr>
              <w:jc w:val="right"/>
            </w:pPr>
            <w:r>
              <w:rPr>
                <w:rFonts w:ascii="宋体" w:hAnsi="宋体" w:eastAsia="宋体" w:cs="宋体"/>
                <w:b w:val="0"/>
                <w:i w:val="0"/>
                <w:color w:val="000000"/>
                <w:sz w:val="16"/>
              </w:rPr>
              <w:t>53.00</w:t>
            </w:r>
          </w:p>
        </w:tc>
        <w:tc>
          <w:tcPr>
            <w:tcW w:w="1520" w:type="dxa"/>
            <w:vAlign w:val="center"/>
          </w:tcPr>
          <w:p w14:paraId="43D6EB52"/>
        </w:tc>
        <w:tc>
          <w:tcPr>
            <w:tcW w:w="1526" w:type="dxa"/>
            <w:vAlign w:val="center"/>
          </w:tcPr>
          <w:p w14:paraId="2D1BF4F1">
            <w:pPr>
              <w:jc w:val="right"/>
            </w:pPr>
            <w:r>
              <w:rPr>
                <w:rFonts w:ascii="宋体" w:hAnsi="宋体" w:eastAsia="宋体" w:cs="宋体"/>
                <w:b w:val="0"/>
                <w:i w:val="0"/>
                <w:color w:val="000000"/>
                <w:sz w:val="16"/>
              </w:rPr>
              <w:t>53.00</w:t>
            </w:r>
          </w:p>
        </w:tc>
      </w:tr>
      <w:tr w14:paraId="2285AE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A2826D9">
            <w:pPr>
              <w:jc w:val="left"/>
            </w:pPr>
            <w:r>
              <w:rPr>
                <w:rFonts w:ascii="宋体" w:hAnsi="宋体" w:eastAsia="宋体" w:cs="宋体"/>
                <w:b w:val="0"/>
                <w:i w:val="0"/>
                <w:color w:val="000000"/>
                <w:sz w:val="16"/>
              </w:rPr>
              <w:t>2140199</w:t>
            </w:r>
          </w:p>
        </w:tc>
        <w:tc>
          <w:tcPr>
            <w:tcW w:w="2700" w:type="dxa"/>
            <w:vAlign w:val="center"/>
          </w:tcPr>
          <w:p w14:paraId="482120FC">
            <w:pPr>
              <w:jc w:val="left"/>
            </w:pPr>
            <w:r>
              <w:rPr>
                <w:rFonts w:ascii="宋体" w:hAnsi="宋体" w:eastAsia="宋体" w:cs="宋体"/>
                <w:b w:val="0"/>
                <w:i w:val="0"/>
                <w:color w:val="000000"/>
                <w:sz w:val="16"/>
              </w:rPr>
              <w:t>其他公路水路运输支出</w:t>
            </w:r>
          </w:p>
        </w:tc>
        <w:tc>
          <w:tcPr>
            <w:tcW w:w="1420" w:type="dxa"/>
            <w:vAlign w:val="center"/>
          </w:tcPr>
          <w:p w14:paraId="1A595785">
            <w:pPr>
              <w:jc w:val="right"/>
            </w:pPr>
            <w:r>
              <w:rPr>
                <w:rFonts w:ascii="宋体" w:hAnsi="宋体" w:eastAsia="宋体" w:cs="宋体"/>
                <w:b w:val="0"/>
                <w:i w:val="0"/>
                <w:color w:val="000000"/>
                <w:sz w:val="16"/>
              </w:rPr>
              <w:t>53.00</w:t>
            </w:r>
          </w:p>
        </w:tc>
        <w:tc>
          <w:tcPr>
            <w:tcW w:w="1520" w:type="dxa"/>
            <w:vAlign w:val="center"/>
          </w:tcPr>
          <w:p w14:paraId="20DBE0C4"/>
        </w:tc>
        <w:tc>
          <w:tcPr>
            <w:tcW w:w="1526" w:type="dxa"/>
            <w:vAlign w:val="center"/>
          </w:tcPr>
          <w:p w14:paraId="7304D8CA">
            <w:pPr>
              <w:jc w:val="right"/>
            </w:pPr>
            <w:r>
              <w:rPr>
                <w:rFonts w:ascii="宋体" w:hAnsi="宋体" w:eastAsia="宋体" w:cs="宋体"/>
                <w:b w:val="0"/>
                <w:i w:val="0"/>
                <w:color w:val="000000"/>
                <w:sz w:val="16"/>
              </w:rPr>
              <w:t>53.00</w:t>
            </w:r>
          </w:p>
        </w:tc>
      </w:tr>
      <w:tr w14:paraId="7CCC45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18BB7F4">
            <w:pPr>
              <w:jc w:val="left"/>
            </w:pPr>
            <w:r>
              <w:rPr>
                <w:rFonts w:ascii="宋体" w:hAnsi="宋体" w:eastAsia="宋体" w:cs="宋体"/>
                <w:b w:val="0"/>
                <w:i w:val="0"/>
                <w:color w:val="000000"/>
                <w:sz w:val="16"/>
              </w:rPr>
              <w:t>221</w:t>
            </w:r>
          </w:p>
        </w:tc>
        <w:tc>
          <w:tcPr>
            <w:tcW w:w="2700" w:type="dxa"/>
            <w:vAlign w:val="center"/>
          </w:tcPr>
          <w:p w14:paraId="03B9F6D2">
            <w:pPr>
              <w:jc w:val="left"/>
            </w:pPr>
            <w:r>
              <w:rPr>
                <w:rFonts w:ascii="宋体" w:hAnsi="宋体" w:eastAsia="宋体" w:cs="宋体"/>
                <w:b w:val="0"/>
                <w:i w:val="0"/>
                <w:color w:val="000000"/>
                <w:sz w:val="16"/>
              </w:rPr>
              <w:t>住房保障支出</w:t>
            </w:r>
          </w:p>
        </w:tc>
        <w:tc>
          <w:tcPr>
            <w:tcW w:w="1420" w:type="dxa"/>
            <w:vAlign w:val="center"/>
          </w:tcPr>
          <w:p w14:paraId="185835BC">
            <w:pPr>
              <w:jc w:val="right"/>
            </w:pPr>
            <w:r>
              <w:rPr>
                <w:rFonts w:ascii="宋体" w:hAnsi="宋体" w:eastAsia="宋体" w:cs="宋体"/>
                <w:b w:val="0"/>
                <w:i w:val="0"/>
                <w:color w:val="000000"/>
                <w:sz w:val="16"/>
              </w:rPr>
              <w:t>4,506.87</w:t>
            </w:r>
          </w:p>
        </w:tc>
        <w:tc>
          <w:tcPr>
            <w:tcW w:w="1520" w:type="dxa"/>
            <w:vAlign w:val="center"/>
          </w:tcPr>
          <w:p w14:paraId="370EF94F">
            <w:pPr>
              <w:jc w:val="right"/>
            </w:pPr>
            <w:r>
              <w:rPr>
                <w:rFonts w:ascii="宋体" w:hAnsi="宋体" w:eastAsia="宋体" w:cs="宋体"/>
                <w:b w:val="0"/>
                <w:i w:val="0"/>
                <w:color w:val="000000"/>
                <w:sz w:val="16"/>
              </w:rPr>
              <w:t>403.64</w:t>
            </w:r>
          </w:p>
        </w:tc>
        <w:tc>
          <w:tcPr>
            <w:tcW w:w="1526" w:type="dxa"/>
            <w:vAlign w:val="center"/>
          </w:tcPr>
          <w:p w14:paraId="46433DE5">
            <w:pPr>
              <w:jc w:val="right"/>
            </w:pPr>
            <w:r>
              <w:rPr>
                <w:rFonts w:ascii="宋体" w:hAnsi="宋体" w:eastAsia="宋体" w:cs="宋体"/>
                <w:b w:val="0"/>
                <w:i w:val="0"/>
                <w:color w:val="000000"/>
                <w:sz w:val="16"/>
              </w:rPr>
              <w:t>4,103.22</w:t>
            </w:r>
          </w:p>
        </w:tc>
      </w:tr>
      <w:tr w14:paraId="3C7CEC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6010D8E">
            <w:pPr>
              <w:jc w:val="left"/>
            </w:pPr>
            <w:r>
              <w:rPr>
                <w:rFonts w:ascii="宋体" w:hAnsi="宋体" w:eastAsia="宋体" w:cs="宋体"/>
                <w:b w:val="0"/>
                <w:i w:val="0"/>
                <w:color w:val="000000"/>
                <w:sz w:val="16"/>
              </w:rPr>
              <w:t>22101</w:t>
            </w:r>
          </w:p>
        </w:tc>
        <w:tc>
          <w:tcPr>
            <w:tcW w:w="2700" w:type="dxa"/>
            <w:vAlign w:val="center"/>
          </w:tcPr>
          <w:p w14:paraId="6B71DE62">
            <w:pPr>
              <w:jc w:val="left"/>
            </w:pPr>
            <w:r>
              <w:rPr>
                <w:rFonts w:ascii="宋体" w:hAnsi="宋体" w:eastAsia="宋体" w:cs="宋体"/>
                <w:b w:val="0"/>
                <w:i w:val="0"/>
                <w:color w:val="000000"/>
                <w:sz w:val="16"/>
              </w:rPr>
              <w:t>保障性安居工程支出</w:t>
            </w:r>
          </w:p>
        </w:tc>
        <w:tc>
          <w:tcPr>
            <w:tcW w:w="1420" w:type="dxa"/>
            <w:vAlign w:val="center"/>
          </w:tcPr>
          <w:p w14:paraId="388E0F58">
            <w:pPr>
              <w:jc w:val="right"/>
            </w:pPr>
            <w:r>
              <w:rPr>
                <w:rFonts w:ascii="宋体" w:hAnsi="宋体" w:eastAsia="宋体" w:cs="宋体"/>
                <w:b w:val="0"/>
                <w:i w:val="0"/>
                <w:color w:val="000000"/>
                <w:sz w:val="16"/>
              </w:rPr>
              <w:t>4,403.22</w:t>
            </w:r>
          </w:p>
        </w:tc>
        <w:tc>
          <w:tcPr>
            <w:tcW w:w="1520" w:type="dxa"/>
            <w:vAlign w:val="center"/>
          </w:tcPr>
          <w:p w14:paraId="4A64E64D">
            <w:pPr>
              <w:jc w:val="right"/>
            </w:pPr>
            <w:r>
              <w:rPr>
                <w:rFonts w:ascii="宋体" w:hAnsi="宋体" w:eastAsia="宋体" w:cs="宋体"/>
                <w:b w:val="0"/>
                <w:i w:val="0"/>
                <w:color w:val="000000"/>
                <w:sz w:val="16"/>
              </w:rPr>
              <w:t>300.00</w:t>
            </w:r>
          </w:p>
        </w:tc>
        <w:tc>
          <w:tcPr>
            <w:tcW w:w="1526" w:type="dxa"/>
            <w:vAlign w:val="center"/>
          </w:tcPr>
          <w:p w14:paraId="6DFD1CE7">
            <w:pPr>
              <w:jc w:val="right"/>
            </w:pPr>
            <w:r>
              <w:rPr>
                <w:rFonts w:ascii="宋体" w:hAnsi="宋体" w:eastAsia="宋体" w:cs="宋体"/>
                <w:b w:val="0"/>
                <w:i w:val="0"/>
                <w:color w:val="000000"/>
                <w:sz w:val="16"/>
              </w:rPr>
              <w:t>4,103.22</w:t>
            </w:r>
          </w:p>
        </w:tc>
      </w:tr>
      <w:tr w14:paraId="1F3AF3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0A111CF">
            <w:pPr>
              <w:jc w:val="left"/>
            </w:pPr>
            <w:r>
              <w:rPr>
                <w:rFonts w:ascii="宋体" w:hAnsi="宋体" w:eastAsia="宋体" w:cs="宋体"/>
                <w:b w:val="0"/>
                <w:i w:val="0"/>
                <w:color w:val="000000"/>
                <w:sz w:val="16"/>
              </w:rPr>
              <w:t>2210106</w:t>
            </w:r>
          </w:p>
        </w:tc>
        <w:tc>
          <w:tcPr>
            <w:tcW w:w="2700" w:type="dxa"/>
            <w:vAlign w:val="center"/>
          </w:tcPr>
          <w:p w14:paraId="19DB864D">
            <w:pPr>
              <w:jc w:val="left"/>
            </w:pPr>
            <w:r>
              <w:rPr>
                <w:rFonts w:ascii="宋体" w:hAnsi="宋体" w:eastAsia="宋体" w:cs="宋体"/>
                <w:b w:val="0"/>
                <w:i w:val="0"/>
                <w:color w:val="000000"/>
                <w:sz w:val="16"/>
              </w:rPr>
              <w:t>公共租赁住房</w:t>
            </w:r>
          </w:p>
        </w:tc>
        <w:tc>
          <w:tcPr>
            <w:tcW w:w="1420" w:type="dxa"/>
            <w:vAlign w:val="center"/>
          </w:tcPr>
          <w:p w14:paraId="0F80CAA4">
            <w:pPr>
              <w:jc w:val="right"/>
            </w:pPr>
            <w:r>
              <w:rPr>
                <w:rFonts w:ascii="宋体" w:hAnsi="宋体" w:eastAsia="宋体" w:cs="宋体"/>
                <w:b w:val="0"/>
                <w:i w:val="0"/>
                <w:color w:val="000000"/>
                <w:sz w:val="16"/>
              </w:rPr>
              <w:t>813.81</w:t>
            </w:r>
          </w:p>
        </w:tc>
        <w:tc>
          <w:tcPr>
            <w:tcW w:w="1520" w:type="dxa"/>
            <w:vAlign w:val="center"/>
          </w:tcPr>
          <w:p w14:paraId="35866E1C">
            <w:pPr>
              <w:jc w:val="right"/>
            </w:pPr>
            <w:r>
              <w:rPr>
                <w:rFonts w:ascii="宋体" w:hAnsi="宋体" w:eastAsia="宋体" w:cs="宋体"/>
                <w:b w:val="0"/>
                <w:i w:val="0"/>
                <w:color w:val="000000"/>
                <w:sz w:val="16"/>
              </w:rPr>
              <w:t>300.00</w:t>
            </w:r>
          </w:p>
        </w:tc>
        <w:tc>
          <w:tcPr>
            <w:tcW w:w="1526" w:type="dxa"/>
            <w:vAlign w:val="center"/>
          </w:tcPr>
          <w:p w14:paraId="3A327F7A">
            <w:pPr>
              <w:jc w:val="right"/>
            </w:pPr>
            <w:r>
              <w:rPr>
                <w:rFonts w:ascii="宋体" w:hAnsi="宋体" w:eastAsia="宋体" w:cs="宋体"/>
                <w:b w:val="0"/>
                <w:i w:val="0"/>
                <w:color w:val="000000"/>
                <w:sz w:val="16"/>
              </w:rPr>
              <w:t>513.81</w:t>
            </w:r>
          </w:p>
        </w:tc>
      </w:tr>
      <w:tr w14:paraId="206DD7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A08A461">
            <w:pPr>
              <w:jc w:val="left"/>
            </w:pPr>
            <w:r>
              <w:rPr>
                <w:rFonts w:ascii="宋体" w:hAnsi="宋体" w:eastAsia="宋体" w:cs="宋体"/>
                <w:b w:val="0"/>
                <w:i w:val="0"/>
                <w:color w:val="000000"/>
                <w:sz w:val="16"/>
              </w:rPr>
              <w:t>2210107</w:t>
            </w:r>
          </w:p>
        </w:tc>
        <w:tc>
          <w:tcPr>
            <w:tcW w:w="2700" w:type="dxa"/>
            <w:vAlign w:val="center"/>
          </w:tcPr>
          <w:p w14:paraId="126F0D6E">
            <w:pPr>
              <w:jc w:val="left"/>
            </w:pPr>
            <w:r>
              <w:rPr>
                <w:rFonts w:ascii="宋体" w:hAnsi="宋体" w:eastAsia="宋体" w:cs="宋体"/>
                <w:b w:val="0"/>
                <w:i w:val="0"/>
                <w:color w:val="000000"/>
                <w:sz w:val="16"/>
              </w:rPr>
              <w:t>保障性住房租金补贴</w:t>
            </w:r>
          </w:p>
        </w:tc>
        <w:tc>
          <w:tcPr>
            <w:tcW w:w="1420" w:type="dxa"/>
            <w:vAlign w:val="center"/>
          </w:tcPr>
          <w:p w14:paraId="452993B0">
            <w:pPr>
              <w:jc w:val="right"/>
            </w:pPr>
            <w:r>
              <w:rPr>
                <w:rFonts w:ascii="宋体" w:hAnsi="宋体" w:eastAsia="宋体" w:cs="宋体"/>
                <w:b w:val="0"/>
                <w:i w:val="0"/>
                <w:color w:val="000000"/>
                <w:sz w:val="16"/>
              </w:rPr>
              <w:t>1,051.32</w:t>
            </w:r>
          </w:p>
        </w:tc>
        <w:tc>
          <w:tcPr>
            <w:tcW w:w="1520" w:type="dxa"/>
            <w:vAlign w:val="center"/>
          </w:tcPr>
          <w:p w14:paraId="67685711"/>
        </w:tc>
        <w:tc>
          <w:tcPr>
            <w:tcW w:w="1526" w:type="dxa"/>
            <w:vAlign w:val="center"/>
          </w:tcPr>
          <w:p w14:paraId="00306C62">
            <w:pPr>
              <w:jc w:val="right"/>
            </w:pPr>
            <w:r>
              <w:rPr>
                <w:rFonts w:ascii="宋体" w:hAnsi="宋体" w:eastAsia="宋体" w:cs="宋体"/>
                <w:b w:val="0"/>
                <w:i w:val="0"/>
                <w:color w:val="000000"/>
                <w:sz w:val="16"/>
              </w:rPr>
              <w:t>1,051.32</w:t>
            </w:r>
          </w:p>
        </w:tc>
      </w:tr>
      <w:tr w14:paraId="33CFCB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DA62489">
            <w:pPr>
              <w:jc w:val="left"/>
            </w:pPr>
            <w:r>
              <w:rPr>
                <w:rFonts w:ascii="宋体" w:hAnsi="宋体" w:eastAsia="宋体" w:cs="宋体"/>
                <w:b w:val="0"/>
                <w:i w:val="0"/>
                <w:color w:val="000000"/>
                <w:sz w:val="16"/>
              </w:rPr>
              <w:t>2210108</w:t>
            </w:r>
          </w:p>
        </w:tc>
        <w:tc>
          <w:tcPr>
            <w:tcW w:w="2700" w:type="dxa"/>
            <w:vAlign w:val="center"/>
          </w:tcPr>
          <w:p w14:paraId="5CAB3C9F">
            <w:pPr>
              <w:jc w:val="left"/>
            </w:pPr>
            <w:r>
              <w:rPr>
                <w:rFonts w:ascii="宋体" w:hAnsi="宋体" w:eastAsia="宋体" w:cs="宋体"/>
                <w:b w:val="0"/>
                <w:i w:val="0"/>
                <w:color w:val="000000"/>
                <w:sz w:val="16"/>
              </w:rPr>
              <w:t>老旧小区改造</w:t>
            </w:r>
          </w:p>
        </w:tc>
        <w:tc>
          <w:tcPr>
            <w:tcW w:w="1420" w:type="dxa"/>
            <w:vAlign w:val="center"/>
          </w:tcPr>
          <w:p w14:paraId="6B753733">
            <w:pPr>
              <w:jc w:val="right"/>
            </w:pPr>
            <w:r>
              <w:rPr>
                <w:rFonts w:ascii="宋体" w:hAnsi="宋体" w:eastAsia="宋体" w:cs="宋体"/>
                <w:b w:val="0"/>
                <w:i w:val="0"/>
                <w:color w:val="000000"/>
                <w:sz w:val="16"/>
              </w:rPr>
              <w:t>2,516.00</w:t>
            </w:r>
          </w:p>
        </w:tc>
        <w:tc>
          <w:tcPr>
            <w:tcW w:w="1520" w:type="dxa"/>
            <w:vAlign w:val="center"/>
          </w:tcPr>
          <w:p w14:paraId="66460264"/>
        </w:tc>
        <w:tc>
          <w:tcPr>
            <w:tcW w:w="1526" w:type="dxa"/>
            <w:vAlign w:val="center"/>
          </w:tcPr>
          <w:p w14:paraId="545E4CB5">
            <w:pPr>
              <w:jc w:val="right"/>
            </w:pPr>
            <w:r>
              <w:rPr>
                <w:rFonts w:ascii="宋体" w:hAnsi="宋体" w:eastAsia="宋体" w:cs="宋体"/>
                <w:b w:val="0"/>
                <w:i w:val="0"/>
                <w:color w:val="000000"/>
                <w:sz w:val="16"/>
              </w:rPr>
              <w:t>2,516.00</w:t>
            </w:r>
          </w:p>
        </w:tc>
      </w:tr>
      <w:tr w14:paraId="4B333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21098DA">
            <w:pPr>
              <w:jc w:val="left"/>
            </w:pPr>
            <w:r>
              <w:rPr>
                <w:rFonts w:ascii="宋体" w:hAnsi="宋体" w:eastAsia="宋体" w:cs="宋体"/>
                <w:b w:val="0"/>
                <w:i w:val="0"/>
                <w:color w:val="000000"/>
                <w:sz w:val="16"/>
              </w:rPr>
              <w:t>2210110</w:t>
            </w:r>
          </w:p>
        </w:tc>
        <w:tc>
          <w:tcPr>
            <w:tcW w:w="2700" w:type="dxa"/>
            <w:vAlign w:val="center"/>
          </w:tcPr>
          <w:p w14:paraId="7FAE3C0D">
            <w:pPr>
              <w:jc w:val="left"/>
            </w:pPr>
            <w:r>
              <w:rPr>
                <w:rFonts w:ascii="宋体" w:hAnsi="宋体" w:eastAsia="宋体" w:cs="宋体"/>
                <w:b w:val="0"/>
                <w:i w:val="0"/>
                <w:color w:val="000000"/>
                <w:sz w:val="16"/>
              </w:rPr>
              <w:t>保障性租赁住房</w:t>
            </w:r>
          </w:p>
        </w:tc>
        <w:tc>
          <w:tcPr>
            <w:tcW w:w="1420" w:type="dxa"/>
            <w:vAlign w:val="center"/>
          </w:tcPr>
          <w:p w14:paraId="27747D9B">
            <w:pPr>
              <w:jc w:val="right"/>
            </w:pPr>
            <w:r>
              <w:rPr>
                <w:rFonts w:ascii="宋体" w:hAnsi="宋体" w:eastAsia="宋体" w:cs="宋体"/>
                <w:b w:val="0"/>
                <w:i w:val="0"/>
                <w:color w:val="000000"/>
                <w:sz w:val="16"/>
              </w:rPr>
              <w:t>22.10</w:t>
            </w:r>
          </w:p>
        </w:tc>
        <w:tc>
          <w:tcPr>
            <w:tcW w:w="1520" w:type="dxa"/>
            <w:vAlign w:val="center"/>
          </w:tcPr>
          <w:p w14:paraId="1C3323E6"/>
        </w:tc>
        <w:tc>
          <w:tcPr>
            <w:tcW w:w="1526" w:type="dxa"/>
            <w:vAlign w:val="center"/>
          </w:tcPr>
          <w:p w14:paraId="2D548BAC">
            <w:pPr>
              <w:jc w:val="right"/>
            </w:pPr>
            <w:r>
              <w:rPr>
                <w:rFonts w:ascii="宋体" w:hAnsi="宋体" w:eastAsia="宋体" w:cs="宋体"/>
                <w:b w:val="0"/>
                <w:i w:val="0"/>
                <w:color w:val="000000"/>
                <w:sz w:val="16"/>
              </w:rPr>
              <w:t>22.10</w:t>
            </w:r>
          </w:p>
        </w:tc>
      </w:tr>
      <w:tr w14:paraId="3C0F28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7F87C89">
            <w:pPr>
              <w:jc w:val="left"/>
            </w:pPr>
            <w:r>
              <w:rPr>
                <w:rFonts w:ascii="宋体" w:hAnsi="宋体" w:eastAsia="宋体" w:cs="宋体"/>
                <w:b w:val="0"/>
                <w:i w:val="0"/>
                <w:color w:val="000000"/>
                <w:sz w:val="16"/>
              </w:rPr>
              <w:t>22102</w:t>
            </w:r>
          </w:p>
        </w:tc>
        <w:tc>
          <w:tcPr>
            <w:tcW w:w="2700" w:type="dxa"/>
            <w:vAlign w:val="center"/>
          </w:tcPr>
          <w:p w14:paraId="793D0A02">
            <w:pPr>
              <w:jc w:val="left"/>
            </w:pPr>
            <w:r>
              <w:rPr>
                <w:rFonts w:ascii="宋体" w:hAnsi="宋体" w:eastAsia="宋体" w:cs="宋体"/>
                <w:b w:val="0"/>
                <w:i w:val="0"/>
                <w:color w:val="000000"/>
                <w:sz w:val="16"/>
              </w:rPr>
              <w:t>住房改革支出</w:t>
            </w:r>
          </w:p>
        </w:tc>
        <w:tc>
          <w:tcPr>
            <w:tcW w:w="1420" w:type="dxa"/>
            <w:vAlign w:val="center"/>
          </w:tcPr>
          <w:p w14:paraId="2973E114">
            <w:pPr>
              <w:jc w:val="right"/>
            </w:pPr>
            <w:r>
              <w:rPr>
                <w:rFonts w:ascii="宋体" w:hAnsi="宋体" w:eastAsia="宋体" w:cs="宋体"/>
                <w:b w:val="0"/>
                <w:i w:val="0"/>
                <w:color w:val="000000"/>
                <w:sz w:val="16"/>
              </w:rPr>
              <w:t>103.64</w:t>
            </w:r>
          </w:p>
        </w:tc>
        <w:tc>
          <w:tcPr>
            <w:tcW w:w="1520" w:type="dxa"/>
            <w:vAlign w:val="center"/>
          </w:tcPr>
          <w:p w14:paraId="64790EE3">
            <w:pPr>
              <w:jc w:val="right"/>
            </w:pPr>
            <w:r>
              <w:rPr>
                <w:rFonts w:ascii="宋体" w:hAnsi="宋体" w:eastAsia="宋体" w:cs="宋体"/>
                <w:b w:val="0"/>
                <w:i w:val="0"/>
                <w:color w:val="000000"/>
                <w:sz w:val="16"/>
              </w:rPr>
              <w:t>103.64</w:t>
            </w:r>
          </w:p>
        </w:tc>
        <w:tc>
          <w:tcPr>
            <w:tcW w:w="1526" w:type="dxa"/>
            <w:vAlign w:val="center"/>
          </w:tcPr>
          <w:p w14:paraId="0E7A4578"/>
        </w:tc>
      </w:tr>
      <w:tr w14:paraId="535C2A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95B5118">
            <w:pPr>
              <w:jc w:val="left"/>
            </w:pPr>
            <w:r>
              <w:rPr>
                <w:rFonts w:ascii="宋体" w:hAnsi="宋体" w:eastAsia="宋体" w:cs="宋体"/>
                <w:b w:val="0"/>
                <w:i w:val="0"/>
                <w:color w:val="000000"/>
                <w:sz w:val="16"/>
              </w:rPr>
              <w:t>2210201</w:t>
            </w:r>
          </w:p>
        </w:tc>
        <w:tc>
          <w:tcPr>
            <w:tcW w:w="2700" w:type="dxa"/>
            <w:vAlign w:val="center"/>
          </w:tcPr>
          <w:p w14:paraId="2B31C6A7">
            <w:pPr>
              <w:jc w:val="left"/>
            </w:pPr>
            <w:r>
              <w:rPr>
                <w:rFonts w:ascii="宋体" w:hAnsi="宋体" w:eastAsia="宋体" w:cs="宋体"/>
                <w:b w:val="0"/>
                <w:i w:val="0"/>
                <w:color w:val="000000"/>
                <w:sz w:val="16"/>
              </w:rPr>
              <w:t>住房公积金</w:t>
            </w:r>
          </w:p>
        </w:tc>
        <w:tc>
          <w:tcPr>
            <w:tcW w:w="1420" w:type="dxa"/>
            <w:vAlign w:val="center"/>
          </w:tcPr>
          <w:p w14:paraId="37149BDD">
            <w:pPr>
              <w:jc w:val="right"/>
            </w:pPr>
            <w:r>
              <w:rPr>
                <w:rFonts w:ascii="宋体" w:hAnsi="宋体" w:eastAsia="宋体" w:cs="宋体"/>
                <w:b w:val="0"/>
                <w:i w:val="0"/>
                <w:color w:val="000000"/>
                <w:sz w:val="16"/>
              </w:rPr>
              <w:t>103.64</w:t>
            </w:r>
          </w:p>
        </w:tc>
        <w:tc>
          <w:tcPr>
            <w:tcW w:w="1520" w:type="dxa"/>
            <w:vAlign w:val="center"/>
          </w:tcPr>
          <w:p w14:paraId="18235BEE">
            <w:pPr>
              <w:jc w:val="right"/>
            </w:pPr>
            <w:r>
              <w:rPr>
                <w:rFonts w:ascii="宋体" w:hAnsi="宋体" w:eastAsia="宋体" w:cs="宋体"/>
                <w:b w:val="0"/>
                <w:i w:val="0"/>
                <w:color w:val="000000"/>
                <w:sz w:val="16"/>
              </w:rPr>
              <w:t>103.64</w:t>
            </w:r>
          </w:p>
        </w:tc>
        <w:tc>
          <w:tcPr>
            <w:tcW w:w="1526" w:type="dxa"/>
            <w:vAlign w:val="center"/>
          </w:tcPr>
          <w:p w14:paraId="2BB57AA7"/>
        </w:tc>
      </w:tr>
      <w:tr w14:paraId="173439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687E4C4B">
            <w:pPr>
              <w:jc w:val="left"/>
            </w:pPr>
            <w:r>
              <w:rPr>
                <w:rFonts w:ascii="宋体" w:hAnsi="宋体" w:eastAsia="宋体" w:cs="宋体"/>
                <w:b w:val="0"/>
                <w:i w:val="0"/>
                <w:color w:val="000000"/>
                <w:sz w:val="16"/>
              </w:rPr>
              <w:t>注：本表反映部门(单位)本年度一般公共预算财政拨款支出情况。</w:t>
            </w:r>
          </w:p>
        </w:tc>
      </w:tr>
    </w:tbl>
    <w:p w14:paraId="128A32B3">
      <w:pPr>
        <w:snapToGrid w:val="0"/>
        <w:spacing w:before="200" w:after="200" w:line="200" w:lineRule="auto"/>
      </w:pPr>
      <w:r>
        <w:rPr>
          <w:sz w:val="8"/>
        </w:rPr>
        <w:t xml:space="preserve"> </w:t>
      </w:r>
    </w:p>
    <w:p w14:paraId="3977770D">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一般公共预算财政拨款基本支出决算表</w:t>
      </w:r>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579FFFB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32D143A2">
            <w:pPr>
              <w:jc w:val="right"/>
            </w:pPr>
            <w:r>
              <w:rPr>
                <w:rFonts w:ascii="宋体" w:hAnsi="宋体" w:eastAsia="宋体" w:cs="宋体"/>
                <w:sz w:val="20"/>
              </w:rPr>
              <w:t>公开06表</w:t>
            </w:r>
          </w:p>
        </w:tc>
      </w:tr>
      <w:tr w14:paraId="79BA224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65198BA2">
            <w:pPr>
              <w:jc w:val="left"/>
            </w:pPr>
            <w:r>
              <w:rPr>
                <w:rFonts w:ascii="宋体" w:hAnsi="宋体" w:eastAsia="宋体" w:cs="宋体"/>
                <w:sz w:val="20"/>
              </w:rPr>
              <w:t>部门：南昌市青云谱区住房和城乡建设局</w:t>
            </w:r>
          </w:p>
        </w:tc>
        <w:tc>
          <w:tcPr>
            <w:tcW w:w="2000" w:type="dxa"/>
          </w:tcPr>
          <w:p w14:paraId="23B7E3DF">
            <w:pPr>
              <w:jc w:val="center"/>
            </w:pPr>
            <w:r>
              <w:rPr>
                <w:rFonts w:ascii="宋体" w:hAnsi="宋体" w:eastAsia="宋体" w:cs="宋体"/>
                <w:sz w:val="20"/>
              </w:rPr>
              <w:t>2023年度</w:t>
            </w:r>
          </w:p>
        </w:tc>
        <w:tc>
          <w:tcPr>
            <w:tcW w:w="3153" w:type="dxa"/>
          </w:tcPr>
          <w:p w14:paraId="220F471F">
            <w:pPr>
              <w:jc w:val="right"/>
            </w:pPr>
            <w:r>
              <w:rPr>
                <w:rFonts w:ascii="宋体" w:hAnsi="宋体" w:eastAsia="宋体" w:cs="宋体"/>
                <w:sz w:val="20"/>
              </w:rPr>
              <w:t>金额单位：万元</w:t>
            </w:r>
          </w:p>
        </w:tc>
      </w:tr>
    </w:tbl>
    <w:p w14:paraId="3FA76408">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1740"/>
        <w:gridCol w:w="800"/>
        <w:gridCol w:w="540"/>
        <w:gridCol w:w="1380"/>
        <w:gridCol w:w="820"/>
        <w:gridCol w:w="540"/>
        <w:gridCol w:w="1260"/>
        <w:gridCol w:w="786"/>
      </w:tblGrid>
      <w:tr w14:paraId="26381B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02" w:hRule="exact"/>
          <w:jc w:val="center"/>
        </w:trPr>
        <w:tc>
          <w:tcPr>
            <w:tcW w:w="440" w:type="dxa"/>
            <w:gridSpan w:val="3"/>
            <w:vAlign w:val="center"/>
          </w:tcPr>
          <w:p w14:paraId="465C4C5E">
            <w:pPr>
              <w:jc w:val="center"/>
            </w:pPr>
            <w:r>
              <w:rPr>
                <w:rFonts w:ascii="宋体" w:hAnsi="宋体" w:eastAsia="宋体" w:cs="宋体"/>
                <w:b w:val="0"/>
                <w:i w:val="0"/>
                <w:color w:val="000000"/>
                <w:sz w:val="9"/>
              </w:rPr>
              <w:t>人员经费</w:t>
            </w:r>
          </w:p>
        </w:tc>
        <w:tc>
          <w:tcPr>
            <w:tcW w:w="540" w:type="dxa"/>
            <w:gridSpan w:val="6"/>
            <w:vAlign w:val="center"/>
          </w:tcPr>
          <w:p w14:paraId="417B26B6">
            <w:pPr>
              <w:jc w:val="center"/>
            </w:pPr>
            <w:r>
              <w:rPr>
                <w:rFonts w:ascii="宋体" w:hAnsi="宋体" w:eastAsia="宋体" w:cs="宋体"/>
                <w:b w:val="0"/>
                <w:i w:val="0"/>
                <w:color w:val="000000"/>
                <w:sz w:val="9"/>
              </w:rPr>
              <w:t>公用经费</w:t>
            </w:r>
          </w:p>
        </w:tc>
      </w:tr>
      <w:tr w14:paraId="272FA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4" w:hRule="exact"/>
          <w:jc w:val="center"/>
        </w:trPr>
        <w:tc>
          <w:tcPr>
            <w:tcW w:w="440" w:type="dxa"/>
            <w:vAlign w:val="center"/>
          </w:tcPr>
          <w:p w14:paraId="164EB8C2">
            <w:pPr>
              <w:jc w:val="center"/>
            </w:pPr>
            <w:r>
              <w:rPr>
                <w:rFonts w:ascii="宋体" w:hAnsi="宋体" w:eastAsia="宋体" w:cs="宋体"/>
                <w:b w:val="0"/>
                <w:i w:val="0"/>
                <w:color w:val="000000"/>
                <w:sz w:val="9"/>
              </w:rPr>
              <w:t>经济分类科目编码</w:t>
            </w:r>
          </w:p>
        </w:tc>
        <w:tc>
          <w:tcPr>
            <w:tcW w:w="1740" w:type="dxa"/>
            <w:vAlign w:val="center"/>
          </w:tcPr>
          <w:p w14:paraId="5BA44D3C">
            <w:pPr>
              <w:jc w:val="center"/>
            </w:pPr>
            <w:r>
              <w:rPr>
                <w:rFonts w:ascii="宋体" w:hAnsi="宋体" w:eastAsia="宋体" w:cs="宋体"/>
                <w:b w:val="0"/>
                <w:i w:val="0"/>
                <w:color w:val="000000"/>
                <w:sz w:val="9"/>
              </w:rPr>
              <w:t>科目名称</w:t>
            </w:r>
          </w:p>
        </w:tc>
        <w:tc>
          <w:tcPr>
            <w:tcW w:w="800" w:type="dxa"/>
            <w:vAlign w:val="center"/>
          </w:tcPr>
          <w:p w14:paraId="022E27CF">
            <w:pPr>
              <w:jc w:val="center"/>
            </w:pPr>
            <w:r>
              <w:rPr>
                <w:rFonts w:ascii="宋体" w:hAnsi="宋体" w:eastAsia="宋体" w:cs="宋体"/>
                <w:b w:val="0"/>
                <w:i w:val="0"/>
                <w:color w:val="000000"/>
                <w:sz w:val="9"/>
              </w:rPr>
              <w:t>金额</w:t>
            </w:r>
          </w:p>
        </w:tc>
        <w:tc>
          <w:tcPr>
            <w:tcW w:w="540" w:type="dxa"/>
            <w:vAlign w:val="center"/>
          </w:tcPr>
          <w:p w14:paraId="1A68B849">
            <w:pPr>
              <w:jc w:val="center"/>
            </w:pPr>
            <w:r>
              <w:rPr>
                <w:rFonts w:ascii="宋体" w:hAnsi="宋体" w:eastAsia="宋体" w:cs="宋体"/>
                <w:b w:val="0"/>
                <w:i w:val="0"/>
                <w:color w:val="000000"/>
                <w:sz w:val="9"/>
              </w:rPr>
              <w:t>经济分类科目编码</w:t>
            </w:r>
          </w:p>
        </w:tc>
        <w:tc>
          <w:tcPr>
            <w:tcW w:w="1380" w:type="dxa"/>
            <w:vAlign w:val="center"/>
          </w:tcPr>
          <w:p w14:paraId="64685420">
            <w:pPr>
              <w:jc w:val="center"/>
            </w:pPr>
            <w:r>
              <w:rPr>
                <w:rFonts w:ascii="宋体" w:hAnsi="宋体" w:eastAsia="宋体" w:cs="宋体"/>
                <w:b w:val="0"/>
                <w:i w:val="0"/>
                <w:color w:val="000000"/>
                <w:sz w:val="9"/>
              </w:rPr>
              <w:t>科目名称</w:t>
            </w:r>
          </w:p>
        </w:tc>
        <w:tc>
          <w:tcPr>
            <w:tcW w:w="820" w:type="dxa"/>
            <w:vAlign w:val="center"/>
          </w:tcPr>
          <w:p w14:paraId="1FADE37A">
            <w:pPr>
              <w:jc w:val="center"/>
            </w:pPr>
            <w:r>
              <w:rPr>
                <w:rFonts w:ascii="宋体" w:hAnsi="宋体" w:eastAsia="宋体" w:cs="宋体"/>
                <w:b w:val="0"/>
                <w:i w:val="0"/>
                <w:color w:val="000000"/>
                <w:sz w:val="9"/>
              </w:rPr>
              <w:t>金额</w:t>
            </w:r>
          </w:p>
        </w:tc>
        <w:tc>
          <w:tcPr>
            <w:tcW w:w="540" w:type="dxa"/>
            <w:vAlign w:val="center"/>
          </w:tcPr>
          <w:p w14:paraId="2C63B312">
            <w:pPr>
              <w:jc w:val="center"/>
            </w:pPr>
            <w:r>
              <w:rPr>
                <w:rFonts w:ascii="宋体" w:hAnsi="宋体" w:eastAsia="宋体" w:cs="宋体"/>
                <w:b w:val="0"/>
                <w:i w:val="0"/>
                <w:color w:val="000000"/>
                <w:sz w:val="9"/>
              </w:rPr>
              <w:t>经济分类科目编码</w:t>
            </w:r>
          </w:p>
        </w:tc>
        <w:tc>
          <w:tcPr>
            <w:tcW w:w="1260" w:type="dxa"/>
            <w:vAlign w:val="center"/>
          </w:tcPr>
          <w:p w14:paraId="510C0A30">
            <w:pPr>
              <w:jc w:val="center"/>
            </w:pPr>
            <w:r>
              <w:rPr>
                <w:rFonts w:ascii="宋体" w:hAnsi="宋体" w:eastAsia="宋体" w:cs="宋体"/>
                <w:b w:val="0"/>
                <w:i w:val="0"/>
                <w:color w:val="000000"/>
                <w:sz w:val="9"/>
              </w:rPr>
              <w:t>科目名称</w:t>
            </w:r>
          </w:p>
        </w:tc>
        <w:tc>
          <w:tcPr>
            <w:tcW w:w="786" w:type="dxa"/>
            <w:vAlign w:val="center"/>
          </w:tcPr>
          <w:p w14:paraId="34B57759">
            <w:pPr>
              <w:jc w:val="center"/>
            </w:pPr>
            <w:r>
              <w:rPr>
                <w:rFonts w:ascii="宋体" w:hAnsi="宋体" w:eastAsia="宋体" w:cs="宋体"/>
                <w:b w:val="0"/>
                <w:i w:val="0"/>
                <w:color w:val="000000"/>
                <w:sz w:val="9"/>
              </w:rPr>
              <w:t>金额</w:t>
            </w:r>
          </w:p>
        </w:tc>
      </w:tr>
      <w:tr w14:paraId="7AF757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8FD1858">
            <w:pPr>
              <w:jc w:val="left"/>
            </w:pPr>
            <w:r>
              <w:rPr>
                <w:rFonts w:ascii="宋体" w:hAnsi="宋体" w:eastAsia="宋体" w:cs="宋体"/>
                <w:b/>
                <w:i w:val="0"/>
                <w:color w:val="000000"/>
                <w:sz w:val="9"/>
              </w:rPr>
              <w:t>301</w:t>
            </w:r>
          </w:p>
        </w:tc>
        <w:tc>
          <w:tcPr>
            <w:tcW w:w="1740" w:type="dxa"/>
            <w:vAlign w:val="center"/>
          </w:tcPr>
          <w:p w14:paraId="2F2842F3">
            <w:pPr>
              <w:jc w:val="left"/>
            </w:pPr>
            <w:r>
              <w:rPr>
                <w:rFonts w:ascii="宋体" w:hAnsi="宋体" w:eastAsia="宋体" w:cs="宋体"/>
                <w:b/>
                <w:i w:val="0"/>
                <w:color w:val="000000"/>
                <w:sz w:val="9"/>
              </w:rPr>
              <w:t>工资福利支出</w:t>
            </w:r>
          </w:p>
        </w:tc>
        <w:tc>
          <w:tcPr>
            <w:tcW w:w="800" w:type="dxa"/>
            <w:vAlign w:val="center"/>
          </w:tcPr>
          <w:p w14:paraId="2F515644">
            <w:pPr>
              <w:jc w:val="right"/>
            </w:pPr>
            <w:r>
              <w:rPr>
                <w:rFonts w:ascii="宋体" w:hAnsi="宋体" w:eastAsia="宋体" w:cs="宋体"/>
                <w:b w:val="0"/>
                <w:i w:val="0"/>
                <w:color w:val="000000"/>
                <w:sz w:val="9"/>
              </w:rPr>
              <w:t>2,609.68</w:t>
            </w:r>
          </w:p>
        </w:tc>
        <w:tc>
          <w:tcPr>
            <w:tcW w:w="540" w:type="dxa"/>
            <w:vAlign w:val="center"/>
          </w:tcPr>
          <w:p w14:paraId="1F92B501">
            <w:pPr>
              <w:jc w:val="left"/>
            </w:pPr>
            <w:r>
              <w:rPr>
                <w:rFonts w:ascii="宋体" w:hAnsi="宋体" w:eastAsia="宋体" w:cs="宋体"/>
                <w:b/>
                <w:i w:val="0"/>
                <w:color w:val="000000"/>
                <w:sz w:val="9"/>
              </w:rPr>
              <w:t>302</w:t>
            </w:r>
          </w:p>
        </w:tc>
        <w:tc>
          <w:tcPr>
            <w:tcW w:w="1380" w:type="dxa"/>
            <w:vAlign w:val="center"/>
          </w:tcPr>
          <w:p w14:paraId="2480F3F5">
            <w:pPr>
              <w:jc w:val="left"/>
            </w:pPr>
            <w:r>
              <w:rPr>
                <w:rFonts w:ascii="宋体" w:hAnsi="宋体" w:eastAsia="宋体" w:cs="宋体"/>
                <w:b/>
                <w:i w:val="0"/>
                <w:color w:val="000000"/>
                <w:sz w:val="9"/>
              </w:rPr>
              <w:t>商品和服务支出</w:t>
            </w:r>
          </w:p>
        </w:tc>
        <w:tc>
          <w:tcPr>
            <w:tcW w:w="820" w:type="dxa"/>
            <w:vAlign w:val="center"/>
          </w:tcPr>
          <w:p w14:paraId="24585415">
            <w:pPr>
              <w:jc w:val="right"/>
            </w:pPr>
            <w:r>
              <w:rPr>
                <w:rFonts w:ascii="宋体" w:hAnsi="宋体" w:eastAsia="宋体" w:cs="宋体"/>
                <w:b w:val="0"/>
                <w:i w:val="0"/>
                <w:color w:val="000000"/>
                <w:sz w:val="9"/>
              </w:rPr>
              <w:t>734.08</w:t>
            </w:r>
          </w:p>
        </w:tc>
        <w:tc>
          <w:tcPr>
            <w:tcW w:w="540" w:type="dxa"/>
            <w:vAlign w:val="center"/>
          </w:tcPr>
          <w:p w14:paraId="7DACB455">
            <w:pPr>
              <w:jc w:val="left"/>
            </w:pPr>
            <w:r>
              <w:rPr>
                <w:rFonts w:ascii="宋体" w:hAnsi="宋体" w:eastAsia="宋体" w:cs="宋体"/>
                <w:b/>
                <w:i w:val="0"/>
                <w:color w:val="000000"/>
                <w:sz w:val="9"/>
              </w:rPr>
              <w:t>307</w:t>
            </w:r>
          </w:p>
        </w:tc>
        <w:tc>
          <w:tcPr>
            <w:tcW w:w="1260" w:type="dxa"/>
            <w:vAlign w:val="center"/>
          </w:tcPr>
          <w:p w14:paraId="491F9DF8">
            <w:pPr>
              <w:jc w:val="left"/>
            </w:pPr>
            <w:r>
              <w:rPr>
                <w:rFonts w:ascii="宋体" w:hAnsi="宋体" w:eastAsia="宋体" w:cs="宋体"/>
                <w:b/>
                <w:i w:val="0"/>
                <w:color w:val="000000"/>
                <w:sz w:val="9"/>
              </w:rPr>
              <w:t>债务利息及费用支出</w:t>
            </w:r>
          </w:p>
        </w:tc>
        <w:tc>
          <w:tcPr>
            <w:tcW w:w="786" w:type="dxa"/>
            <w:vAlign w:val="center"/>
          </w:tcPr>
          <w:p w14:paraId="26ED9BD5"/>
        </w:tc>
      </w:tr>
      <w:tr w14:paraId="18A568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F2D8D5E">
            <w:pPr>
              <w:jc w:val="left"/>
            </w:pPr>
            <w:r>
              <w:rPr>
                <w:rFonts w:ascii="宋体" w:hAnsi="宋体" w:eastAsia="宋体" w:cs="宋体"/>
                <w:b w:val="0"/>
                <w:i w:val="0"/>
                <w:color w:val="000000"/>
                <w:sz w:val="9"/>
              </w:rPr>
              <w:t>30101</w:t>
            </w:r>
          </w:p>
        </w:tc>
        <w:tc>
          <w:tcPr>
            <w:tcW w:w="1740" w:type="dxa"/>
            <w:vAlign w:val="center"/>
          </w:tcPr>
          <w:p w14:paraId="4BDC26F4">
            <w:pPr>
              <w:jc w:val="left"/>
            </w:pPr>
            <w:r>
              <w:rPr>
                <w:rFonts w:ascii="宋体" w:hAnsi="宋体" w:eastAsia="宋体" w:cs="宋体"/>
                <w:b w:val="0"/>
                <w:i w:val="0"/>
                <w:color w:val="000000"/>
                <w:sz w:val="9"/>
              </w:rPr>
              <w:t xml:space="preserve">  基本工资</w:t>
            </w:r>
          </w:p>
        </w:tc>
        <w:tc>
          <w:tcPr>
            <w:tcW w:w="800" w:type="dxa"/>
            <w:vAlign w:val="center"/>
          </w:tcPr>
          <w:p w14:paraId="2A25C5C8">
            <w:pPr>
              <w:jc w:val="right"/>
            </w:pPr>
            <w:r>
              <w:rPr>
                <w:rFonts w:ascii="宋体" w:hAnsi="宋体" w:eastAsia="宋体" w:cs="宋体"/>
                <w:b w:val="0"/>
                <w:i w:val="0"/>
                <w:color w:val="000000"/>
                <w:sz w:val="9"/>
              </w:rPr>
              <w:t>353.98</w:t>
            </w:r>
          </w:p>
        </w:tc>
        <w:tc>
          <w:tcPr>
            <w:tcW w:w="540" w:type="dxa"/>
            <w:vAlign w:val="center"/>
          </w:tcPr>
          <w:p w14:paraId="34052B3A">
            <w:pPr>
              <w:jc w:val="left"/>
            </w:pPr>
            <w:r>
              <w:rPr>
                <w:rFonts w:ascii="宋体" w:hAnsi="宋体" w:eastAsia="宋体" w:cs="宋体"/>
                <w:b w:val="0"/>
                <w:i w:val="0"/>
                <w:color w:val="000000"/>
                <w:sz w:val="9"/>
              </w:rPr>
              <w:t>30201</w:t>
            </w:r>
          </w:p>
        </w:tc>
        <w:tc>
          <w:tcPr>
            <w:tcW w:w="1380" w:type="dxa"/>
            <w:vAlign w:val="center"/>
          </w:tcPr>
          <w:p w14:paraId="3CBEBEDC">
            <w:pPr>
              <w:jc w:val="left"/>
            </w:pPr>
            <w:r>
              <w:rPr>
                <w:rFonts w:ascii="宋体" w:hAnsi="宋体" w:eastAsia="宋体" w:cs="宋体"/>
                <w:b w:val="0"/>
                <w:i w:val="0"/>
                <w:color w:val="000000"/>
                <w:sz w:val="9"/>
              </w:rPr>
              <w:t xml:space="preserve">  办公费</w:t>
            </w:r>
          </w:p>
        </w:tc>
        <w:tc>
          <w:tcPr>
            <w:tcW w:w="820" w:type="dxa"/>
            <w:vAlign w:val="center"/>
          </w:tcPr>
          <w:p w14:paraId="620F3BEA">
            <w:pPr>
              <w:jc w:val="right"/>
            </w:pPr>
            <w:r>
              <w:rPr>
                <w:rFonts w:ascii="宋体" w:hAnsi="宋体" w:eastAsia="宋体" w:cs="宋体"/>
                <w:b w:val="0"/>
                <w:i w:val="0"/>
                <w:color w:val="000000"/>
                <w:sz w:val="9"/>
              </w:rPr>
              <w:t>21.68</w:t>
            </w:r>
          </w:p>
        </w:tc>
        <w:tc>
          <w:tcPr>
            <w:tcW w:w="540" w:type="dxa"/>
            <w:vAlign w:val="center"/>
          </w:tcPr>
          <w:p w14:paraId="2054CCEE">
            <w:pPr>
              <w:jc w:val="left"/>
            </w:pPr>
            <w:r>
              <w:rPr>
                <w:rFonts w:ascii="宋体" w:hAnsi="宋体" w:eastAsia="宋体" w:cs="宋体"/>
                <w:b w:val="0"/>
                <w:i w:val="0"/>
                <w:color w:val="000000"/>
                <w:sz w:val="9"/>
              </w:rPr>
              <w:t>30701</w:t>
            </w:r>
          </w:p>
        </w:tc>
        <w:tc>
          <w:tcPr>
            <w:tcW w:w="1260" w:type="dxa"/>
            <w:vAlign w:val="center"/>
          </w:tcPr>
          <w:p w14:paraId="27EC1D75">
            <w:pPr>
              <w:jc w:val="left"/>
            </w:pPr>
            <w:r>
              <w:rPr>
                <w:rFonts w:ascii="宋体" w:hAnsi="宋体" w:eastAsia="宋体" w:cs="宋体"/>
                <w:b w:val="0"/>
                <w:i w:val="0"/>
                <w:color w:val="000000"/>
                <w:sz w:val="9"/>
              </w:rPr>
              <w:t xml:space="preserve">  国内债务付息</w:t>
            </w:r>
          </w:p>
        </w:tc>
        <w:tc>
          <w:tcPr>
            <w:tcW w:w="786" w:type="dxa"/>
            <w:vAlign w:val="center"/>
          </w:tcPr>
          <w:p w14:paraId="091EB186"/>
        </w:tc>
      </w:tr>
      <w:tr w14:paraId="29A405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5B6573C">
            <w:pPr>
              <w:jc w:val="left"/>
            </w:pPr>
            <w:r>
              <w:rPr>
                <w:rFonts w:ascii="宋体" w:hAnsi="宋体" w:eastAsia="宋体" w:cs="宋体"/>
                <w:b w:val="0"/>
                <w:i w:val="0"/>
                <w:color w:val="000000"/>
                <w:sz w:val="9"/>
              </w:rPr>
              <w:t>30102</w:t>
            </w:r>
          </w:p>
        </w:tc>
        <w:tc>
          <w:tcPr>
            <w:tcW w:w="1740" w:type="dxa"/>
            <w:vAlign w:val="center"/>
          </w:tcPr>
          <w:p w14:paraId="43F189A0">
            <w:pPr>
              <w:jc w:val="left"/>
            </w:pPr>
            <w:r>
              <w:rPr>
                <w:rFonts w:ascii="宋体" w:hAnsi="宋体" w:eastAsia="宋体" w:cs="宋体"/>
                <w:b w:val="0"/>
                <w:i w:val="0"/>
                <w:color w:val="000000"/>
                <w:sz w:val="9"/>
              </w:rPr>
              <w:t xml:space="preserve">  津贴补贴</w:t>
            </w:r>
          </w:p>
        </w:tc>
        <w:tc>
          <w:tcPr>
            <w:tcW w:w="800" w:type="dxa"/>
            <w:vAlign w:val="center"/>
          </w:tcPr>
          <w:p w14:paraId="62D75603">
            <w:pPr>
              <w:jc w:val="right"/>
            </w:pPr>
            <w:r>
              <w:rPr>
                <w:rFonts w:ascii="宋体" w:hAnsi="宋体" w:eastAsia="宋体" w:cs="宋体"/>
                <w:b w:val="0"/>
                <w:i w:val="0"/>
                <w:color w:val="000000"/>
                <w:sz w:val="9"/>
              </w:rPr>
              <w:t>36.79</w:t>
            </w:r>
          </w:p>
        </w:tc>
        <w:tc>
          <w:tcPr>
            <w:tcW w:w="540" w:type="dxa"/>
            <w:vAlign w:val="center"/>
          </w:tcPr>
          <w:p w14:paraId="3CAE2228">
            <w:pPr>
              <w:jc w:val="left"/>
            </w:pPr>
            <w:r>
              <w:rPr>
                <w:rFonts w:ascii="宋体" w:hAnsi="宋体" w:eastAsia="宋体" w:cs="宋体"/>
                <w:b w:val="0"/>
                <w:i w:val="0"/>
                <w:color w:val="000000"/>
                <w:sz w:val="9"/>
              </w:rPr>
              <w:t>30202</w:t>
            </w:r>
          </w:p>
        </w:tc>
        <w:tc>
          <w:tcPr>
            <w:tcW w:w="1380" w:type="dxa"/>
            <w:vAlign w:val="center"/>
          </w:tcPr>
          <w:p w14:paraId="756C26B3">
            <w:pPr>
              <w:jc w:val="left"/>
            </w:pPr>
            <w:r>
              <w:rPr>
                <w:rFonts w:ascii="宋体" w:hAnsi="宋体" w:eastAsia="宋体" w:cs="宋体"/>
                <w:b w:val="0"/>
                <w:i w:val="0"/>
                <w:color w:val="000000"/>
                <w:sz w:val="9"/>
              </w:rPr>
              <w:t xml:space="preserve">  印刷费</w:t>
            </w:r>
          </w:p>
        </w:tc>
        <w:tc>
          <w:tcPr>
            <w:tcW w:w="820" w:type="dxa"/>
            <w:vAlign w:val="center"/>
          </w:tcPr>
          <w:p w14:paraId="0FFDE2D3">
            <w:pPr>
              <w:jc w:val="right"/>
            </w:pPr>
            <w:r>
              <w:rPr>
                <w:rFonts w:ascii="宋体" w:hAnsi="宋体" w:eastAsia="宋体" w:cs="宋体"/>
                <w:b w:val="0"/>
                <w:i w:val="0"/>
                <w:color w:val="000000"/>
                <w:sz w:val="9"/>
              </w:rPr>
              <w:t>2.95</w:t>
            </w:r>
          </w:p>
        </w:tc>
        <w:tc>
          <w:tcPr>
            <w:tcW w:w="540" w:type="dxa"/>
            <w:vAlign w:val="center"/>
          </w:tcPr>
          <w:p w14:paraId="7451990A">
            <w:pPr>
              <w:jc w:val="left"/>
            </w:pPr>
            <w:r>
              <w:rPr>
                <w:rFonts w:ascii="宋体" w:hAnsi="宋体" w:eastAsia="宋体" w:cs="宋体"/>
                <w:b w:val="0"/>
                <w:i w:val="0"/>
                <w:color w:val="000000"/>
                <w:sz w:val="9"/>
              </w:rPr>
              <w:t>30702</w:t>
            </w:r>
          </w:p>
        </w:tc>
        <w:tc>
          <w:tcPr>
            <w:tcW w:w="1260" w:type="dxa"/>
            <w:vAlign w:val="center"/>
          </w:tcPr>
          <w:p w14:paraId="73A92B37">
            <w:pPr>
              <w:jc w:val="left"/>
            </w:pPr>
            <w:r>
              <w:rPr>
                <w:rFonts w:ascii="宋体" w:hAnsi="宋体" w:eastAsia="宋体" w:cs="宋体"/>
                <w:b w:val="0"/>
                <w:i w:val="0"/>
                <w:color w:val="000000"/>
                <w:sz w:val="9"/>
              </w:rPr>
              <w:t xml:space="preserve">  国外债务付息</w:t>
            </w:r>
          </w:p>
        </w:tc>
        <w:tc>
          <w:tcPr>
            <w:tcW w:w="786" w:type="dxa"/>
            <w:vAlign w:val="center"/>
          </w:tcPr>
          <w:p w14:paraId="319DD49B"/>
        </w:tc>
      </w:tr>
      <w:tr w14:paraId="541BC6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5C52818">
            <w:pPr>
              <w:jc w:val="left"/>
            </w:pPr>
            <w:r>
              <w:rPr>
                <w:rFonts w:ascii="宋体" w:hAnsi="宋体" w:eastAsia="宋体" w:cs="宋体"/>
                <w:b w:val="0"/>
                <w:i w:val="0"/>
                <w:color w:val="000000"/>
                <w:sz w:val="9"/>
              </w:rPr>
              <w:t>30103</w:t>
            </w:r>
          </w:p>
        </w:tc>
        <w:tc>
          <w:tcPr>
            <w:tcW w:w="1740" w:type="dxa"/>
            <w:vAlign w:val="center"/>
          </w:tcPr>
          <w:p w14:paraId="658F5352">
            <w:pPr>
              <w:jc w:val="left"/>
            </w:pPr>
            <w:r>
              <w:rPr>
                <w:rFonts w:ascii="宋体" w:hAnsi="宋体" w:eastAsia="宋体" w:cs="宋体"/>
                <w:b w:val="0"/>
                <w:i w:val="0"/>
                <w:color w:val="000000"/>
                <w:sz w:val="9"/>
              </w:rPr>
              <w:t xml:space="preserve">  奖金</w:t>
            </w:r>
          </w:p>
        </w:tc>
        <w:tc>
          <w:tcPr>
            <w:tcW w:w="800" w:type="dxa"/>
            <w:vAlign w:val="center"/>
          </w:tcPr>
          <w:p w14:paraId="43472402">
            <w:pPr>
              <w:jc w:val="right"/>
            </w:pPr>
            <w:r>
              <w:rPr>
                <w:rFonts w:ascii="宋体" w:hAnsi="宋体" w:eastAsia="宋体" w:cs="宋体"/>
                <w:b w:val="0"/>
                <w:i w:val="0"/>
                <w:color w:val="000000"/>
                <w:sz w:val="9"/>
              </w:rPr>
              <w:t>612.32</w:t>
            </w:r>
          </w:p>
        </w:tc>
        <w:tc>
          <w:tcPr>
            <w:tcW w:w="540" w:type="dxa"/>
            <w:vAlign w:val="center"/>
          </w:tcPr>
          <w:p w14:paraId="2FD11623">
            <w:pPr>
              <w:jc w:val="left"/>
            </w:pPr>
            <w:r>
              <w:rPr>
                <w:rFonts w:ascii="宋体" w:hAnsi="宋体" w:eastAsia="宋体" w:cs="宋体"/>
                <w:b w:val="0"/>
                <w:i w:val="0"/>
                <w:color w:val="000000"/>
                <w:sz w:val="9"/>
              </w:rPr>
              <w:t>30203</w:t>
            </w:r>
          </w:p>
        </w:tc>
        <w:tc>
          <w:tcPr>
            <w:tcW w:w="1380" w:type="dxa"/>
            <w:vAlign w:val="center"/>
          </w:tcPr>
          <w:p w14:paraId="07C5AAEE">
            <w:pPr>
              <w:jc w:val="left"/>
            </w:pPr>
            <w:r>
              <w:rPr>
                <w:rFonts w:ascii="宋体" w:hAnsi="宋体" w:eastAsia="宋体" w:cs="宋体"/>
                <w:b w:val="0"/>
                <w:i w:val="0"/>
                <w:color w:val="000000"/>
                <w:sz w:val="9"/>
              </w:rPr>
              <w:t xml:space="preserve">  咨询费</w:t>
            </w:r>
          </w:p>
        </w:tc>
        <w:tc>
          <w:tcPr>
            <w:tcW w:w="820" w:type="dxa"/>
            <w:vAlign w:val="center"/>
          </w:tcPr>
          <w:p w14:paraId="1B326A1F">
            <w:pPr>
              <w:jc w:val="right"/>
            </w:pPr>
            <w:r>
              <w:rPr>
                <w:rFonts w:ascii="宋体" w:hAnsi="宋体" w:eastAsia="宋体" w:cs="宋体"/>
                <w:b w:val="0"/>
                <w:i w:val="0"/>
                <w:color w:val="000000"/>
                <w:sz w:val="9"/>
              </w:rPr>
              <w:t>7.51</w:t>
            </w:r>
          </w:p>
        </w:tc>
        <w:tc>
          <w:tcPr>
            <w:tcW w:w="540" w:type="dxa"/>
            <w:vAlign w:val="center"/>
          </w:tcPr>
          <w:p w14:paraId="05141DDF">
            <w:pPr>
              <w:jc w:val="left"/>
            </w:pPr>
            <w:r>
              <w:rPr>
                <w:rFonts w:ascii="宋体" w:hAnsi="宋体" w:eastAsia="宋体" w:cs="宋体"/>
                <w:b w:val="0"/>
                <w:i w:val="0"/>
                <w:color w:val="000000"/>
                <w:sz w:val="9"/>
              </w:rPr>
              <w:t>30703</w:t>
            </w:r>
          </w:p>
        </w:tc>
        <w:tc>
          <w:tcPr>
            <w:tcW w:w="1260" w:type="dxa"/>
            <w:vAlign w:val="center"/>
          </w:tcPr>
          <w:p w14:paraId="0E14D2E9">
            <w:pPr>
              <w:jc w:val="left"/>
            </w:pPr>
            <w:r>
              <w:rPr>
                <w:rFonts w:ascii="宋体" w:hAnsi="宋体" w:eastAsia="宋体" w:cs="宋体"/>
                <w:b w:val="0"/>
                <w:i w:val="0"/>
                <w:color w:val="000000"/>
                <w:sz w:val="9"/>
              </w:rPr>
              <w:t xml:space="preserve">  国内债务发行费用</w:t>
            </w:r>
          </w:p>
        </w:tc>
        <w:tc>
          <w:tcPr>
            <w:tcW w:w="786" w:type="dxa"/>
            <w:vAlign w:val="center"/>
          </w:tcPr>
          <w:p w14:paraId="58FA94AA"/>
        </w:tc>
      </w:tr>
      <w:tr w14:paraId="571EA6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F0599E8">
            <w:pPr>
              <w:jc w:val="left"/>
            </w:pPr>
            <w:r>
              <w:rPr>
                <w:rFonts w:ascii="宋体" w:hAnsi="宋体" w:eastAsia="宋体" w:cs="宋体"/>
                <w:b w:val="0"/>
                <w:i w:val="0"/>
                <w:color w:val="000000"/>
                <w:sz w:val="9"/>
              </w:rPr>
              <w:t>30106</w:t>
            </w:r>
          </w:p>
        </w:tc>
        <w:tc>
          <w:tcPr>
            <w:tcW w:w="1740" w:type="dxa"/>
            <w:vAlign w:val="center"/>
          </w:tcPr>
          <w:p w14:paraId="60DF553F">
            <w:pPr>
              <w:jc w:val="left"/>
            </w:pPr>
            <w:r>
              <w:rPr>
                <w:rFonts w:ascii="宋体" w:hAnsi="宋体" w:eastAsia="宋体" w:cs="宋体"/>
                <w:b w:val="0"/>
                <w:i w:val="0"/>
                <w:color w:val="000000"/>
                <w:sz w:val="9"/>
              </w:rPr>
              <w:t xml:space="preserve">  伙食补助费</w:t>
            </w:r>
          </w:p>
        </w:tc>
        <w:tc>
          <w:tcPr>
            <w:tcW w:w="800" w:type="dxa"/>
            <w:vAlign w:val="center"/>
          </w:tcPr>
          <w:p w14:paraId="661D705A">
            <w:pPr>
              <w:jc w:val="right"/>
            </w:pPr>
            <w:r>
              <w:rPr>
                <w:rFonts w:ascii="宋体" w:hAnsi="宋体" w:eastAsia="宋体" w:cs="宋体"/>
                <w:b w:val="0"/>
                <w:i w:val="0"/>
                <w:color w:val="000000"/>
                <w:sz w:val="9"/>
              </w:rPr>
              <w:t>68.14</w:t>
            </w:r>
          </w:p>
        </w:tc>
        <w:tc>
          <w:tcPr>
            <w:tcW w:w="540" w:type="dxa"/>
            <w:vAlign w:val="center"/>
          </w:tcPr>
          <w:p w14:paraId="52D6C8D4">
            <w:pPr>
              <w:jc w:val="left"/>
            </w:pPr>
            <w:r>
              <w:rPr>
                <w:rFonts w:ascii="宋体" w:hAnsi="宋体" w:eastAsia="宋体" w:cs="宋体"/>
                <w:b w:val="0"/>
                <w:i w:val="0"/>
                <w:color w:val="000000"/>
                <w:sz w:val="9"/>
              </w:rPr>
              <w:t>30204</w:t>
            </w:r>
          </w:p>
        </w:tc>
        <w:tc>
          <w:tcPr>
            <w:tcW w:w="1380" w:type="dxa"/>
            <w:vAlign w:val="center"/>
          </w:tcPr>
          <w:p w14:paraId="52070A12">
            <w:pPr>
              <w:jc w:val="left"/>
            </w:pPr>
            <w:r>
              <w:rPr>
                <w:rFonts w:ascii="宋体" w:hAnsi="宋体" w:eastAsia="宋体" w:cs="宋体"/>
                <w:b w:val="0"/>
                <w:i w:val="0"/>
                <w:color w:val="000000"/>
                <w:sz w:val="9"/>
              </w:rPr>
              <w:t xml:space="preserve">  手续费</w:t>
            </w:r>
          </w:p>
        </w:tc>
        <w:tc>
          <w:tcPr>
            <w:tcW w:w="820" w:type="dxa"/>
            <w:vAlign w:val="center"/>
          </w:tcPr>
          <w:p w14:paraId="2BAF9E51"/>
        </w:tc>
        <w:tc>
          <w:tcPr>
            <w:tcW w:w="540" w:type="dxa"/>
            <w:vAlign w:val="center"/>
          </w:tcPr>
          <w:p w14:paraId="0CA4B1CF">
            <w:pPr>
              <w:jc w:val="left"/>
            </w:pPr>
            <w:r>
              <w:rPr>
                <w:rFonts w:ascii="宋体" w:hAnsi="宋体" w:eastAsia="宋体" w:cs="宋体"/>
                <w:b w:val="0"/>
                <w:i w:val="0"/>
                <w:color w:val="000000"/>
                <w:sz w:val="9"/>
              </w:rPr>
              <w:t>30704</w:t>
            </w:r>
          </w:p>
        </w:tc>
        <w:tc>
          <w:tcPr>
            <w:tcW w:w="1260" w:type="dxa"/>
            <w:vAlign w:val="center"/>
          </w:tcPr>
          <w:p w14:paraId="06CDED08">
            <w:pPr>
              <w:jc w:val="left"/>
            </w:pPr>
            <w:r>
              <w:rPr>
                <w:rFonts w:ascii="宋体" w:hAnsi="宋体" w:eastAsia="宋体" w:cs="宋体"/>
                <w:b w:val="0"/>
                <w:i w:val="0"/>
                <w:color w:val="000000"/>
                <w:sz w:val="9"/>
              </w:rPr>
              <w:t xml:space="preserve">  国外债务发行费用</w:t>
            </w:r>
          </w:p>
        </w:tc>
        <w:tc>
          <w:tcPr>
            <w:tcW w:w="786" w:type="dxa"/>
            <w:vAlign w:val="center"/>
          </w:tcPr>
          <w:p w14:paraId="14151BE4"/>
        </w:tc>
      </w:tr>
      <w:tr w14:paraId="2D989E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0393E57">
            <w:pPr>
              <w:jc w:val="left"/>
            </w:pPr>
            <w:r>
              <w:rPr>
                <w:rFonts w:ascii="宋体" w:hAnsi="宋体" w:eastAsia="宋体" w:cs="宋体"/>
                <w:b w:val="0"/>
                <w:i w:val="0"/>
                <w:color w:val="000000"/>
                <w:sz w:val="9"/>
              </w:rPr>
              <w:t>30107</w:t>
            </w:r>
          </w:p>
        </w:tc>
        <w:tc>
          <w:tcPr>
            <w:tcW w:w="1740" w:type="dxa"/>
            <w:vAlign w:val="center"/>
          </w:tcPr>
          <w:p w14:paraId="66826048">
            <w:pPr>
              <w:jc w:val="left"/>
            </w:pPr>
            <w:r>
              <w:rPr>
                <w:rFonts w:ascii="宋体" w:hAnsi="宋体" w:eastAsia="宋体" w:cs="宋体"/>
                <w:b w:val="0"/>
                <w:i w:val="0"/>
                <w:color w:val="000000"/>
                <w:sz w:val="9"/>
              </w:rPr>
              <w:t xml:space="preserve">  绩效工资</w:t>
            </w:r>
          </w:p>
        </w:tc>
        <w:tc>
          <w:tcPr>
            <w:tcW w:w="800" w:type="dxa"/>
            <w:vAlign w:val="center"/>
          </w:tcPr>
          <w:p w14:paraId="57456704">
            <w:pPr>
              <w:jc w:val="right"/>
            </w:pPr>
            <w:r>
              <w:rPr>
                <w:rFonts w:ascii="宋体" w:hAnsi="宋体" w:eastAsia="宋体" w:cs="宋体"/>
                <w:b w:val="0"/>
                <w:i w:val="0"/>
                <w:color w:val="000000"/>
                <w:sz w:val="9"/>
              </w:rPr>
              <w:t>348.51</w:t>
            </w:r>
          </w:p>
        </w:tc>
        <w:tc>
          <w:tcPr>
            <w:tcW w:w="540" w:type="dxa"/>
            <w:vAlign w:val="center"/>
          </w:tcPr>
          <w:p w14:paraId="43726B54">
            <w:pPr>
              <w:jc w:val="left"/>
            </w:pPr>
            <w:r>
              <w:rPr>
                <w:rFonts w:ascii="宋体" w:hAnsi="宋体" w:eastAsia="宋体" w:cs="宋体"/>
                <w:b w:val="0"/>
                <w:i w:val="0"/>
                <w:color w:val="000000"/>
                <w:sz w:val="9"/>
              </w:rPr>
              <w:t>30205</w:t>
            </w:r>
          </w:p>
        </w:tc>
        <w:tc>
          <w:tcPr>
            <w:tcW w:w="1380" w:type="dxa"/>
            <w:vAlign w:val="center"/>
          </w:tcPr>
          <w:p w14:paraId="3ECBDF4F">
            <w:pPr>
              <w:jc w:val="left"/>
            </w:pPr>
            <w:r>
              <w:rPr>
                <w:rFonts w:ascii="宋体" w:hAnsi="宋体" w:eastAsia="宋体" w:cs="宋体"/>
                <w:b w:val="0"/>
                <w:i w:val="0"/>
                <w:color w:val="000000"/>
                <w:sz w:val="9"/>
              </w:rPr>
              <w:t xml:space="preserve">  水费</w:t>
            </w:r>
          </w:p>
        </w:tc>
        <w:tc>
          <w:tcPr>
            <w:tcW w:w="820" w:type="dxa"/>
            <w:vAlign w:val="center"/>
          </w:tcPr>
          <w:p w14:paraId="76980776">
            <w:pPr>
              <w:jc w:val="right"/>
            </w:pPr>
            <w:r>
              <w:rPr>
                <w:rFonts w:ascii="宋体" w:hAnsi="宋体" w:eastAsia="宋体" w:cs="宋体"/>
                <w:b w:val="0"/>
                <w:i w:val="0"/>
                <w:color w:val="000000"/>
                <w:sz w:val="9"/>
              </w:rPr>
              <w:t>1.06</w:t>
            </w:r>
          </w:p>
        </w:tc>
        <w:tc>
          <w:tcPr>
            <w:tcW w:w="540" w:type="dxa"/>
            <w:vAlign w:val="center"/>
          </w:tcPr>
          <w:p w14:paraId="5F7F6986">
            <w:pPr>
              <w:jc w:val="left"/>
            </w:pPr>
            <w:r>
              <w:rPr>
                <w:rFonts w:ascii="宋体" w:hAnsi="宋体" w:eastAsia="宋体" w:cs="宋体"/>
                <w:b/>
                <w:i w:val="0"/>
                <w:color w:val="000000"/>
                <w:sz w:val="9"/>
              </w:rPr>
              <w:t>310</w:t>
            </w:r>
          </w:p>
        </w:tc>
        <w:tc>
          <w:tcPr>
            <w:tcW w:w="1260" w:type="dxa"/>
            <w:vAlign w:val="center"/>
          </w:tcPr>
          <w:p w14:paraId="1ED53E2C">
            <w:pPr>
              <w:jc w:val="left"/>
            </w:pPr>
            <w:r>
              <w:rPr>
                <w:rFonts w:ascii="宋体" w:hAnsi="宋体" w:eastAsia="宋体" w:cs="宋体"/>
                <w:b/>
                <w:i w:val="0"/>
                <w:color w:val="000000"/>
                <w:sz w:val="9"/>
              </w:rPr>
              <w:t>资本性支出</w:t>
            </w:r>
          </w:p>
        </w:tc>
        <w:tc>
          <w:tcPr>
            <w:tcW w:w="786" w:type="dxa"/>
            <w:vAlign w:val="center"/>
          </w:tcPr>
          <w:p w14:paraId="5FC28167">
            <w:pPr>
              <w:jc w:val="right"/>
            </w:pPr>
            <w:r>
              <w:rPr>
                <w:rFonts w:ascii="宋体" w:hAnsi="宋体" w:eastAsia="宋体" w:cs="宋体"/>
                <w:b w:val="0"/>
                <w:i w:val="0"/>
                <w:color w:val="000000"/>
                <w:sz w:val="9"/>
              </w:rPr>
              <w:t>3.76</w:t>
            </w:r>
          </w:p>
        </w:tc>
      </w:tr>
      <w:tr w14:paraId="702607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63F4783">
            <w:pPr>
              <w:jc w:val="left"/>
            </w:pPr>
            <w:r>
              <w:rPr>
                <w:rFonts w:ascii="宋体" w:hAnsi="宋体" w:eastAsia="宋体" w:cs="宋体"/>
                <w:b w:val="0"/>
                <w:i w:val="0"/>
                <w:color w:val="000000"/>
                <w:sz w:val="9"/>
              </w:rPr>
              <w:t>30108</w:t>
            </w:r>
          </w:p>
        </w:tc>
        <w:tc>
          <w:tcPr>
            <w:tcW w:w="1740" w:type="dxa"/>
            <w:vAlign w:val="center"/>
          </w:tcPr>
          <w:p w14:paraId="654B4B21">
            <w:pPr>
              <w:jc w:val="left"/>
            </w:pPr>
            <w:r>
              <w:rPr>
                <w:rFonts w:ascii="宋体" w:hAnsi="宋体" w:eastAsia="宋体" w:cs="宋体"/>
                <w:b w:val="0"/>
                <w:i w:val="0"/>
                <w:color w:val="000000"/>
                <w:sz w:val="9"/>
              </w:rPr>
              <w:t xml:space="preserve">  机关事业单位基本养老保险缴费</w:t>
            </w:r>
          </w:p>
        </w:tc>
        <w:tc>
          <w:tcPr>
            <w:tcW w:w="800" w:type="dxa"/>
            <w:vAlign w:val="center"/>
          </w:tcPr>
          <w:p w14:paraId="21C75F87">
            <w:pPr>
              <w:jc w:val="right"/>
            </w:pPr>
            <w:r>
              <w:rPr>
                <w:rFonts w:ascii="宋体" w:hAnsi="宋体" w:eastAsia="宋体" w:cs="宋体"/>
                <w:b w:val="0"/>
                <w:i w:val="0"/>
                <w:color w:val="000000"/>
                <w:sz w:val="9"/>
              </w:rPr>
              <w:t>289.44</w:t>
            </w:r>
          </w:p>
        </w:tc>
        <w:tc>
          <w:tcPr>
            <w:tcW w:w="540" w:type="dxa"/>
            <w:vAlign w:val="center"/>
          </w:tcPr>
          <w:p w14:paraId="6934A5AF">
            <w:pPr>
              <w:jc w:val="left"/>
            </w:pPr>
            <w:r>
              <w:rPr>
                <w:rFonts w:ascii="宋体" w:hAnsi="宋体" w:eastAsia="宋体" w:cs="宋体"/>
                <w:b w:val="0"/>
                <w:i w:val="0"/>
                <w:color w:val="000000"/>
                <w:sz w:val="9"/>
              </w:rPr>
              <w:t>30206</w:t>
            </w:r>
          </w:p>
        </w:tc>
        <w:tc>
          <w:tcPr>
            <w:tcW w:w="1380" w:type="dxa"/>
            <w:vAlign w:val="center"/>
          </w:tcPr>
          <w:p w14:paraId="36758E5E">
            <w:pPr>
              <w:jc w:val="left"/>
            </w:pPr>
            <w:r>
              <w:rPr>
                <w:rFonts w:ascii="宋体" w:hAnsi="宋体" w:eastAsia="宋体" w:cs="宋体"/>
                <w:b w:val="0"/>
                <w:i w:val="0"/>
                <w:color w:val="000000"/>
                <w:sz w:val="9"/>
              </w:rPr>
              <w:t xml:space="preserve">  电费</w:t>
            </w:r>
          </w:p>
        </w:tc>
        <w:tc>
          <w:tcPr>
            <w:tcW w:w="820" w:type="dxa"/>
            <w:vAlign w:val="center"/>
          </w:tcPr>
          <w:p w14:paraId="01D5F3CC">
            <w:pPr>
              <w:jc w:val="right"/>
            </w:pPr>
            <w:r>
              <w:rPr>
                <w:rFonts w:ascii="宋体" w:hAnsi="宋体" w:eastAsia="宋体" w:cs="宋体"/>
                <w:b w:val="0"/>
                <w:i w:val="0"/>
                <w:color w:val="000000"/>
                <w:sz w:val="9"/>
              </w:rPr>
              <w:t>12.19</w:t>
            </w:r>
          </w:p>
        </w:tc>
        <w:tc>
          <w:tcPr>
            <w:tcW w:w="540" w:type="dxa"/>
            <w:vAlign w:val="center"/>
          </w:tcPr>
          <w:p w14:paraId="0C06394A">
            <w:pPr>
              <w:jc w:val="left"/>
            </w:pPr>
            <w:r>
              <w:rPr>
                <w:rFonts w:ascii="宋体" w:hAnsi="宋体" w:eastAsia="宋体" w:cs="宋体"/>
                <w:b w:val="0"/>
                <w:i w:val="0"/>
                <w:color w:val="000000"/>
                <w:sz w:val="9"/>
              </w:rPr>
              <w:t>31001</w:t>
            </w:r>
          </w:p>
        </w:tc>
        <w:tc>
          <w:tcPr>
            <w:tcW w:w="1260" w:type="dxa"/>
            <w:vAlign w:val="center"/>
          </w:tcPr>
          <w:p w14:paraId="416D1A64">
            <w:pPr>
              <w:jc w:val="left"/>
            </w:pPr>
            <w:r>
              <w:rPr>
                <w:rFonts w:ascii="宋体" w:hAnsi="宋体" w:eastAsia="宋体" w:cs="宋体"/>
                <w:b w:val="0"/>
                <w:i w:val="0"/>
                <w:color w:val="000000"/>
                <w:sz w:val="9"/>
              </w:rPr>
              <w:t xml:space="preserve">  房屋建筑物购建</w:t>
            </w:r>
          </w:p>
        </w:tc>
        <w:tc>
          <w:tcPr>
            <w:tcW w:w="786" w:type="dxa"/>
            <w:vAlign w:val="center"/>
          </w:tcPr>
          <w:p w14:paraId="0C898027"/>
        </w:tc>
      </w:tr>
      <w:tr w14:paraId="3B4F2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BCB0313">
            <w:pPr>
              <w:jc w:val="left"/>
            </w:pPr>
            <w:r>
              <w:rPr>
                <w:rFonts w:ascii="宋体" w:hAnsi="宋体" w:eastAsia="宋体" w:cs="宋体"/>
                <w:b w:val="0"/>
                <w:i w:val="0"/>
                <w:color w:val="000000"/>
                <w:sz w:val="9"/>
              </w:rPr>
              <w:t>30109</w:t>
            </w:r>
          </w:p>
        </w:tc>
        <w:tc>
          <w:tcPr>
            <w:tcW w:w="1740" w:type="dxa"/>
            <w:vAlign w:val="center"/>
          </w:tcPr>
          <w:p w14:paraId="0776DE47">
            <w:pPr>
              <w:jc w:val="left"/>
            </w:pPr>
            <w:r>
              <w:rPr>
                <w:rFonts w:ascii="宋体" w:hAnsi="宋体" w:eastAsia="宋体" w:cs="宋体"/>
                <w:b w:val="0"/>
                <w:i w:val="0"/>
                <w:color w:val="000000"/>
                <w:sz w:val="9"/>
              </w:rPr>
              <w:t xml:space="preserve">  职业年金缴费</w:t>
            </w:r>
          </w:p>
        </w:tc>
        <w:tc>
          <w:tcPr>
            <w:tcW w:w="800" w:type="dxa"/>
            <w:vAlign w:val="center"/>
          </w:tcPr>
          <w:p w14:paraId="2A856155">
            <w:pPr>
              <w:jc w:val="right"/>
            </w:pPr>
            <w:r>
              <w:rPr>
                <w:rFonts w:ascii="宋体" w:hAnsi="宋体" w:eastAsia="宋体" w:cs="宋体"/>
                <w:b w:val="0"/>
                <w:i w:val="0"/>
                <w:color w:val="000000"/>
                <w:sz w:val="9"/>
              </w:rPr>
              <w:t>1.11</w:t>
            </w:r>
          </w:p>
        </w:tc>
        <w:tc>
          <w:tcPr>
            <w:tcW w:w="540" w:type="dxa"/>
            <w:vAlign w:val="center"/>
          </w:tcPr>
          <w:p w14:paraId="1F8FFF8C">
            <w:pPr>
              <w:jc w:val="left"/>
            </w:pPr>
            <w:r>
              <w:rPr>
                <w:rFonts w:ascii="宋体" w:hAnsi="宋体" w:eastAsia="宋体" w:cs="宋体"/>
                <w:b w:val="0"/>
                <w:i w:val="0"/>
                <w:color w:val="000000"/>
                <w:sz w:val="9"/>
              </w:rPr>
              <w:t>30207</w:t>
            </w:r>
          </w:p>
        </w:tc>
        <w:tc>
          <w:tcPr>
            <w:tcW w:w="1380" w:type="dxa"/>
            <w:vAlign w:val="center"/>
          </w:tcPr>
          <w:p w14:paraId="71B3E6E8">
            <w:pPr>
              <w:jc w:val="left"/>
            </w:pPr>
            <w:r>
              <w:rPr>
                <w:rFonts w:ascii="宋体" w:hAnsi="宋体" w:eastAsia="宋体" w:cs="宋体"/>
                <w:b w:val="0"/>
                <w:i w:val="0"/>
                <w:color w:val="000000"/>
                <w:sz w:val="9"/>
              </w:rPr>
              <w:t xml:space="preserve">  邮电费</w:t>
            </w:r>
          </w:p>
        </w:tc>
        <w:tc>
          <w:tcPr>
            <w:tcW w:w="820" w:type="dxa"/>
            <w:vAlign w:val="center"/>
          </w:tcPr>
          <w:p w14:paraId="3F6E6593">
            <w:pPr>
              <w:jc w:val="right"/>
            </w:pPr>
            <w:r>
              <w:rPr>
                <w:rFonts w:ascii="宋体" w:hAnsi="宋体" w:eastAsia="宋体" w:cs="宋体"/>
                <w:b w:val="0"/>
                <w:i w:val="0"/>
                <w:color w:val="000000"/>
                <w:sz w:val="9"/>
              </w:rPr>
              <w:t>2.57</w:t>
            </w:r>
          </w:p>
        </w:tc>
        <w:tc>
          <w:tcPr>
            <w:tcW w:w="540" w:type="dxa"/>
            <w:vAlign w:val="center"/>
          </w:tcPr>
          <w:p w14:paraId="091536D3">
            <w:pPr>
              <w:jc w:val="left"/>
            </w:pPr>
            <w:r>
              <w:rPr>
                <w:rFonts w:ascii="宋体" w:hAnsi="宋体" w:eastAsia="宋体" w:cs="宋体"/>
                <w:b w:val="0"/>
                <w:i w:val="0"/>
                <w:color w:val="000000"/>
                <w:sz w:val="9"/>
              </w:rPr>
              <w:t>31002</w:t>
            </w:r>
          </w:p>
        </w:tc>
        <w:tc>
          <w:tcPr>
            <w:tcW w:w="1260" w:type="dxa"/>
            <w:vAlign w:val="center"/>
          </w:tcPr>
          <w:p w14:paraId="7A79A39A">
            <w:pPr>
              <w:jc w:val="left"/>
            </w:pPr>
            <w:r>
              <w:rPr>
                <w:rFonts w:ascii="宋体" w:hAnsi="宋体" w:eastAsia="宋体" w:cs="宋体"/>
                <w:b w:val="0"/>
                <w:i w:val="0"/>
                <w:color w:val="000000"/>
                <w:sz w:val="9"/>
              </w:rPr>
              <w:t xml:space="preserve">  办公设备购置</w:t>
            </w:r>
          </w:p>
        </w:tc>
        <w:tc>
          <w:tcPr>
            <w:tcW w:w="786" w:type="dxa"/>
            <w:vAlign w:val="center"/>
          </w:tcPr>
          <w:p w14:paraId="75384059">
            <w:pPr>
              <w:jc w:val="right"/>
            </w:pPr>
            <w:r>
              <w:rPr>
                <w:rFonts w:ascii="宋体" w:hAnsi="宋体" w:eastAsia="宋体" w:cs="宋体"/>
                <w:b w:val="0"/>
                <w:i w:val="0"/>
                <w:color w:val="000000"/>
                <w:sz w:val="9"/>
              </w:rPr>
              <w:t>3.76</w:t>
            </w:r>
          </w:p>
        </w:tc>
      </w:tr>
      <w:tr w14:paraId="00E249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451ED09">
            <w:pPr>
              <w:jc w:val="left"/>
            </w:pPr>
            <w:r>
              <w:rPr>
                <w:rFonts w:ascii="宋体" w:hAnsi="宋体" w:eastAsia="宋体" w:cs="宋体"/>
                <w:b w:val="0"/>
                <w:i w:val="0"/>
                <w:color w:val="000000"/>
                <w:sz w:val="9"/>
              </w:rPr>
              <w:t>30110</w:t>
            </w:r>
          </w:p>
        </w:tc>
        <w:tc>
          <w:tcPr>
            <w:tcW w:w="1740" w:type="dxa"/>
            <w:vAlign w:val="center"/>
          </w:tcPr>
          <w:p w14:paraId="0A52E211">
            <w:pPr>
              <w:jc w:val="left"/>
            </w:pPr>
            <w:r>
              <w:rPr>
                <w:rFonts w:ascii="宋体" w:hAnsi="宋体" w:eastAsia="宋体" w:cs="宋体"/>
                <w:b w:val="0"/>
                <w:i w:val="0"/>
                <w:color w:val="000000"/>
                <w:sz w:val="9"/>
              </w:rPr>
              <w:t xml:space="preserve">  职工基本医疗保险缴费</w:t>
            </w:r>
          </w:p>
        </w:tc>
        <w:tc>
          <w:tcPr>
            <w:tcW w:w="800" w:type="dxa"/>
            <w:vAlign w:val="center"/>
          </w:tcPr>
          <w:p w14:paraId="1A284C20">
            <w:pPr>
              <w:jc w:val="right"/>
            </w:pPr>
            <w:r>
              <w:rPr>
                <w:rFonts w:ascii="宋体" w:hAnsi="宋体" w:eastAsia="宋体" w:cs="宋体"/>
                <w:b w:val="0"/>
                <w:i w:val="0"/>
                <w:color w:val="000000"/>
                <w:sz w:val="9"/>
              </w:rPr>
              <w:t>108.99</w:t>
            </w:r>
          </w:p>
        </w:tc>
        <w:tc>
          <w:tcPr>
            <w:tcW w:w="540" w:type="dxa"/>
            <w:vAlign w:val="center"/>
          </w:tcPr>
          <w:p w14:paraId="3BA0623F">
            <w:pPr>
              <w:jc w:val="left"/>
            </w:pPr>
            <w:r>
              <w:rPr>
                <w:rFonts w:ascii="宋体" w:hAnsi="宋体" w:eastAsia="宋体" w:cs="宋体"/>
                <w:b w:val="0"/>
                <w:i w:val="0"/>
                <w:color w:val="000000"/>
                <w:sz w:val="9"/>
              </w:rPr>
              <w:t>30208</w:t>
            </w:r>
          </w:p>
        </w:tc>
        <w:tc>
          <w:tcPr>
            <w:tcW w:w="1380" w:type="dxa"/>
            <w:vAlign w:val="center"/>
          </w:tcPr>
          <w:p w14:paraId="46141EFC">
            <w:pPr>
              <w:jc w:val="left"/>
            </w:pPr>
            <w:r>
              <w:rPr>
                <w:rFonts w:ascii="宋体" w:hAnsi="宋体" w:eastAsia="宋体" w:cs="宋体"/>
                <w:b w:val="0"/>
                <w:i w:val="0"/>
                <w:color w:val="000000"/>
                <w:sz w:val="9"/>
              </w:rPr>
              <w:t xml:space="preserve">  取暖费</w:t>
            </w:r>
          </w:p>
        </w:tc>
        <w:tc>
          <w:tcPr>
            <w:tcW w:w="820" w:type="dxa"/>
            <w:vAlign w:val="center"/>
          </w:tcPr>
          <w:p w14:paraId="60DFA575"/>
        </w:tc>
        <w:tc>
          <w:tcPr>
            <w:tcW w:w="540" w:type="dxa"/>
            <w:vAlign w:val="center"/>
          </w:tcPr>
          <w:p w14:paraId="5FCF969A">
            <w:pPr>
              <w:jc w:val="left"/>
            </w:pPr>
            <w:r>
              <w:rPr>
                <w:rFonts w:ascii="宋体" w:hAnsi="宋体" w:eastAsia="宋体" w:cs="宋体"/>
                <w:b w:val="0"/>
                <w:i w:val="0"/>
                <w:color w:val="000000"/>
                <w:sz w:val="9"/>
              </w:rPr>
              <w:t>31003</w:t>
            </w:r>
          </w:p>
        </w:tc>
        <w:tc>
          <w:tcPr>
            <w:tcW w:w="1260" w:type="dxa"/>
            <w:vAlign w:val="center"/>
          </w:tcPr>
          <w:p w14:paraId="36948C10">
            <w:pPr>
              <w:jc w:val="left"/>
            </w:pPr>
            <w:r>
              <w:rPr>
                <w:rFonts w:ascii="宋体" w:hAnsi="宋体" w:eastAsia="宋体" w:cs="宋体"/>
                <w:b w:val="0"/>
                <w:i w:val="0"/>
                <w:color w:val="000000"/>
                <w:sz w:val="9"/>
              </w:rPr>
              <w:t xml:space="preserve">  专用设备购置</w:t>
            </w:r>
          </w:p>
        </w:tc>
        <w:tc>
          <w:tcPr>
            <w:tcW w:w="786" w:type="dxa"/>
            <w:vAlign w:val="center"/>
          </w:tcPr>
          <w:p w14:paraId="3E69E811"/>
        </w:tc>
      </w:tr>
      <w:tr w14:paraId="76FC81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F480AF8">
            <w:pPr>
              <w:jc w:val="left"/>
            </w:pPr>
            <w:r>
              <w:rPr>
                <w:rFonts w:ascii="宋体" w:hAnsi="宋体" w:eastAsia="宋体" w:cs="宋体"/>
                <w:b w:val="0"/>
                <w:i w:val="0"/>
                <w:color w:val="000000"/>
                <w:sz w:val="9"/>
              </w:rPr>
              <w:t>30111</w:t>
            </w:r>
          </w:p>
        </w:tc>
        <w:tc>
          <w:tcPr>
            <w:tcW w:w="1740" w:type="dxa"/>
            <w:vAlign w:val="center"/>
          </w:tcPr>
          <w:p w14:paraId="19338F49">
            <w:pPr>
              <w:jc w:val="left"/>
            </w:pPr>
            <w:r>
              <w:rPr>
                <w:rFonts w:ascii="宋体" w:hAnsi="宋体" w:eastAsia="宋体" w:cs="宋体"/>
                <w:b w:val="0"/>
                <w:i w:val="0"/>
                <w:color w:val="000000"/>
                <w:sz w:val="9"/>
              </w:rPr>
              <w:t xml:space="preserve">  公务员医疗补助缴款</w:t>
            </w:r>
          </w:p>
        </w:tc>
        <w:tc>
          <w:tcPr>
            <w:tcW w:w="800" w:type="dxa"/>
            <w:vAlign w:val="center"/>
          </w:tcPr>
          <w:p w14:paraId="040A6EAB"/>
        </w:tc>
        <w:tc>
          <w:tcPr>
            <w:tcW w:w="540" w:type="dxa"/>
            <w:vAlign w:val="center"/>
          </w:tcPr>
          <w:p w14:paraId="04B3F49E">
            <w:pPr>
              <w:jc w:val="left"/>
            </w:pPr>
            <w:r>
              <w:rPr>
                <w:rFonts w:ascii="宋体" w:hAnsi="宋体" w:eastAsia="宋体" w:cs="宋体"/>
                <w:b w:val="0"/>
                <w:i w:val="0"/>
                <w:color w:val="000000"/>
                <w:sz w:val="9"/>
              </w:rPr>
              <w:t>30209</w:t>
            </w:r>
          </w:p>
        </w:tc>
        <w:tc>
          <w:tcPr>
            <w:tcW w:w="1380" w:type="dxa"/>
            <w:vAlign w:val="center"/>
          </w:tcPr>
          <w:p w14:paraId="1498EE4D">
            <w:pPr>
              <w:jc w:val="left"/>
            </w:pPr>
            <w:r>
              <w:rPr>
                <w:rFonts w:ascii="宋体" w:hAnsi="宋体" w:eastAsia="宋体" w:cs="宋体"/>
                <w:b w:val="0"/>
                <w:i w:val="0"/>
                <w:color w:val="000000"/>
                <w:sz w:val="9"/>
              </w:rPr>
              <w:t xml:space="preserve">  物业管理费</w:t>
            </w:r>
          </w:p>
        </w:tc>
        <w:tc>
          <w:tcPr>
            <w:tcW w:w="820" w:type="dxa"/>
            <w:vAlign w:val="center"/>
          </w:tcPr>
          <w:p w14:paraId="33C99794"/>
        </w:tc>
        <w:tc>
          <w:tcPr>
            <w:tcW w:w="540" w:type="dxa"/>
            <w:vAlign w:val="center"/>
          </w:tcPr>
          <w:p w14:paraId="7A0230BA">
            <w:pPr>
              <w:jc w:val="left"/>
            </w:pPr>
            <w:r>
              <w:rPr>
                <w:rFonts w:ascii="宋体" w:hAnsi="宋体" w:eastAsia="宋体" w:cs="宋体"/>
                <w:b w:val="0"/>
                <w:i w:val="0"/>
                <w:color w:val="000000"/>
                <w:sz w:val="9"/>
              </w:rPr>
              <w:t>31005</w:t>
            </w:r>
          </w:p>
        </w:tc>
        <w:tc>
          <w:tcPr>
            <w:tcW w:w="1260" w:type="dxa"/>
            <w:vAlign w:val="center"/>
          </w:tcPr>
          <w:p w14:paraId="02A1D0C0">
            <w:pPr>
              <w:jc w:val="left"/>
            </w:pPr>
            <w:r>
              <w:rPr>
                <w:rFonts w:ascii="宋体" w:hAnsi="宋体" w:eastAsia="宋体" w:cs="宋体"/>
                <w:b w:val="0"/>
                <w:i w:val="0"/>
                <w:color w:val="000000"/>
                <w:sz w:val="9"/>
              </w:rPr>
              <w:t xml:space="preserve">  基础设施建设</w:t>
            </w:r>
          </w:p>
        </w:tc>
        <w:tc>
          <w:tcPr>
            <w:tcW w:w="786" w:type="dxa"/>
            <w:vAlign w:val="center"/>
          </w:tcPr>
          <w:p w14:paraId="7EF5C504"/>
        </w:tc>
      </w:tr>
      <w:tr w14:paraId="1CE52D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E892EDA">
            <w:pPr>
              <w:jc w:val="left"/>
            </w:pPr>
            <w:r>
              <w:rPr>
                <w:rFonts w:ascii="宋体" w:hAnsi="宋体" w:eastAsia="宋体" w:cs="宋体"/>
                <w:b w:val="0"/>
                <w:i w:val="0"/>
                <w:color w:val="000000"/>
                <w:sz w:val="9"/>
              </w:rPr>
              <w:t>30112</w:t>
            </w:r>
          </w:p>
        </w:tc>
        <w:tc>
          <w:tcPr>
            <w:tcW w:w="1740" w:type="dxa"/>
            <w:vAlign w:val="center"/>
          </w:tcPr>
          <w:p w14:paraId="6A107A34">
            <w:pPr>
              <w:jc w:val="left"/>
            </w:pPr>
            <w:r>
              <w:rPr>
                <w:rFonts w:ascii="宋体" w:hAnsi="宋体" w:eastAsia="宋体" w:cs="宋体"/>
                <w:b w:val="0"/>
                <w:i w:val="0"/>
                <w:color w:val="000000"/>
                <w:sz w:val="9"/>
              </w:rPr>
              <w:t xml:space="preserve">  其他社会保障缴费</w:t>
            </w:r>
          </w:p>
        </w:tc>
        <w:tc>
          <w:tcPr>
            <w:tcW w:w="800" w:type="dxa"/>
            <w:vAlign w:val="center"/>
          </w:tcPr>
          <w:p w14:paraId="62C8A708">
            <w:pPr>
              <w:jc w:val="right"/>
            </w:pPr>
            <w:r>
              <w:rPr>
                <w:rFonts w:ascii="宋体" w:hAnsi="宋体" w:eastAsia="宋体" w:cs="宋体"/>
                <w:b w:val="0"/>
                <w:i w:val="0"/>
                <w:color w:val="000000"/>
                <w:sz w:val="9"/>
              </w:rPr>
              <w:t>71.38</w:t>
            </w:r>
          </w:p>
        </w:tc>
        <w:tc>
          <w:tcPr>
            <w:tcW w:w="540" w:type="dxa"/>
            <w:vAlign w:val="center"/>
          </w:tcPr>
          <w:p w14:paraId="08E53C0F">
            <w:pPr>
              <w:jc w:val="left"/>
            </w:pPr>
            <w:r>
              <w:rPr>
                <w:rFonts w:ascii="宋体" w:hAnsi="宋体" w:eastAsia="宋体" w:cs="宋体"/>
                <w:b w:val="0"/>
                <w:i w:val="0"/>
                <w:color w:val="000000"/>
                <w:sz w:val="9"/>
              </w:rPr>
              <w:t>30211</w:t>
            </w:r>
          </w:p>
        </w:tc>
        <w:tc>
          <w:tcPr>
            <w:tcW w:w="1380" w:type="dxa"/>
            <w:vAlign w:val="center"/>
          </w:tcPr>
          <w:p w14:paraId="17759F44">
            <w:pPr>
              <w:jc w:val="left"/>
            </w:pPr>
            <w:r>
              <w:rPr>
                <w:rFonts w:ascii="宋体" w:hAnsi="宋体" w:eastAsia="宋体" w:cs="宋体"/>
                <w:b w:val="0"/>
                <w:i w:val="0"/>
                <w:color w:val="000000"/>
                <w:sz w:val="9"/>
              </w:rPr>
              <w:t xml:space="preserve">  差旅费</w:t>
            </w:r>
          </w:p>
        </w:tc>
        <w:tc>
          <w:tcPr>
            <w:tcW w:w="820" w:type="dxa"/>
            <w:vAlign w:val="center"/>
          </w:tcPr>
          <w:p w14:paraId="2411DC87">
            <w:pPr>
              <w:jc w:val="right"/>
            </w:pPr>
            <w:r>
              <w:rPr>
                <w:rFonts w:ascii="宋体" w:hAnsi="宋体" w:eastAsia="宋体" w:cs="宋体"/>
                <w:b w:val="0"/>
                <w:i w:val="0"/>
                <w:color w:val="000000"/>
                <w:sz w:val="9"/>
              </w:rPr>
              <w:t>0.54</w:t>
            </w:r>
          </w:p>
        </w:tc>
        <w:tc>
          <w:tcPr>
            <w:tcW w:w="540" w:type="dxa"/>
            <w:vAlign w:val="center"/>
          </w:tcPr>
          <w:p w14:paraId="7DFB7F24">
            <w:pPr>
              <w:jc w:val="left"/>
            </w:pPr>
            <w:r>
              <w:rPr>
                <w:rFonts w:ascii="宋体" w:hAnsi="宋体" w:eastAsia="宋体" w:cs="宋体"/>
                <w:b w:val="0"/>
                <w:i w:val="0"/>
                <w:color w:val="000000"/>
                <w:sz w:val="9"/>
              </w:rPr>
              <w:t>31006</w:t>
            </w:r>
          </w:p>
        </w:tc>
        <w:tc>
          <w:tcPr>
            <w:tcW w:w="1260" w:type="dxa"/>
            <w:vAlign w:val="center"/>
          </w:tcPr>
          <w:p w14:paraId="4FDC08A0">
            <w:pPr>
              <w:jc w:val="left"/>
            </w:pPr>
            <w:r>
              <w:rPr>
                <w:rFonts w:ascii="宋体" w:hAnsi="宋体" w:eastAsia="宋体" w:cs="宋体"/>
                <w:b w:val="0"/>
                <w:i w:val="0"/>
                <w:color w:val="000000"/>
                <w:sz w:val="9"/>
              </w:rPr>
              <w:t xml:space="preserve">  大型修缮</w:t>
            </w:r>
          </w:p>
        </w:tc>
        <w:tc>
          <w:tcPr>
            <w:tcW w:w="786" w:type="dxa"/>
            <w:vAlign w:val="center"/>
          </w:tcPr>
          <w:p w14:paraId="3084ED0E"/>
        </w:tc>
      </w:tr>
      <w:tr w14:paraId="0ECC5A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248B1B5">
            <w:pPr>
              <w:jc w:val="left"/>
            </w:pPr>
            <w:r>
              <w:rPr>
                <w:rFonts w:ascii="宋体" w:hAnsi="宋体" w:eastAsia="宋体" w:cs="宋体"/>
                <w:b w:val="0"/>
                <w:i w:val="0"/>
                <w:color w:val="000000"/>
                <w:sz w:val="9"/>
              </w:rPr>
              <w:t>30113</w:t>
            </w:r>
          </w:p>
        </w:tc>
        <w:tc>
          <w:tcPr>
            <w:tcW w:w="1740" w:type="dxa"/>
            <w:vAlign w:val="center"/>
          </w:tcPr>
          <w:p w14:paraId="6A5ACBA4">
            <w:pPr>
              <w:jc w:val="left"/>
            </w:pPr>
            <w:r>
              <w:rPr>
                <w:rFonts w:ascii="宋体" w:hAnsi="宋体" w:eastAsia="宋体" w:cs="宋体"/>
                <w:b w:val="0"/>
                <w:i w:val="0"/>
                <w:color w:val="000000"/>
                <w:sz w:val="9"/>
              </w:rPr>
              <w:t xml:space="preserve">  住房公积金</w:t>
            </w:r>
          </w:p>
        </w:tc>
        <w:tc>
          <w:tcPr>
            <w:tcW w:w="800" w:type="dxa"/>
            <w:vAlign w:val="center"/>
          </w:tcPr>
          <w:p w14:paraId="2589786E">
            <w:pPr>
              <w:jc w:val="right"/>
            </w:pPr>
            <w:r>
              <w:rPr>
                <w:rFonts w:ascii="宋体" w:hAnsi="宋体" w:eastAsia="宋体" w:cs="宋体"/>
                <w:b w:val="0"/>
                <w:i w:val="0"/>
                <w:color w:val="000000"/>
                <w:sz w:val="9"/>
              </w:rPr>
              <w:t>455.08</w:t>
            </w:r>
          </w:p>
        </w:tc>
        <w:tc>
          <w:tcPr>
            <w:tcW w:w="540" w:type="dxa"/>
            <w:vAlign w:val="center"/>
          </w:tcPr>
          <w:p w14:paraId="3B150EBD">
            <w:pPr>
              <w:jc w:val="left"/>
            </w:pPr>
            <w:r>
              <w:rPr>
                <w:rFonts w:ascii="宋体" w:hAnsi="宋体" w:eastAsia="宋体" w:cs="宋体"/>
                <w:b w:val="0"/>
                <w:i w:val="0"/>
                <w:color w:val="000000"/>
                <w:sz w:val="9"/>
              </w:rPr>
              <w:t>30212</w:t>
            </w:r>
          </w:p>
        </w:tc>
        <w:tc>
          <w:tcPr>
            <w:tcW w:w="1380" w:type="dxa"/>
            <w:vAlign w:val="center"/>
          </w:tcPr>
          <w:p w14:paraId="128E05C9">
            <w:pPr>
              <w:jc w:val="left"/>
            </w:pPr>
            <w:r>
              <w:rPr>
                <w:rFonts w:ascii="宋体" w:hAnsi="宋体" w:eastAsia="宋体" w:cs="宋体"/>
                <w:b w:val="0"/>
                <w:i w:val="0"/>
                <w:color w:val="000000"/>
                <w:sz w:val="9"/>
              </w:rPr>
              <w:t xml:space="preserve">  因公出国（境）费用</w:t>
            </w:r>
          </w:p>
        </w:tc>
        <w:tc>
          <w:tcPr>
            <w:tcW w:w="820" w:type="dxa"/>
            <w:vAlign w:val="center"/>
          </w:tcPr>
          <w:p w14:paraId="61760F09"/>
        </w:tc>
        <w:tc>
          <w:tcPr>
            <w:tcW w:w="540" w:type="dxa"/>
            <w:vAlign w:val="center"/>
          </w:tcPr>
          <w:p w14:paraId="53FC16C4">
            <w:pPr>
              <w:jc w:val="left"/>
            </w:pPr>
            <w:r>
              <w:rPr>
                <w:rFonts w:ascii="宋体" w:hAnsi="宋体" w:eastAsia="宋体" w:cs="宋体"/>
                <w:b w:val="0"/>
                <w:i w:val="0"/>
                <w:color w:val="000000"/>
                <w:sz w:val="9"/>
              </w:rPr>
              <w:t>31007</w:t>
            </w:r>
          </w:p>
        </w:tc>
        <w:tc>
          <w:tcPr>
            <w:tcW w:w="1260" w:type="dxa"/>
            <w:vAlign w:val="center"/>
          </w:tcPr>
          <w:p w14:paraId="18C04585">
            <w:pPr>
              <w:jc w:val="left"/>
            </w:pPr>
            <w:r>
              <w:rPr>
                <w:rFonts w:ascii="宋体" w:hAnsi="宋体" w:eastAsia="宋体" w:cs="宋体"/>
                <w:b w:val="0"/>
                <w:i w:val="0"/>
                <w:color w:val="000000"/>
                <w:sz w:val="9"/>
              </w:rPr>
              <w:t xml:space="preserve">  信息网络及软件购置更新</w:t>
            </w:r>
          </w:p>
        </w:tc>
        <w:tc>
          <w:tcPr>
            <w:tcW w:w="786" w:type="dxa"/>
            <w:vAlign w:val="center"/>
          </w:tcPr>
          <w:p w14:paraId="62BEED98"/>
        </w:tc>
      </w:tr>
      <w:tr w14:paraId="3CF3C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331FE1A">
            <w:pPr>
              <w:jc w:val="left"/>
            </w:pPr>
            <w:r>
              <w:rPr>
                <w:rFonts w:ascii="宋体" w:hAnsi="宋体" w:eastAsia="宋体" w:cs="宋体"/>
                <w:b w:val="0"/>
                <w:i w:val="0"/>
                <w:color w:val="000000"/>
                <w:sz w:val="9"/>
              </w:rPr>
              <w:t>30114</w:t>
            </w:r>
          </w:p>
        </w:tc>
        <w:tc>
          <w:tcPr>
            <w:tcW w:w="1740" w:type="dxa"/>
            <w:vAlign w:val="center"/>
          </w:tcPr>
          <w:p w14:paraId="0B2C2647">
            <w:pPr>
              <w:jc w:val="left"/>
            </w:pPr>
            <w:r>
              <w:rPr>
                <w:rFonts w:ascii="宋体" w:hAnsi="宋体" w:eastAsia="宋体" w:cs="宋体"/>
                <w:b w:val="0"/>
                <w:i w:val="0"/>
                <w:color w:val="000000"/>
                <w:sz w:val="9"/>
              </w:rPr>
              <w:t xml:space="preserve">  医疗费</w:t>
            </w:r>
          </w:p>
        </w:tc>
        <w:tc>
          <w:tcPr>
            <w:tcW w:w="800" w:type="dxa"/>
            <w:vAlign w:val="center"/>
          </w:tcPr>
          <w:p w14:paraId="57B44D3B"/>
        </w:tc>
        <w:tc>
          <w:tcPr>
            <w:tcW w:w="540" w:type="dxa"/>
            <w:vAlign w:val="center"/>
          </w:tcPr>
          <w:p w14:paraId="61FBF1C2">
            <w:pPr>
              <w:jc w:val="left"/>
            </w:pPr>
            <w:r>
              <w:rPr>
                <w:rFonts w:ascii="宋体" w:hAnsi="宋体" w:eastAsia="宋体" w:cs="宋体"/>
                <w:b w:val="0"/>
                <w:i w:val="0"/>
                <w:color w:val="000000"/>
                <w:sz w:val="9"/>
              </w:rPr>
              <w:t>30213</w:t>
            </w:r>
          </w:p>
        </w:tc>
        <w:tc>
          <w:tcPr>
            <w:tcW w:w="1380" w:type="dxa"/>
            <w:vAlign w:val="center"/>
          </w:tcPr>
          <w:p w14:paraId="0A1065AA">
            <w:pPr>
              <w:jc w:val="left"/>
            </w:pPr>
            <w:r>
              <w:rPr>
                <w:rFonts w:ascii="宋体" w:hAnsi="宋体" w:eastAsia="宋体" w:cs="宋体"/>
                <w:b w:val="0"/>
                <w:i w:val="0"/>
                <w:color w:val="000000"/>
                <w:sz w:val="9"/>
              </w:rPr>
              <w:t xml:space="preserve">  维修（护）费</w:t>
            </w:r>
          </w:p>
        </w:tc>
        <w:tc>
          <w:tcPr>
            <w:tcW w:w="820" w:type="dxa"/>
            <w:vAlign w:val="center"/>
          </w:tcPr>
          <w:p w14:paraId="04BC3BA5">
            <w:pPr>
              <w:jc w:val="right"/>
            </w:pPr>
            <w:r>
              <w:rPr>
                <w:rFonts w:ascii="宋体" w:hAnsi="宋体" w:eastAsia="宋体" w:cs="宋体"/>
                <w:b w:val="0"/>
                <w:i w:val="0"/>
                <w:color w:val="000000"/>
                <w:sz w:val="9"/>
              </w:rPr>
              <w:t>405.23</w:t>
            </w:r>
          </w:p>
        </w:tc>
        <w:tc>
          <w:tcPr>
            <w:tcW w:w="540" w:type="dxa"/>
            <w:vAlign w:val="center"/>
          </w:tcPr>
          <w:p w14:paraId="73246441">
            <w:pPr>
              <w:jc w:val="left"/>
            </w:pPr>
            <w:r>
              <w:rPr>
                <w:rFonts w:ascii="宋体" w:hAnsi="宋体" w:eastAsia="宋体" w:cs="宋体"/>
                <w:b w:val="0"/>
                <w:i w:val="0"/>
                <w:color w:val="000000"/>
                <w:sz w:val="9"/>
              </w:rPr>
              <w:t>31008</w:t>
            </w:r>
          </w:p>
        </w:tc>
        <w:tc>
          <w:tcPr>
            <w:tcW w:w="1260" w:type="dxa"/>
            <w:vAlign w:val="center"/>
          </w:tcPr>
          <w:p w14:paraId="05213B28">
            <w:pPr>
              <w:jc w:val="left"/>
            </w:pPr>
            <w:r>
              <w:rPr>
                <w:rFonts w:ascii="宋体" w:hAnsi="宋体" w:eastAsia="宋体" w:cs="宋体"/>
                <w:b w:val="0"/>
                <w:i w:val="0"/>
                <w:color w:val="000000"/>
                <w:sz w:val="9"/>
              </w:rPr>
              <w:t xml:space="preserve">  物资储备</w:t>
            </w:r>
          </w:p>
        </w:tc>
        <w:tc>
          <w:tcPr>
            <w:tcW w:w="786" w:type="dxa"/>
            <w:vAlign w:val="center"/>
          </w:tcPr>
          <w:p w14:paraId="41B30FEA"/>
        </w:tc>
      </w:tr>
      <w:tr w14:paraId="0C4DFE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DFF90A8">
            <w:pPr>
              <w:jc w:val="left"/>
            </w:pPr>
            <w:r>
              <w:rPr>
                <w:rFonts w:ascii="宋体" w:hAnsi="宋体" w:eastAsia="宋体" w:cs="宋体"/>
                <w:b w:val="0"/>
                <w:i w:val="0"/>
                <w:color w:val="000000"/>
                <w:sz w:val="9"/>
              </w:rPr>
              <w:t>30199</w:t>
            </w:r>
          </w:p>
        </w:tc>
        <w:tc>
          <w:tcPr>
            <w:tcW w:w="1740" w:type="dxa"/>
            <w:vAlign w:val="center"/>
          </w:tcPr>
          <w:p w14:paraId="2F243570">
            <w:pPr>
              <w:jc w:val="left"/>
            </w:pPr>
            <w:r>
              <w:rPr>
                <w:rFonts w:ascii="宋体" w:hAnsi="宋体" w:eastAsia="宋体" w:cs="宋体"/>
                <w:b w:val="0"/>
                <w:i w:val="0"/>
                <w:color w:val="000000"/>
                <w:sz w:val="9"/>
              </w:rPr>
              <w:t xml:space="preserve">  其他工资福利支出</w:t>
            </w:r>
          </w:p>
        </w:tc>
        <w:tc>
          <w:tcPr>
            <w:tcW w:w="800" w:type="dxa"/>
            <w:vAlign w:val="center"/>
          </w:tcPr>
          <w:p w14:paraId="6EC8551C">
            <w:pPr>
              <w:jc w:val="right"/>
            </w:pPr>
            <w:r>
              <w:rPr>
                <w:rFonts w:ascii="宋体" w:hAnsi="宋体" w:eastAsia="宋体" w:cs="宋体"/>
                <w:b w:val="0"/>
                <w:i w:val="0"/>
                <w:color w:val="000000"/>
                <w:sz w:val="9"/>
              </w:rPr>
              <w:t>263.94</w:t>
            </w:r>
          </w:p>
        </w:tc>
        <w:tc>
          <w:tcPr>
            <w:tcW w:w="540" w:type="dxa"/>
            <w:vAlign w:val="center"/>
          </w:tcPr>
          <w:p w14:paraId="082EDB27">
            <w:pPr>
              <w:jc w:val="left"/>
            </w:pPr>
            <w:r>
              <w:rPr>
                <w:rFonts w:ascii="宋体" w:hAnsi="宋体" w:eastAsia="宋体" w:cs="宋体"/>
                <w:b w:val="0"/>
                <w:i w:val="0"/>
                <w:color w:val="000000"/>
                <w:sz w:val="9"/>
              </w:rPr>
              <w:t>30214</w:t>
            </w:r>
          </w:p>
        </w:tc>
        <w:tc>
          <w:tcPr>
            <w:tcW w:w="1380" w:type="dxa"/>
            <w:vAlign w:val="center"/>
          </w:tcPr>
          <w:p w14:paraId="03C59567">
            <w:pPr>
              <w:jc w:val="left"/>
            </w:pPr>
            <w:r>
              <w:rPr>
                <w:rFonts w:ascii="宋体" w:hAnsi="宋体" w:eastAsia="宋体" w:cs="宋体"/>
                <w:b w:val="0"/>
                <w:i w:val="0"/>
                <w:color w:val="000000"/>
                <w:sz w:val="9"/>
              </w:rPr>
              <w:t xml:space="preserve">  租赁费</w:t>
            </w:r>
          </w:p>
        </w:tc>
        <w:tc>
          <w:tcPr>
            <w:tcW w:w="820" w:type="dxa"/>
            <w:vAlign w:val="center"/>
          </w:tcPr>
          <w:p w14:paraId="57AE0113"/>
        </w:tc>
        <w:tc>
          <w:tcPr>
            <w:tcW w:w="540" w:type="dxa"/>
            <w:vAlign w:val="center"/>
          </w:tcPr>
          <w:p w14:paraId="045C5F0D">
            <w:pPr>
              <w:jc w:val="left"/>
            </w:pPr>
            <w:r>
              <w:rPr>
                <w:rFonts w:ascii="宋体" w:hAnsi="宋体" w:eastAsia="宋体" w:cs="宋体"/>
                <w:b w:val="0"/>
                <w:i w:val="0"/>
                <w:color w:val="000000"/>
                <w:sz w:val="9"/>
              </w:rPr>
              <w:t>31009</w:t>
            </w:r>
          </w:p>
        </w:tc>
        <w:tc>
          <w:tcPr>
            <w:tcW w:w="1260" w:type="dxa"/>
            <w:vAlign w:val="center"/>
          </w:tcPr>
          <w:p w14:paraId="376CC65F">
            <w:pPr>
              <w:jc w:val="left"/>
            </w:pPr>
            <w:r>
              <w:rPr>
                <w:rFonts w:ascii="宋体" w:hAnsi="宋体" w:eastAsia="宋体" w:cs="宋体"/>
                <w:b w:val="0"/>
                <w:i w:val="0"/>
                <w:color w:val="000000"/>
                <w:sz w:val="9"/>
              </w:rPr>
              <w:t xml:space="preserve">  土地补偿</w:t>
            </w:r>
          </w:p>
        </w:tc>
        <w:tc>
          <w:tcPr>
            <w:tcW w:w="786" w:type="dxa"/>
            <w:vAlign w:val="center"/>
          </w:tcPr>
          <w:p w14:paraId="3757CE1A"/>
        </w:tc>
      </w:tr>
      <w:tr w14:paraId="04C2A9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EE1BEDA">
            <w:pPr>
              <w:jc w:val="left"/>
            </w:pPr>
            <w:r>
              <w:rPr>
                <w:rFonts w:ascii="宋体" w:hAnsi="宋体" w:eastAsia="宋体" w:cs="宋体"/>
                <w:b/>
                <w:i w:val="0"/>
                <w:color w:val="000000"/>
                <w:sz w:val="9"/>
              </w:rPr>
              <w:t>303</w:t>
            </w:r>
          </w:p>
        </w:tc>
        <w:tc>
          <w:tcPr>
            <w:tcW w:w="1740" w:type="dxa"/>
            <w:vAlign w:val="center"/>
          </w:tcPr>
          <w:p w14:paraId="42C05C20">
            <w:pPr>
              <w:jc w:val="left"/>
            </w:pPr>
            <w:r>
              <w:rPr>
                <w:rFonts w:ascii="宋体" w:hAnsi="宋体" w:eastAsia="宋体" w:cs="宋体"/>
                <w:b/>
                <w:i w:val="0"/>
                <w:color w:val="000000"/>
                <w:sz w:val="9"/>
              </w:rPr>
              <w:t>对个人和家庭的补助</w:t>
            </w:r>
          </w:p>
        </w:tc>
        <w:tc>
          <w:tcPr>
            <w:tcW w:w="800" w:type="dxa"/>
            <w:vAlign w:val="center"/>
          </w:tcPr>
          <w:p w14:paraId="51020938">
            <w:pPr>
              <w:jc w:val="right"/>
            </w:pPr>
            <w:r>
              <w:rPr>
                <w:rFonts w:ascii="宋体" w:hAnsi="宋体" w:eastAsia="宋体" w:cs="宋体"/>
                <w:b w:val="0"/>
                <w:i w:val="0"/>
                <w:color w:val="000000"/>
                <w:sz w:val="9"/>
              </w:rPr>
              <w:t>809.07</w:t>
            </w:r>
          </w:p>
        </w:tc>
        <w:tc>
          <w:tcPr>
            <w:tcW w:w="540" w:type="dxa"/>
            <w:vAlign w:val="center"/>
          </w:tcPr>
          <w:p w14:paraId="55B4A40A">
            <w:pPr>
              <w:jc w:val="left"/>
            </w:pPr>
            <w:r>
              <w:rPr>
                <w:rFonts w:ascii="宋体" w:hAnsi="宋体" w:eastAsia="宋体" w:cs="宋体"/>
                <w:b w:val="0"/>
                <w:i w:val="0"/>
                <w:color w:val="000000"/>
                <w:sz w:val="9"/>
              </w:rPr>
              <w:t>30215</w:t>
            </w:r>
          </w:p>
        </w:tc>
        <w:tc>
          <w:tcPr>
            <w:tcW w:w="1380" w:type="dxa"/>
            <w:vAlign w:val="center"/>
          </w:tcPr>
          <w:p w14:paraId="1F8DD072">
            <w:pPr>
              <w:jc w:val="left"/>
            </w:pPr>
            <w:r>
              <w:rPr>
                <w:rFonts w:ascii="宋体" w:hAnsi="宋体" w:eastAsia="宋体" w:cs="宋体"/>
                <w:b w:val="0"/>
                <w:i w:val="0"/>
                <w:color w:val="000000"/>
                <w:sz w:val="9"/>
              </w:rPr>
              <w:t xml:space="preserve">  会议费</w:t>
            </w:r>
          </w:p>
        </w:tc>
        <w:tc>
          <w:tcPr>
            <w:tcW w:w="820" w:type="dxa"/>
            <w:vAlign w:val="center"/>
          </w:tcPr>
          <w:p w14:paraId="09F8022D"/>
        </w:tc>
        <w:tc>
          <w:tcPr>
            <w:tcW w:w="540" w:type="dxa"/>
            <w:vAlign w:val="center"/>
          </w:tcPr>
          <w:p w14:paraId="52A38F09">
            <w:pPr>
              <w:jc w:val="left"/>
            </w:pPr>
            <w:r>
              <w:rPr>
                <w:rFonts w:ascii="宋体" w:hAnsi="宋体" w:eastAsia="宋体" w:cs="宋体"/>
                <w:b w:val="0"/>
                <w:i w:val="0"/>
                <w:color w:val="000000"/>
                <w:sz w:val="9"/>
              </w:rPr>
              <w:t>31010</w:t>
            </w:r>
          </w:p>
        </w:tc>
        <w:tc>
          <w:tcPr>
            <w:tcW w:w="1260" w:type="dxa"/>
            <w:vAlign w:val="center"/>
          </w:tcPr>
          <w:p w14:paraId="0EE7589A">
            <w:pPr>
              <w:jc w:val="left"/>
            </w:pPr>
            <w:r>
              <w:rPr>
                <w:rFonts w:ascii="宋体" w:hAnsi="宋体" w:eastAsia="宋体" w:cs="宋体"/>
                <w:b w:val="0"/>
                <w:i w:val="0"/>
                <w:color w:val="000000"/>
                <w:sz w:val="9"/>
              </w:rPr>
              <w:t xml:space="preserve">  安置补助</w:t>
            </w:r>
          </w:p>
        </w:tc>
        <w:tc>
          <w:tcPr>
            <w:tcW w:w="786" w:type="dxa"/>
            <w:vAlign w:val="center"/>
          </w:tcPr>
          <w:p w14:paraId="6E88CB6E"/>
        </w:tc>
      </w:tr>
      <w:tr w14:paraId="64C39F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68A3C61">
            <w:pPr>
              <w:jc w:val="left"/>
            </w:pPr>
            <w:r>
              <w:rPr>
                <w:rFonts w:ascii="宋体" w:hAnsi="宋体" w:eastAsia="宋体" w:cs="宋体"/>
                <w:b w:val="0"/>
                <w:i w:val="0"/>
                <w:color w:val="000000"/>
                <w:sz w:val="9"/>
              </w:rPr>
              <w:t>30301</w:t>
            </w:r>
          </w:p>
        </w:tc>
        <w:tc>
          <w:tcPr>
            <w:tcW w:w="1740" w:type="dxa"/>
            <w:vAlign w:val="center"/>
          </w:tcPr>
          <w:p w14:paraId="5F5BCB74">
            <w:pPr>
              <w:jc w:val="left"/>
            </w:pPr>
            <w:r>
              <w:rPr>
                <w:rFonts w:ascii="宋体" w:hAnsi="宋体" w:eastAsia="宋体" w:cs="宋体"/>
                <w:b w:val="0"/>
                <w:i w:val="0"/>
                <w:color w:val="000000"/>
                <w:sz w:val="9"/>
              </w:rPr>
              <w:t xml:space="preserve">  离休费</w:t>
            </w:r>
          </w:p>
        </w:tc>
        <w:tc>
          <w:tcPr>
            <w:tcW w:w="800" w:type="dxa"/>
            <w:vAlign w:val="center"/>
          </w:tcPr>
          <w:p w14:paraId="1A0BC67A"/>
        </w:tc>
        <w:tc>
          <w:tcPr>
            <w:tcW w:w="540" w:type="dxa"/>
            <w:vAlign w:val="center"/>
          </w:tcPr>
          <w:p w14:paraId="7EDC2ED5">
            <w:pPr>
              <w:jc w:val="left"/>
            </w:pPr>
            <w:r>
              <w:rPr>
                <w:rFonts w:ascii="宋体" w:hAnsi="宋体" w:eastAsia="宋体" w:cs="宋体"/>
                <w:b w:val="0"/>
                <w:i w:val="0"/>
                <w:color w:val="000000"/>
                <w:sz w:val="9"/>
              </w:rPr>
              <w:t>30216</w:t>
            </w:r>
          </w:p>
        </w:tc>
        <w:tc>
          <w:tcPr>
            <w:tcW w:w="1380" w:type="dxa"/>
            <w:vAlign w:val="center"/>
          </w:tcPr>
          <w:p w14:paraId="52F7C032">
            <w:pPr>
              <w:jc w:val="left"/>
            </w:pPr>
            <w:r>
              <w:rPr>
                <w:rFonts w:ascii="宋体" w:hAnsi="宋体" w:eastAsia="宋体" w:cs="宋体"/>
                <w:b w:val="0"/>
                <w:i w:val="0"/>
                <w:color w:val="000000"/>
                <w:sz w:val="9"/>
              </w:rPr>
              <w:t xml:space="preserve">  培训费</w:t>
            </w:r>
          </w:p>
        </w:tc>
        <w:tc>
          <w:tcPr>
            <w:tcW w:w="820" w:type="dxa"/>
            <w:vAlign w:val="center"/>
          </w:tcPr>
          <w:p w14:paraId="41F21B9B">
            <w:pPr>
              <w:jc w:val="right"/>
            </w:pPr>
            <w:r>
              <w:rPr>
                <w:rFonts w:ascii="宋体" w:hAnsi="宋体" w:eastAsia="宋体" w:cs="宋体"/>
                <w:b w:val="0"/>
                <w:i w:val="0"/>
                <w:color w:val="000000"/>
                <w:sz w:val="9"/>
              </w:rPr>
              <w:t>0.87</w:t>
            </w:r>
          </w:p>
        </w:tc>
        <w:tc>
          <w:tcPr>
            <w:tcW w:w="540" w:type="dxa"/>
            <w:vAlign w:val="center"/>
          </w:tcPr>
          <w:p w14:paraId="24CD8AF1">
            <w:pPr>
              <w:jc w:val="left"/>
            </w:pPr>
            <w:r>
              <w:rPr>
                <w:rFonts w:ascii="宋体" w:hAnsi="宋体" w:eastAsia="宋体" w:cs="宋体"/>
                <w:b w:val="0"/>
                <w:i w:val="0"/>
                <w:color w:val="000000"/>
                <w:sz w:val="9"/>
              </w:rPr>
              <w:t>310111</w:t>
            </w:r>
          </w:p>
        </w:tc>
        <w:tc>
          <w:tcPr>
            <w:tcW w:w="1260" w:type="dxa"/>
            <w:vAlign w:val="center"/>
          </w:tcPr>
          <w:p w14:paraId="016E38E3">
            <w:pPr>
              <w:jc w:val="left"/>
            </w:pPr>
            <w:r>
              <w:rPr>
                <w:rFonts w:ascii="宋体" w:hAnsi="宋体" w:eastAsia="宋体" w:cs="宋体"/>
                <w:b w:val="0"/>
                <w:i w:val="0"/>
                <w:color w:val="000000"/>
                <w:sz w:val="9"/>
              </w:rPr>
              <w:t xml:space="preserve">  地上附着物和青苗补偿</w:t>
            </w:r>
          </w:p>
        </w:tc>
        <w:tc>
          <w:tcPr>
            <w:tcW w:w="786" w:type="dxa"/>
            <w:vAlign w:val="center"/>
          </w:tcPr>
          <w:p w14:paraId="05F96901"/>
        </w:tc>
      </w:tr>
      <w:tr w14:paraId="03D75C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DA554A8">
            <w:pPr>
              <w:jc w:val="left"/>
            </w:pPr>
            <w:r>
              <w:rPr>
                <w:rFonts w:ascii="宋体" w:hAnsi="宋体" w:eastAsia="宋体" w:cs="宋体"/>
                <w:b w:val="0"/>
                <w:i w:val="0"/>
                <w:color w:val="000000"/>
                <w:sz w:val="9"/>
              </w:rPr>
              <w:t>30302</w:t>
            </w:r>
          </w:p>
        </w:tc>
        <w:tc>
          <w:tcPr>
            <w:tcW w:w="1740" w:type="dxa"/>
            <w:vAlign w:val="center"/>
          </w:tcPr>
          <w:p w14:paraId="0828B687">
            <w:pPr>
              <w:jc w:val="left"/>
            </w:pPr>
            <w:r>
              <w:rPr>
                <w:rFonts w:ascii="宋体" w:hAnsi="宋体" w:eastAsia="宋体" w:cs="宋体"/>
                <w:b w:val="0"/>
                <w:i w:val="0"/>
                <w:color w:val="000000"/>
                <w:sz w:val="9"/>
              </w:rPr>
              <w:t xml:space="preserve">  退休费</w:t>
            </w:r>
          </w:p>
        </w:tc>
        <w:tc>
          <w:tcPr>
            <w:tcW w:w="800" w:type="dxa"/>
            <w:vAlign w:val="center"/>
          </w:tcPr>
          <w:p w14:paraId="29BA447F">
            <w:pPr>
              <w:jc w:val="right"/>
            </w:pPr>
            <w:r>
              <w:rPr>
                <w:rFonts w:ascii="宋体" w:hAnsi="宋体" w:eastAsia="宋体" w:cs="宋体"/>
                <w:b w:val="0"/>
                <w:i w:val="0"/>
                <w:color w:val="000000"/>
                <w:sz w:val="9"/>
              </w:rPr>
              <w:t>792.28</w:t>
            </w:r>
          </w:p>
        </w:tc>
        <w:tc>
          <w:tcPr>
            <w:tcW w:w="540" w:type="dxa"/>
            <w:vAlign w:val="center"/>
          </w:tcPr>
          <w:p w14:paraId="6093BDA8">
            <w:pPr>
              <w:jc w:val="left"/>
            </w:pPr>
            <w:r>
              <w:rPr>
                <w:rFonts w:ascii="宋体" w:hAnsi="宋体" w:eastAsia="宋体" w:cs="宋体"/>
                <w:b w:val="0"/>
                <w:i w:val="0"/>
                <w:color w:val="000000"/>
                <w:sz w:val="9"/>
              </w:rPr>
              <w:t>30217</w:t>
            </w:r>
          </w:p>
        </w:tc>
        <w:tc>
          <w:tcPr>
            <w:tcW w:w="1380" w:type="dxa"/>
            <w:vAlign w:val="center"/>
          </w:tcPr>
          <w:p w14:paraId="7AE1D5F9">
            <w:pPr>
              <w:jc w:val="left"/>
            </w:pPr>
            <w:r>
              <w:rPr>
                <w:rFonts w:ascii="宋体" w:hAnsi="宋体" w:eastAsia="宋体" w:cs="宋体"/>
                <w:b w:val="0"/>
                <w:i w:val="0"/>
                <w:color w:val="000000"/>
                <w:sz w:val="9"/>
              </w:rPr>
              <w:t xml:space="preserve">  公务接待费</w:t>
            </w:r>
          </w:p>
        </w:tc>
        <w:tc>
          <w:tcPr>
            <w:tcW w:w="820" w:type="dxa"/>
            <w:vAlign w:val="center"/>
          </w:tcPr>
          <w:p w14:paraId="0A6B5447"/>
        </w:tc>
        <w:tc>
          <w:tcPr>
            <w:tcW w:w="540" w:type="dxa"/>
            <w:vAlign w:val="center"/>
          </w:tcPr>
          <w:p w14:paraId="24D06680">
            <w:pPr>
              <w:jc w:val="left"/>
            </w:pPr>
            <w:r>
              <w:rPr>
                <w:rFonts w:ascii="宋体" w:hAnsi="宋体" w:eastAsia="宋体" w:cs="宋体"/>
                <w:b w:val="0"/>
                <w:i w:val="0"/>
                <w:color w:val="000000"/>
                <w:sz w:val="9"/>
              </w:rPr>
              <w:t>31012</w:t>
            </w:r>
          </w:p>
        </w:tc>
        <w:tc>
          <w:tcPr>
            <w:tcW w:w="1260" w:type="dxa"/>
            <w:vAlign w:val="center"/>
          </w:tcPr>
          <w:p w14:paraId="06C0AFB2">
            <w:pPr>
              <w:jc w:val="left"/>
            </w:pPr>
            <w:r>
              <w:rPr>
                <w:rFonts w:ascii="宋体" w:hAnsi="宋体" w:eastAsia="宋体" w:cs="宋体"/>
                <w:b w:val="0"/>
                <w:i w:val="0"/>
                <w:color w:val="000000"/>
                <w:sz w:val="9"/>
              </w:rPr>
              <w:t xml:space="preserve">  拆迁补偿</w:t>
            </w:r>
          </w:p>
        </w:tc>
        <w:tc>
          <w:tcPr>
            <w:tcW w:w="786" w:type="dxa"/>
            <w:vAlign w:val="center"/>
          </w:tcPr>
          <w:p w14:paraId="1C73215A"/>
        </w:tc>
      </w:tr>
      <w:tr w14:paraId="0CCCCB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DB9574B">
            <w:pPr>
              <w:jc w:val="left"/>
            </w:pPr>
            <w:r>
              <w:rPr>
                <w:rFonts w:ascii="宋体" w:hAnsi="宋体" w:eastAsia="宋体" w:cs="宋体"/>
                <w:b w:val="0"/>
                <w:i w:val="0"/>
                <w:color w:val="000000"/>
                <w:sz w:val="9"/>
              </w:rPr>
              <w:t>30303</w:t>
            </w:r>
          </w:p>
        </w:tc>
        <w:tc>
          <w:tcPr>
            <w:tcW w:w="1740" w:type="dxa"/>
            <w:vAlign w:val="center"/>
          </w:tcPr>
          <w:p w14:paraId="5BC5AB8B">
            <w:pPr>
              <w:jc w:val="left"/>
            </w:pPr>
            <w:r>
              <w:rPr>
                <w:rFonts w:ascii="宋体" w:hAnsi="宋体" w:eastAsia="宋体" w:cs="宋体"/>
                <w:b w:val="0"/>
                <w:i w:val="0"/>
                <w:color w:val="000000"/>
                <w:sz w:val="9"/>
              </w:rPr>
              <w:t xml:space="preserve">  退职（役）费</w:t>
            </w:r>
          </w:p>
        </w:tc>
        <w:tc>
          <w:tcPr>
            <w:tcW w:w="800" w:type="dxa"/>
            <w:vAlign w:val="center"/>
          </w:tcPr>
          <w:p w14:paraId="0AEECDC0"/>
        </w:tc>
        <w:tc>
          <w:tcPr>
            <w:tcW w:w="540" w:type="dxa"/>
            <w:vAlign w:val="center"/>
          </w:tcPr>
          <w:p w14:paraId="250A8446">
            <w:pPr>
              <w:jc w:val="left"/>
            </w:pPr>
            <w:r>
              <w:rPr>
                <w:rFonts w:ascii="宋体" w:hAnsi="宋体" w:eastAsia="宋体" w:cs="宋体"/>
                <w:b w:val="0"/>
                <w:i w:val="0"/>
                <w:color w:val="000000"/>
                <w:sz w:val="9"/>
              </w:rPr>
              <w:t>30218</w:t>
            </w:r>
          </w:p>
        </w:tc>
        <w:tc>
          <w:tcPr>
            <w:tcW w:w="1380" w:type="dxa"/>
            <w:vAlign w:val="center"/>
          </w:tcPr>
          <w:p w14:paraId="5403346B">
            <w:pPr>
              <w:jc w:val="left"/>
            </w:pPr>
            <w:r>
              <w:rPr>
                <w:rFonts w:ascii="宋体" w:hAnsi="宋体" w:eastAsia="宋体" w:cs="宋体"/>
                <w:b w:val="0"/>
                <w:i w:val="0"/>
                <w:color w:val="000000"/>
                <w:sz w:val="9"/>
              </w:rPr>
              <w:t xml:space="preserve">  专用材料费</w:t>
            </w:r>
          </w:p>
        </w:tc>
        <w:tc>
          <w:tcPr>
            <w:tcW w:w="820" w:type="dxa"/>
            <w:vAlign w:val="center"/>
          </w:tcPr>
          <w:p w14:paraId="0E5E5B79"/>
        </w:tc>
        <w:tc>
          <w:tcPr>
            <w:tcW w:w="540" w:type="dxa"/>
            <w:vAlign w:val="center"/>
          </w:tcPr>
          <w:p w14:paraId="01B16293">
            <w:pPr>
              <w:jc w:val="left"/>
            </w:pPr>
            <w:r>
              <w:rPr>
                <w:rFonts w:ascii="宋体" w:hAnsi="宋体" w:eastAsia="宋体" w:cs="宋体"/>
                <w:b w:val="0"/>
                <w:i w:val="0"/>
                <w:color w:val="000000"/>
                <w:sz w:val="9"/>
              </w:rPr>
              <w:t>31013</w:t>
            </w:r>
          </w:p>
        </w:tc>
        <w:tc>
          <w:tcPr>
            <w:tcW w:w="1260" w:type="dxa"/>
            <w:vAlign w:val="center"/>
          </w:tcPr>
          <w:p w14:paraId="571172FF">
            <w:pPr>
              <w:jc w:val="left"/>
            </w:pPr>
            <w:r>
              <w:rPr>
                <w:rFonts w:ascii="宋体" w:hAnsi="宋体" w:eastAsia="宋体" w:cs="宋体"/>
                <w:b w:val="0"/>
                <w:i w:val="0"/>
                <w:color w:val="000000"/>
                <w:sz w:val="9"/>
              </w:rPr>
              <w:t xml:space="preserve">  公务用车购置</w:t>
            </w:r>
          </w:p>
        </w:tc>
        <w:tc>
          <w:tcPr>
            <w:tcW w:w="786" w:type="dxa"/>
            <w:vAlign w:val="center"/>
          </w:tcPr>
          <w:p w14:paraId="202E2BE9"/>
        </w:tc>
      </w:tr>
      <w:tr w14:paraId="7F4E59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C6ADEDF">
            <w:pPr>
              <w:jc w:val="left"/>
            </w:pPr>
            <w:r>
              <w:rPr>
                <w:rFonts w:ascii="宋体" w:hAnsi="宋体" w:eastAsia="宋体" w:cs="宋体"/>
                <w:b w:val="0"/>
                <w:i w:val="0"/>
                <w:color w:val="000000"/>
                <w:sz w:val="9"/>
              </w:rPr>
              <w:t>30304</w:t>
            </w:r>
          </w:p>
        </w:tc>
        <w:tc>
          <w:tcPr>
            <w:tcW w:w="1740" w:type="dxa"/>
            <w:vAlign w:val="center"/>
          </w:tcPr>
          <w:p w14:paraId="2F0EDADE">
            <w:pPr>
              <w:jc w:val="left"/>
            </w:pPr>
            <w:r>
              <w:rPr>
                <w:rFonts w:ascii="宋体" w:hAnsi="宋体" w:eastAsia="宋体" w:cs="宋体"/>
                <w:b w:val="0"/>
                <w:i w:val="0"/>
                <w:color w:val="000000"/>
                <w:sz w:val="9"/>
              </w:rPr>
              <w:t xml:space="preserve">  抚恤金</w:t>
            </w:r>
          </w:p>
        </w:tc>
        <w:tc>
          <w:tcPr>
            <w:tcW w:w="800" w:type="dxa"/>
            <w:vAlign w:val="center"/>
          </w:tcPr>
          <w:p w14:paraId="102106A9"/>
        </w:tc>
        <w:tc>
          <w:tcPr>
            <w:tcW w:w="540" w:type="dxa"/>
            <w:vAlign w:val="center"/>
          </w:tcPr>
          <w:p w14:paraId="345DDDD8">
            <w:pPr>
              <w:jc w:val="left"/>
            </w:pPr>
            <w:r>
              <w:rPr>
                <w:rFonts w:ascii="宋体" w:hAnsi="宋体" w:eastAsia="宋体" w:cs="宋体"/>
                <w:b w:val="0"/>
                <w:i w:val="0"/>
                <w:color w:val="000000"/>
                <w:sz w:val="9"/>
              </w:rPr>
              <w:t>30224</w:t>
            </w:r>
          </w:p>
        </w:tc>
        <w:tc>
          <w:tcPr>
            <w:tcW w:w="1380" w:type="dxa"/>
            <w:vAlign w:val="center"/>
          </w:tcPr>
          <w:p w14:paraId="3DEC2135">
            <w:pPr>
              <w:jc w:val="left"/>
            </w:pPr>
            <w:r>
              <w:rPr>
                <w:rFonts w:ascii="宋体" w:hAnsi="宋体" w:eastAsia="宋体" w:cs="宋体"/>
                <w:b w:val="0"/>
                <w:i w:val="0"/>
                <w:color w:val="000000"/>
                <w:sz w:val="9"/>
              </w:rPr>
              <w:t xml:space="preserve">  被装购置费</w:t>
            </w:r>
          </w:p>
        </w:tc>
        <w:tc>
          <w:tcPr>
            <w:tcW w:w="820" w:type="dxa"/>
            <w:vAlign w:val="center"/>
          </w:tcPr>
          <w:p w14:paraId="1BC38342"/>
        </w:tc>
        <w:tc>
          <w:tcPr>
            <w:tcW w:w="540" w:type="dxa"/>
            <w:vAlign w:val="center"/>
          </w:tcPr>
          <w:p w14:paraId="06925A21">
            <w:pPr>
              <w:jc w:val="left"/>
            </w:pPr>
            <w:r>
              <w:rPr>
                <w:rFonts w:ascii="宋体" w:hAnsi="宋体" w:eastAsia="宋体" w:cs="宋体"/>
                <w:b w:val="0"/>
                <w:i w:val="0"/>
                <w:color w:val="000000"/>
                <w:sz w:val="9"/>
              </w:rPr>
              <w:t>31019</w:t>
            </w:r>
          </w:p>
        </w:tc>
        <w:tc>
          <w:tcPr>
            <w:tcW w:w="1260" w:type="dxa"/>
            <w:vAlign w:val="center"/>
          </w:tcPr>
          <w:p w14:paraId="7C13925E">
            <w:pPr>
              <w:jc w:val="left"/>
            </w:pPr>
            <w:r>
              <w:rPr>
                <w:rFonts w:ascii="宋体" w:hAnsi="宋体" w:eastAsia="宋体" w:cs="宋体"/>
                <w:b w:val="0"/>
                <w:i w:val="0"/>
                <w:color w:val="000000"/>
                <w:sz w:val="9"/>
              </w:rPr>
              <w:t xml:space="preserve">  其他交通工具购置</w:t>
            </w:r>
          </w:p>
        </w:tc>
        <w:tc>
          <w:tcPr>
            <w:tcW w:w="786" w:type="dxa"/>
            <w:vAlign w:val="center"/>
          </w:tcPr>
          <w:p w14:paraId="564D0FF8"/>
        </w:tc>
      </w:tr>
      <w:tr w14:paraId="6217A4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BBB264F">
            <w:pPr>
              <w:jc w:val="left"/>
            </w:pPr>
            <w:r>
              <w:rPr>
                <w:rFonts w:ascii="宋体" w:hAnsi="宋体" w:eastAsia="宋体" w:cs="宋体"/>
                <w:b w:val="0"/>
                <w:i w:val="0"/>
                <w:color w:val="000000"/>
                <w:sz w:val="9"/>
              </w:rPr>
              <w:t>30305</w:t>
            </w:r>
          </w:p>
        </w:tc>
        <w:tc>
          <w:tcPr>
            <w:tcW w:w="1740" w:type="dxa"/>
            <w:vAlign w:val="center"/>
          </w:tcPr>
          <w:p w14:paraId="0C62E031">
            <w:pPr>
              <w:jc w:val="left"/>
            </w:pPr>
            <w:r>
              <w:rPr>
                <w:rFonts w:ascii="宋体" w:hAnsi="宋体" w:eastAsia="宋体" w:cs="宋体"/>
                <w:b w:val="0"/>
                <w:i w:val="0"/>
                <w:color w:val="000000"/>
                <w:sz w:val="9"/>
              </w:rPr>
              <w:t xml:space="preserve">  生活补贴</w:t>
            </w:r>
          </w:p>
        </w:tc>
        <w:tc>
          <w:tcPr>
            <w:tcW w:w="800" w:type="dxa"/>
            <w:vAlign w:val="center"/>
          </w:tcPr>
          <w:p w14:paraId="447A1346">
            <w:pPr>
              <w:jc w:val="right"/>
            </w:pPr>
            <w:r>
              <w:rPr>
                <w:rFonts w:ascii="宋体" w:hAnsi="宋体" w:eastAsia="宋体" w:cs="宋体"/>
                <w:b w:val="0"/>
                <w:i w:val="0"/>
                <w:color w:val="000000"/>
                <w:sz w:val="9"/>
              </w:rPr>
              <w:t>2.18</w:t>
            </w:r>
          </w:p>
        </w:tc>
        <w:tc>
          <w:tcPr>
            <w:tcW w:w="540" w:type="dxa"/>
            <w:vAlign w:val="center"/>
          </w:tcPr>
          <w:p w14:paraId="603E88C5">
            <w:pPr>
              <w:jc w:val="left"/>
            </w:pPr>
            <w:r>
              <w:rPr>
                <w:rFonts w:ascii="宋体" w:hAnsi="宋体" w:eastAsia="宋体" w:cs="宋体"/>
                <w:b w:val="0"/>
                <w:i w:val="0"/>
                <w:color w:val="000000"/>
                <w:sz w:val="9"/>
              </w:rPr>
              <w:t>30225</w:t>
            </w:r>
          </w:p>
        </w:tc>
        <w:tc>
          <w:tcPr>
            <w:tcW w:w="1380" w:type="dxa"/>
            <w:vAlign w:val="center"/>
          </w:tcPr>
          <w:p w14:paraId="51E6A688">
            <w:pPr>
              <w:jc w:val="left"/>
            </w:pPr>
            <w:r>
              <w:rPr>
                <w:rFonts w:ascii="宋体" w:hAnsi="宋体" w:eastAsia="宋体" w:cs="宋体"/>
                <w:b w:val="0"/>
                <w:i w:val="0"/>
                <w:color w:val="000000"/>
                <w:sz w:val="9"/>
              </w:rPr>
              <w:t xml:space="preserve">  专用燃料费</w:t>
            </w:r>
          </w:p>
        </w:tc>
        <w:tc>
          <w:tcPr>
            <w:tcW w:w="820" w:type="dxa"/>
            <w:vAlign w:val="center"/>
          </w:tcPr>
          <w:p w14:paraId="1F8563DE"/>
        </w:tc>
        <w:tc>
          <w:tcPr>
            <w:tcW w:w="540" w:type="dxa"/>
            <w:vAlign w:val="center"/>
          </w:tcPr>
          <w:p w14:paraId="436AE3E8">
            <w:pPr>
              <w:jc w:val="left"/>
            </w:pPr>
            <w:r>
              <w:rPr>
                <w:rFonts w:ascii="宋体" w:hAnsi="宋体" w:eastAsia="宋体" w:cs="宋体"/>
                <w:b w:val="0"/>
                <w:i w:val="0"/>
                <w:color w:val="000000"/>
                <w:sz w:val="9"/>
              </w:rPr>
              <w:t>31021</w:t>
            </w:r>
          </w:p>
        </w:tc>
        <w:tc>
          <w:tcPr>
            <w:tcW w:w="1260" w:type="dxa"/>
            <w:vAlign w:val="center"/>
          </w:tcPr>
          <w:p w14:paraId="6A4BDD50">
            <w:pPr>
              <w:jc w:val="left"/>
            </w:pPr>
            <w:r>
              <w:rPr>
                <w:rFonts w:ascii="宋体" w:hAnsi="宋体" w:eastAsia="宋体" w:cs="宋体"/>
                <w:b w:val="0"/>
                <w:i w:val="0"/>
                <w:color w:val="000000"/>
                <w:sz w:val="9"/>
              </w:rPr>
              <w:t xml:space="preserve">  文物和陈列品购置</w:t>
            </w:r>
          </w:p>
        </w:tc>
        <w:tc>
          <w:tcPr>
            <w:tcW w:w="786" w:type="dxa"/>
            <w:vAlign w:val="center"/>
          </w:tcPr>
          <w:p w14:paraId="5099EE63"/>
        </w:tc>
      </w:tr>
      <w:tr w14:paraId="3380F1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49D37E9">
            <w:pPr>
              <w:jc w:val="left"/>
            </w:pPr>
            <w:r>
              <w:rPr>
                <w:rFonts w:ascii="宋体" w:hAnsi="宋体" w:eastAsia="宋体" w:cs="宋体"/>
                <w:b w:val="0"/>
                <w:i w:val="0"/>
                <w:color w:val="000000"/>
                <w:sz w:val="9"/>
              </w:rPr>
              <w:t>30306</w:t>
            </w:r>
          </w:p>
        </w:tc>
        <w:tc>
          <w:tcPr>
            <w:tcW w:w="1740" w:type="dxa"/>
            <w:vAlign w:val="center"/>
          </w:tcPr>
          <w:p w14:paraId="74CD8CEE">
            <w:pPr>
              <w:jc w:val="left"/>
            </w:pPr>
            <w:r>
              <w:rPr>
                <w:rFonts w:ascii="宋体" w:hAnsi="宋体" w:eastAsia="宋体" w:cs="宋体"/>
                <w:b w:val="0"/>
                <w:i w:val="0"/>
                <w:color w:val="000000"/>
                <w:sz w:val="9"/>
              </w:rPr>
              <w:t xml:space="preserve">  救济费</w:t>
            </w:r>
          </w:p>
        </w:tc>
        <w:tc>
          <w:tcPr>
            <w:tcW w:w="800" w:type="dxa"/>
            <w:vAlign w:val="center"/>
          </w:tcPr>
          <w:p w14:paraId="6640FF30"/>
        </w:tc>
        <w:tc>
          <w:tcPr>
            <w:tcW w:w="540" w:type="dxa"/>
            <w:vAlign w:val="center"/>
          </w:tcPr>
          <w:p w14:paraId="17A20BF7">
            <w:pPr>
              <w:jc w:val="left"/>
            </w:pPr>
            <w:r>
              <w:rPr>
                <w:rFonts w:ascii="宋体" w:hAnsi="宋体" w:eastAsia="宋体" w:cs="宋体"/>
                <w:b w:val="0"/>
                <w:i w:val="0"/>
                <w:color w:val="000000"/>
                <w:sz w:val="9"/>
              </w:rPr>
              <w:t>30226</w:t>
            </w:r>
          </w:p>
        </w:tc>
        <w:tc>
          <w:tcPr>
            <w:tcW w:w="1380" w:type="dxa"/>
            <w:vAlign w:val="center"/>
          </w:tcPr>
          <w:p w14:paraId="67FE258E">
            <w:pPr>
              <w:jc w:val="left"/>
            </w:pPr>
            <w:r>
              <w:rPr>
                <w:rFonts w:ascii="宋体" w:hAnsi="宋体" w:eastAsia="宋体" w:cs="宋体"/>
                <w:b w:val="0"/>
                <w:i w:val="0"/>
                <w:color w:val="000000"/>
                <w:sz w:val="9"/>
              </w:rPr>
              <w:t xml:space="preserve">  劳务费</w:t>
            </w:r>
          </w:p>
        </w:tc>
        <w:tc>
          <w:tcPr>
            <w:tcW w:w="820" w:type="dxa"/>
            <w:vAlign w:val="center"/>
          </w:tcPr>
          <w:p w14:paraId="432CB982"/>
        </w:tc>
        <w:tc>
          <w:tcPr>
            <w:tcW w:w="540" w:type="dxa"/>
            <w:vAlign w:val="center"/>
          </w:tcPr>
          <w:p w14:paraId="511BD6D5">
            <w:pPr>
              <w:jc w:val="left"/>
            </w:pPr>
            <w:r>
              <w:rPr>
                <w:rFonts w:ascii="宋体" w:hAnsi="宋体" w:eastAsia="宋体" w:cs="宋体"/>
                <w:b w:val="0"/>
                <w:i w:val="0"/>
                <w:color w:val="000000"/>
                <w:sz w:val="9"/>
              </w:rPr>
              <w:t>31022</w:t>
            </w:r>
          </w:p>
        </w:tc>
        <w:tc>
          <w:tcPr>
            <w:tcW w:w="1260" w:type="dxa"/>
            <w:vAlign w:val="center"/>
          </w:tcPr>
          <w:p w14:paraId="7877A62A">
            <w:pPr>
              <w:jc w:val="left"/>
            </w:pPr>
            <w:r>
              <w:rPr>
                <w:rFonts w:ascii="宋体" w:hAnsi="宋体" w:eastAsia="宋体" w:cs="宋体"/>
                <w:b w:val="0"/>
                <w:i w:val="0"/>
                <w:color w:val="000000"/>
                <w:sz w:val="9"/>
              </w:rPr>
              <w:t xml:space="preserve">  无形资产购置</w:t>
            </w:r>
          </w:p>
        </w:tc>
        <w:tc>
          <w:tcPr>
            <w:tcW w:w="786" w:type="dxa"/>
            <w:vAlign w:val="center"/>
          </w:tcPr>
          <w:p w14:paraId="082733ED"/>
        </w:tc>
      </w:tr>
      <w:tr w14:paraId="33CF05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815B807">
            <w:pPr>
              <w:jc w:val="left"/>
            </w:pPr>
            <w:r>
              <w:rPr>
                <w:rFonts w:ascii="宋体" w:hAnsi="宋体" w:eastAsia="宋体" w:cs="宋体"/>
                <w:b w:val="0"/>
                <w:i w:val="0"/>
                <w:color w:val="000000"/>
                <w:sz w:val="9"/>
              </w:rPr>
              <w:t>30307</w:t>
            </w:r>
          </w:p>
        </w:tc>
        <w:tc>
          <w:tcPr>
            <w:tcW w:w="1740" w:type="dxa"/>
            <w:vAlign w:val="center"/>
          </w:tcPr>
          <w:p w14:paraId="2DE97311">
            <w:pPr>
              <w:jc w:val="left"/>
            </w:pPr>
            <w:r>
              <w:rPr>
                <w:rFonts w:ascii="宋体" w:hAnsi="宋体" w:eastAsia="宋体" w:cs="宋体"/>
                <w:b w:val="0"/>
                <w:i w:val="0"/>
                <w:color w:val="000000"/>
                <w:sz w:val="9"/>
              </w:rPr>
              <w:t xml:space="preserve">  医疗费补助</w:t>
            </w:r>
          </w:p>
        </w:tc>
        <w:tc>
          <w:tcPr>
            <w:tcW w:w="800" w:type="dxa"/>
            <w:vAlign w:val="center"/>
          </w:tcPr>
          <w:p w14:paraId="29FDA395">
            <w:pPr>
              <w:jc w:val="right"/>
            </w:pPr>
            <w:r>
              <w:rPr>
                <w:rFonts w:ascii="宋体" w:hAnsi="宋体" w:eastAsia="宋体" w:cs="宋体"/>
                <w:b w:val="0"/>
                <w:i w:val="0"/>
                <w:color w:val="000000"/>
                <w:sz w:val="9"/>
              </w:rPr>
              <w:t>6.08</w:t>
            </w:r>
          </w:p>
        </w:tc>
        <w:tc>
          <w:tcPr>
            <w:tcW w:w="540" w:type="dxa"/>
            <w:vAlign w:val="center"/>
          </w:tcPr>
          <w:p w14:paraId="6CF98677">
            <w:pPr>
              <w:jc w:val="left"/>
            </w:pPr>
            <w:r>
              <w:rPr>
                <w:rFonts w:ascii="宋体" w:hAnsi="宋体" w:eastAsia="宋体" w:cs="宋体"/>
                <w:b w:val="0"/>
                <w:i w:val="0"/>
                <w:color w:val="000000"/>
                <w:sz w:val="9"/>
              </w:rPr>
              <w:t>30227</w:t>
            </w:r>
          </w:p>
        </w:tc>
        <w:tc>
          <w:tcPr>
            <w:tcW w:w="1380" w:type="dxa"/>
            <w:vAlign w:val="center"/>
          </w:tcPr>
          <w:p w14:paraId="5FA038ED">
            <w:pPr>
              <w:jc w:val="left"/>
            </w:pPr>
            <w:r>
              <w:rPr>
                <w:rFonts w:ascii="宋体" w:hAnsi="宋体" w:eastAsia="宋体" w:cs="宋体"/>
                <w:b w:val="0"/>
                <w:i w:val="0"/>
                <w:color w:val="000000"/>
                <w:sz w:val="9"/>
              </w:rPr>
              <w:t xml:space="preserve">  委托业务费</w:t>
            </w:r>
          </w:p>
        </w:tc>
        <w:tc>
          <w:tcPr>
            <w:tcW w:w="820" w:type="dxa"/>
            <w:vAlign w:val="center"/>
          </w:tcPr>
          <w:p w14:paraId="285B9CF1">
            <w:pPr>
              <w:jc w:val="right"/>
            </w:pPr>
            <w:r>
              <w:rPr>
                <w:rFonts w:ascii="宋体" w:hAnsi="宋体" w:eastAsia="宋体" w:cs="宋体"/>
                <w:b w:val="0"/>
                <w:i w:val="0"/>
                <w:color w:val="000000"/>
                <w:sz w:val="9"/>
              </w:rPr>
              <w:t>19.75</w:t>
            </w:r>
          </w:p>
        </w:tc>
        <w:tc>
          <w:tcPr>
            <w:tcW w:w="540" w:type="dxa"/>
            <w:vAlign w:val="center"/>
          </w:tcPr>
          <w:p w14:paraId="4F164A2D">
            <w:pPr>
              <w:jc w:val="left"/>
            </w:pPr>
            <w:r>
              <w:rPr>
                <w:rFonts w:ascii="宋体" w:hAnsi="宋体" w:eastAsia="宋体" w:cs="宋体"/>
                <w:b w:val="0"/>
                <w:i w:val="0"/>
                <w:color w:val="000000"/>
                <w:sz w:val="9"/>
              </w:rPr>
              <w:t>31099</w:t>
            </w:r>
          </w:p>
        </w:tc>
        <w:tc>
          <w:tcPr>
            <w:tcW w:w="1260" w:type="dxa"/>
            <w:vAlign w:val="center"/>
          </w:tcPr>
          <w:p w14:paraId="1B58B3BE">
            <w:pPr>
              <w:jc w:val="left"/>
            </w:pPr>
            <w:r>
              <w:rPr>
                <w:rFonts w:ascii="宋体" w:hAnsi="宋体" w:eastAsia="宋体" w:cs="宋体"/>
                <w:b w:val="0"/>
                <w:i w:val="0"/>
                <w:color w:val="000000"/>
                <w:sz w:val="9"/>
              </w:rPr>
              <w:t xml:space="preserve">  其他资本性支出</w:t>
            </w:r>
          </w:p>
        </w:tc>
        <w:tc>
          <w:tcPr>
            <w:tcW w:w="786" w:type="dxa"/>
            <w:vAlign w:val="center"/>
          </w:tcPr>
          <w:p w14:paraId="0718F3A1"/>
        </w:tc>
      </w:tr>
      <w:tr w14:paraId="5ACBFC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15C9DFB">
            <w:pPr>
              <w:jc w:val="left"/>
            </w:pPr>
            <w:r>
              <w:rPr>
                <w:rFonts w:ascii="宋体" w:hAnsi="宋体" w:eastAsia="宋体" w:cs="宋体"/>
                <w:b w:val="0"/>
                <w:i w:val="0"/>
                <w:color w:val="000000"/>
                <w:sz w:val="9"/>
              </w:rPr>
              <w:t>30308</w:t>
            </w:r>
          </w:p>
        </w:tc>
        <w:tc>
          <w:tcPr>
            <w:tcW w:w="1740" w:type="dxa"/>
            <w:vAlign w:val="center"/>
          </w:tcPr>
          <w:p w14:paraId="1A8902F6">
            <w:pPr>
              <w:jc w:val="left"/>
            </w:pPr>
            <w:r>
              <w:rPr>
                <w:rFonts w:ascii="宋体" w:hAnsi="宋体" w:eastAsia="宋体" w:cs="宋体"/>
                <w:b w:val="0"/>
                <w:i w:val="0"/>
                <w:color w:val="000000"/>
                <w:sz w:val="9"/>
              </w:rPr>
              <w:t xml:space="preserve">  助学金</w:t>
            </w:r>
          </w:p>
        </w:tc>
        <w:tc>
          <w:tcPr>
            <w:tcW w:w="800" w:type="dxa"/>
            <w:vAlign w:val="center"/>
          </w:tcPr>
          <w:p w14:paraId="3AF1AD17"/>
        </w:tc>
        <w:tc>
          <w:tcPr>
            <w:tcW w:w="540" w:type="dxa"/>
            <w:vAlign w:val="center"/>
          </w:tcPr>
          <w:p w14:paraId="7815569B">
            <w:pPr>
              <w:jc w:val="left"/>
            </w:pPr>
            <w:r>
              <w:rPr>
                <w:rFonts w:ascii="宋体" w:hAnsi="宋体" w:eastAsia="宋体" w:cs="宋体"/>
                <w:b w:val="0"/>
                <w:i w:val="0"/>
                <w:color w:val="000000"/>
                <w:sz w:val="9"/>
              </w:rPr>
              <w:t>30228</w:t>
            </w:r>
          </w:p>
        </w:tc>
        <w:tc>
          <w:tcPr>
            <w:tcW w:w="1380" w:type="dxa"/>
            <w:vAlign w:val="center"/>
          </w:tcPr>
          <w:p w14:paraId="5B62DB66">
            <w:pPr>
              <w:jc w:val="left"/>
            </w:pPr>
            <w:r>
              <w:rPr>
                <w:rFonts w:ascii="宋体" w:hAnsi="宋体" w:eastAsia="宋体" w:cs="宋体"/>
                <w:b w:val="0"/>
                <w:i w:val="0"/>
                <w:color w:val="000000"/>
                <w:sz w:val="9"/>
              </w:rPr>
              <w:t xml:space="preserve">  工会经费</w:t>
            </w:r>
          </w:p>
        </w:tc>
        <w:tc>
          <w:tcPr>
            <w:tcW w:w="820" w:type="dxa"/>
            <w:vAlign w:val="center"/>
          </w:tcPr>
          <w:p w14:paraId="34FA47B7">
            <w:pPr>
              <w:jc w:val="right"/>
            </w:pPr>
            <w:r>
              <w:rPr>
                <w:rFonts w:ascii="宋体" w:hAnsi="宋体" w:eastAsia="宋体" w:cs="宋体"/>
                <w:b w:val="0"/>
                <w:i w:val="0"/>
                <w:color w:val="000000"/>
                <w:sz w:val="9"/>
              </w:rPr>
              <w:t>114.04</w:t>
            </w:r>
          </w:p>
        </w:tc>
        <w:tc>
          <w:tcPr>
            <w:tcW w:w="540" w:type="dxa"/>
            <w:vAlign w:val="center"/>
          </w:tcPr>
          <w:p w14:paraId="3AD9E5FB">
            <w:pPr>
              <w:jc w:val="left"/>
            </w:pPr>
            <w:r>
              <w:rPr>
                <w:rFonts w:ascii="宋体" w:hAnsi="宋体" w:eastAsia="宋体" w:cs="宋体"/>
                <w:b/>
                <w:i w:val="0"/>
                <w:color w:val="000000"/>
                <w:sz w:val="9"/>
              </w:rPr>
              <w:t>312</w:t>
            </w:r>
          </w:p>
        </w:tc>
        <w:tc>
          <w:tcPr>
            <w:tcW w:w="1260" w:type="dxa"/>
            <w:vAlign w:val="center"/>
          </w:tcPr>
          <w:p w14:paraId="3EDBFAE6">
            <w:pPr>
              <w:jc w:val="left"/>
            </w:pPr>
            <w:r>
              <w:rPr>
                <w:rFonts w:ascii="宋体" w:hAnsi="宋体" w:eastAsia="宋体" w:cs="宋体"/>
                <w:b/>
                <w:i w:val="0"/>
                <w:color w:val="000000"/>
                <w:sz w:val="9"/>
              </w:rPr>
              <w:t>对企业补助</w:t>
            </w:r>
          </w:p>
        </w:tc>
        <w:tc>
          <w:tcPr>
            <w:tcW w:w="786" w:type="dxa"/>
            <w:vAlign w:val="center"/>
          </w:tcPr>
          <w:p w14:paraId="5A4AA7D6"/>
        </w:tc>
      </w:tr>
      <w:tr w14:paraId="5AFC6B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1BCDCB3">
            <w:pPr>
              <w:jc w:val="left"/>
            </w:pPr>
            <w:r>
              <w:rPr>
                <w:rFonts w:ascii="宋体" w:hAnsi="宋体" w:eastAsia="宋体" w:cs="宋体"/>
                <w:b w:val="0"/>
                <w:i w:val="0"/>
                <w:color w:val="000000"/>
                <w:sz w:val="9"/>
              </w:rPr>
              <w:t>30309</w:t>
            </w:r>
          </w:p>
        </w:tc>
        <w:tc>
          <w:tcPr>
            <w:tcW w:w="1740" w:type="dxa"/>
            <w:vAlign w:val="center"/>
          </w:tcPr>
          <w:p w14:paraId="27DF536E">
            <w:pPr>
              <w:jc w:val="left"/>
            </w:pPr>
            <w:r>
              <w:rPr>
                <w:rFonts w:ascii="宋体" w:hAnsi="宋体" w:eastAsia="宋体" w:cs="宋体"/>
                <w:b w:val="0"/>
                <w:i w:val="0"/>
                <w:color w:val="000000"/>
                <w:sz w:val="9"/>
              </w:rPr>
              <w:t xml:space="preserve">  奖励金</w:t>
            </w:r>
          </w:p>
        </w:tc>
        <w:tc>
          <w:tcPr>
            <w:tcW w:w="800" w:type="dxa"/>
            <w:vAlign w:val="center"/>
          </w:tcPr>
          <w:p w14:paraId="08285EDF"/>
        </w:tc>
        <w:tc>
          <w:tcPr>
            <w:tcW w:w="540" w:type="dxa"/>
            <w:vAlign w:val="center"/>
          </w:tcPr>
          <w:p w14:paraId="52796783">
            <w:pPr>
              <w:jc w:val="left"/>
            </w:pPr>
            <w:r>
              <w:rPr>
                <w:rFonts w:ascii="宋体" w:hAnsi="宋体" w:eastAsia="宋体" w:cs="宋体"/>
                <w:b w:val="0"/>
                <w:i w:val="0"/>
                <w:color w:val="000000"/>
                <w:sz w:val="9"/>
              </w:rPr>
              <w:t>30229</w:t>
            </w:r>
          </w:p>
        </w:tc>
        <w:tc>
          <w:tcPr>
            <w:tcW w:w="1380" w:type="dxa"/>
            <w:vAlign w:val="center"/>
          </w:tcPr>
          <w:p w14:paraId="1F15F483">
            <w:pPr>
              <w:jc w:val="left"/>
            </w:pPr>
            <w:r>
              <w:rPr>
                <w:rFonts w:ascii="宋体" w:hAnsi="宋体" w:eastAsia="宋体" w:cs="宋体"/>
                <w:b w:val="0"/>
                <w:i w:val="0"/>
                <w:color w:val="000000"/>
                <w:sz w:val="9"/>
              </w:rPr>
              <w:t xml:space="preserve">  福利费</w:t>
            </w:r>
          </w:p>
        </w:tc>
        <w:tc>
          <w:tcPr>
            <w:tcW w:w="820" w:type="dxa"/>
            <w:vAlign w:val="center"/>
          </w:tcPr>
          <w:p w14:paraId="0B6E29D4"/>
        </w:tc>
        <w:tc>
          <w:tcPr>
            <w:tcW w:w="540" w:type="dxa"/>
            <w:vAlign w:val="center"/>
          </w:tcPr>
          <w:p w14:paraId="24E8C13D">
            <w:pPr>
              <w:jc w:val="left"/>
            </w:pPr>
            <w:r>
              <w:rPr>
                <w:rFonts w:ascii="宋体" w:hAnsi="宋体" w:eastAsia="宋体" w:cs="宋体"/>
                <w:b w:val="0"/>
                <w:i w:val="0"/>
                <w:color w:val="000000"/>
                <w:sz w:val="9"/>
              </w:rPr>
              <w:t>31201</w:t>
            </w:r>
          </w:p>
        </w:tc>
        <w:tc>
          <w:tcPr>
            <w:tcW w:w="1260" w:type="dxa"/>
            <w:vAlign w:val="center"/>
          </w:tcPr>
          <w:p w14:paraId="6B32F416">
            <w:pPr>
              <w:jc w:val="left"/>
            </w:pPr>
            <w:r>
              <w:rPr>
                <w:rFonts w:ascii="宋体" w:hAnsi="宋体" w:eastAsia="宋体" w:cs="宋体"/>
                <w:b w:val="0"/>
                <w:i w:val="0"/>
                <w:color w:val="000000"/>
                <w:sz w:val="9"/>
              </w:rPr>
              <w:t xml:space="preserve">  资本金注入</w:t>
            </w:r>
          </w:p>
        </w:tc>
        <w:tc>
          <w:tcPr>
            <w:tcW w:w="786" w:type="dxa"/>
            <w:vAlign w:val="center"/>
          </w:tcPr>
          <w:p w14:paraId="1F05B37E"/>
        </w:tc>
      </w:tr>
      <w:tr w14:paraId="42C55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D9F999B">
            <w:pPr>
              <w:jc w:val="left"/>
            </w:pPr>
            <w:r>
              <w:rPr>
                <w:rFonts w:ascii="宋体" w:hAnsi="宋体" w:eastAsia="宋体" w:cs="宋体"/>
                <w:b w:val="0"/>
                <w:i w:val="0"/>
                <w:color w:val="000000"/>
                <w:sz w:val="9"/>
              </w:rPr>
              <w:t>30310</w:t>
            </w:r>
          </w:p>
        </w:tc>
        <w:tc>
          <w:tcPr>
            <w:tcW w:w="1740" w:type="dxa"/>
            <w:vAlign w:val="center"/>
          </w:tcPr>
          <w:p w14:paraId="66411CA9">
            <w:pPr>
              <w:jc w:val="left"/>
            </w:pPr>
            <w:r>
              <w:rPr>
                <w:rFonts w:ascii="宋体" w:hAnsi="宋体" w:eastAsia="宋体" w:cs="宋体"/>
                <w:b w:val="0"/>
                <w:i w:val="0"/>
                <w:color w:val="000000"/>
                <w:sz w:val="9"/>
              </w:rPr>
              <w:t xml:space="preserve">  个人农业生产补贴</w:t>
            </w:r>
          </w:p>
        </w:tc>
        <w:tc>
          <w:tcPr>
            <w:tcW w:w="800" w:type="dxa"/>
            <w:vAlign w:val="center"/>
          </w:tcPr>
          <w:p w14:paraId="189A12BE"/>
        </w:tc>
        <w:tc>
          <w:tcPr>
            <w:tcW w:w="540" w:type="dxa"/>
            <w:vAlign w:val="center"/>
          </w:tcPr>
          <w:p w14:paraId="0C8E7C14">
            <w:pPr>
              <w:jc w:val="left"/>
            </w:pPr>
            <w:r>
              <w:rPr>
                <w:rFonts w:ascii="宋体" w:hAnsi="宋体" w:eastAsia="宋体" w:cs="宋体"/>
                <w:b w:val="0"/>
                <w:i w:val="0"/>
                <w:color w:val="000000"/>
                <w:sz w:val="9"/>
              </w:rPr>
              <w:t>30231</w:t>
            </w:r>
          </w:p>
        </w:tc>
        <w:tc>
          <w:tcPr>
            <w:tcW w:w="1380" w:type="dxa"/>
            <w:vAlign w:val="center"/>
          </w:tcPr>
          <w:p w14:paraId="047BB073">
            <w:pPr>
              <w:jc w:val="left"/>
            </w:pPr>
            <w:r>
              <w:rPr>
                <w:rFonts w:ascii="宋体" w:hAnsi="宋体" w:eastAsia="宋体" w:cs="宋体"/>
                <w:b w:val="0"/>
                <w:i w:val="0"/>
                <w:color w:val="000000"/>
                <w:sz w:val="9"/>
              </w:rPr>
              <w:t xml:space="preserve">  公务用车运行维护费</w:t>
            </w:r>
          </w:p>
        </w:tc>
        <w:tc>
          <w:tcPr>
            <w:tcW w:w="820" w:type="dxa"/>
            <w:vAlign w:val="center"/>
          </w:tcPr>
          <w:p w14:paraId="5877F235">
            <w:pPr>
              <w:jc w:val="right"/>
            </w:pPr>
            <w:r>
              <w:rPr>
                <w:rFonts w:ascii="宋体" w:hAnsi="宋体" w:eastAsia="宋体" w:cs="宋体"/>
                <w:b w:val="0"/>
                <w:i w:val="0"/>
                <w:color w:val="000000"/>
                <w:sz w:val="9"/>
              </w:rPr>
              <w:t>4.46</w:t>
            </w:r>
          </w:p>
        </w:tc>
        <w:tc>
          <w:tcPr>
            <w:tcW w:w="540" w:type="dxa"/>
            <w:vAlign w:val="center"/>
          </w:tcPr>
          <w:p w14:paraId="7D5A3A52">
            <w:pPr>
              <w:jc w:val="left"/>
            </w:pPr>
            <w:r>
              <w:rPr>
                <w:rFonts w:ascii="宋体" w:hAnsi="宋体" w:eastAsia="宋体" w:cs="宋体"/>
                <w:b w:val="0"/>
                <w:i w:val="0"/>
                <w:color w:val="000000"/>
                <w:sz w:val="9"/>
              </w:rPr>
              <w:t>31203</w:t>
            </w:r>
          </w:p>
        </w:tc>
        <w:tc>
          <w:tcPr>
            <w:tcW w:w="1260" w:type="dxa"/>
            <w:vAlign w:val="center"/>
          </w:tcPr>
          <w:p w14:paraId="396759A2">
            <w:pPr>
              <w:jc w:val="left"/>
            </w:pPr>
            <w:r>
              <w:rPr>
                <w:rFonts w:ascii="宋体" w:hAnsi="宋体" w:eastAsia="宋体" w:cs="宋体"/>
                <w:b w:val="0"/>
                <w:i w:val="0"/>
                <w:color w:val="000000"/>
                <w:sz w:val="9"/>
              </w:rPr>
              <w:t xml:space="preserve">  政府投资基金股权投资</w:t>
            </w:r>
          </w:p>
        </w:tc>
        <w:tc>
          <w:tcPr>
            <w:tcW w:w="786" w:type="dxa"/>
            <w:vAlign w:val="center"/>
          </w:tcPr>
          <w:p w14:paraId="2F709D96"/>
        </w:tc>
      </w:tr>
      <w:tr w14:paraId="33E62A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06A8B2E">
            <w:pPr>
              <w:jc w:val="left"/>
            </w:pPr>
            <w:r>
              <w:rPr>
                <w:rFonts w:ascii="宋体" w:hAnsi="宋体" w:eastAsia="宋体" w:cs="宋体"/>
                <w:b w:val="0"/>
                <w:i w:val="0"/>
                <w:color w:val="000000"/>
                <w:sz w:val="9"/>
              </w:rPr>
              <w:t>30311</w:t>
            </w:r>
          </w:p>
        </w:tc>
        <w:tc>
          <w:tcPr>
            <w:tcW w:w="1740" w:type="dxa"/>
            <w:vAlign w:val="center"/>
          </w:tcPr>
          <w:p w14:paraId="21DE4F90">
            <w:pPr>
              <w:jc w:val="left"/>
            </w:pPr>
            <w:r>
              <w:rPr>
                <w:rFonts w:ascii="宋体" w:hAnsi="宋体" w:eastAsia="宋体" w:cs="宋体"/>
                <w:b w:val="0"/>
                <w:i w:val="0"/>
                <w:color w:val="000000"/>
                <w:sz w:val="9"/>
              </w:rPr>
              <w:t xml:space="preserve">  代缴社会保险费</w:t>
            </w:r>
          </w:p>
        </w:tc>
        <w:tc>
          <w:tcPr>
            <w:tcW w:w="800" w:type="dxa"/>
            <w:vAlign w:val="center"/>
          </w:tcPr>
          <w:p w14:paraId="7A755AE2"/>
        </w:tc>
        <w:tc>
          <w:tcPr>
            <w:tcW w:w="540" w:type="dxa"/>
            <w:vAlign w:val="center"/>
          </w:tcPr>
          <w:p w14:paraId="54982D28">
            <w:pPr>
              <w:jc w:val="left"/>
            </w:pPr>
            <w:r>
              <w:rPr>
                <w:rFonts w:ascii="宋体" w:hAnsi="宋体" w:eastAsia="宋体" w:cs="宋体"/>
                <w:b w:val="0"/>
                <w:i w:val="0"/>
                <w:color w:val="000000"/>
                <w:sz w:val="9"/>
              </w:rPr>
              <w:t>30239</w:t>
            </w:r>
          </w:p>
        </w:tc>
        <w:tc>
          <w:tcPr>
            <w:tcW w:w="1380" w:type="dxa"/>
            <w:vAlign w:val="center"/>
          </w:tcPr>
          <w:p w14:paraId="553503EA">
            <w:pPr>
              <w:jc w:val="left"/>
            </w:pPr>
            <w:r>
              <w:rPr>
                <w:rFonts w:ascii="宋体" w:hAnsi="宋体" w:eastAsia="宋体" w:cs="宋体"/>
                <w:b w:val="0"/>
                <w:i w:val="0"/>
                <w:color w:val="000000"/>
                <w:sz w:val="9"/>
              </w:rPr>
              <w:t xml:space="preserve">  其他交通费用</w:t>
            </w:r>
          </w:p>
        </w:tc>
        <w:tc>
          <w:tcPr>
            <w:tcW w:w="820" w:type="dxa"/>
            <w:vAlign w:val="center"/>
          </w:tcPr>
          <w:p w14:paraId="6AB8C5D8">
            <w:pPr>
              <w:jc w:val="right"/>
            </w:pPr>
            <w:r>
              <w:rPr>
                <w:rFonts w:ascii="宋体" w:hAnsi="宋体" w:eastAsia="宋体" w:cs="宋体"/>
                <w:b w:val="0"/>
                <w:i w:val="0"/>
                <w:color w:val="000000"/>
                <w:sz w:val="9"/>
              </w:rPr>
              <w:t>2.70</w:t>
            </w:r>
          </w:p>
        </w:tc>
        <w:tc>
          <w:tcPr>
            <w:tcW w:w="540" w:type="dxa"/>
            <w:vAlign w:val="center"/>
          </w:tcPr>
          <w:p w14:paraId="232DD01E">
            <w:pPr>
              <w:jc w:val="left"/>
            </w:pPr>
            <w:r>
              <w:rPr>
                <w:rFonts w:ascii="宋体" w:hAnsi="宋体" w:eastAsia="宋体" w:cs="宋体"/>
                <w:b w:val="0"/>
                <w:i w:val="0"/>
                <w:color w:val="000000"/>
                <w:sz w:val="9"/>
              </w:rPr>
              <w:t>31204</w:t>
            </w:r>
          </w:p>
        </w:tc>
        <w:tc>
          <w:tcPr>
            <w:tcW w:w="1260" w:type="dxa"/>
            <w:vAlign w:val="center"/>
          </w:tcPr>
          <w:p w14:paraId="76A1369C">
            <w:pPr>
              <w:jc w:val="left"/>
            </w:pPr>
            <w:r>
              <w:rPr>
                <w:rFonts w:ascii="宋体" w:hAnsi="宋体" w:eastAsia="宋体" w:cs="宋体"/>
                <w:b w:val="0"/>
                <w:i w:val="0"/>
                <w:color w:val="000000"/>
                <w:sz w:val="9"/>
              </w:rPr>
              <w:t xml:space="preserve">  费用补贴</w:t>
            </w:r>
          </w:p>
        </w:tc>
        <w:tc>
          <w:tcPr>
            <w:tcW w:w="786" w:type="dxa"/>
            <w:vAlign w:val="center"/>
          </w:tcPr>
          <w:p w14:paraId="0D69AB54"/>
        </w:tc>
      </w:tr>
      <w:tr w14:paraId="612938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162AAFE">
            <w:pPr>
              <w:jc w:val="left"/>
            </w:pPr>
            <w:r>
              <w:rPr>
                <w:rFonts w:ascii="宋体" w:hAnsi="宋体" w:eastAsia="宋体" w:cs="宋体"/>
                <w:b w:val="0"/>
                <w:i w:val="0"/>
                <w:color w:val="000000"/>
                <w:sz w:val="9"/>
              </w:rPr>
              <w:t>30399</w:t>
            </w:r>
          </w:p>
        </w:tc>
        <w:tc>
          <w:tcPr>
            <w:tcW w:w="1740" w:type="dxa"/>
            <w:vAlign w:val="center"/>
          </w:tcPr>
          <w:p w14:paraId="4394A2E3">
            <w:pPr>
              <w:jc w:val="left"/>
            </w:pPr>
            <w:r>
              <w:rPr>
                <w:rFonts w:ascii="宋体" w:hAnsi="宋体" w:eastAsia="宋体" w:cs="宋体"/>
                <w:b w:val="0"/>
                <w:i w:val="0"/>
                <w:color w:val="000000"/>
                <w:sz w:val="9"/>
              </w:rPr>
              <w:t xml:space="preserve">  其他对个人和家庭的补助支出</w:t>
            </w:r>
          </w:p>
        </w:tc>
        <w:tc>
          <w:tcPr>
            <w:tcW w:w="800" w:type="dxa"/>
            <w:vAlign w:val="center"/>
          </w:tcPr>
          <w:p w14:paraId="138F54C6">
            <w:pPr>
              <w:jc w:val="right"/>
            </w:pPr>
            <w:r>
              <w:rPr>
                <w:rFonts w:ascii="宋体" w:hAnsi="宋体" w:eastAsia="宋体" w:cs="宋体"/>
                <w:b w:val="0"/>
                <w:i w:val="0"/>
                <w:color w:val="000000"/>
                <w:sz w:val="9"/>
              </w:rPr>
              <w:t>8.52</w:t>
            </w:r>
          </w:p>
        </w:tc>
        <w:tc>
          <w:tcPr>
            <w:tcW w:w="540" w:type="dxa"/>
            <w:vAlign w:val="center"/>
          </w:tcPr>
          <w:p w14:paraId="21005633">
            <w:pPr>
              <w:jc w:val="left"/>
            </w:pPr>
            <w:r>
              <w:rPr>
                <w:rFonts w:ascii="宋体" w:hAnsi="宋体" w:eastAsia="宋体" w:cs="宋体"/>
                <w:b w:val="0"/>
                <w:i w:val="0"/>
                <w:color w:val="000000"/>
                <w:sz w:val="9"/>
              </w:rPr>
              <w:t>30240</w:t>
            </w:r>
          </w:p>
        </w:tc>
        <w:tc>
          <w:tcPr>
            <w:tcW w:w="1380" w:type="dxa"/>
            <w:vAlign w:val="center"/>
          </w:tcPr>
          <w:p w14:paraId="63CAE859">
            <w:pPr>
              <w:jc w:val="left"/>
            </w:pPr>
            <w:r>
              <w:rPr>
                <w:rFonts w:ascii="宋体" w:hAnsi="宋体" w:eastAsia="宋体" w:cs="宋体"/>
                <w:b w:val="0"/>
                <w:i w:val="0"/>
                <w:color w:val="000000"/>
                <w:sz w:val="9"/>
              </w:rPr>
              <w:t xml:space="preserve">  税金及附加费用</w:t>
            </w:r>
          </w:p>
        </w:tc>
        <w:tc>
          <w:tcPr>
            <w:tcW w:w="820" w:type="dxa"/>
            <w:vAlign w:val="center"/>
          </w:tcPr>
          <w:p w14:paraId="2D61F94B"/>
        </w:tc>
        <w:tc>
          <w:tcPr>
            <w:tcW w:w="540" w:type="dxa"/>
            <w:vAlign w:val="center"/>
          </w:tcPr>
          <w:p w14:paraId="3CEFFD89">
            <w:pPr>
              <w:jc w:val="left"/>
            </w:pPr>
            <w:r>
              <w:rPr>
                <w:rFonts w:ascii="宋体" w:hAnsi="宋体" w:eastAsia="宋体" w:cs="宋体"/>
                <w:b w:val="0"/>
                <w:i w:val="0"/>
                <w:color w:val="000000"/>
                <w:sz w:val="9"/>
              </w:rPr>
              <w:t>31205</w:t>
            </w:r>
          </w:p>
        </w:tc>
        <w:tc>
          <w:tcPr>
            <w:tcW w:w="1260" w:type="dxa"/>
            <w:vAlign w:val="center"/>
          </w:tcPr>
          <w:p w14:paraId="4BD5A637">
            <w:pPr>
              <w:jc w:val="left"/>
            </w:pPr>
            <w:r>
              <w:rPr>
                <w:rFonts w:ascii="宋体" w:hAnsi="宋体" w:eastAsia="宋体" w:cs="宋体"/>
                <w:b w:val="0"/>
                <w:i w:val="0"/>
                <w:color w:val="000000"/>
                <w:sz w:val="9"/>
              </w:rPr>
              <w:t xml:space="preserve">  利息补贴</w:t>
            </w:r>
          </w:p>
        </w:tc>
        <w:tc>
          <w:tcPr>
            <w:tcW w:w="786" w:type="dxa"/>
            <w:vAlign w:val="center"/>
          </w:tcPr>
          <w:p w14:paraId="2AB10C5C"/>
        </w:tc>
      </w:tr>
      <w:tr w14:paraId="1D4B51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9449E27"/>
        </w:tc>
        <w:tc>
          <w:tcPr>
            <w:tcW w:w="1740" w:type="dxa"/>
            <w:vAlign w:val="center"/>
          </w:tcPr>
          <w:p w14:paraId="60F14D09"/>
        </w:tc>
        <w:tc>
          <w:tcPr>
            <w:tcW w:w="800" w:type="dxa"/>
            <w:vAlign w:val="center"/>
          </w:tcPr>
          <w:p w14:paraId="27D0073A"/>
        </w:tc>
        <w:tc>
          <w:tcPr>
            <w:tcW w:w="540" w:type="dxa"/>
            <w:vAlign w:val="center"/>
          </w:tcPr>
          <w:p w14:paraId="7F8709C0">
            <w:pPr>
              <w:jc w:val="left"/>
            </w:pPr>
            <w:r>
              <w:rPr>
                <w:rFonts w:ascii="宋体" w:hAnsi="宋体" w:eastAsia="宋体" w:cs="宋体"/>
                <w:b w:val="0"/>
                <w:i w:val="0"/>
                <w:color w:val="000000"/>
                <w:sz w:val="9"/>
              </w:rPr>
              <w:t>30299</w:t>
            </w:r>
          </w:p>
        </w:tc>
        <w:tc>
          <w:tcPr>
            <w:tcW w:w="1380" w:type="dxa"/>
            <w:vAlign w:val="center"/>
          </w:tcPr>
          <w:p w14:paraId="7D898025">
            <w:pPr>
              <w:jc w:val="left"/>
            </w:pPr>
            <w:r>
              <w:rPr>
                <w:rFonts w:ascii="宋体" w:hAnsi="宋体" w:eastAsia="宋体" w:cs="宋体"/>
                <w:b w:val="0"/>
                <w:i w:val="0"/>
                <w:color w:val="000000"/>
                <w:sz w:val="9"/>
              </w:rPr>
              <w:t xml:space="preserve">  其他商品和服务支出</w:t>
            </w:r>
          </w:p>
        </w:tc>
        <w:tc>
          <w:tcPr>
            <w:tcW w:w="820" w:type="dxa"/>
            <w:vAlign w:val="center"/>
          </w:tcPr>
          <w:p w14:paraId="061F19B9">
            <w:pPr>
              <w:jc w:val="right"/>
            </w:pPr>
            <w:r>
              <w:rPr>
                <w:rFonts w:ascii="宋体" w:hAnsi="宋体" w:eastAsia="宋体" w:cs="宋体"/>
                <w:b w:val="0"/>
                <w:i w:val="0"/>
                <w:color w:val="000000"/>
                <w:sz w:val="9"/>
              </w:rPr>
              <w:t>138.54</w:t>
            </w:r>
          </w:p>
        </w:tc>
        <w:tc>
          <w:tcPr>
            <w:tcW w:w="540" w:type="dxa"/>
            <w:vAlign w:val="center"/>
          </w:tcPr>
          <w:p w14:paraId="5AD201C1">
            <w:pPr>
              <w:jc w:val="left"/>
            </w:pPr>
            <w:r>
              <w:rPr>
                <w:rFonts w:ascii="宋体" w:hAnsi="宋体" w:eastAsia="宋体" w:cs="宋体"/>
                <w:b w:val="0"/>
                <w:i w:val="0"/>
                <w:color w:val="000000"/>
                <w:sz w:val="9"/>
              </w:rPr>
              <w:t>31299</w:t>
            </w:r>
          </w:p>
        </w:tc>
        <w:tc>
          <w:tcPr>
            <w:tcW w:w="1260" w:type="dxa"/>
            <w:vAlign w:val="center"/>
          </w:tcPr>
          <w:p w14:paraId="1C1BA350">
            <w:pPr>
              <w:jc w:val="left"/>
            </w:pPr>
            <w:r>
              <w:rPr>
                <w:rFonts w:ascii="宋体" w:hAnsi="宋体" w:eastAsia="宋体" w:cs="宋体"/>
                <w:b w:val="0"/>
                <w:i w:val="0"/>
                <w:color w:val="000000"/>
                <w:sz w:val="9"/>
              </w:rPr>
              <w:t xml:space="preserve">  其他对企业补助</w:t>
            </w:r>
          </w:p>
        </w:tc>
        <w:tc>
          <w:tcPr>
            <w:tcW w:w="786" w:type="dxa"/>
            <w:vAlign w:val="center"/>
          </w:tcPr>
          <w:p w14:paraId="0CAAE6FB"/>
        </w:tc>
      </w:tr>
      <w:tr w14:paraId="1D749C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1906CF5"/>
        </w:tc>
        <w:tc>
          <w:tcPr>
            <w:tcW w:w="1740" w:type="dxa"/>
            <w:vAlign w:val="center"/>
          </w:tcPr>
          <w:p w14:paraId="70DACE43"/>
        </w:tc>
        <w:tc>
          <w:tcPr>
            <w:tcW w:w="800" w:type="dxa"/>
            <w:vAlign w:val="center"/>
          </w:tcPr>
          <w:p w14:paraId="5D5C9DFB"/>
        </w:tc>
        <w:tc>
          <w:tcPr>
            <w:tcW w:w="540" w:type="dxa"/>
            <w:vAlign w:val="center"/>
          </w:tcPr>
          <w:p w14:paraId="44B88061"/>
        </w:tc>
        <w:tc>
          <w:tcPr>
            <w:tcW w:w="1380" w:type="dxa"/>
            <w:vAlign w:val="center"/>
          </w:tcPr>
          <w:p w14:paraId="4E056AD9"/>
        </w:tc>
        <w:tc>
          <w:tcPr>
            <w:tcW w:w="820" w:type="dxa"/>
            <w:vAlign w:val="center"/>
          </w:tcPr>
          <w:p w14:paraId="3AB3D09A"/>
        </w:tc>
        <w:tc>
          <w:tcPr>
            <w:tcW w:w="540" w:type="dxa"/>
            <w:vAlign w:val="center"/>
          </w:tcPr>
          <w:p w14:paraId="6AAC7A0D">
            <w:pPr>
              <w:jc w:val="left"/>
            </w:pPr>
            <w:r>
              <w:rPr>
                <w:rFonts w:ascii="宋体" w:hAnsi="宋体" w:eastAsia="宋体" w:cs="宋体"/>
                <w:b/>
                <w:i w:val="0"/>
                <w:color w:val="000000"/>
                <w:sz w:val="9"/>
              </w:rPr>
              <w:t>399</w:t>
            </w:r>
          </w:p>
        </w:tc>
        <w:tc>
          <w:tcPr>
            <w:tcW w:w="1260" w:type="dxa"/>
            <w:vAlign w:val="center"/>
          </w:tcPr>
          <w:p w14:paraId="0AFBF3E4">
            <w:pPr>
              <w:jc w:val="left"/>
            </w:pPr>
            <w:r>
              <w:rPr>
                <w:rFonts w:ascii="宋体" w:hAnsi="宋体" w:eastAsia="宋体" w:cs="宋体"/>
                <w:b/>
                <w:i w:val="0"/>
                <w:color w:val="000000"/>
                <w:sz w:val="9"/>
              </w:rPr>
              <w:t>其他支出</w:t>
            </w:r>
          </w:p>
        </w:tc>
        <w:tc>
          <w:tcPr>
            <w:tcW w:w="786" w:type="dxa"/>
            <w:vAlign w:val="center"/>
          </w:tcPr>
          <w:p w14:paraId="7125592F"/>
        </w:tc>
      </w:tr>
      <w:tr w14:paraId="31240A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73ACDCA"/>
        </w:tc>
        <w:tc>
          <w:tcPr>
            <w:tcW w:w="1740" w:type="dxa"/>
            <w:vAlign w:val="center"/>
          </w:tcPr>
          <w:p w14:paraId="79D5DB99"/>
        </w:tc>
        <w:tc>
          <w:tcPr>
            <w:tcW w:w="800" w:type="dxa"/>
            <w:vAlign w:val="center"/>
          </w:tcPr>
          <w:p w14:paraId="12B8A1D9"/>
        </w:tc>
        <w:tc>
          <w:tcPr>
            <w:tcW w:w="540" w:type="dxa"/>
            <w:vAlign w:val="center"/>
          </w:tcPr>
          <w:p w14:paraId="6500F6A1"/>
        </w:tc>
        <w:tc>
          <w:tcPr>
            <w:tcW w:w="1380" w:type="dxa"/>
            <w:vAlign w:val="center"/>
          </w:tcPr>
          <w:p w14:paraId="09274807"/>
        </w:tc>
        <w:tc>
          <w:tcPr>
            <w:tcW w:w="820" w:type="dxa"/>
            <w:vAlign w:val="center"/>
          </w:tcPr>
          <w:p w14:paraId="326A3FB7"/>
        </w:tc>
        <w:tc>
          <w:tcPr>
            <w:tcW w:w="540" w:type="dxa"/>
            <w:vAlign w:val="center"/>
          </w:tcPr>
          <w:p w14:paraId="403EF0A5">
            <w:pPr>
              <w:jc w:val="left"/>
            </w:pPr>
            <w:r>
              <w:rPr>
                <w:rFonts w:ascii="宋体" w:hAnsi="宋体" w:eastAsia="宋体" w:cs="宋体"/>
                <w:b w:val="0"/>
                <w:i w:val="0"/>
                <w:color w:val="000000"/>
                <w:sz w:val="9"/>
              </w:rPr>
              <w:t>39907</w:t>
            </w:r>
          </w:p>
        </w:tc>
        <w:tc>
          <w:tcPr>
            <w:tcW w:w="1260" w:type="dxa"/>
            <w:vAlign w:val="center"/>
          </w:tcPr>
          <w:p w14:paraId="005962CF">
            <w:pPr>
              <w:jc w:val="left"/>
            </w:pPr>
            <w:r>
              <w:rPr>
                <w:rFonts w:ascii="宋体" w:hAnsi="宋体" w:eastAsia="宋体" w:cs="宋体"/>
                <w:b w:val="0"/>
                <w:i w:val="0"/>
                <w:color w:val="000000"/>
                <w:sz w:val="9"/>
              </w:rPr>
              <w:t xml:space="preserve">  国家赔偿费用支出</w:t>
            </w:r>
          </w:p>
        </w:tc>
        <w:tc>
          <w:tcPr>
            <w:tcW w:w="786" w:type="dxa"/>
            <w:vAlign w:val="center"/>
          </w:tcPr>
          <w:p w14:paraId="6C8BF746"/>
        </w:tc>
      </w:tr>
      <w:tr w14:paraId="382793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440" w:type="dxa"/>
            <w:vAlign w:val="center"/>
          </w:tcPr>
          <w:p w14:paraId="372E655A"/>
        </w:tc>
        <w:tc>
          <w:tcPr>
            <w:tcW w:w="1740" w:type="dxa"/>
            <w:vAlign w:val="center"/>
          </w:tcPr>
          <w:p w14:paraId="04157BC5"/>
        </w:tc>
        <w:tc>
          <w:tcPr>
            <w:tcW w:w="800" w:type="dxa"/>
            <w:vAlign w:val="center"/>
          </w:tcPr>
          <w:p w14:paraId="1AB1C37F"/>
        </w:tc>
        <w:tc>
          <w:tcPr>
            <w:tcW w:w="540" w:type="dxa"/>
            <w:vAlign w:val="center"/>
          </w:tcPr>
          <w:p w14:paraId="269292FE"/>
        </w:tc>
        <w:tc>
          <w:tcPr>
            <w:tcW w:w="1380" w:type="dxa"/>
            <w:vAlign w:val="center"/>
          </w:tcPr>
          <w:p w14:paraId="6E0D54D7"/>
        </w:tc>
        <w:tc>
          <w:tcPr>
            <w:tcW w:w="820" w:type="dxa"/>
            <w:vAlign w:val="center"/>
          </w:tcPr>
          <w:p w14:paraId="22A3B358"/>
        </w:tc>
        <w:tc>
          <w:tcPr>
            <w:tcW w:w="540" w:type="dxa"/>
            <w:vAlign w:val="center"/>
          </w:tcPr>
          <w:p w14:paraId="7E60559A">
            <w:pPr>
              <w:jc w:val="left"/>
            </w:pPr>
            <w:r>
              <w:rPr>
                <w:rFonts w:ascii="宋体" w:hAnsi="宋体" w:eastAsia="宋体" w:cs="宋体"/>
                <w:b w:val="0"/>
                <w:i w:val="0"/>
                <w:color w:val="000000"/>
                <w:sz w:val="9"/>
              </w:rPr>
              <w:t>39908</w:t>
            </w:r>
          </w:p>
        </w:tc>
        <w:tc>
          <w:tcPr>
            <w:tcW w:w="1260" w:type="dxa"/>
            <w:vAlign w:val="center"/>
          </w:tcPr>
          <w:p w14:paraId="4A7AE332">
            <w:pPr>
              <w:jc w:val="left"/>
            </w:pPr>
            <w:r>
              <w:rPr>
                <w:rFonts w:ascii="宋体" w:hAnsi="宋体" w:eastAsia="宋体" w:cs="宋体"/>
                <w:b w:val="0"/>
                <w:i w:val="0"/>
                <w:color w:val="000000"/>
                <w:sz w:val="9"/>
              </w:rPr>
              <w:t xml:space="preserve">  对民间非营利组织和群众性自治组织补贴</w:t>
            </w:r>
          </w:p>
        </w:tc>
        <w:tc>
          <w:tcPr>
            <w:tcW w:w="786" w:type="dxa"/>
            <w:vAlign w:val="center"/>
          </w:tcPr>
          <w:p w14:paraId="7B231BC8"/>
        </w:tc>
      </w:tr>
      <w:tr w14:paraId="724DC1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F2E7F79"/>
        </w:tc>
        <w:tc>
          <w:tcPr>
            <w:tcW w:w="1740" w:type="dxa"/>
            <w:vAlign w:val="center"/>
          </w:tcPr>
          <w:p w14:paraId="78FADD53"/>
        </w:tc>
        <w:tc>
          <w:tcPr>
            <w:tcW w:w="800" w:type="dxa"/>
            <w:vAlign w:val="center"/>
          </w:tcPr>
          <w:p w14:paraId="45B324A3"/>
        </w:tc>
        <w:tc>
          <w:tcPr>
            <w:tcW w:w="540" w:type="dxa"/>
            <w:vAlign w:val="center"/>
          </w:tcPr>
          <w:p w14:paraId="4576C83D"/>
        </w:tc>
        <w:tc>
          <w:tcPr>
            <w:tcW w:w="1380" w:type="dxa"/>
            <w:vAlign w:val="center"/>
          </w:tcPr>
          <w:p w14:paraId="6F9E8754"/>
        </w:tc>
        <w:tc>
          <w:tcPr>
            <w:tcW w:w="820" w:type="dxa"/>
            <w:vAlign w:val="center"/>
          </w:tcPr>
          <w:p w14:paraId="51622C0F"/>
        </w:tc>
        <w:tc>
          <w:tcPr>
            <w:tcW w:w="540" w:type="dxa"/>
            <w:vAlign w:val="center"/>
          </w:tcPr>
          <w:p w14:paraId="037995E9">
            <w:pPr>
              <w:jc w:val="left"/>
            </w:pPr>
            <w:r>
              <w:rPr>
                <w:rFonts w:ascii="宋体" w:hAnsi="宋体" w:eastAsia="宋体" w:cs="宋体"/>
                <w:b w:val="0"/>
                <w:i w:val="0"/>
                <w:color w:val="000000"/>
                <w:sz w:val="9"/>
              </w:rPr>
              <w:t>39909</w:t>
            </w:r>
          </w:p>
        </w:tc>
        <w:tc>
          <w:tcPr>
            <w:tcW w:w="1260" w:type="dxa"/>
            <w:vAlign w:val="center"/>
          </w:tcPr>
          <w:p w14:paraId="2298ADA9">
            <w:pPr>
              <w:jc w:val="left"/>
            </w:pPr>
            <w:r>
              <w:rPr>
                <w:rFonts w:ascii="宋体" w:hAnsi="宋体" w:eastAsia="宋体" w:cs="宋体"/>
                <w:b w:val="0"/>
                <w:i w:val="0"/>
                <w:color w:val="000000"/>
                <w:sz w:val="9"/>
              </w:rPr>
              <w:t>经常性赠与</w:t>
            </w:r>
          </w:p>
        </w:tc>
        <w:tc>
          <w:tcPr>
            <w:tcW w:w="786" w:type="dxa"/>
            <w:vAlign w:val="center"/>
          </w:tcPr>
          <w:p w14:paraId="75C0D804"/>
        </w:tc>
      </w:tr>
      <w:tr w14:paraId="0C30C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ADCCF31"/>
        </w:tc>
        <w:tc>
          <w:tcPr>
            <w:tcW w:w="1740" w:type="dxa"/>
            <w:vAlign w:val="center"/>
          </w:tcPr>
          <w:p w14:paraId="6E6BF783"/>
        </w:tc>
        <w:tc>
          <w:tcPr>
            <w:tcW w:w="800" w:type="dxa"/>
            <w:vAlign w:val="center"/>
          </w:tcPr>
          <w:p w14:paraId="7AA47317"/>
        </w:tc>
        <w:tc>
          <w:tcPr>
            <w:tcW w:w="540" w:type="dxa"/>
            <w:vAlign w:val="center"/>
          </w:tcPr>
          <w:p w14:paraId="0DBF6CB0"/>
        </w:tc>
        <w:tc>
          <w:tcPr>
            <w:tcW w:w="1380" w:type="dxa"/>
            <w:vAlign w:val="center"/>
          </w:tcPr>
          <w:p w14:paraId="70C087B9"/>
        </w:tc>
        <w:tc>
          <w:tcPr>
            <w:tcW w:w="820" w:type="dxa"/>
            <w:vAlign w:val="center"/>
          </w:tcPr>
          <w:p w14:paraId="3D8B9661"/>
        </w:tc>
        <w:tc>
          <w:tcPr>
            <w:tcW w:w="540" w:type="dxa"/>
            <w:vAlign w:val="center"/>
          </w:tcPr>
          <w:p w14:paraId="14E5C5A8">
            <w:pPr>
              <w:jc w:val="left"/>
            </w:pPr>
            <w:r>
              <w:rPr>
                <w:rFonts w:ascii="宋体" w:hAnsi="宋体" w:eastAsia="宋体" w:cs="宋体"/>
                <w:b w:val="0"/>
                <w:i w:val="0"/>
                <w:color w:val="000000"/>
                <w:sz w:val="9"/>
              </w:rPr>
              <w:t>39910</w:t>
            </w:r>
          </w:p>
        </w:tc>
        <w:tc>
          <w:tcPr>
            <w:tcW w:w="1260" w:type="dxa"/>
            <w:vAlign w:val="center"/>
          </w:tcPr>
          <w:p w14:paraId="6AB7E0AF">
            <w:pPr>
              <w:jc w:val="left"/>
            </w:pPr>
            <w:r>
              <w:rPr>
                <w:rFonts w:ascii="宋体" w:hAnsi="宋体" w:eastAsia="宋体" w:cs="宋体"/>
                <w:b w:val="0"/>
                <w:i w:val="0"/>
                <w:color w:val="000000"/>
                <w:sz w:val="9"/>
              </w:rPr>
              <w:t>资本性赠与</w:t>
            </w:r>
          </w:p>
        </w:tc>
        <w:tc>
          <w:tcPr>
            <w:tcW w:w="786" w:type="dxa"/>
            <w:vAlign w:val="center"/>
          </w:tcPr>
          <w:p w14:paraId="73BF565A"/>
        </w:tc>
      </w:tr>
      <w:tr w14:paraId="690E25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4" w:hRule="exact"/>
          <w:jc w:val="center"/>
        </w:trPr>
        <w:tc>
          <w:tcPr>
            <w:tcW w:w="440" w:type="dxa"/>
            <w:vAlign w:val="center"/>
          </w:tcPr>
          <w:p w14:paraId="433EDECF"/>
        </w:tc>
        <w:tc>
          <w:tcPr>
            <w:tcW w:w="1740" w:type="dxa"/>
            <w:vAlign w:val="center"/>
          </w:tcPr>
          <w:p w14:paraId="7D5787C5"/>
        </w:tc>
        <w:tc>
          <w:tcPr>
            <w:tcW w:w="800" w:type="dxa"/>
            <w:vAlign w:val="center"/>
          </w:tcPr>
          <w:p w14:paraId="3CA3BB1F"/>
        </w:tc>
        <w:tc>
          <w:tcPr>
            <w:tcW w:w="540" w:type="dxa"/>
            <w:vAlign w:val="center"/>
          </w:tcPr>
          <w:p w14:paraId="138EA5A5"/>
        </w:tc>
        <w:tc>
          <w:tcPr>
            <w:tcW w:w="1380" w:type="dxa"/>
            <w:vAlign w:val="center"/>
          </w:tcPr>
          <w:p w14:paraId="070E0605"/>
        </w:tc>
        <w:tc>
          <w:tcPr>
            <w:tcW w:w="820" w:type="dxa"/>
            <w:vAlign w:val="center"/>
          </w:tcPr>
          <w:p w14:paraId="2E2E2D3C"/>
        </w:tc>
        <w:tc>
          <w:tcPr>
            <w:tcW w:w="540" w:type="dxa"/>
            <w:vAlign w:val="center"/>
          </w:tcPr>
          <w:p w14:paraId="2CAA0D62">
            <w:pPr>
              <w:jc w:val="left"/>
            </w:pPr>
            <w:r>
              <w:rPr>
                <w:rFonts w:ascii="宋体" w:hAnsi="宋体" w:eastAsia="宋体" w:cs="宋体"/>
                <w:b w:val="0"/>
                <w:i w:val="0"/>
                <w:color w:val="000000"/>
                <w:sz w:val="9"/>
              </w:rPr>
              <w:t>39999</w:t>
            </w:r>
          </w:p>
        </w:tc>
        <w:tc>
          <w:tcPr>
            <w:tcW w:w="1260" w:type="dxa"/>
            <w:vAlign w:val="center"/>
          </w:tcPr>
          <w:p w14:paraId="65B5E17D">
            <w:pPr>
              <w:jc w:val="left"/>
            </w:pPr>
            <w:r>
              <w:rPr>
                <w:rFonts w:ascii="宋体" w:hAnsi="宋体" w:eastAsia="宋体" w:cs="宋体"/>
                <w:b w:val="0"/>
                <w:i w:val="0"/>
                <w:color w:val="000000"/>
                <w:sz w:val="9"/>
              </w:rPr>
              <w:t xml:space="preserve">  其他支出</w:t>
            </w:r>
          </w:p>
        </w:tc>
        <w:tc>
          <w:tcPr>
            <w:tcW w:w="786" w:type="dxa"/>
            <w:vAlign w:val="center"/>
          </w:tcPr>
          <w:p w14:paraId="4FAF4F29"/>
        </w:tc>
      </w:tr>
      <w:tr w14:paraId="7F703E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gridSpan w:val="2"/>
            <w:vAlign w:val="center"/>
          </w:tcPr>
          <w:p w14:paraId="5AD7A01A">
            <w:pPr>
              <w:jc w:val="center"/>
            </w:pPr>
            <w:r>
              <w:rPr>
                <w:rFonts w:ascii="宋体" w:hAnsi="宋体" w:eastAsia="宋体" w:cs="宋体"/>
                <w:b w:val="0"/>
                <w:i w:val="0"/>
                <w:color w:val="000000"/>
                <w:sz w:val="9"/>
              </w:rPr>
              <w:t>人员经费合计</w:t>
            </w:r>
          </w:p>
        </w:tc>
        <w:tc>
          <w:tcPr>
            <w:tcW w:w="800" w:type="dxa"/>
            <w:vAlign w:val="center"/>
          </w:tcPr>
          <w:p w14:paraId="4D411B88">
            <w:pPr>
              <w:jc w:val="right"/>
            </w:pPr>
            <w:r>
              <w:rPr>
                <w:rFonts w:ascii="宋体" w:hAnsi="宋体" w:eastAsia="宋体" w:cs="宋体"/>
                <w:b w:val="0"/>
                <w:i w:val="0"/>
                <w:color w:val="000000"/>
                <w:sz w:val="9"/>
              </w:rPr>
              <w:t>3,418.74</w:t>
            </w:r>
          </w:p>
        </w:tc>
        <w:tc>
          <w:tcPr>
            <w:tcW w:w="540" w:type="dxa"/>
            <w:gridSpan w:val="5"/>
            <w:vAlign w:val="center"/>
          </w:tcPr>
          <w:p w14:paraId="52730BC0">
            <w:pPr>
              <w:jc w:val="center"/>
            </w:pPr>
            <w:r>
              <w:rPr>
                <w:rFonts w:ascii="宋体" w:hAnsi="宋体" w:eastAsia="宋体" w:cs="宋体"/>
                <w:b w:val="0"/>
                <w:i w:val="0"/>
                <w:color w:val="000000"/>
                <w:sz w:val="9"/>
              </w:rPr>
              <w:t>公用支出合计</w:t>
            </w:r>
          </w:p>
        </w:tc>
        <w:tc>
          <w:tcPr>
            <w:tcW w:w="786" w:type="dxa"/>
            <w:vAlign w:val="center"/>
          </w:tcPr>
          <w:p w14:paraId="3205BE92">
            <w:pPr>
              <w:jc w:val="right"/>
            </w:pPr>
            <w:r>
              <w:rPr>
                <w:rFonts w:ascii="宋体" w:hAnsi="宋体" w:eastAsia="宋体" w:cs="宋体"/>
                <w:b w:val="0"/>
                <w:i w:val="0"/>
                <w:color w:val="000000"/>
                <w:sz w:val="9"/>
              </w:rPr>
              <w:t>737.84</w:t>
            </w:r>
          </w:p>
        </w:tc>
      </w:tr>
      <w:tr w14:paraId="5B0ACA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2" w:hRule="exact"/>
          <w:jc w:val="center"/>
        </w:trPr>
        <w:tc>
          <w:tcPr>
            <w:tcW w:w="440"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1BBA2C81">
            <w:pPr>
              <w:jc w:val="left"/>
            </w:pPr>
            <w:r>
              <w:rPr>
                <w:rFonts w:ascii="宋体" w:hAnsi="宋体" w:eastAsia="宋体" w:cs="宋体"/>
                <w:b w:val="0"/>
                <w:i w:val="0"/>
                <w:color w:val="000000"/>
                <w:sz w:val="11"/>
              </w:rPr>
              <w:t>注：本表反映部门(单位)本年度一般公共预算财政拨款基本支出明细情况。</w:t>
            </w:r>
          </w:p>
        </w:tc>
      </w:tr>
    </w:tbl>
    <w:p w14:paraId="4BD22A9E">
      <w:pPr>
        <w:snapToGrid w:val="0"/>
        <w:spacing w:before="200" w:after="200" w:line="200" w:lineRule="auto"/>
      </w:pPr>
      <w:r>
        <w:rPr>
          <w:sz w:val="8"/>
        </w:rPr>
        <w:t xml:space="preserve"> </w:t>
      </w:r>
    </w:p>
    <w:p w14:paraId="08F8AF0D">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政府性基金预算财政拨款收入支出决算表</w:t>
      </w:r>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3603AB8B">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1B6024F9">
            <w:pPr>
              <w:jc w:val="right"/>
            </w:pPr>
            <w:r>
              <w:rPr>
                <w:rFonts w:ascii="宋体" w:hAnsi="宋体" w:eastAsia="宋体" w:cs="宋体"/>
                <w:sz w:val="20"/>
              </w:rPr>
              <w:t>公开07表</w:t>
            </w:r>
          </w:p>
        </w:tc>
      </w:tr>
      <w:tr w14:paraId="55D066A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426DF729">
            <w:pPr>
              <w:jc w:val="left"/>
            </w:pPr>
            <w:r>
              <w:rPr>
                <w:rFonts w:ascii="宋体" w:hAnsi="宋体" w:eastAsia="宋体" w:cs="宋体"/>
                <w:sz w:val="20"/>
              </w:rPr>
              <w:t>部门：南昌市青云谱区住房和城乡建设局</w:t>
            </w:r>
          </w:p>
        </w:tc>
        <w:tc>
          <w:tcPr>
            <w:tcW w:w="2000" w:type="dxa"/>
          </w:tcPr>
          <w:p w14:paraId="1DFC6E91">
            <w:pPr>
              <w:jc w:val="center"/>
            </w:pPr>
            <w:r>
              <w:rPr>
                <w:rFonts w:ascii="宋体" w:hAnsi="宋体" w:eastAsia="宋体" w:cs="宋体"/>
                <w:sz w:val="20"/>
              </w:rPr>
              <w:t>2023年度</w:t>
            </w:r>
          </w:p>
        </w:tc>
        <w:tc>
          <w:tcPr>
            <w:tcW w:w="3153" w:type="dxa"/>
          </w:tcPr>
          <w:p w14:paraId="4FF9F0FC">
            <w:pPr>
              <w:jc w:val="right"/>
            </w:pPr>
            <w:r>
              <w:rPr>
                <w:rFonts w:ascii="宋体" w:hAnsi="宋体" w:eastAsia="宋体" w:cs="宋体"/>
                <w:sz w:val="20"/>
              </w:rPr>
              <w:t>金额单位：万元</w:t>
            </w:r>
          </w:p>
        </w:tc>
      </w:tr>
    </w:tbl>
    <w:p w14:paraId="6BA7B6C5">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20"/>
        <w:gridCol w:w="220"/>
        <w:gridCol w:w="300"/>
        <w:gridCol w:w="1700"/>
        <w:gridCol w:w="1040"/>
        <w:gridCol w:w="940"/>
        <w:gridCol w:w="940"/>
        <w:gridCol w:w="980"/>
        <w:gridCol w:w="980"/>
        <w:gridCol w:w="986"/>
      </w:tblGrid>
      <w:tr w14:paraId="720179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9" w:hRule="exact"/>
          <w:jc w:val="center"/>
        </w:trPr>
        <w:tc>
          <w:tcPr>
            <w:tcW w:w="220" w:type="dxa"/>
            <w:gridSpan w:val="4"/>
            <w:vAlign w:val="center"/>
          </w:tcPr>
          <w:p w14:paraId="015BABF8">
            <w:pPr>
              <w:jc w:val="center"/>
            </w:pPr>
            <w:r>
              <w:rPr>
                <w:rFonts w:ascii="宋体" w:hAnsi="宋体" w:eastAsia="宋体" w:cs="宋体"/>
                <w:b w:val="0"/>
                <w:i w:val="0"/>
                <w:color w:val="000000"/>
                <w:sz w:val="11"/>
              </w:rPr>
              <w:t>项    目</w:t>
            </w:r>
          </w:p>
        </w:tc>
        <w:tc>
          <w:tcPr>
            <w:tcW w:w="1040" w:type="dxa"/>
            <w:vMerge w:val="restart"/>
            <w:vAlign w:val="center"/>
          </w:tcPr>
          <w:p w14:paraId="1827B36D">
            <w:pPr>
              <w:jc w:val="center"/>
            </w:pPr>
            <w:r>
              <w:rPr>
                <w:rFonts w:ascii="宋体" w:hAnsi="宋体" w:eastAsia="宋体" w:cs="宋体"/>
                <w:b w:val="0"/>
                <w:i w:val="0"/>
                <w:color w:val="000000"/>
                <w:sz w:val="11"/>
              </w:rPr>
              <w:t>年初结转和结余</w:t>
            </w:r>
          </w:p>
        </w:tc>
        <w:tc>
          <w:tcPr>
            <w:tcW w:w="940" w:type="dxa"/>
            <w:vMerge w:val="restart"/>
            <w:vAlign w:val="center"/>
          </w:tcPr>
          <w:p w14:paraId="233AEFE1">
            <w:pPr>
              <w:jc w:val="center"/>
            </w:pPr>
            <w:r>
              <w:rPr>
                <w:rFonts w:ascii="宋体" w:hAnsi="宋体" w:eastAsia="宋体" w:cs="宋体"/>
                <w:b w:val="0"/>
                <w:i w:val="0"/>
                <w:color w:val="000000"/>
                <w:sz w:val="11"/>
              </w:rPr>
              <w:t>本年收入</w:t>
            </w:r>
          </w:p>
        </w:tc>
        <w:tc>
          <w:tcPr>
            <w:tcW w:w="940" w:type="dxa"/>
            <w:gridSpan w:val="3"/>
            <w:vAlign w:val="center"/>
          </w:tcPr>
          <w:p w14:paraId="1856C057">
            <w:pPr>
              <w:jc w:val="center"/>
            </w:pPr>
            <w:r>
              <w:rPr>
                <w:rFonts w:ascii="宋体" w:hAnsi="宋体" w:eastAsia="宋体" w:cs="宋体"/>
                <w:b w:val="0"/>
                <w:i w:val="0"/>
                <w:color w:val="000000"/>
                <w:sz w:val="11"/>
              </w:rPr>
              <w:t>本年支出</w:t>
            </w:r>
          </w:p>
        </w:tc>
        <w:tc>
          <w:tcPr>
            <w:tcW w:w="986" w:type="dxa"/>
            <w:vMerge w:val="restart"/>
            <w:vAlign w:val="center"/>
          </w:tcPr>
          <w:p w14:paraId="3F9CCBCE">
            <w:pPr>
              <w:jc w:val="center"/>
            </w:pPr>
            <w:r>
              <w:rPr>
                <w:rFonts w:ascii="宋体" w:hAnsi="宋体" w:eastAsia="宋体" w:cs="宋体"/>
                <w:b w:val="0"/>
                <w:i w:val="0"/>
                <w:color w:val="000000"/>
                <w:sz w:val="11"/>
              </w:rPr>
              <w:t>年末结转和结余</w:t>
            </w:r>
          </w:p>
        </w:tc>
      </w:tr>
      <w:tr w14:paraId="772363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restart"/>
            <w:vAlign w:val="center"/>
          </w:tcPr>
          <w:p w14:paraId="20ECCA6D">
            <w:pPr>
              <w:jc w:val="center"/>
            </w:pPr>
            <w:r>
              <w:rPr>
                <w:rFonts w:ascii="宋体" w:hAnsi="宋体" w:eastAsia="宋体" w:cs="宋体"/>
                <w:b w:val="0"/>
                <w:i w:val="0"/>
                <w:color w:val="000000"/>
                <w:sz w:val="11"/>
              </w:rPr>
              <w:t>支出功能分类科目编码</w:t>
            </w:r>
          </w:p>
        </w:tc>
        <w:tc>
          <w:tcPr>
            <w:tcW w:w="1700" w:type="dxa"/>
            <w:vMerge w:val="restart"/>
            <w:vAlign w:val="center"/>
          </w:tcPr>
          <w:p w14:paraId="4DE80CC1">
            <w:pPr>
              <w:jc w:val="center"/>
            </w:pPr>
            <w:r>
              <w:rPr>
                <w:rFonts w:ascii="宋体" w:hAnsi="宋体" w:eastAsia="宋体" w:cs="宋体"/>
                <w:b w:val="0"/>
                <w:i w:val="0"/>
                <w:color w:val="000000"/>
                <w:sz w:val="11"/>
              </w:rPr>
              <w:t>科目名称</w:t>
            </w:r>
          </w:p>
        </w:tc>
        <w:tc>
          <w:tcPr>
            <w:tcW w:w="1040" w:type="dxa"/>
            <w:vMerge w:val="continue"/>
            <w:vAlign w:val="center"/>
          </w:tcPr>
          <w:p w14:paraId="30439A00"/>
        </w:tc>
        <w:tc>
          <w:tcPr>
            <w:tcW w:w="940" w:type="dxa"/>
            <w:vMerge w:val="continue"/>
            <w:vAlign w:val="center"/>
          </w:tcPr>
          <w:p w14:paraId="7BC200DA"/>
        </w:tc>
        <w:tc>
          <w:tcPr>
            <w:tcW w:w="940" w:type="dxa"/>
            <w:vMerge w:val="restart"/>
            <w:vAlign w:val="center"/>
          </w:tcPr>
          <w:p w14:paraId="3964049C">
            <w:pPr>
              <w:jc w:val="center"/>
            </w:pPr>
            <w:r>
              <w:rPr>
                <w:rFonts w:ascii="宋体" w:hAnsi="宋体" w:eastAsia="宋体" w:cs="宋体"/>
                <w:b w:val="0"/>
                <w:i w:val="0"/>
                <w:color w:val="000000"/>
                <w:sz w:val="11"/>
              </w:rPr>
              <w:t>小计</w:t>
            </w:r>
          </w:p>
        </w:tc>
        <w:tc>
          <w:tcPr>
            <w:tcW w:w="980" w:type="dxa"/>
            <w:vMerge w:val="restart"/>
            <w:vAlign w:val="center"/>
          </w:tcPr>
          <w:p w14:paraId="023A1BC4">
            <w:pPr>
              <w:jc w:val="center"/>
            </w:pPr>
            <w:r>
              <w:rPr>
                <w:rFonts w:ascii="宋体" w:hAnsi="宋体" w:eastAsia="宋体" w:cs="宋体"/>
                <w:b w:val="0"/>
                <w:i w:val="0"/>
                <w:color w:val="000000"/>
                <w:sz w:val="11"/>
              </w:rPr>
              <w:t>基本支出</w:t>
            </w:r>
          </w:p>
        </w:tc>
        <w:tc>
          <w:tcPr>
            <w:tcW w:w="980" w:type="dxa"/>
            <w:vMerge w:val="restart"/>
            <w:vAlign w:val="center"/>
          </w:tcPr>
          <w:p w14:paraId="6CA24F93">
            <w:pPr>
              <w:jc w:val="center"/>
            </w:pPr>
            <w:r>
              <w:rPr>
                <w:rFonts w:ascii="宋体" w:hAnsi="宋体" w:eastAsia="宋体" w:cs="宋体"/>
                <w:b w:val="0"/>
                <w:i w:val="0"/>
                <w:color w:val="000000"/>
                <w:sz w:val="11"/>
              </w:rPr>
              <w:t>项目支出</w:t>
            </w:r>
          </w:p>
        </w:tc>
        <w:tc>
          <w:tcPr>
            <w:tcW w:w="986" w:type="dxa"/>
            <w:vMerge w:val="continue"/>
            <w:vAlign w:val="center"/>
          </w:tcPr>
          <w:p w14:paraId="769A31A5"/>
        </w:tc>
      </w:tr>
      <w:tr w14:paraId="217870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continue"/>
            <w:vAlign w:val="center"/>
          </w:tcPr>
          <w:p w14:paraId="5B1C7F7E"/>
        </w:tc>
        <w:tc>
          <w:tcPr>
            <w:tcW w:w="1700" w:type="dxa"/>
            <w:vMerge w:val="continue"/>
            <w:vAlign w:val="center"/>
          </w:tcPr>
          <w:p w14:paraId="5BDD58DB"/>
        </w:tc>
        <w:tc>
          <w:tcPr>
            <w:tcW w:w="1040" w:type="dxa"/>
            <w:vMerge w:val="continue"/>
            <w:vAlign w:val="center"/>
          </w:tcPr>
          <w:p w14:paraId="37F77E49"/>
        </w:tc>
        <w:tc>
          <w:tcPr>
            <w:tcW w:w="940" w:type="dxa"/>
            <w:vMerge w:val="continue"/>
            <w:vAlign w:val="center"/>
          </w:tcPr>
          <w:p w14:paraId="65E81464"/>
        </w:tc>
        <w:tc>
          <w:tcPr>
            <w:tcW w:w="940" w:type="dxa"/>
            <w:vMerge w:val="continue"/>
            <w:vAlign w:val="center"/>
          </w:tcPr>
          <w:p w14:paraId="5CBF3049"/>
        </w:tc>
        <w:tc>
          <w:tcPr>
            <w:tcW w:w="980" w:type="dxa"/>
            <w:vMerge w:val="continue"/>
            <w:vAlign w:val="center"/>
          </w:tcPr>
          <w:p w14:paraId="7C1B1EFB"/>
        </w:tc>
        <w:tc>
          <w:tcPr>
            <w:tcW w:w="980" w:type="dxa"/>
            <w:vMerge w:val="continue"/>
            <w:vAlign w:val="center"/>
          </w:tcPr>
          <w:p w14:paraId="3CA486E4"/>
        </w:tc>
        <w:tc>
          <w:tcPr>
            <w:tcW w:w="986" w:type="dxa"/>
            <w:vMerge w:val="continue"/>
            <w:vAlign w:val="center"/>
          </w:tcPr>
          <w:p w14:paraId="3D7D9941"/>
        </w:tc>
      </w:tr>
      <w:tr w14:paraId="0D5C57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continue"/>
            <w:vAlign w:val="center"/>
          </w:tcPr>
          <w:p w14:paraId="5845D3C4"/>
        </w:tc>
        <w:tc>
          <w:tcPr>
            <w:tcW w:w="1700" w:type="dxa"/>
            <w:vMerge w:val="continue"/>
            <w:vAlign w:val="center"/>
          </w:tcPr>
          <w:p w14:paraId="49B1A738"/>
        </w:tc>
        <w:tc>
          <w:tcPr>
            <w:tcW w:w="1040" w:type="dxa"/>
            <w:vMerge w:val="continue"/>
            <w:vAlign w:val="center"/>
          </w:tcPr>
          <w:p w14:paraId="7F43EEA4"/>
        </w:tc>
        <w:tc>
          <w:tcPr>
            <w:tcW w:w="940" w:type="dxa"/>
            <w:vMerge w:val="continue"/>
            <w:vAlign w:val="center"/>
          </w:tcPr>
          <w:p w14:paraId="24192BF0"/>
        </w:tc>
        <w:tc>
          <w:tcPr>
            <w:tcW w:w="940" w:type="dxa"/>
            <w:vMerge w:val="continue"/>
            <w:vAlign w:val="center"/>
          </w:tcPr>
          <w:p w14:paraId="23409B1A"/>
        </w:tc>
        <w:tc>
          <w:tcPr>
            <w:tcW w:w="980" w:type="dxa"/>
            <w:vMerge w:val="continue"/>
            <w:vAlign w:val="center"/>
          </w:tcPr>
          <w:p w14:paraId="7E4D666D"/>
        </w:tc>
        <w:tc>
          <w:tcPr>
            <w:tcW w:w="980" w:type="dxa"/>
            <w:vMerge w:val="continue"/>
            <w:vAlign w:val="center"/>
          </w:tcPr>
          <w:p w14:paraId="0AD99E0C"/>
        </w:tc>
        <w:tc>
          <w:tcPr>
            <w:tcW w:w="986" w:type="dxa"/>
            <w:vMerge w:val="continue"/>
            <w:vAlign w:val="center"/>
          </w:tcPr>
          <w:p w14:paraId="434A8A5B"/>
        </w:tc>
      </w:tr>
      <w:tr w14:paraId="0F11F1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220" w:type="dxa"/>
            <w:vMerge w:val="restart"/>
            <w:vAlign w:val="center"/>
          </w:tcPr>
          <w:p w14:paraId="4E0BBC09">
            <w:pPr>
              <w:jc w:val="center"/>
            </w:pPr>
            <w:r>
              <w:rPr>
                <w:rFonts w:ascii="宋体" w:hAnsi="宋体" w:eastAsia="宋体" w:cs="宋体"/>
                <w:b w:val="0"/>
                <w:i w:val="0"/>
                <w:color w:val="000000"/>
                <w:sz w:val="11"/>
              </w:rPr>
              <w:t>类</w:t>
            </w:r>
          </w:p>
        </w:tc>
        <w:tc>
          <w:tcPr>
            <w:tcW w:w="220" w:type="dxa"/>
            <w:vMerge w:val="restart"/>
            <w:vAlign w:val="center"/>
          </w:tcPr>
          <w:p w14:paraId="2FF44688">
            <w:pPr>
              <w:jc w:val="center"/>
            </w:pPr>
            <w:r>
              <w:rPr>
                <w:rFonts w:ascii="宋体" w:hAnsi="宋体" w:eastAsia="宋体" w:cs="宋体"/>
                <w:b w:val="0"/>
                <w:i w:val="0"/>
                <w:color w:val="000000"/>
                <w:sz w:val="11"/>
              </w:rPr>
              <w:t>款</w:t>
            </w:r>
          </w:p>
        </w:tc>
        <w:tc>
          <w:tcPr>
            <w:tcW w:w="300" w:type="dxa"/>
            <w:vMerge w:val="restart"/>
            <w:vAlign w:val="center"/>
          </w:tcPr>
          <w:p w14:paraId="04B77348">
            <w:pPr>
              <w:jc w:val="center"/>
            </w:pPr>
            <w:r>
              <w:rPr>
                <w:rFonts w:ascii="宋体" w:hAnsi="宋体" w:eastAsia="宋体" w:cs="宋体"/>
                <w:b w:val="0"/>
                <w:i w:val="0"/>
                <w:color w:val="000000"/>
                <w:sz w:val="11"/>
              </w:rPr>
              <w:t>项</w:t>
            </w:r>
          </w:p>
        </w:tc>
        <w:tc>
          <w:tcPr>
            <w:tcW w:w="1700" w:type="dxa"/>
            <w:vAlign w:val="center"/>
          </w:tcPr>
          <w:p w14:paraId="7020DE3D">
            <w:pPr>
              <w:jc w:val="center"/>
            </w:pPr>
            <w:r>
              <w:rPr>
                <w:rFonts w:ascii="宋体" w:hAnsi="宋体" w:eastAsia="宋体" w:cs="宋体"/>
                <w:b w:val="0"/>
                <w:i w:val="0"/>
                <w:color w:val="000000"/>
                <w:sz w:val="11"/>
              </w:rPr>
              <w:t>栏次</w:t>
            </w:r>
          </w:p>
        </w:tc>
        <w:tc>
          <w:tcPr>
            <w:tcW w:w="1040" w:type="dxa"/>
            <w:vAlign w:val="center"/>
          </w:tcPr>
          <w:p w14:paraId="175B3A4B">
            <w:pPr>
              <w:jc w:val="center"/>
            </w:pPr>
            <w:r>
              <w:rPr>
                <w:rFonts w:ascii="宋体" w:hAnsi="宋体" w:eastAsia="宋体" w:cs="宋体"/>
                <w:b w:val="0"/>
                <w:i w:val="0"/>
                <w:color w:val="000000"/>
                <w:sz w:val="11"/>
              </w:rPr>
              <w:t>1</w:t>
            </w:r>
          </w:p>
        </w:tc>
        <w:tc>
          <w:tcPr>
            <w:tcW w:w="940" w:type="dxa"/>
            <w:vAlign w:val="center"/>
          </w:tcPr>
          <w:p w14:paraId="26273050">
            <w:pPr>
              <w:jc w:val="center"/>
            </w:pPr>
            <w:r>
              <w:rPr>
                <w:rFonts w:ascii="宋体" w:hAnsi="宋体" w:eastAsia="宋体" w:cs="宋体"/>
                <w:b w:val="0"/>
                <w:i w:val="0"/>
                <w:color w:val="000000"/>
                <w:sz w:val="11"/>
              </w:rPr>
              <w:t>2</w:t>
            </w:r>
          </w:p>
        </w:tc>
        <w:tc>
          <w:tcPr>
            <w:tcW w:w="940" w:type="dxa"/>
            <w:vAlign w:val="center"/>
          </w:tcPr>
          <w:p w14:paraId="3034A74D">
            <w:pPr>
              <w:jc w:val="center"/>
            </w:pPr>
            <w:r>
              <w:rPr>
                <w:rFonts w:ascii="宋体" w:hAnsi="宋体" w:eastAsia="宋体" w:cs="宋体"/>
                <w:b w:val="0"/>
                <w:i w:val="0"/>
                <w:color w:val="000000"/>
                <w:sz w:val="11"/>
              </w:rPr>
              <w:t>3</w:t>
            </w:r>
          </w:p>
        </w:tc>
        <w:tc>
          <w:tcPr>
            <w:tcW w:w="980" w:type="dxa"/>
            <w:vAlign w:val="center"/>
          </w:tcPr>
          <w:p w14:paraId="792E4C36">
            <w:pPr>
              <w:jc w:val="center"/>
            </w:pPr>
            <w:r>
              <w:rPr>
                <w:rFonts w:ascii="宋体" w:hAnsi="宋体" w:eastAsia="宋体" w:cs="宋体"/>
                <w:b w:val="0"/>
                <w:i w:val="0"/>
                <w:color w:val="000000"/>
                <w:sz w:val="11"/>
              </w:rPr>
              <w:t>4</w:t>
            </w:r>
          </w:p>
        </w:tc>
        <w:tc>
          <w:tcPr>
            <w:tcW w:w="980" w:type="dxa"/>
            <w:vAlign w:val="center"/>
          </w:tcPr>
          <w:p w14:paraId="6BF081FB">
            <w:pPr>
              <w:jc w:val="center"/>
            </w:pPr>
            <w:r>
              <w:rPr>
                <w:rFonts w:ascii="宋体" w:hAnsi="宋体" w:eastAsia="宋体" w:cs="宋体"/>
                <w:b w:val="0"/>
                <w:i w:val="0"/>
                <w:color w:val="000000"/>
                <w:sz w:val="11"/>
              </w:rPr>
              <w:t>5</w:t>
            </w:r>
          </w:p>
        </w:tc>
        <w:tc>
          <w:tcPr>
            <w:tcW w:w="986" w:type="dxa"/>
            <w:vAlign w:val="center"/>
          </w:tcPr>
          <w:p w14:paraId="7A1D2E6D">
            <w:pPr>
              <w:jc w:val="center"/>
            </w:pPr>
            <w:r>
              <w:rPr>
                <w:rFonts w:ascii="宋体" w:hAnsi="宋体" w:eastAsia="宋体" w:cs="宋体"/>
                <w:b w:val="0"/>
                <w:i w:val="0"/>
                <w:color w:val="000000"/>
                <w:sz w:val="11"/>
              </w:rPr>
              <w:t>6</w:t>
            </w:r>
          </w:p>
        </w:tc>
      </w:tr>
      <w:tr w14:paraId="5FA9B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vMerge w:val="continue"/>
            <w:vAlign w:val="center"/>
          </w:tcPr>
          <w:p w14:paraId="5EE17BBA"/>
        </w:tc>
        <w:tc>
          <w:tcPr>
            <w:tcW w:w="220" w:type="dxa"/>
            <w:vMerge w:val="continue"/>
            <w:vAlign w:val="center"/>
          </w:tcPr>
          <w:p w14:paraId="138AC78B"/>
        </w:tc>
        <w:tc>
          <w:tcPr>
            <w:tcW w:w="300" w:type="dxa"/>
            <w:vMerge w:val="continue"/>
            <w:vAlign w:val="center"/>
          </w:tcPr>
          <w:p w14:paraId="3B01E4EA"/>
        </w:tc>
        <w:tc>
          <w:tcPr>
            <w:tcW w:w="1700" w:type="dxa"/>
            <w:vAlign w:val="center"/>
          </w:tcPr>
          <w:p w14:paraId="2ECB13D6">
            <w:pPr>
              <w:jc w:val="center"/>
            </w:pPr>
            <w:r>
              <w:rPr>
                <w:rFonts w:ascii="宋体" w:hAnsi="宋体" w:eastAsia="宋体" w:cs="宋体"/>
                <w:b w:val="0"/>
                <w:i w:val="0"/>
                <w:color w:val="000000"/>
                <w:sz w:val="11"/>
              </w:rPr>
              <w:t>合计</w:t>
            </w:r>
          </w:p>
        </w:tc>
        <w:tc>
          <w:tcPr>
            <w:tcW w:w="1040" w:type="dxa"/>
            <w:vAlign w:val="center"/>
          </w:tcPr>
          <w:p w14:paraId="4A383AE7"/>
        </w:tc>
        <w:tc>
          <w:tcPr>
            <w:tcW w:w="940" w:type="dxa"/>
            <w:vAlign w:val="center"/>
          </w:tcPr>
          <w:p w14:paraId="19FFC4AC">
            <w:pPr>
              <w:jc w:val="right"/>
            </w:pPr>
            <w:r>
              <w:rPr>
                <w:rFonts w:ascii="宋体" w:hAnsi="宋体" w:eastAsia="宋体" w:cs="宋体"/>
                <w:b w:val="0"/>
                <w:i w:val="0"/>
                <w:color w:val="000000"/>
                <w:sz w:val="11"/>
              </w:rPr>
              <w:t>32,990.00</w:t>
            </w:r>
          </w:p>
        </w:tc>
        <w:tc>
          <w:tcPr>
            <w:tcW w:w="940" w:type="dxa"/>
            <w:vAlign w:val="center"/>
          </w:tcPr>
          <w:p w14:paraId="1A91AD02">
            <w:pPr>
              <w:jc w:val="right"/>
            </w:pPr>
            <w:r>
              <w:rPr>
                <w:rFonts w:ascii="宋体" w:hAnsi="宋体" w:eastAsia="宋体" w:cs="宋体"/>
                <w:b w:val="0"/>
                <w:i w:val="0"/>
                <w:color w:val="000000"/>
                <w:sz w:val="11"/>
              </w:rPr>
              <w:t>32,990.00</w:t>
            </w:r>
          </w:p>
        </w:tc>
        <w:tc>
          <w:tcPr>
            <w:tcW w:w="980" w:type="dxa"/>
            <w:vAlign w:val="center"/>
          </w:tcPr>
          <w:p w14:paraId="0DA99D79"/>
        </w:tc>
        <w:tc>
          <w:tcPr>
            <w:tcW w:w="980" w:type="dxa"/>
            <w:vAlign w:val="center"/>
          </w:tcPr>
          <w:p w14:paraId="3ECB074F">
            <w:pPr>
              <w:jc w:val="right"/>
            </w:pPr>
            <w:r>
              <w:rPr>
                <w:rFonts w:ascii="宋体" w:hAnsi="宋体" w:eastAsia="宋体" w:cs="宋体"/>
                <w:b w:val="0"/>
                <w:i w:val="0"/>
                <w:color w:val="000000"/>
                <w:sz w:val="11"/>
              </w:rPr>
              <w:t>32,990.00</w:t>
            </w:r>
          </w:p>
        </w:tc>
        <w:tc>
          <w:tcPr>
            <w:tcW w:w="986" w:type="dxa"/>
            <w:vAlign w:val="center"/>
          </w:tcPr>
          <w:p w14:paraId="6116D38A"/>
        </w:tc>
      </w:tr>
      <w:tr w14:paraId="058142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Align w:val="center"/>
          </w:tcPr>
          <w:p w14:paraId="7A8A1BF0">
            <w:pPr>
              <w:jc w:val="left"/>
            </w:pPr>
            <w:r>
              <w:rPr>
                <w:rFonts w:ascii="宋体" w:hAnsi="宋体" w:eastAsia="宋体" w:cs="宋体"/>
                <w:b w:val="0"/>
                <w:i w:val="0"/>
                <w:color w:val="000000"/>
                <w:sz w:val="11"/>
              </w:rPr>
              <w:t>229</w:t>
            </w:r>
          </w:p>
        </w:tc>
        <w:tc>
          <w:tcPr>
            <w:tcW w:w="1700" w:type="dxa"/>
            <w:vAlign w:val="center"/>
          </w:tcPr>
          <w:p w14:paraId="66EB97E6">
            <w:pPr>
              <w:jc w:val="left"/>
            </w:pPr>
            <w:r>
              <w:rPr>
                <w:rFonts w:ascii="宋体" w:hAnsi="宋体" w:eastAsia="宋体" w:cs="宋体"/>
                <w:b w:val="0"/>
                <w:i w:val="0"/>
                <w:color w:val="000000"/>
                <w:sz w:val="11"/>
              </w:rPr>
              <w:t>其他支出</w:t>
            </w:r>
          </w:p>
        </w:tc>
        <w:tc>
          <w:tcPr>
            <w:tcW w:w="1040" w:type="dxa"/>
            <w:vAlign w:val="center"/>
          </w:tcPr>
          <w:p w14:paraId="18662A24"/>
        </w:tc>
        <w:tc>
          <w:tcPr>
            <w:tcW w:w="940" w:type="dxa"/>
            <w:vAlign w:val="center"/>
          </w:tcPr>
          <w:p w14:paraId="686A1D13">
            <w:pPr>
              <w:jc w:val="right"/>
            </w:pPr>
            <w:r>
              <w:rPr>
                <w:rFonts w:ascii="宋体" w:hAnsi="宋体" w:eastAsia="宋体" w:cs="宋体"/>
                <w:b w:val="0"/>
                <w:i w:val="0"/>
                <w:color w:val="000000"/>
                <w:sz w:val="11"/>
              </w:rPr>
              <w:t>32,990.00</w:t>
            </w:r>
          </w:p>
        </w:tc>
        <w:tc>
          <w:tcPr>
            <w:tcW w:w="940" w:type="dxa"/>
            <w:vAlign w:val="center"/>
          </w:tcPr>
          <w:p w14:paraId="622D5B45">
            <w:pPr>
              <w:jc w:val="right"/>
            </w:pPr>
            <w:r>
              <w:rPr>
                <w:rFonts w:ascii="宋体" w:hAnsi="宋体" w:eastAsia="宋体" w:cs="宋体"/>
                <w:b w:val="0"/>
                <w:i w:val="0"/>
                <w:color w:val="000000"/>
                <w:sz w:val="11"/>
              </w:rPr>
              <w:t>32,990.00</w:t>
            </w:r>
          </w:p>
        </w:tc>
        <w:tc>
          <w:tcPr>
            <w:tcW w:w="980" w:type="dxa"/>
            <w:vAlign w:val="center"/>
          </w:tcPr>
          <w:p w14:paraId="7FFD500F"/>
        </w:tc>
        <w:tc>
          <w:tcPr>
            <w:tcW w:w="980" w:type="dxa"/>
            <w:vAlign w:val="center"/>
          </w:tcPr>
          <w:p w14:paraId="380E52F1">
            <w:pPr>
              <w:jc w:val="right"/>
            </w:pPr>
            <w:r>
              <w:rPr>
                <w:rFonts w:ascii="宋体" w:hAnsi="宋体" w:eastAsia="宋体" w:cs="宋体"/>
                <w:b w:val="0"/>
                <w:i w:val="0"/>
                <w:color w:val="000000"/>
                <w:sz w:val="11"/>
              </w:rPr>
              <w:t>32,990.00</w:t>
            </w:r>
          </w:p>
        </w:tc>
        <w:tc>
          <w:tcPr>
            <w:tcW w:w="986" w:type="dxa"/>
            <w:vAlign w:val="center"/>
          </w:tcPr>
          <w:p w14:paraId="16165F78"/>
        </w:tc>
      </w:tr>
      <w:tr w14:paraId="77E18C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Align w:val="center"/>
          </w:tcPr>
          <w:p w14:paraId="20CBEECD">
            <w:pPr>
              <w:jc w:val="left"/>
            </w:pPr>
            <w:r>
              <w:rPr>
                <w:rFonts w:ascii="宋体" w:hAnsi="宋体" w:eastAsia="宋体" w:cs="宋体"/>
                <w:b w:val="0"/>
                <w:i w:val="0"/>
                <w:color w:val="000000"/>
                <w:sz w:val="11"/>
              </w:rPr>
              <w:t>22904</w:t>
            </w:r>
          </w:p>
        </w:tc>
        <w:tc>
          <w:tcPr>
            <w:tcW w:w="1700" w:type="dxa"/>
            <w:vAlign w:val="center"/>
          </w:tcPr>
          <w:p w14:paraId="2F8C5227">
            <w:pPr>
              <w:jc w:val="left"/>
            </w:pPr>
            <w:r>
              <w:rPr>
                <w:rFonts w:ascii="宋体" w:hAnsi="宋体" w:eastAsia="宋体" w:cs="宋体"/>
                <w:b w:val="0"/>
                <w:i w:val="0"/>
                <w:color w:val="000000"/>
                <w:sz w:val="11"/>
              </w:rPr>
              <w:t>其他政府性基金及对应专项债务收入安排的支出</w:t>
            </w:r>
          </w:p>
        </w:tc>
        <w:tc>
          <w:tcPr>
            <w:tcW w:w="1040" w:type="dxa"/>
            <w:vAlign w:val="center"/>
          </w:tcPr>
          <w:p w14:paraId="2BACD82E"/>
        </w:tc>
        <w:tc>
          <w:tcPr>
            <w:tcW w:w="940" w:type="dxa"/>
            <w:vAlign w:val="center"/>
          </w:tcPr>
          <w:p w14:paraId="4360F593">
            <w:pPr>
              <w:jc w:val="right"/>
            </w:pPr>
            <w:r>
              <w:rPr>
                <w:rFonts w:ascii="宋体" w:hAnsi="宋体" w:eastAsia="宋体" w:cs="宋体"/>
                <w:b w:val="0"/>
                <w:i w:val="0"/>
                <w:color w:val="000000"/>
                <w:sz w:val="11"/>
              </w:rPr>
              <w:t>32,990.00</w:t>
            </w:r>
          </w:p>
        </w:tc>
        <w:tc>
          <w:tcPr>
            <w:tcW w:w="940" w:type="dxa"/>
            <w:vAlign w:val="center"/>
          </w:tcPr>
          <w:p w14:paraId="40F6C569">
            <w:pPr>
              <w:jc w:val="right"/>
            </w:pPr>
            <w:r>
              <w:rPr>
                <w:rFonts w:ascii="宋体" w:hAnsi="宋体" w:eastAsia="宋体" w:cs="宋体"/>
                <w:b w:val="0"/>
                <w:i w:val="0"/>
                <w:color w:val="000000"/>
                <w:sz w:val="11"/>
              </w:rPr>
              <w:t>32,990.00</w:t>
            </w:r>
          </w:p>
        </w:tc>
        <w:tc>
          <w:tcPr>
            <w:tcW w:w="980" w:type="dxa"/>
            <w:vAlign w:val="center"/>
          </w:tcPr>
          <w:p w14:paraId="4918490E"/>
        </w:tc>
        <w:tc>
          <w:tcPr>
            <w:tcW w:w="980" w:type="dxa"/>
            <w:vAlign w:val="center"/>
          </w:tcPr>
          <w:p w14:paraId="1D5391D9">
            <w:pPr>
              <w:jc w:val="right"/>
            </w:pPr>
            <w:r>
              <w:rPr>
                <w:rFonts w:ascii="宋体" w:hAnsi="宋体" w:eastAsia="宋体" w:cs="宋体"/>
                <w:b w:val="0"/>
                <w:i w:val="0"/>
                <w:color w:val="000000"/>
                <w:sz w:val="11"/>
              </w:rPr>
              <w:t>32,990.00</w:t>
            </w:r>
          </w:p>
        </w:tc>
        <w:tc>
          <w:tcPr>
            <w:tcW w:w="986" w:type="dxa"/>
            <w:vAlign w:val="center"/>
          </w:tcPr>
          <w:p w14:paraId="52CC477A"/>
        </w:tc>
      </w:tr>
      <w:tr w14:paraId="4B79F5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Align w:val="center"/>
          </w:tcPr>
          <w:p w14:paraId="3E67F6D7">
            <w:pPr>
              <w:jc w:val="left"/>
            </w:pPr>
            <w:r>
              <w:rPr>
                <w:rFonts w:ascii="宋体" w:hAnsi="宋体" w:eastAsia="宋体" w:cs="宋体"/>
                <w:b w:val="0"/>
                <w:i w:val="0"/>
                <w:color w:val="000000"/>
                <w:sz w:val="11"/>
              </w:rPr>
              <w:t>2290402</w:t>
            </w:r>
          </w:p>
        </w:tc>
        <w:tc>
          <w:tcPr>
            <w:tcW w:w="1700" w:type="dxa"/>
            <w:vAlign w:val="center"/>
          </w:tcPr>
          <w:p w14:paraId="10206436">
            <w:pPr>
              <w:jc w:val="left"/>
            </w:pPr>
            <w:r>
              <w:rPr>
                <w:rFonts w:ascii="宋体" w:hAnsi="宋体" w:eastAsia="宋体" w:cs="宋体"/>
                <w:b w:val="0"/>
                <w:i w:val="0"/>
                <w:color w:val="000000"/>
                <w:sz w:val="11"/>
              </w:rPr>
              <w:t>其他地方自行试点项目收益专项债券收入安排的支出</w:t>
            </w:r>
          </w:p>
        </w:tc>
        <w:tc>
          <w:tcPr>
            <w:tcW w:w="1040" w:type="dxa"/>
            <w:vAlign w:val="center"/>
          </w:tcPr>
          <w:p w14:paraId="11659C21"/>
        </w:tc>
        <w:tc>
          <w:tcPr>
            <w:tcW w:w="940" w:type="dxa"/>
            <w:vAlign w:val="center"/>
          </w:tcPr>
          <w:p w14:paraId="23A7FE03">
            <w:pPr>
              <w:jc w:val="right"/>
            </w:pPr>
            <w:r>
              <w:rPr>
                <w:rFonts w:ascii="宋体" w:hAnsi="宋体" w:eastAsia="宋体" w:cs="宋体"/>
                <w:b w:val="0"/>
                <w:i w:val="0"/>
                <w:color w:val="000000"/>
                <w:sz w:val="11"/>
              </w:rPr>
              <w:t>32,990.00</w:t>
            </w:r>
          </w:p>
        </w:tc>
        <w:tc>
          <w:tcPr>
            <w:tcW w:w="940" w:type="dxa"/>
            <w:vAlign w:val="center"/>
          </w:tcPr>
          <w:p w14:paraId="497B027B">
            <w:pPr>
              <w:jc w:val="right"/>
            </w:pPr>
            <w:r>
              <w:rPr>
                <w:rFonts w:ascii="宋体" w:hAnsi="宋体" w:eastAsia="宋体" w:cs="宋体"/>
                <w:b w:val="0"/>
                <w:i w:val="0"/>
                <w:color w:val="000000"/>
                <w:sz w:val="11"/>
              </w:rPr>
              <w:t>32,990.00</w:t>
            </w:r>
          </w:p>
        </w:tc>
        <w:tc>
          <w:tcPr>
            <w:tcW w:w="980" w:type="dxa"/>
            <w:vAlign w:val="center"/>
          </w:tcPr>
          <w:p w14:paraId="788CC291"/>
        </w:tc>
        <w:tc>
          <w:tcPr>
            <w:tcW w:w="980" w:type="dxa"/>
            <w:vAlign w:val="center"/>
          </w:tcPr>
          <w:p w14:paraId="6EA55E01">
            <w:pPr>
              <w:jc w:val="right"/>
            </w:pPr>
            <w:r>
              <w:rPr>
                <w:rFonts w:ascii="宋体" w:hAnsi="宋体" w:eastAsia="宋体" w:cs="宋体"/>
                <w:b w:val="0"/>
                <w:i w:val="0"/>
                <w:color w:val="000000"/>
                <w:sz w:val="11"/>
              </w:rPr>
              <w:t>32,990.00</w:t>
            </w:r>
          </w:p>
        </w:tc>
        <w:tc>
          <w:tcPr>
            <w:tcW w:w="986" w:type="dxa"/>
            <w:vAlign w:val="center"/>
          </w:tcPr>
          <w:p w14:paraId="03206204"/>
        </w:tc>
      </w:tr>
      <w:tr w14:paraId="43F857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6" w:hRule="exact"/>
          <w:jc w:val="center"/>
        </w:trPr>
        <w:tc>
          <w:tcPr>
            <w:tcW w:w="220"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1261F507">
            <w:pPr>
              <w:jc w:val="left"/>
            </w:pPr>
            <w:r>
              <w:rPr>
                <w:rFonts w:ascii="宋体" w:hAnsi="宋体" w:eastAsia="宋体" w:cs="宋体"/>
                <w:b w:val="0"/>
                <w:i w:val="0"/>
                <w:color w:val="000000"/>
                <w:sz w:val="11"/>
              </w:rPr>
              <w:t>注：1.本表反映部门(单位)本年度政府性基金预算财政拨款收入、支出及结转和结余情况。</w:t>
            </w:r>
          </w:p>
        </w:tc>
      </w:tr>
      <w:tr w14:paraId="40BA04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220" w:type="dxa"/>
            <w:gridSpan w:val="10"/>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6A20E0C2">
            <w:pPr>
              <w:jc w:val="left"/>
            </w:pPr>
            <w:r>
              <w:rPr>
                <w:rFonts w:ascii="宋体" w:hAnsi="宋体" w:eastAsia="宋体" w:cs="宋体"/>
                <w:b w:val="0"/>
                <w:i w:val="0"/>
                <w:color w:val="000000"/>
                <w:sz w:val="11"/>
              </w:rPr>
              <w:t xml:space="preserve">    2.当此表数据为零时，即本部门(单位)无政府性基金预算财政拨款收入、支出。</w:t>
            </w:r>
          </w:p>
        </w:tc>
      </w:tr>
    </w:tbl>
    <w:p w14:paraId="171726C9">
      <w:pPr>
        <w:snapToGrid w:val="0"/>
        <w:spacing w:before="200" w:after="200" w:line="200" w:lineRule="auto"/>
      </w:pPr>
      <w:r>
        <w:rPr>
          <w:sz w:val="8"/>
        </w:rPr>
        <w:t xml:space="preserve"> </w:t>
      </w:r>
    </w:p>
    <w:p w14:paraId="7A881F6F">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国有资本经营预算财政拨款支出决算表</w:t>
      </w:r>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39787AA4">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76797B7D">
            <w:pPr>
              <w:jc w:val="right"/>
            </w:pPr>
            <w:r>
              <w:rPr>
                <w:rFonts w:ascii="宋体" w:hAnsi="宋体" w:eastAsia="宋体" w:cs="宋体"/>
                <w:sz w:val="20"/>
              </w:rPr>
              <w:t>公开08表</w:t>
            </w:r>
          </w:p>
        </w:tc>
      </w:tr>
      <w:tr w14:paraId="4D51AB1B">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060975D3">
            <w:pPr>
              <w:jc w:val="left"/>
            </w:pPr>
            <w:r>
              <w:rPr>
                <w:rFonts w:ascii="宋体" w:hAnsi="宋体" w:eastAsia="宋体" w:cs="宋体"/>
                <w:sz w:val="20"/>
              </w:rPr>
              <w:t>部门：南昌市青云谱区住房和城乡建设局</w:t>
            </w:r>
          </w:p>
        </w:tc>
        <w:tc>
          <w:tcPr>
            <w:tcW w:w="2000" w:type="dxa"/>
          </w:tcPr>
          <w:p w14:paraId="519375AD">
            <w:pPr>
              <w:jc w:val="center"/>
            </w:pPr>
            <w:r>
              <w:rPr>
                <w:rFonts w:ascii="宋体" w:hAnsi="宋体" w:eastAsia="宋体" w:cs="宋体"/>
                <w:sz w:val="20"/>
              </w:rPr>
              <w:t>2023年度</w:t>
            </w:r>
          </w:p>
        </w:tc>
        <w:tc>
          <w:tcPr>
            <w:tcW w:w="3153" w:type="dxa"/>
          </w:tcPr>
          <w:p w14:paraId="39570AA7">
            <w:pPr>
              <w:jc w:val="right"/>
            </w:pPr>
            <w:r>
              <w:rPr>
                <w:rFonts w:ascii="宋体" w:hAnsi="宋体" w:eastAsia="宋体" w:cs="宋体"/>
                <w:sz w:val="20"/>
              </w:rPr>
              <w:t>金额单位：万元</w:t>
            </w:r>
          </w:p>
        </w:tc>
      </w:tr>
    </w:tbl>
    <w:p w14:paraId="5185E000">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420"/>
        <w:gridCol w:w="440"/>
        <w:gridCol w:w="2740"/>
        <w:gridCol w:w="1380"/>
        <w:gridCol w:w="1520"/>
        <w:gridCol w:w="1366"/>
      </w:tblGrid>
      <w:tr w14:paraId="1DE04F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4"/>
            <w:vAlign w:val="center"/>
          </w:tcPr>
          <w:p w14:paraId="1921FE00">
            <w:pPr>
              <w:jc w:val="center"/>
            </w:pPr>
            <w:r>
              <w:rPr>
                <w:rFonts w:ascii="宋体" w:hAnsi="宋体" w:eastAsia="宋体" w:cs="宋体"/>
                <w:b w:val="0"/>
                <w:i w:val="0"/>
                <w:color w:val="000000"/>
                <w:sz w:val="17"/>
              </w:rPr>
              <w:t>项    目</w:t>
            </w:r>
          </w:p>
        </w:tc>
        <w:tc>
          <w:tcPr>
            <w:tcW w:w="1380" w:type="dxa"/>
            <w:vMerge w:val="restart"/>
            <w:vAlign w:val="center"/>
          </w:tcPr>
          <w:p w14:paraId="4C091A83">
            <w:pPr>
              <w:jc w:val="center"/>
            </w:pPr>
            <w:r>
              <w:rPr>
                <w:rFonts w:ascii="宋体" w:hAnsi="宋体" w:eastAsia="宋体" w:cs="宋体"/>
                <w:b w:val="0"/>
                <w:i w:val="0"/>
                <w:color w:val="000000"/>
                <w:sz w:val="17"/>
              </w:rPr>
              <w:t>合计</w:t>
            </w:r>
          </w:p>
        </w:tc>
        <w:tc>
          <w:tcPr>
            <w:tcW w:w="1520" w:type="dxa"/>
            <w:vMerge w:val="restart"/>
            <w:vAlign w:val="center"/>
          </w:tcPr>
          <w:p w14:paraId="6F2A88C2">
            <w:pPr>
              <w:jc w:val="center"/>
            </w:pPr>
            <w:r>
              <w:rPr>
                <w:rFonts w:ascii="宋体" w:hAnsi="宋体" w:eastAsia="宋体" w:cs="宋体"/>
                <w:b w:val="0"/>
                <w:i w:val="0"/>
                <w:color w:val="000000"/>
                <w:sz w:val="17"/>
              </w:rPr>
              <w:t>基本支出</w:t>
            </w:r>
          </w:p>
        </w:tc>
        <w:tc>
          <w:tcPr>
            <w:tcW w:w="1366" w:type="dxa"/>
            <w:vMerge w:val="restart"/>
            <w:vAlign w:val="center"/>
          </w:tcPr>
          <w:p w14:paraId="53E18B33">
            <w:pPr>
              <w:jc w:val="center"/>
            </w:pPr>
            <w:r>
              <w:rPr>
                <w:rFonts w:ascii="宋体" w:hAnsi="宋体" w:eastAsia="宋体" w:cs="宋体"/>
                <w:b w:val="0"/>
                <w:i w:val="0"/>
                <w:color w:val="000000"/>
                <w:sz w:val="17"/>
              </w:rPr>
              <w:t>项目支出</w:t>
            </w:r>
          </w:p>
        </w:tc>
      </w:tr>
      <w:tr w14:paraId="42A92F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restart"/>
            <w:vAlign w:val="center"/>
          </w:tcPr>
          <w:p w14:paraId="0EF920B4">
            <w:pPr>
              <w:jc w:val="center"/>
            </w:pPr>
            <w:r>
              <w:rPr>
                <w:rFonts w:ascii="宋体" w:hAnsi="宋体" w:eastAsia="宋体" w:cs="宋体"/>
                <w:b w:val="0"/>
                <w:i w:val="0"/>
                <w:color w:val="000000"/>
                <w:sz w:val="17"/>
              </w:rPr>
              <w:t>支出功能分类科目编码</w:t>
            </w:r>
          </w:p>
        </w:tc>
        <w:tc>
          <w:tcPr>
            <w:tcW w:w="2740" w:type="dxa"/>
            <w:vMerge w:val="restart"/>
            <w:vAlign w:val="center"/>
          </w:tcPr>
          <w:p w14:paraId="1A0EC9DC">
            <w:pPr>
              <w:jc w:val="center"/>
            </w:pPr>
            <w:r>
              <w:rPr>
                <w:rFonts w:ascii="宋体" w:hAnsi="宋体" w:eastAsia="宋体" w:cs="宋体"/>
                <w:b w:val="0"/>
                <w:i w:val="0"/>
                <w:color w:val="000000"/>
                <w:sz w:val="17"/>
              </w:rPr>
              <w:t>科目名称</w:t>
            </w:r>
          </w:p>
        </w:tc>
        <w:tc>
          <w:tcPr>
            <w:tcW w:w="1380" w:type="dxa"/>
            <w:vMerge w:val="continue"/>
            <w:vAlign w:val="center"/>
          </w:tcPr>
          <w:p w14:paraId="27F047C4"/>
        </w:tc>
        <w:tc>
          <w:tcPr>
            <w:tcW w:w="1520" w:type="dxa"/>
            <w:vMerge w:val="continue"/>
            <w:vAlign w:val="center"/>
          </w:tcPr>
          <w:p w14:paraId="622D1FC9"/>
        </w:tc>
        <w:tc>
          <w:tcPr>
            <w:tcW w:w="1366" w:type="dxa"/>
            <w:vMerge w:val="continue"/>
            <w:vAlign w:val="center"/>
          </w:tcPr>
          <w:p w14:paraId="2AB813E7"/>
        </w:tc>
      </w:tr>
      <w:tr w14:paraId="2F74C6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continue"/>
            <w:vAlign w:val="center"/>
          </w:tcPr>
          <w:p w14:paraId="522B99CA"/>
        </w:tc>
        <w:tc>
          <w:tcPr>
            <w:tcW w:w="2740" w:type="dxa"/>
            <w:vMerge w:val="continue"/>
            <w:vAlign w:val="center"/>
          </w:tcPr>
          <w:p w14:paraId="519D28DA"/>
        </w:tc>
        <w:tc>
          <w:tcPr>
            <w:tcW w:w="1380" w:type="dxa"/>
            <w:vMerge w:val="continue"/>
            <w:vAlign w:val="center"/>
          </w:tcPr>
          <w:p w14:paraId="32AF56F7"/>
        </w:tc>
        <w:tc>
          <w:tcPr>
            <w:tcW w:w="1520" w:type="dxa"/>
            <w:vMerge w:val="continue"/>
            <w:vAlign w:val="center"/>
          </w:tcPr>
          <w:p w14:paraId="0553B1CC"/>
        </w:tc>
        <w:tc>
          <w:tcPr>
            <w:tcW w:w="1366" w:type="dxa"/>
            <w:vMerge w:val="continue"/>
            <w:vAlign w:val="center"/>
          </w:tcPr>
          <w:p w14:paraId="6CABFFFE"/>
        </w:tc>
      </w:tr>
      <w:tr w14:paraId="14346E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continue"/>
            <w:vAlign w:val="center"/>
          </w:tcPr>
          <w:p w14:paraId="664A1B1D"/>
        </w:tc>
        <w:tc>
          <w:tcPr>
            <w:tcW w:w="2740" w:type="dxa"/>
            <w:vMerge w:val="continue"/>
            <w:vAlign w:val="center"/>
          </w:tcPr>
          <w:p w14:paraId="6F22A676"/>
        </w:tc>
        <w:tc>
          <w:tcPr>
            <w:tcW w:w="1380" w:type="dxa"/>
            <w:vMerge w:val="continue"/>
            <w:vAlign w:val="center"/>
          </w:tcPr>
          <w:p w14:paraId="4B1FB582"/>
        </w:tc>
        <w:tc>
          <w:tcPr>
            <w:tcW w:w="1520" w:type="dxa"/>
            <w:vMerge w:val="continue"/>
            <w:vAlign w:val="center"/>
          </w:tcPr>
          <w:p w14:paraId="52D84B38"/>
        </w:tc>
        <w:tc>
          <w:tcPr>
            <w:tcW w:w="1366" w:type="dxa"/>
            <w:vMerge w:val="continue"/>
            <w:vAlign w:val="center"/>
          </w:tcPr>
          <w:p w14:paraId="49D2C39E"/>
        </w:tc>
      </w:tr>
      <w:tr w14:paraId="35F68A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vMerge w:val="restart"/>
            <w:vAlign w:val="center"/>
          </w:tcPr>
          <w:p w14:paraId="5D7291D0">
            <w:pPr>
              <w:jc w:val="center"/>
            </w:pPr>
            <w:r>
              <w:rPr>
                <w:rFonts w:ascii="宋体" w:hAnsi="宋体" w:eastAsia="宋体" w:cs="宋体"/>
                <w:b w:val="0"/>
                <w:i w:val="0"/>
                <w:color w:val="000000"/>
                <w:sz w:val="17"/>
              </w:rPr>
              <w:t>类</w:t>
            </w:r>
          </w:p>
        </w:tc>
        <w:tc>
          <w:tcPr>
            <w:tcW w:w="420" w:type="dxa"/>
            <w:vMerge w:val="restart"/>
            <w:vAlign w:val="center"/>
          </w:tcPr>
          <w:p w14:paraId="35C7CC3B">
            <w:pPr>
              <w:jc w:val="center"/>
            </w:pPr>
            <w:r>
              <w:rPr>
                <w:rFonts w:ascii="宋体" w:hAnsi="宋体" w:eastAsia="宋体" w:cs="宋体"/>
                <w:b w:val="0"/>
                <w:i w:val="0"/>
                <w:color w:val="000000"/>
                <w:sz w:val="17"/>
              </w:rPr>
              <w:t>款</w:t>
            </w:r>
          </w:p>
        </w:tc>
        <w:tc>
          <w:tcPr>
            <w:tcW w:w="440" w:type="dxa"/>
            <w:vMerge w:val="restart"/>
            <w:vAlign w:val="center"/>
          </w:tcPr>
          <w:p w14:paraId="2DEE131B">
            <w:pPr>
              <w:jc w:val="center"/>
            </w:pPr>
            <w:r>
              <w:rPr>
                <w:rFonts w:ascii="宋体" w:hAnsi="宋体" w:eastAsia="宋体" w:cs="宋体"/>
                <w:b w:val="0"/>
                <w:i w:val="0"/>
                <w:color w:val="000000"/>
                <w:sz w:val="17"/>
              </w:rPr>
              <w:t>项</w:t>
            </w:r>
          </w:p>
        </w:tc>
        <w:tc>
          <w:tcPr>
            <w:tcW w:w="2740" w:type="dxa"/>
            <w:vAlign w:val="center"/>
          </w:tcPr>
          <w:p w14:paraId="683E4AC4">
            <w:pPr>
              <w:jc w:val="center"/>
            </w:pPr>
            <w:r>
              <w:rPr>
                <w:rFonts w:ascii="宋体" w:hAnsi="宋体" w:eastAsia="宋体" w:cs="宋体"/>
                <w:b w:val="0"/>
                <w:i w:val="0"/>
                <w:color w:val="000000"/>
                <w:sz w:val="17"/>
              </w:rPr>
              <w:t>栏次</w:t>
            </w:r>
          </w:p>
        </w:tc>
        <w:tc>
          <w:tcPr>
            <w:tcW w:w="1380" w:type="dxa"/>
            <w:vAlign w:val="center"/>
          </w:tcPr>
          <w:p w14:paraId="5AE03A18">
            <w:pPr>
              <w:jc w:val="center"/>
            </w:pPr>
            <w:r>
              <w:rPr>
                <w:rFonts w:ascii="宋体" w:hAnsi="宋体" w:eastAsia="宋体" w:cs="宋体"/>
                <w:b w:val="0"/>
                <w:i w:val="0"/>
                <w:color w:val="000000"/>
                <w:sz w:val="17"/>
              </w:rPr>
              <w:t>1</w:t>
            </w:r>
          </w:p>
        </w:tc>
        <w:tc>
          <w:tcPr>
            <w:tcW w:w="1520" w:type="dxa"/>
            <w:vAlign w:val="center"/>
          </w:tcPr>
          <w:p w14:paraId="62F3B8E6">
            <w:pPr>
              <w:jc w:val="center"/>
            </w:pPr>
            <w:r>
              <w:rPr>
                <w:rFonts w:ascii="宋体" w:hAnsi="宋体" w:eastAsia="宋体" w:cs="宋体"/>
                <w:b w:val="0"/>
                <w:i w:val="0"/>
                <w:color w:val="000000"/>
                <w:sz w:val="17"/>
              </w:rPr>
              <w:t>2</w:t>
            </w:r>
          </w:p>
        </w:tc>
        <w:tc>
          <w:tcPr>
            <w:tcW w:w="1366" w:type="dxa"/>
            <w:vAlign w:val="center"/>
          </w:tcPr>
          <w:p w14:paraId="2E822CB3">
            <w:pPr>
              <w:jc w:val="center"/>
            </w:pPr>
            <w:r>
              <w:rPr>
                <w:rFonts w:ascii="宋体" w:hAnsi="宋体" w:eastAsia="宋体" w:cs="宋体"/>
                <w:b w:val="0"/>
                <w:i w:val="0"/>
                <w:color w:val="000000"/>
                <w:sz w:val="17"/>
              </w:rPr>
              <w:t>3</w:t>
            </w:r>
          </w:p>
        </w:tc>
      </w:tr>
      <w:tr w14:paraId="5DC983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vMerge w:val="continue"/>
            <w:vAlign w:val="center"/>
          </w:tcPr>
          <w:p w14:paraId="3FCC9C4D"/>
        </w:tc>
        <w:tc>
          <w:tcPr>
            <w:tcW w:w="420" w:type="dxa"/>
            <w:vMerge w:val="continue"/>
            <w:vAlign w:val="center"/>
          </w:tcPr>
          <w:p w14:paraId="436C8186"/>
        </w:tc>
        <w:tc>
          <w:tcPr>
            <w:tcW w:w="440" w:type="dxa"/>
            <w:vMerge w:val="continue"/>
            <w:vAlign w:val="center"/>
          </w:tcPr>
          <w:p w14:paraId="74D28969"/>
        </w:tc>
        <w:tc>
          <w:tcPr>
            <w:tcW w:w="2740" w:type="dxa"/>
            <w:vAlign w:val="center"/>
          </w:tcPr>
          <w:p w14:paraId="145FD86C">
            <w:pPr>
              <w:jc w:val="center"/>
            </w:pPr>
            <w:r>
              <w:rPr>
                <w:rFonts w:ascii="宋体" w:hAnsi="宋体" w:eastAsia="宋体" w:cs="宋体"/>
                <w:b w:val="0"/>
                <w:i w:val="0"/>
                <w:color w:val="000000"/>
                <w:sz w:val="17"/>
              </w:rPr>
              <w:t>合计</w:t>
            </w:r>
          </w:p>
        </w:tc>
        <w:tc>
          <w:tcPr>
            <w:tcW w:w="1380" w:type="dxa"/>
            <w:vAlign w:val="center"/>
          </w:tcPr>
          <w:p w14:paraId="04CE2400"/>
        </w:tc>
        <w:tc>
          <w:tcPr>
            <w:tcW w:w="1520" w:type="dxa"/>
            <w:vAlign w:val="center"/>
          </w:tcPr>
          <w:p w14:paraId="4E3C4459"/>
        </w:tc>
        <w:tc>
          <w:tcPr>
            <w:tcW w:w="1366" w:type="dxa"/>
            <w:vAlign w:val="center"/>
          </w:tcPr>
          <w:p w14:paraId="62A5E8B2"/>
        </w:tc>
      </w:tr>
      <w:tr w14:paraId="5047A9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Align w:val="center"/>
          </w:tcPr>
          <w:p w14:paraId="60E24F28"/>
        </w:tc>
        <w:tc>
          <w:tcPr>
            <w:tcW w:w="2740" w:type="dxa"/>
            <w:vAlign w:val="center"/>
          </w:tcPr>
          <w:p w14:paraId="30D44375"/>
        </w:tc>
        <w:tc>
          <w:tcPr>
            <w:tcW w:w="1380" w:type="dxa"/>
            <w:vAlign w:val="center"/>
          </w:tcPr>
          <w:p w14:paraId="6205988C"/>
        </w:tc>
        <w:tc>
          <w:tcPr>
            <w:tcW w:w="1520" w:type="dxa"/>
            <w:vAlign w:val="center"/>
          </w:tcPr>
          <w:p w14:paraId="3BC5C50C"/>
        </w:tc>
        <w:tc>
          <w:tcPr>
            <w:tcW w:w="1366" w:type="dxa"/>
            <w:vAlign w:val="center"/>
          </w:tcPr>
          <w:p w14:paraId="420FFD5C"/>
        </w:tc>
      </w:tr>
      <w:tr w14:paraId="1AA975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8" w:hRule="exact"/>
          <w:jc w:val="center"/>
        </w:trPr>
        <w:tc>
          <w:tcPr>
            <w:tcW w:w="440"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3699CE1A">
            <w:pPr>
              <w:jc w:val="left"/>
            </w:pPr>
            <w:r>
              <w:rPr>
                <w:rFonts w:ascii="宋体" w:hAnsi="宋体" w:eastAsia="宋体" w:cs="宋体"/>
                <w:b w:val="0"/>
                <w:i w:val="0"/>
                <w:color w:val="000000"/>
                <w:sz w:val="17"/>
              </w:rPr>
              <w:t>注：1.本表反映部门(单位)本年度国有资本经营预算财政拨款支出情况。</w:t>
            </w:r>
          </w:p>
        </w:tc>
      </w:tr>
      <w:tr w14:paraId="11B60D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7"/>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034D25DD">
            <w:pPr>
              <w:jc w:val="left"/>
            </w:pPr>
            <w:r>
              <w:rPr>
                <w:rFonts w:ascii="宋体" w:hAnsi="宋体" w:eastAsia="宋体" w:cs="宋体"/>
                <w:b w:val="0"/>
                <w:i w:val="0"/>
                <w:color w:val="000000"/>
                <w:sz w:val="17"/>
              </w:rPr>
              <w:t xml:space="preserve">    2.当此表数据为空时，即本部门(单位)无国有资本经营预算财政拨款支出。</w:t>
            </w:r>
          </w:p>
        </w:tc>
      </w:tr>
    </w:tbl>
    <w:p w14:paraId="328A5BEC">
      <w:pPr>
        <w:snapToGrid w:val="0"/>
        <w:spacing w:before="200" w:after="200" w:line="200" w:lineRule="auto"/>
      </w:pPr>
      <w:r>
        <w:rPr>
          <w:sz w:val="8"/>
        </w:rPr>
        <w:t xml:space="preserve"> </w:t>
      </w:r>
    </w:p>
    <w:p w14:paraId="504F7EDB">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财政拨款“三公”经费支出决算表</w:t>
      </w:r>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3AA0FA68">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02E688C9">
            <w:pPr>
              <w:jc w:val="right"/>
            </w:pPr>
            <w:r>
              <w:rPr>
                <w:rFonts w:ascii="宋体" w:hAnsi="宋体" w:eastAsia="宋体" w:cs="宋体"/>
                <w:sz w:val="20"/>
              </w:rPr>
              <w:t>公开09表</w:t>
            </w:r>
          </w:p>
        </w:tc>
      </w:tr>
      <w:tr w14:paraId="66D44750">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109AA64D">
            <w:pPr>
              <w:jc w:val="left"/>
            </w:pPr>
            <w:r>
              <w:rPr>
                <w:rFonts w:ascii="宋体" w:hAnsi="宋体" w:eastAsia="宋体" w:cs="宋体"/>
                <w:sz w:val="20"/>
              </w:rPr>
              <w:t>部门：南昌市青云谱区住房和城乡建设局</w:t>
            </w:r>
          </w:p>
        </w:tc>
        <w:tc>
          <w:tcPr>
            <w:tcW w:w="2000" w:type="dxa"/>
          </w:tcPr>
          <w:p w14:paraId="35B18BB4">
            <w:pPr>
              <w:jc w:val="center"/>
            </w:pPr>
            <w:r>
              <w:rPr>
                <w:rFonts w:ascii="宋体" w:hAnsi="宋体" w:eastAsia="宋体" w:cs="宋体"/>
                <w:sz w:val="20"/>
              </w:rPr>
              <w:t>2023年度</w:t>
            </w:r>
          </w:p>
        </w:tc>
        <w:tc>
          <w:tcPr>
            <w:tcW w:w="3153" w:type="dxa"/>
          </w:tcPr>
          <w:p w14:paraId="2C9338E9">
            <w:pPr>
              <w:jc w:val="right"/>
            </w:pPr>
            <w:r>
              <w:rPr>
                <w:rFonts w:ascii="宋体" w:hAnsi="宋体" w:eastAsia="宋体" w:cs="宋体"/>
                <w:sz w:val="20"/>
              </w:rPr>
              <w:t>金额单位：万元</w:t>
            </w:r>
          </w:p>
        </w:tc>
      </w:tr>
    </w:tbl>
    <w:p w14:paraId="0F0EE082">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960"/>
        <w:gridCol w:w="740"/>
        <w:gridCol w:w="1560"/>
        <w:gridCol w:w="1460"/>
        <w:gridCol w:w="1586"/>
      </w:tblGrid>
      <w:tr w14:paraId="0D18BE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2960" w:type="dxa"/>
            <w:vAlign w:val="center"/>
          </w:tcPr>
          <w:p w14:paraId="205F5AA6">
            <w:pPr>
              <w:jc w:val="center"/>
            </w:pPr>
            <w:r>
              <w:rPr>
                <w:rFonts w:ascii="宋体" w:hAnsi="宋体" w:eastAsia="宋体" w:cs="宋体"/>
                <w:b w:val="0"/>
                <w:i w:val="0"/>
                <w:color w:val="000000"/>
                <w:sz w:val="17"/>
              </w:rPr>
              <w:t>项目</w:t>
            </w:r>
          </w:p>
        </w:tc>
        <w:tc>
          <w:tcPr>
            <w:tcW w:w="740" w:type="dxa"/>
            <w:vAlign w:val="center"/>
          </w:tcPr>
          <w:p w14:paraId="179F0A19">
            <w:pPr>
              <w:jc w:val="center"/>
            </w:pPr>
            <w:r>
              <w:rPr>
                <w:rFonts w:ascii="宋体" w:hAnsi="宋体" w:eastAsia="宋体" w:cs="宋体"/>
                <w:b w:val="0"/>
                <w:i w:val="0"/>
                <w:color w:val="000000"/>
                <w:sz w:val="17"/>
              </w:rPr>
              <w:t>栏次</w:t>
            </w:r>
          </w:p>
        </w:tc>
        <w:tc>
          <w:tcPr>
            <w:tcW w:w="1560" w:type="dxa"/>
            <w:vAlign w:val="center"/>
          </w:tcPr>
          <w:p w14:paraId="5CD768FA">
            <w:pPr>
              <w:jc w:val="center"/>
            </w:pPr>
            <w:r>
              <w:rPr>
                <w:rFonts w:ascii="宋体" w:hAnsi="宋体" w:eastAsia="宋体" w:cs="宋体"/>
                <w:b w:val="0"/>
                <w:i w:val="0"/>
                <w:color w:val="000000"/>
                <w:sz w:val="17"/>
              </w:rPr>
              <w:t>年初预算数</w:t>
            </w:r>
          </w:p>
        </w:tc>
        <w:tc>
          <w:tcPr>
            <w:tcW w:w="1460" w:type="dxa"/>
            <w:vAlign w:val="center"/>
          </w:tcPr>
          <w:p w14:paraId="02E8AB4E">
            <w:pPr>
              <w:jc w:val="center"/>
            </w:pPr>
            <w:r>
              <w:rPr>
                <w:rFonts w:ascii="宋体" w:hAnsi="宋体" w:eastAsia="宋体" w:cs="宋体"/>
                <w:b w:val="0"/>
                <w:i w:val="0"/>
                <w:color w:val="000000"/>
                <w:sz w:val="16"/>
              </w:rPr>
              <w:t>全年预算数</w:t>
            </w:r>
          </w:p>
        </w:tc>
        <w:tc>
          <w:tcPr>
            <w:tcW w:w="1586" w:type="dxa"/>
            <w:vAlign w:val="center"/>
          </w:tcPr>
          <w:p w14:paraId="237388EB">
            <w:pPr>
              <w:jc w:val="center"/>
            </w:pPr>
            <w:r>
              <w:rPr>
                <w:rFonts w:ascii="宋体" w:hAnsi="宋体" w:eastAsia="宋体" w:cs="宋体"/>
                <w:b w:val="0"/>
                <w:i w:val="0"/>
                <w:color w:val="000000"/>
                <w:sz w:val="17"/>
              </w:rPr>
              <w:t>决算数</w:t>
            </w:r>
          </w:p>
        </w:tc>
      </w:tr>
      <w:tr w14:paraId="1B4A84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D0A878C">
            <w:pPr>
              <w:jc w:val="center"/>
            </w:pPr>
            <w:r>
              <w:rPr>
                <w:rFonts w:ascii="宋体" w:hAnsi="宋体" w:eastAsia="宋体" w:cs="宋体"/>
                <w:b w:val="0"/>
                <w:i w:val="0"/>
                <w:color w:val="000000"/>
                <w:sz w:val="17"/>
              </w:rPr>
              <w:t>行次</w:t>
            </w:r>
          </w:p>
        </w:tc>
        <w:tc>
          <w:tcPr>
            <w:tcW w:w="740" w:type="dxa"/>
            <w:vAlign w:val="center"/>
          </w:tcPr>
          <w:p w14:paraId="2B1450E1"/>
        </w:tc>
        <w:tc>
          <w:tcPr>
            <w:tcW w:w="1560" w:type="dxa"/>
            <w:vAlign w:val="center"/>
          </w:tcPr>
          <w:p w14:paraId="37FEECEC">
            <w:pPr>
              <w:jc w:val="center"/>
            </w:pPr>
            <w:r>
              <w:rPr>
                <w:rFonts w:ascii="宋体" w:hAnsi="宋体" w:eastAsia="宋体" w:cs="宋体"/>
                <w:b w:val="0"/>
                <w:i w:val="0"/>
                <w:color w:val="000000"/>
                <w:sz w:val="17"/>
              </w:rPr>
              <w:t>1</w:t>
            </w:r>
          </w:p>
        </w:tc>
        <w:tc>
          <w:tcPr>
            <w:tcW w:w="1460" w:type="dxa"/>
            <w:vAlign w:val="center"/>
          </w:tcPr>
          <w:p w14:paraId="2E3309B8">
            <w:pPr>
              <w:jc w:val="center"/>
            </w:pPr>
            <w:r>
              <w:rPr>
                <w:rFonts w:ascii="宋体" w:hAnsi="宋体" w:eastAsia="宋体" w:cs="宋体"/>
                <w:b w:val="0"/>
                <w:i w:val="0"/>
                <w:color w:val="000000"/>
                <w:sz w:val="16"/>
              </w:rPr>
              <w:t>2</w:t>
            </w:r>
          </w:p>
        </w:tc>
        <w:tc>
          <w:tcPr>
            <w:tcW w:w="1586" w:type="dxa"/>
            <w:vAlign w:val="center"/>
          </w:tcPr>
          <w:p w14:paraId="6DD1C2DC">
            <w:pPr>
              <w:jc w:val="center"/>
            </w:pPr>
            <w:r>
              <w:rPr>
                <w:rFonts w:ascii="宋体" w:hAnsi="宋体" w:eastAsia="宋体" w:cs="宋体"/>
                <w:b w:val="0"/>
                <w:i w:val="0"/>
                <w:color w:val="000000"/>
                <w:sz w:val="17"/>
              </w:rPr>
              <w:t>3</w:t>
            </w:r>
          </w:p>
        </w:tc>
      </w:tr>
      <w:tr w14:paraId="03405D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12AEED7">
            <w:pPr>
              <w:jc w:val="left"/>
            </w:pPr>
            <w:r>
              <w:rPr>
                <w:rFonts w:ascii="宋体" w:hAnsi="宋体" w:eastAsia="宋体" w:cs="宋体"/>
                <w:b w:val="0"/>
                <w:i w:val="0"/>
                <w:color w:val="000000"/>
                <w:sz w:val="17"/>
              </w:rPr>
              <w:t>一、“三公”经费支出</w:t>
            </w:r>
          </w:p>
        </w:tc>
        <w:tc>
          <w:tcPr>
            <w:tcW w:w="740" w:type="dxa"/>
            <w:vAlign w:val="center"/>
          </w:tcPr>
          <w:p w14:paraId="5E1225A8">
            <w:pPr>
              <w:jc w:val="center"/>
            </w:pPr>
            <w:r>
              <w:rPr>
                <w:rFonts w:ascii="宋体" w:hAnsi="宋体" w:eastAsia="宋体" w:cs="宋体"/>
                <w:b w:val="0"/>
                <w:i w:val="0"/>
                <w:color w:val="000000"/>
                <w:sz w:val="17"/>
              </w:rPr>
              <w:t>1</w:t>
            </w:r>
          </w:p>
        </w:tc>
        <w:tc>
          <w:tcPr>
            <w:tcW w:w="1560" w:type="dxa"/>
            <w:vAlign w:val="center"/>
          </w:tcPr>
          <w:p w14:paraId="422B1079">
            <w:pPr>
              <w:jc w:val="right"/>
            </w:pPr>
            <w:r>
              <w:rPr>
                <w:rFonts w:ascii="宋体" w:hAnsi="宋体" w:eastAsia="宋体" w:cs="宋体"/>
                <w:b w:val="0"/>
                <w:i w:val="0"/>
                <w:color w:val="000000"/>
                <w:sz w:val="17"/>
              </w:rPr>
              <w:t>13.39</w:t>
            </w:r>
          </w:p>
        </w:tc>
        <w:tc>
          <w:tcPr>
            <w:tcW w:w="1460" w:type="dxa"/>
            <w:vAlign w:val="center"/>
          </w:tcPr>
          <w:p w14:paraId="00653E38">
            <w:pPr>
              <w:jc w:val="right"/>
            </w:pPr>
            <w:r>
              <w:rPr>
                <w:rFonts w:ascii="宋体" w:hAnsi="宋体" w:eastAsia="宋体" w:cs="宋体"/>
                <w:b w:val="0"/>
                <w:i w:val="0"/>
                <w:color w:val="000000"/>
                <w:sz w:val="16"/>
              </w:rPr>
              <w:t>6.96</w:t>
            </w:r>
          </w:p>
        </w:tc>
        <w:tc>
          <w:tcPr>
            <w:tcW w:w="1586" w:type="dxa"/>
            <w:vAlign w:val="center"/>
          </w:tcPr>
          <w:p w14:paraId="44B6C8A8">
            <w:pPr>
              <w:jc w:val="right"/>
            </w:pPr>
            <w:r>
              <w:rPr>
                <w:rFonts w:ascii="宋体" w:hAnsi="宋体" w:eastAsia="宋体" w:cs="宋体"/>
                <w:b w:val="0"/>
                <w:i w:val="0"/>
                <w:color w:val="000000"/>
                <w:sz w:val="17"/>
              </w:rPr>
              <w:t>4.46</w:t>
            </w:r>
          </w:p>
        </w:tc>
      </w:tr>
      <w:tr w14:paraId="2E607E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6240F6C">
            <w:pPr>
              <w:jc w:val="left"/>
            </w:pPr>
            <w:r>
              <w:rPr>
                <w:rFonts w:ascii="宋体" w:hAnsi="宋体" w:eastAsia="宋体" w:cs="宋体"/>
                <w:b w:val="0"/>
                <w:i w:val="0"/>
                <w:color w:val="000000"/>
                <w:sz w:val="17"/>
              </w:rPr>
              <w:t xml:space="preserve">  1.因公出国（境）费</w:t>
            </w:r>
          </w:p>
        </w:tc>
        <w:tc>
          <w:tcPr>
            <w:tcW w:w="740" w:type="dxa"/>
            <w:vAlign w:val="center"/>
          </w:tcPr>
          <w:p w14:paraId="101C4DFF">
            <w:pPr>
              <w:jc w:val="center"/>
            </w:pPr>
            <w:r>
              <w:rPr>
                <w:rFonts w:ascii="宋体" w:hAnsi="宋体" w:eastAsia="宋体" w:cs="宋体"/>
                <w:b w:val="0"/>
                <w:i w:val="0"/>
                <w:color w:val="000000"/>
                <w:sz w:val="17"/>
              </w:rPr>
              <w:t>2</w:t>
            </w:r>
          </w:p>
        </w:tc>
        <w:tc>
          <w:tcPr>
            <w:tcW w:w="1560" w:type="dxa"/>
            <w:vAlign w:val="center"/>
          </w:tcPr>
          <w:p w14:paraId="3C01DE7D"/>
        </w:tc>
        <w:tc>
          <w:tcPr>
            <w:tcW w:w="1460" w:type="dxa"/>
            <w:vAlign w:val="center"/>
          </w:tcPr>
          <w:p w14:paraId="1A7E7533"/>
        </w:tc>
        <w:tc>
          <w:tcPr>
            <w:tcW w:w="1586" w:type="dxa"/>
            <w:vAlign w:val="center"/>
          </w:tcPr>
          <w:p w14:paraId="7FEBBB7B"/>
        </w:tc>
      </w:tr>
      <w:tr w14:paraId="52B29A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563F168">
            <w:pPr>
              <w:jc w:val="left"/>
            </w:pPr>
            <w:r>
              <w:rPr>
                <w:rFonts w:ascii="宋体" w:hAnsi="宋体" w:eastAsia="宋体" w:cs="宋体"/>
                <w:b w:val="0"/>
                <w:i w:val="0"/>
                <w:color w:val="000000"/>
                <w:sz w:val="17"/>
              </w:rPr>
              <w:t xml:space="preserve">  2.公务用车购置及运行维护费</w:t>
            </w:r>
          </w:p>
        </w:tc>
        <w:tc>
          <w:tcPr>
            <w:tcW w:w="740" w:type="dxa"/>
            <w:vAlign w:val="center"/>
          </w:tcPr>
          <w:p w14:paraId="77467189">
            <w:pPr>
              <w:jc w:val="center"/>
            </w:pPr>
            <w:r>
              <w:rPr>
                <w:rFonts w:ascii="宋体" w:hAnsi="宋体" w:eastAsia="宋体" w:cs="宋体"/>
                <w:b w:val="0"/>
                <w:i w:val="0"/>
                <w:color w:val="000000"/>
                <w:sz w:val="17"/>
              </w:rPr>
              <w:t>3</w:t>
            </w:r>
          </w:p>
        </w:tc>
        <w:tc>
          <w:tcPr>
            <w:tcW w:w="1560" w:type="dxa"/>
            <w:vAlign w:val="center"/>
          </w:tcPr>
          <w:p w14:paraId="568DDEEC">
            <w:pPr>
              <w:jc w:val="right"/>
            </w:pPr>
            <w:r>
              <w:rPr>
                <w:rFonts w:ascii="宋体" w:hAnsi="宋体" w:eastAsia="宋体" w:cs="宋体"/>
                <w:b w:val="0"/>
                <w:i w:val="0"/>
                <w:color w:val="000000"/>
                <w:sz w:val="17"/>
              </w:rPr>
              <w:t>12.20</w:t>
            </w:r>
          </w:p>
        </w:tc>
        <w:tc>
          <w:tcPr>
            <w:tcW w:w="1460" w:type="dxa"/>
            <w:vAlign w:val="center"/>
          </w:tcPr>
          <w:p w14:paraId="7F0CAA3D">
            <w:pPr>
              <w:jc w:val="right"/>
            </w:pPr>
            <w:r>
              <w:rPr>
                <w:rFonts w:ascii="宋体" w:hAnsi="宋体" w:eastAsia="宋体" w:cs="宋体"/>
                <w:b w:val="0"/>
                <w:i w:val="0"/>
                <w:color w:val="000000"/>
                <w:sz w:val="16"/>
              </w:rPr>
              <w:t>5.77</w:t>
            </w:r>
          </w:p>
        </w:tc>
        <w:tc>
          <w:tcPr>
            <w:tcW w:w="1586" w:type="dxa"/>
            <w:vAlign w:val="center"/>
          </w:tcPr>
          <w:p w14:paraId="25F3FB6B">
            <w:pPr>
              <w:jc w:val="right"/>
            </w:pPr>
            <w:r>
              <w:rPr>
                <w:rFonts w:ascii="宋体" w:hAnsi="宋体" w:eastAsia="宋体" w:cs="宋体"/>
                <w:b w:val="0"/>
                <w:i w:val="0"/>
                <w:color w:val="000000"/>
                <w:sz w:val="17"/>
              </w:rPr>
              <w:t>4.46</w:t>
            </w:r>
          </w:p>
        </w:tc>
      </w:tr>
      <w:tr w14:paraId="2A7E21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8074E1F">
            <w:pPr>
              <w:jc w:val="left"/>
            </w:pPr>
            <w:r>
              <w:rPr>
                <w:rFonts w:ascii="宋体" w:hAnsi="宋体" w:eastAsia="宋体" w:cs="宋体"/>
                <w:b w:val="0"/>
                <w:i w:val="0"/>
                <w:color w:val="000000"/>
                <w:sz w:val="17"/>
              </w:rPr>
              <w:t xml:space="preserve">    （1）公务用车购置费</w:t>
            </w:r>
          </w:p>
        </w:tc>
        <w:tc>
          <w:tcPr>
            <w:tcW w:w="740" w:type="dxa"/>
            <w:vAlign w:val="center"/>
          </w:tcPr>
          <w:p w14:paraId="2A8E201E">
            <w:pPr>
              <w:jc w:val="center"/>
            </w:pPr>
            <w:r>
              <w:rPr>
                <w:rFonts w:ascii="宋体" w:hAnsi="宋体" w:eastAsia="宋体" w:cs="宋体"/>
                <w:b w:val="0"/>
                <w:i w:val="0"/>
                <w:color w:val="000000"/>
                <w:sz w:val="17"/>
              </w:rPr>
              <w:t>4</w:t>
            </w:r>
          </w:p>
        </w:tc>
        <w:tc>
          <w:tcPr>
            <w:tcW w:w="1560" w:type="dxa"/>
            <w:vAlign w:val="center"/>
          </w:tcPr>
          <w:p w14:paraId="7809832C"/>
        </w:tc>
        <w:tc>
          <w:tcPr>
            <w:tcW w:w="1460" w:type="dxa"/>
            <w:vAlign w:val="center"/>
          </w:tcPr>
          <w:p w14:paraId="1179562D"/>
        </w:tc>
        <w:tc>
          <w:tcPr>
            <w:tcW w:w="1586" w:type="dxa"/>
            <w:vAlign w:val="center"/>
          </w:tcPr>
          <w:p w14:paraId="3A16D127"/>
        </w:tc>
      </w:tr>
      <w:tr w14:paraId="41287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90D4CB4">
            <w:pPr>
              <w:jc w:val="left"/>
            </w:pPr>
            <w:r>
              <w:rPr>
                <w:rFonts w:ascii="宋体" w:hAnsi="宋体" w:eastAsia="宋体" w:cs="宋体"/>
                <w:b w:val="0"/>
                <w:i w:val="0"/>
                <w:color w:val="000000"/>
                <w:sz w:val="17"/>
              </w:rPr>
              <w:t xml:space="preserve">    （2）公务用车运行维护费</w:t>
            </w:r>
          </w:p>
        </w:tc>
        <w:tc>
          <w:tcPr>
            <w:tcW w:w="740" w:type="dxa"/>
            <w:vAlign w:val="center"/>
          </w:tcPr>
          <w:p w14:paraId="3181FA01">
            <w:pPr>
              <w:jc w:val="center"/>
            </w:pPr>
            <w:r>
              <w:rPr>
                <w:rFonts w:ascii="宋体" w:hAnsi="宋体" w:eastAsia="宋体" w:cs="宋体"/>
                <w:b w:val="0"/>
                <w:i w:val="0"/>
                <w:color w:val="000000"/>
                <w:sz w:val="17"/>
              </w:rPr>
              <w:t>5</w:t>
            </w:r>
          </w:p>
        </w:tc>
        <w:tc>
          <w:tcPr>
            <w:tcW w:w="1560" w:type="dxa"/>
            <w:vAlign w:val="center"/>
          </w:tcPr>
          <w:p w14:paraId="38B554AB">
            <w:pPr>
              <w:jc w:val="right"/>
            </w:pPr>
            <w:r>
              <w:rPr>
                <w:rFonts w:ascii="宋体" w:hAnsi="宋体" w:eastAsia="宋体" w:cs="宋体"/>
                <w:b w:val="0"/>
                <w:i w:val="0"/>
                <w:color w:val="000000"/>
                <w:sz w:val="17"/>
              </w:rPr>
              <w:t>12.20</w:t>
            </w:r>
          </w:p>
        </w:tc>
        <w:tc>
          <w:tcPr>
            <w:tcW w:w="1460" w:type="dxa"/>
            <w:vAlign w:val="center"/>
          </w:tcPr>
          <w:p w14:paraId="03CE4868">
            <w:pPr>
              <w:jc w:val="right"/>
            </w:pPr>
            <w:r>
              <w:rPr>
                <w:rFonts w:ascii="宋体" w:hAnsi="宋体" w:eastAsia="宋体" w:cs="宋体"/>
                <w:b w:val="0"/>
                <w:i w:val="0"/>
                <w:color w:val="000000"/>
                <w:sz w:val="16"/>
              </w:rPr>
              <w:t>5.77</w:t>
            </w:r>
          </w:p>
        </w:tc>
        <w:tc>
          <w:tcPr>
            <w:tcW w:w="1586" w:type="dxa"/>
            <w:vAlign w:val="center"/>
          </w:tcPr>
          <w:p w14:paraId="302800FE">
            <w:pPr>
              <w:jc w:val="right"/>
            </w:pPr>
            <w:r>
              <w:rPr>
                <w:rFonts w:ascii="宋体" w:hAnsi="宋体" w:eastAsia="宋体" w:cs="宋体"/>
                <w:b w:val="0"/>
                <w:i w:val="0"/>
                <w:color w:val="000000"/>
                <w:sz w:val="17"/>
              </w:rPr>
              <w:t>4.46</w:t>
            </w:r>
          </w:p>
        </w:tc>
      </w:tr>
      <w:tr w14:paraId="478EDF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7EBBD96">
            <w:pPr>
              <w:jc w:val="left"/>
            </w:pPr>
            <w:r>
              <w:rPr>
                <w:rFonts w:ascii="宋体" w:hAnsi="宋体" w:eastAsia="宋体" w:cs="宋体"/>
                <w:b w:val="0"/>
                <w:i w:val="0"/>
                <w:color w:val="000000"/>
                <w:sz w:val="17"/>
              </w:rPr>
              <w:t xml:space="preserve">  3.公务接待费</w:t>
            </w:r>
          </w:p>
        </w:tc>
        <w:tc>
          <w:tcPr>
            <w:tcW w:w="740" w:type="dxa"/>
            <w:vAlign w:val="center"/>
          </w:tcPr>
          <w:p w14:paraId="0A53AA88">
            <w:pPr>
              <w:jc w:val="center"/>
            </w:pPr>
            <w:r>
              <w:rPr>
                <w:rFonts w:ascii="宋体" w:hAnsi="宋体" w:eastAsia="宋体" w:cs="宋体"/>
                <w:b w:val="0"/>
                <w:i w:val="0"/>
                <w:color w:val="000000"/>
                <w:sz w:val="17"/>
              </w:rPr>
              <w:t>6</w:t>
            </w:r>
          </w:p>
        </w:tc>
        <w:tc>
          <w:tcPr>
            <w:tcW w:w="1560" w:type="dxa"/>
            <w:vAlign w:val="center"/>
          </w:tcPr>
          <w:p w14:paraId="0AAE5290">
            <w:pPr>
              <w:jc w:val="right"/>
            </w:pPr>
            <w:r>
              <w:rPr>
                <w:rFonts w:ascii="宋体" w:hAnsi="宋体" w:eastAsia="宋体" w:cs="宋体"/>
                <w:b w:val="0"/>
                <w:i w:val="0"/>
                <w:color w:val="000000"/>
                <w:sz w:val="17"/>
              </w:rPr>
              <w:t>1.19</w:t>
            </w:r>
          </w:p>
        </w:tc>
        <w:tc>
          <w:tcPr>
            <w:tcW w:w="1460" w:type="dxa"/>
            <w:vAlign w:val="center"/>
          </w:tcPr>
          <w:p w14:paraId="182359B6">
            <w:pPr>
              <w:jc w:val="right"/>
            </w:pPr>
            <w:r>
              <w:rPr>
                <w:rFonts w:ascii="宋体" w:hAnsi="宋体" w:eastAsia="宋体" w:cs="宋体"/>
                <w:b w:val="0"/>
                <w:i w:val="0"/>
                <w:color w:val="000000"/>
                <w:sz w:val="16"/>
              </w:rPr>
              <w:t>1.19</w:t>
            </w:r>
          </w:p>
        </w:tc>
        <w:tc>
          <w:tcPr>
            <w:tcW w:w="1586" w:type="dxa"/>
            <w:vAlign w:val="center"/>
          </w:tcPr>
          <w:p w14:paraId="21433909"/>
        </w:tc>
      </w:tr>
      <w:tr w14:paraId="41F8EB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73FAE5D">
            <w:pPr>
              <w:jc w:val="left"/>
            </w:pPr>
            <w:r>
              <w:rPr>
                <w:rFonts w:ascii="宋体" w:hAnsi="宋体" w:eastAsia="宋体" w:cs="宋体"/>
                <w:b w:val="0"/>
                <w:i w:val="0"/>
                <w:color w:val="000000"/>
                <w:sz w:val="17"/>
              </w:rPr>
              <w:t xml:space="preserve">    （1）国内接待费</w:t>
            </w:r>
          </w:p>
        </w:tc>
        <w:tc>
          <w:tcPr>
            <w:tcW w:w="740" w:type="dxa"/>
            <w:vAlign w:val="center"/>
          </w:tcPr>
          <w:p w14:paraId="3519C56B">
            <w:pPr>
              <w:jc w:val="center"/>
            </w:pPr>
            <w:r>
              <w:rPr>
                <w:rFonts w:ascii="宋体" w:hAnsi="宋体" w:eastAsia="宋体" w:cs="宋体"/>
                <w:b w:val="0"/>
                <w:i w:val="0"/>
                <w:color w:val="000000"/>
                <w:sz w:val="17"/>
              </w:rPr>
              <w:t>7</w:t>
            </w:r>
          </w:p>
        </w:tc>
        <w:tc>
          <w:tcPr>
            <w:tcW w:w="1560" w:type="dxa"/>
            <w:vAlign w:val="center"/>
          </w:tcPr>
          <w:p w14:paraId="65A44AD4">
            <w:pPr>
              <w:jc w:val="center"/>
            </w:pPr>
            <w:r>
              <w:rPr>
                <w:rFonts w:ascii="宋体" w:hAnsi="宋体" w:eastAsia="宋体" w:cs="宋体"/>
                <w:b w:val="0"/>
                <w:i w:val="0"/>
                <w:color w:val="000000"/>
                <w:sz w:val="17"/>
              </w:rPr>
              <w:t>——</w:t>
            </w:r>
          </w:p>
        </w:tc>
        <w:tc>
          <w:tcPr>
            <w:tcW w:w="1460" w:type="dxa"/>
            <w:vAlign w:val="center"/>
          </w:tcPr>
          <w:p w14:paraId="14842A37">
            <w:pPr>
              <w:jc w:val="center"/>
            </w:pPr>
            <w:r>
              <w:rPr>
                <w:rFonts w:ascii="宋体" w:hAnsi="宋体" w:eastAsia="宋体" w:cs="宋体"/>
                <w:b w:val="0"/>
                <w:i w:val="0"/>
                <w:color w:val="000000"/>
                <w:sz w:val="16"/>
              </w:rPr>
              <w:t>——</w:t>
            </w:r>
          </w:p>
        </w:tc>
        <w:tc>
          <w:tcPr>
            <w:tcW w:w="1586" w:type="dxa"/>
            <w:vAlign w:val="center"/>
          </w:tcPr>
          <w:p w14:paraId="5D5FE2B2"/>
        </w:tc>
      </w:tr>
      <w:tr w14:paraId="6007E0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AA88278">
            <w:pPr>
              <w:jc w:val="left"/>
            </w:pPr>
            <w:r>
              <w:rPr>
                <w:rFonts w:ascii="宋体" w:hAnsi="宋体" w:eastAsia="宋体" w:cs="宋体"/>
                <w:b w:val="0"/>
                <w:i w:val="0"/>
                <w:color w:val="000000"/>
                <w:sz w:val="17"/>
              </w:rPr>
              <w:t xml:space="preserve">         其中：外事接待费</w:t>
            </w:r>
          </w:p>
        </w:tc>
        <w:tc>
          <w:tcPr>
            <w:tcW w:w="740" w:type="dxa"/>
            <w:vAlign w:val="center"/>
          </w:tcPr>
          <w:p w14:paraId="49CEC8D9">
            <w:pPr>
              <w:jc w:val="center"/>
            </w:pPr>
            <w:r>
              <w:rPr>
                <w:rFonts w:ascii="宋体" w:hAnsi="宋体" w:eastAsia="宋体" w:cs="宋体"/>
                <w:b w:val="0"/>
                <w:i w:val="0"/>
                <w:color w:val="000000"/>
                <w:sz w:val="17"/>
              </w:rPr>
              <w:t>8</w:t>
            </w:r>
          </w:p>
        </w:tc>
        <w:tc>
          <w:tcPr>
            <w:tcW w:w="1560" w:type="dxa"/>
            <w:vAlign w:val="center"/>
          </w:tcPr>
          <w:p w14:paraId="4CC234F6">
            <w:pPr>
              <w:jc w:val="center"/>
            </w:pPr>
            <w:r>
              <w:rPr>
                <w:rFonts w:ascii="宋体" w:hAnsi="宋体" w:eastAsia="宋体" w:cs="宋体"/>
                <w:b w:val="0"/>
                <w:i w:val="0"/>
                <w:color w:val="000000"/>
                <w:sz w:val="17"/>
              </w:rPr>
              <w:t>——</w:t>
            </w:r>
          </w:p>
        </w:tc>
        <w:tc>
          <w:tcPr>
            <w:tcW w:w="1460" w:type="dxa"/>
            <w:vAlign w:val="center"/>
          </w:tcPr>
          <w:p w14:paraId="27251356">
            <w:pPr>
              <w:jc w:val="center"/>
            </w:pPr>
            <w:r>
              <w:rPr>
                <w:rFonts w:ascii="宋体" w:hAnsi="宋体" w:eastAsia="宋体" w:cs="宋体"/>
                <w:b w:val="0"/>
                <w:i w:val="0"/>
                <w:color w:val="000000"/>
                <w:sz w:val="16"/>
              </w:rPr>
              <w:t>——</w:t>
            </w:r>
          </w:p>
        </w:tc>
        <w:tc>
          <w:tcPr>
            <w:tcW w:w="1586" w:type="dxa"/>
            <w:vAlign w:val="center"/>
          </w:tcPr>
          <w:p w14:paraId="31DF8E68"/>
        </w:tc>
      </w:tr>
      <w:tr w14:paraId="5BF6DC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289AB02">
            <w:pPr>
              <w:jc w:val="left"/>
            </w:pPr>
            <w:r>
              <w:rPr>
                <w:rFonts w:ascii="宋体" w:hAnsi="宋体" w:eastAsia="宋体" w:cs="宋体"/>
                <w:b w:val="0"/>
                <w:i w:val="0"/>
                <w:color w:val="000000"/>
                <w:sz w:val="17"/>
              </w:rPr>
              <w:t xml:space="preserve">    （2）国（境）外接待费</w:t>
            </w:r>
          </w:p>
        </w:tc>
        <w:tc>
          <w:tcPr>
            <w:tcW w:w="740" w:type="dxa"/>
            <w:vAlign w:val="center"/>
          </w:tcPr>
          <w:p w14:paraId="769CCD7F">
            <w:pPr>
              <w:jc w:val="center"/>
            </w:pPr>
            <w:r>
              <w:rPr>
                <w:rFonts w:ascii="宋体" w:hAnsi="宋体" w:eastAsia="宋体" w:cs="宋体"/>
                <w:b w:val="0"/>
                <w:i w:val="0"/>
                <w:color w:val="000000"/>
                <w:sz w:val="17"/>
              </w:rPr>
              <w:t>9</w:t>
            </w:r>
          </w:p>
        </w:tc>
        <w:tc>
          <w:tcPr>
            <w:tcW w:w="1560" w:type="dxa"/>
            <w:vAlign w:val="center"/>
          </w:tcPr>
          <w:p w14:paraId="5EF1DB47">
            <w:pPr>
              <w:jc w:val="center"/>
            </w:pPr>
            <w:r>
              <w:rPr>
                <w:rFonts w:ascii="宋体" w:hAnsi="宋体" w:eastAsia="宋体" w:cs="宋体"/>
                <w:b w:val="0"/>
                <w:i w:val="0"/>
                <w:color w:val="000000"/>
                <w:sz w:val="17"/>
              </w:rPr>
              <w:t>——</w:t>
            </w:r>
          </w:p>
        </w:tc>
        <w:tc>
          <w:tcPr>
            <w:tcW w:w="1460" w:type="dxa"/>
            <w:vAlign w:val="center"/>
          </w:tcPr>
          <w:p w14:paraId="6DD8CED3">
            <w:pPr>
              <w:jc w:val="center"/>
            </w:pPr>
            <w:r>
              <w:rPr>
                <w:rFonts w:ascii="宋体" w:hAnsi="宋体" w:eastAsia="宋体" w:cs="宋体"/>
                <w:b w:val="0"/>
                <w:i w:val="0"/>
                <w:color w:val="000000"/>
                <w:sz w:val="16"/>
              </w:rPr>
              <w:t>——</w:t>
            </w:r>
          </w:p>
        </w:tc>
        <w:tc>
          <w:tcPr>
            <w:tcW w:w="1586" w:type="dxa"/>
            <w:vAlign w:val="center"/>
          </w:tcPr>
          <w:p w14:paraId="30B96F28"/>
        </w:tc>
      </w:tr>
      <w:tr w14:paraId="2B0511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C86FD8F">
            <w:pPr>
              <w:jc w:val="left"/>
            </w:pPr>
            <w:r>
              <w:rPr>
                <w:rFonts w:ascii="宋体" w:hAnsi="宋体" w:eastAsia="宋体" w:cs="宋体"/>
                <w:b w:val="0"/>
                <w:i w:val="0"/>
                <w:color w:val="000000"/>
                <w:sz w:val="17"/>
              </w:rPr>
              <w:t>二、相关统计数</w:t>
            </w:r>
          </w:p>
        </w:tc>
        <w:tc>
          <w:tcPr>
            <w:tcW w:w="740" w:type="dxa"/>
            <w:vAlign w:val="center"/>
          </w:tcPr>
          <w:p w14:paraId="5F0A8345">
            <w:pPr>
              <w:jc w:val="center"/>
            </w:pPr>
            <w:r>
              <w:rPr>
                <w:rFonts w:ascii="宋体" w:hAnsi="宋体" w:eastAsia="宋体" w:cs="宋体"/>
                <w:b w:val="0"/>
                <w:i w:val="0"/>
                <w:color w:val="000000"/>
                <w:sz w:val="17"/>
              </w:rPr>
              <w:t>10</w:t>
            </w:r>
          </w:p>
        </w:tc>
        <w:tc>
          <w:tcPr>
            <w:tcW w:w="1560" w:type="dxa"/>
            <w:vAlign w:val="center"/>
          </w:tcPr>
          <w:p w14:paraId="59D54B47">
            <w:pPr>
              <w:jc w:val="center"/>
            </w:pPr>
            <w:r>
              <w:rPr>
                <w:rFonts w:ascii="宋体" w:hAnsi="宋体" w:eastAsia="宋体" w:cs="宋体"/>
                <w:b w:val="0"/>
                <w:i w:val="0"/>
                <w:color w:val="000000"/>
                <w:sz w:val="17"/>
              </w:rPr>
              <w:t>——</w:t>
            </w:r>
          </w:p>
        </w:tc>
        <w:tc>
          <w:tcPr>
            <w:tcW w:w="1460" w:type="dxa"/>
            <w:vAlign w:val="center"/>
          </w:tcPr>
          <w:p w14:paraId="0862173A">
            <w:pPr>
              <w:jc w:val="center"/>
            </w:pPr>
            <w:r>
              <w:rPr>
                <w:rFonts w:ascii="宋体" w:hAnsi="宋体" w:eastAsia="宋体" w:cs="宋体"/>
                <w:b w:val="0"/>
                <w:i w:val="0"/>
                <w:color w:val="000000"/>
                <w:sz w:val="16"/>
              </w:rPr>
              <w:t>——</w:t>
            </w:r>
          </w:p>
        </w:tc>
        <w:tc>
          <w:tcPr>
            <w:tcW w:w="1586" w:type="dxa"/>
            <w:vAlign w:val="center"/>
          </w:tcPr>
          <w:p w14:paraId="2353F25A">
            <w:pPr>
              <w:jc w:val="center"/>
            </w:pPr>
            <w:r>
              <w:rPr>
                <w:rFonts w:ascii="宋体" w:hAnsi="宋体" w:eastAsia="宋体" w:cs="宋体"/>
                <w:b w:val="0"/>
                <w:i w:val="0"/>
                <w:color w:val="000000"/>
                <w:sz w:val="17"/>
              </w:rPr>
              <w:t>——</w:t>
            </w:r>
          </w:p>
        </w:tc>
      </w:tr>
      <w:tr w14:paraId="2C7BE4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7E87F6D">
            <w:pPr>
              <w:jc w:val="left"/>
            </w:pPr>
            <w:r>
              <w:rPr>
                <w:rFonts w:ascii="宋体" w:hAnsi="宋体" w:eastAsia="宋体" w:cs="宋体"/>
                <w:b w:val="0"/>
                <w:i w:val="0"/>
                <w:color w:val="000000"/>
                <w:sz w:val="17"/>
              </w:rPr>
              <w:t xml:space="preserve">  1.因公出国（境）团组数（个）</w:t>
            </w:r>
          </w:p>
        </w:tc>
        <w:tc>
          <w:tcPr>
            <w:tcW w:w="740" w:type="dxa"/>
            <w:vAlign w:val="center"/>
          </w:tcPr>
          <w:p w14:paraId="7D27FB66">
            <w:pPr>
              <w:jc w:val="center"/>
            </w:pPr>
            <w:r>
              <w:rPr>
                <w:rFonts w:ascii="宋体" w:hAnsi="宋体" w:eastAsia="宋体" w:cs="宋体"/>
                <w:b w:val="0"/>
                <w:i w:val="0"/>
                <w:color w:val="000000"/>
                <w:sz w:val="17"/>
              </w:rPr>
              <w:t>11</w:t>
            </w:r>
          </w:p>
        </w:tc>
        <w:tc>
          <w:tcPr>
            <w:tcW w:w="1560" w:type="dxa"/>
            <w:vAlign w:val="center"/>
          </w:tcPr>
          <w:p w14:paraId="125813A3">
            <w:pPr>
              <w:jc w:val="center"/>
            </w:pPr>
            <w:r>
              <w:rPr>
                <w:rFonts w:ascii="宋体" w:hAnsi="宋体" w:eastAsia="宋体" w:cs="宋体"/>
                <w:b w:val="0"/>
                <w:i w:val="0"/>
                <w:color w:val="000000"/>
                <w:sz w:val="17"/>
              </w:rPr>
              <w:t>——</w:t>
            </w:r>
          </w:p>
        </w:tc>
        <w:tc>
          <w:tcPr>
            <w:tcW w:w="1460" w:type="dxa"/>
            <w:vAlign w:val="center"/>
          </w:tcPr>
          <w:p w14:paraId="6B930244">
            <w:pPr>
              <w:jc w:val="center"/>
            </w:pPr>
            <w:r>
              <w:rPr>
                <w:rFonts w:ascii="宋体" w:hAnsi="宋体" w:eastAsia="宋体" w:cs="宋体"/>
                <w:b w:val="0"/>
                <w:i w:val="0"/>
                <w:color w:val="000000"/>
                <w:sz w:val="16"/>
              </w:rPr>
              <w:t>——</w:t>
            </w:r>
          </w:p>
        </w:tc>
        <w:tc>
          <w:tcPr>
            <w:tcW w:w="1586" w:type="dxa"/>
            <w:vAlign w:val="center"/>
          </w:tcPr>
          <w:p w14:paraId="50EE2983"/>
        </w:tc>
      </w:tr>
      <w:tr w14:paraId="1F3579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E05ECE3">
            <w:pPr>
              <w:jc w:val="left"/>
            </w:pPr>
            <w:r>
              <w:rPr>
                <w:rFonts w:ascii="宋体" w:hAnsi="宋体" w:eastAsia="宋体" w:cs="宋体"/>
                <w:b w:val="0"/>
                <w:i w:val="0"/>
                <w:color w:val="000000"/>
                <w:sz w:val="17"/>
              </w:rPr>
              <w:t xml:space="preserve">  2.因公出国（境）人次数（人）</w:t>
            </w:r>
          </w:p>
        </w:tc>
        <w:tc>
          <w:tcPr>
            <w:tcW w:w="740" w:type="dxa"/>
            <w:vAlign w:val="center"/>
          </w:tcPr>
          <w:p w14:paraId="130D770B">
            <w:pPr>
              <w:jc w:val="center"/>
            </w:pPr>
            <w:r>
              <w:rPr>
                <w:rFonts w:ascii="宋体" w:hAnsi="宋体" w:eastAsia="宋体" w:cs="宋体"/>
                <w:b w:val="0"/>
                <w:i w:val="0"/>
                <w:color w:val="000000"/>
                <w:sz w:val="17"/>
              </w:rPr>
              <w:t>12</w:t>
            </w:r>
          </w:p>
        </w:tc>
        <w:tc>
          <w:tcPr>
            <w:tcW w:w="1560" w:type="dxa"/>
            <w:vAlign w:val="center"/>
          </w:tcPr>
          <w:p w14:paraId="32B3B4F7">
            <w:pPr>
              <w:jc w:val="center"/>
            </w:pPr>
            <w:r>
              <w:rPr>
                <w:rFonts w:ascii="宋体" w:hAnsi="宋体" w:eastAsia="宋体" w:cs="宋体"/>
                <w:b w:val="0"/>
                <w:i w:val="0"/>
                <w:color w:val="000000"/>
                <w:sz w:val="17"/>
              </w:rPr>
              <w:t>——</w:t>
            </w:r>
          </w:p>
        </w:tc>
        <w:tc>
          <w:tcPr>
            <w:tcW w:w="1460" w:type="dxa"/>
            <w:vAlign w:val="center"/>
          </w:tcPr>
          <w:p w14:paraId="154F3A10">
            <w:pPr>
              <w:jc w:val="center"/>
            </w:pPr>
            <w:r>
              <w:rPr>
                <w:rFonts w:ascii="宋体" w:hAnsi="宋体" w:eastAsia="宋体" w:cs="宋体"/>
                <w:b w:val="0"/>
                <w:i w:val="0"/>
                <w:color w:val="000000"/>
                <w:sz w:val="16"/>
              </w:rPr>
              <w:t>——</w:t>
            </w:r>
          </w:p>
        </w:tc>
        <w:tc>
          <w:tcPr>
            <w:tcW w:w="1586" w:type="dxa"/>
            <w:vAlign w:val="center"/>
          </w:tcPr>
          <w:p w14:paraId="2ACE0C09"/>
        </w:tc>
      </w:tr>
      <w:tr w14:paraId="111EA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D48A3B5">
            <w:pPr>
              <w:jc w:val="left"/>
            </w:pPr>
            <w:r>
              <w:rPr>
                <w:rFonts w:ascii="宋体" w:hAnsi="宋体" w:eastAsia="宋体" w:cs="宋体"/>
                <w:b w:val="0"/>
                <w:i w:val="0"/>
                <w:color w:val="000000"/>
                <w:sz w:val="17"/>
              </w:rPr>
              <w:t xml:space="preserve">  3.公务用车购置数（辆）</w:t>
            </w:r>
          </w:p>
        </w:tc>
        <w:tc>
          <w:tcPr>
            <w:tcW w:w="740" w:type="dxa"/>
            <w:vAlign w:val="center"/>
          </w:tcPr>
          <w:p w14:paraId="00DFF97E">
            <w:pPr>
              <w:jc w:val="center"/>
            </w:pPr>
            <w:r>
              <w:rPr>
                <w:rFonts w:ascii="宋体" w:hAnsi="宋体" w:eastAsia="宋体" w:cs="宋体"/>
                <w:b w:val="0"/>
                <w:i w:val="0"/>
                <w:color w:val="000000"/>
                <w:sz w:val="17"/>
              </w:rPr>
              <w:t>13</w:t>
            </w:r>
          </w:p>
        </w:tc>
        <w:tc>
          <w:tcPr>
            <w:tcW w:w="1560" w:type="dxa"/>
            <w:vAlign w:val="center"/>
          </w:tcPr>
          <w:p w14:paraId="0DC2D44A">
            <w:pPr>
              <w:jc w:val="center"/>
            </w:pPr>
            <w:r>
              <w:rPr>
                <w:rFonts w:ascii="宋体" w:hAnsi="宋体" w:eastAsia="宋体" w:cs="宋体"/>
                <w:b w:val="0"/>
                <w:i w:val="0"/>
                <w:color w:val="000000"/>
                <w:sz w:val="17"/>
              </w:rPr>
              <w:t>——</w:t>
            </w:r>
          </w:p>
        </w:tc>
        <w:tc>
          <w:tcPr>
            <w:tcW w:w="1460" w:type="dxa"/>
            <w:vAlign w:val="center"/>
          </w:tcPr>
          <w:p w14:paraId="2837392B">
            <w:pPr>
              <w:jc w:val="center"/>
            </w:pPr>
            <w:r>
              <w:rPr>
                <w:rFonts w:ascii="宋体" w:hAnsi="宋体" w:eastAsia="宋体" w:cs="宋体"/>
                <w:b w:val="0"/>
                <w:i w:val="0"/>
                <w:color w:val="000000"/>
                <w:sz w:val="16"/>
              </w:rPr>
              <w:t>——</w:t>
            </w:r>
          </w:p>
        </w:tc>
        <w:tc>
          <w:tcPr>
            <w:tcW w:w="1586" w:type="dxa"/>
            <w:vAlign w:val="center"/>
          </w:tcPr>
          <w:p w14:paraId="4C3421E9"/>
        </w:tc>
      </w:tr>
      <w:tr w14:paraId="5DA3EE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E90C0C0">
            <w:pPr>
              <w:jc w:val="left"/>
            </w:pPr>
            <w:r>
              <w:rPr>
                <w:rFonts w:ascii="宋体" w:hAnsi="宋体" w:eastAsia="宋体" w:cs="宋体"/>
                <w:b w:val="0"/>
                <w:i w:val="0"/>
                <w:color w:val="000000"/>
                <w:sz w:val="17"/>
              </w:rPr>
              <w:t xml:space="preserve">  4.公务用车保有量（辆）</w:t>
            </w:r>
          </w:p>
        </w:tc>
        <w:tc>
          <w:tcPr>
            <w:tcW w:w="740" w:type="dxa"/>
            <w:vAlign w:val="center"/>
          </w:tcPr>
          <w:p w14:paraId="2EF2C054">
            <w:pPr>
              <w:jc w:val="center"/>
            </w:pPr>
            <w:r>
              <w:rPr>
                <w:rFonts w:ascii="宋体" w:hAnsi="宋体" w:eastAsia="宋体" w:cs="宋体"/>
                <w:b w:val="0"/>
                <w:i w:val="0"/>
                <w:color w:val="000000"/>
                <w:sz w:val="17"/>
              </w:rPr>
              <w:t>14</w:t>
            </w:r>
          </w:p>
        </w:tc>
        <w:tc>
          <w:tcPr>
            <w:tcW w:w="1560" w:type="dxa"/>
            <w:vAlign w:val="center"/>
          </w:tcPr>
          <w:p w14:paraId="3D853D32">
            <w:pPr>
              <w:jc w:val="center"/>
            </w:pPr>
            <w:r>
              <w:rPr>
                <w:rFonts w:ascii="宋体" w:hAnsi="宋体" w:eastAsia="宋体" w:cs="宋体"/>
                <w:b w:val="0"/>
                <w:i w:val="0"/>
                <w:color w:val="000000"/>
                <w:sz w:val="17"/>
              </w:rPr>
              <w:t>——</w:t>
            </w:r>
          </w:p>
        </w:tc>
        <w:tc>
          <w:tcPr>
            <w:tcW w:w="1460" w:type="dxa"/>
            <w:vAlign w:val="center"/>
          </w:tcPr>
          <w:p w14:paraId="4117A3F5">
            <w:pPr>
              <w:jc w:val="center"/>
            </w:pPr>
            <w:r>
              <w:rPr>
                <w:rFonts w:ascii="宋体" w:hAnsi="宋体" w:eastAsia="宋体" w:cs="宋体"/>
                <w:b w:val="0"/>
                <w:i w:val="0"/>
                <w:color w:val="000000"/>
                <w:sz w:val="16"/>
              </w:rPr>
              <w:t>——</w:t>
            </w:r>
          </w:p>
        </w:tc>
        <w:tc>
          <w:tcPr>
            <w:tcW w:w="1586" w:type="dxa"/>
            <w:vAlign w:val="center"/>
          </w:tcPr>
          <w:p w14:paraId="061887C7">
            <w:pPr>
              <w:jc w:val="right"/>
            </w:pPr>
            <w:r>
              <w:rPr>
                <w:rFonts w:ascii="宋体" w:hAnsi="宋体" w:eastAsia="宋体" w:cs="宋体"/>
                <w:b w:val="0"/>
                <w:i w:val="0"/>
                <w:color w:val="000000"/>
                <w:sz w:val="17"/>
              </w:rPr>
              <w:t>5</w:t>
            </w:r>
          </w:p>
        </w:tc>
      </w:tr>
      <w:tr w14:paraId="20EA57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872F841">
            <w:pPr>
              <w:jc w:val="left"/>
            </w:pPr>
            <w:r>
              <w:rPr>
                <w:rFonts w:ascii="宋体" w:hAnsi="宋体" w:eastAsia="宋体" w:cs="宋体"/>
                <w:b w:val="0"/>
                <w:i w:val="0"/>
                <w:color w:val="000000"/>
                <w:sz w:val="17"/>
              </w:rPr>
              <w:t xml:space="preserve">  5.国内公务接待批次（个）</w:t>
            </w:r>
          </w:p>
        </w:tc>
        <w:tc>
          <w:tcPr>
            <w:tcW w:w="740" w:type="dxa"/>
            <w:vAlign w:val="center"/>
          </w:tcPr>
          <w:p w14:paraId="1A8B4144">
            <w:pPr>
              <w:jc w:val="center"/>
            </w:pPr>
            <w:r>
              <w:rPr>
                <w:rFonts w:ascii="宋体" w:hAnsi="宋体" w:eastAsia="宋体" w:cs="宋体"/>
                <w:b w:val="0"/>
                <w:i w:val="0"/>
                <w:color w:val="000000"/>
                <w:sz w:val="17"/>
              </w:rPr>
              <w:t>15</w:t>
            </w:r>
          </w:p>
        </w:tc>
        <w:tc>
          <w:tcPr>
            <w:tcW w:w="1560" w:type="dxa"/>
            <w:vAlign w:val="center"/>
          </w:tcPr>
          <w:p w14:paraId="0BD7D27F">
            <w:pPr>
              <w:jc w:val="center"/>
            </w:pPr>
            <w:r>
              <w:rPr>
                <w:rFonts w:ascii="宋体" w:hAnsi="宋体" w:eastAsia="宋体" w:cs="宋体"/>
                <w:b w:val="0"/>
                <w:i w:val="0"/>
                <w:color w:val="000000"/>
                <w:sz w:val="17"/>
              </w:rPr>
              <w:t>——</w:t>
            </w:r>
          </w:p>
        </w:tc>
        <w:tc>
          <w:tcPr>
            <w:tcW w:w="1460" w:type="dxa"/>
            <w:vAlign w:val="center"/>
          </w:tcPr>
          <w:p w14:paraId="084ADA7E">
            <w:pPr>
              <w:jc w:val="center"/>
            </w:pPr>
            <w:r>
              <w:rPr>
                <w:rFonts w:ascii="宋体" w:hAnsi="宋体" w:eastAsia="宋体" w:cs="宋体"/>
                <w:b w:val="0"/>
                <w:i w:val="0"/>
                <w:color w:val="000000"/>
                <w:sz w:val="16"/>
              </w:rPr>
              <w:t>——</w:t>
            </w:r>
          </w:p>
        </w:tc>
        <w:tc>
          <w:tcPr>
            <w:tcW w:w="1586" w:type="dxa"/>
            <w:vAlign w:val="center"/>
          </w:tcPr>
          <w:p w14:paraId="6BD50F4F"/>
        </w:tc>
      </w:tr>
      <w:tr w14:paraId="3A9AA3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F7856A7">
            <w:pPr>
              <w:jc w:val="left"/>
            </w:pPr>
            <w:r>
              <w:rPr>
                <w:rFonts w:ascii="宋体" w:hAnsi="宋体" w:eastAsia="宋体" w:cs="宋体"/>
                <w:b w:val="0"/>
                <w:i w:val="0"/>
                <w:color w:val="000000"/>
                <w:sz w:val="17"/>
              </w:rPr>
              <w:t xml:space="preserve">    其中：外事接待批次（个）</w:t>
            </w:r>
          </w:p>
        </w:tc>
        <w:tc>
          <w:tcPr>
            <w:tcW w:w="740" w:type="dxa"/>
            <w:vAlign w:val="center"/>
          </w:tcPr>
          <w:p w14:paraId="3D10F451">
            <w:pPr>
              <w:jc w:val="center"/>
            </w:pPr>
            <w:r>
              <w:rPr>
                <w:rFonts w:ascii="宋体" w:hAnsi="宋体" w:eastAsia="宋体" w:cs="宋体"/>
                <w:b w:val="0"/>
                <w:i w:val="0"/>
                <w:color w:val="000000"/>
                <w:sz w:val="17"/>
              </w:rPr>
              <w:t>16</w:t>
            </w:r>
          </w:p>
        </w:tc>
        <w:tc>
          <w:tcPr>
            <w:tcW w:w="1560" w:type="dxa"/>
            <w:vAlign w:val="center"/>
          </w:tcPr>
          <w:p w14:paraId="6D4098F5">
            <w:pPr>
              <w:jc w:val="center"/>
            </w:pPr>
            <w:r>
              <w:rPr>
                <w:rFonts w:ascii="宋体" w:hAnsi="宋体" w:eastAsia="宋体" w:cs="宋体"/>
                <w:b w:val="0"/>
                <w:i w:val="0"/>
                <w:color w:val="000000"/>
                <w:sz w:val="17"/>
              </w:rPr>
              <w:t>——</w:t>
            </w:r>
          </w:p>
        </w:tc>
        <w:tc>
          <w:tcPr>
            <w:tcW w:w="1460" w:type="dxa"/>
            <w:vAlign w:val="center"/>
          </w:tcPr>
          <w:p w14:paraId="29D1FA76">
            <w:pPr>
              <w:jc w:val="center"/>
            </w:pPr>
            <w:r>
              <w:rPr>
                <w:rFonts w:ascii="宋体" w:hAnsi="宋体" w:eastAsia="宋体" w:cs="宋体"/>
                <w:b w:val="0"/>
                <w:i w:val="0"/>
                <w:color w:val="000000"/>
                <w:sz w:val="16"/>
              </w:rPr>
              <w:t>——</w:t>
            </w:r>
          </w:p>
        </w:tc>
        <w:tc>
          <w:tcPr>
            <w:tcW w:w="1586" w:type="dxa"/>
            <w:vAlign w:val="center"/>
          </w:tcPr>
          <w:p w14:paraId="2F5802C4"/>
        </w:tc>
      </w:tr>
      <w:tr w14:paraId="62BEB8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A326279">
            <w:pPr>
              <w:jc w:val="left"/>
            </w:pPr>
            <w:r>
              <w:rPr>
                <w:rFonts w:ascii="宋体" w:hAnsi="宋体" w:eastAsia="宋体" w:cs="宋体"/>
                <w:b w:val="0"/>
                <w:i w:val="0"/>
                <w:color w:val="000000"/>
                <w:sz w:val="17"/>
              </w:rPr>
              <w:t xml:space="preserve">  6.国内公务接待人次（人）</w:t>
            </w:r>
          </w:p>
        </w:tc>
        <w:tc>
          <w:tcPr>
            <w:tcW w:w="740" w:type="dxa"/>
            <w:vAlign w:val="center"/>
          </w:tcPr>
          <w:p w14:paraId="44E74F81">
            <w:pPr>
              <w:jc w:val="center"/>
            </w:pPr>
            <w:r>
              <w:rPr>
                <w:rFonts w:ascii="宋体" w:hAnsi="宋体" w:eastAsia="宋体" w:cs="宋体"/>
                <w:b w:val="0"/>
                <w:i w:val="0"/>
                <w:color w:val="000000"/>
                <w:sz w:val="17"/>
              </w:rPr>
              <w:t>17</w:t>
            </w:r>
          </w:p>
        </w:tc>
        <w:tc>
          <w:tcPr>
            <w:tcW w:w="1560" w:type="dxa"/>
            <w:vAlign w:val="center"/>
          </w:tcPr>
          <w:p w14:paraId="0C645632">
            <w:pPr>
              <w:jc w:val="center"/>
            </w:pPr>
            <w:r>
              <w:rPr>
                <w:rFonts w:ascii="宋体" w:hAnsi="宋体" w:eastAsia="宋体" w:cs="宋体"/>
                <w:b w:val="0"/>
                <w:i w:val="0"/>
                <w:color w:val="000000"/>
                <w:sz w:val="17"/>
              </w:rPr>
              <w:t>——</w:t>
            </w:r>
          </w:p>
        </w:tc>
        <w:tc>
          <w:tcPr>
            <w:tcW w:w="1460" w:type="dxa"/>
            <w:vAlign w:val="center"/>
          </w:tcPr>
          <w:p w14:paraId="528A8CBE">
            <w:pPr>
              <w:jc w:val="center"/>
            </w:pPr>
            <w:r>
              <w:rPr>
                <w:rFonts w:ascii="宋体" w:hAnsi="宋体" w:eastAsia="宋体" w:cs="宋体"/>
                <w:b w:val="0"/>
                <w:i w:val="0"/>
                <w:color w:val="000000"/>
                <w:sz w:val="16"/>
              </w:rPr>
              <w:t>——</w:t>
            </w:r>
          </w:p>
        </w:tc>
        <w:tc>
          <w:tcPr>
            <w:tcW w:w="1586" w:type="dxa"/>
            <w:vAlign w:val="center"/>
          </w:tcPr>
          <w:p w14:paraId="7366358B"/>
        </w:tc>
      </w:tr>
      <w:tr w14:paraId="19771D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358F816">
            <w:pPr>
              <w:jc w:val="left"/>
            </w:pPr>
            <w:r>
              <w:rPr>
                <w:rFonts w:ascii="宋体" w:hAnsi="宋体" w:eastAsia="宋体" w:cs="宋体"/>
                <w:b w:val="0"/>
                <w:i w:val="0"/>
                <w:color w:val="000000"/>
                <w:sz w:val="17"/>
              </w:rPr>
              <w:t xml:space="preserve">    其中：外事接待人次（人）</w:t>
            </w:r>
          </w:p>
        </w:tc>
        <w:tc>
          <w:tcPr>
            <w:tcW w:w="740" w:type="dxa"/>
            <w:vAlign w:val="center"/>
          </w:tcPr>
          <w:p w14:paraId="0D0F5628">
            <w:pPr>
              <w:jc w:val="center"/>
            </w:pPr>
            <w:r>
              <w:rPr>
                <w:rFonts w:ascii="宋体" w:hAnsi="宋体" w:eastAsia="宋体" w:cs="宋体"/>
                <w:b w:val="0"/>
                <w:i w:val="0"/>
                <w:color w:val="000000"/>
                <w:sz w:val="17"/>
              </w:rPr>
              <w:t>18</w:t>
            </w:r>
          </w:p>
        </w:tc>
        <w:tc>
          <w:tcPr>
            <w:tcW w:w="1560" w:type="dxa"/>
            <w:vAlign w:val="center"/>
          </w:tcPr>
          <w:p w14:paraId="79014A60">
            <w:pPr>
              <w:jc w:val="center"/>
            </w:pPr>
            <w:r>
              <w:rPr>
                <w:rFonts w:ascii="宋体" w:hAnsi="宋体" w:eastAsia="宋体" w:cs="宋体"/>
                <w:b w:val="0"/>
                <w:i w:val="0"/>
                <w:color w:val="000000"/>
                <w:sz w:val="17"/>
              </w:rPr>
              <w:t>——</w:t>
            </w:r>
          </w:p>
        </w:tc>
        <w:tc>
          <w:tcPr>
            <w:tcW w:w="1460" w:type="dxa"/>
            <w:vAlign w:val="center"/>
          </w:tcPr>
          <w:p w14:paraId="2F4B2B8C">
            <w:pPr>
              <w:jc w:val="center"/>
            </w:pPr>
            <w:r>
              <w:rPr>
                <w:rFonts w:ascii="宋体" w:hAnsi="宋体" w:eastAsia="宋体" w:cs="宋体"/>
                <w:b w:val="0"/>
                <w:i w:val="0"/>
                <w:color w:val="000000"/>
                <w:sz w:val="16"/>
              </w:rPr>
              <w:t>——</w:t>
            </w:r>
          </w:p>
        </w:tc>
        <w:tc>
          <w:tcPr>
            <w:tcW w:w="1586" w:type="dxa"/>
            <w:vAlign w:val="center"/>
          </w:tcPr>
          <w:p w14:paraId="7DF6D31C"/>
        </w:tc>
      </w:tr>
      <w:tr w14:paraId="3B97F9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FB73DAB">
            <w:pPr>
              <w:jc w:val="left"/>
            </w:pPr>
            <w:r>
              <w:rPr>
                <w:rFonts w:ascii="宋体" w:hAnsi="宋体" w:eastAsia="宋体" w:cs="宋体"/>
                <w:b w:val="0"/>
                <w:i w:val="0"/>
                <w:color w:val="000000"/>
                <w:sz w:val="17"/>
              </w:rPr>
              <w:t xml:space="preserve">  7.国（境）外公务接待批次（个）</w:t>
            </w:r>
          </w:p>
        </w:tc>
        <w:tc>
          <w:tcPr>
            <w:tcW w:w="740" w:type="dxa"/>
            <w:vAlign w:val="center"/>
          </w:tcPr>
          <w:p w14:paraId="790B2F4E">
            <w:pPr>
              <w:jc w:val="center"/>
            </w:pPr>
            <w:r>
              <w:rPr>
                <w:rFonts w:ascii="宋体" w:hAnsi="宋体" w:eastAsia="宋体" w:cs="宋体"/>
                <w:b w:val="0"/>
                <w:i w:val="0"/>
                <w:color w:val="000000"/>
                <w:sz w:val="17"/>
              </w:rPr>
              <w:t>19</w:t>
            </w:r>
          </w:p>
        </w:tc>
        <w:tc>
          <w:tcPr>
            <w:tcW w:w="1560" w:type="dxa"/>
            <w:vAlign w:val="center"/>
          </w:tcPr>
          <w:p w14:paraId="53AA32DE">
            <w:pPr>
              <w:jc w:val="center"/>
            </w:pPr>
            <w:r>
              <w:rPr>
                <w:rFonts w:ascii="宋体" w:hAnsi="宋体" w:eastAsia="宋体" w:cs="宋体"/>
                <w:b w:val="0"/>
                <w:i w:val="0"/>
                <w:color w:val="000000"/>
                <w:sz w:val="17"/>
              </w:rPr>
              <w:t>——</w:t>
            </w:r>
          </w:p>
        </w:tc>
        <w:tc>
          <w:tcPr>
            <w:tcW w:w="1460" w:type="dxa"/>
            <w:vAlign w:val="center"/>
          </w:tcPr>
          <w:p w14:paraId="06F12787">
            <w:pPr>
              <w:jc w:val="center"/>
            </w:pPr>
            <w:r>
              <w:rPr>
                <w:rFonts w:ascii="宋体" w:hAnsi="宋体" w:eastAsia="宋体" w:cs="宋体"/>
                <w:b w:val="0"/>
                <w:i w:val="0"/>
                <w:color w:val="000000"/>
                <w:sz w:val="16"/>
              </w:rPr>
              <w:t>——</w:t>
            </w:r>
          </w:p>
        </w:tc>
        <w:tc>
          <w:tcPr>
            <w:tcW w:w="1586" w:type="dxa"/>
            <w:vAlign w:val="center"/>
          </w:tcPr>
          <w:p w14:paraId="2EAB6D99"/>
        </w:tc>
      </w:tr>
      <w:tr w14:paraId="012858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D67A040">
            <w:pPr>
              <w:jc w:val="left"/>
            </w:pPr>
            <w:r>
              <w:rPr>
                <w:rFonts w:ascii="宋体" w:hAnsi="宋体" w:eastAsia="宋体" w:cs="宋体"/>
                <w:b w:val="0"/>
                <w:i w:val="0"/>
                <w:color w:val="000000"/>
                <w:sz w:val="17"/>
              </w:rPr>
              <w:t xml:space="preserve">  8.国（境）外公务接待人次（人）</w:t>
            </w:r>
          </w:p>
        </w:tc>
        <w:tc>
          <w:tcPr>
            <w:tcW w:w="740" w:type="dxa"/>
            <w:vAlign w:val="center"/>
          </w:tcPr>
          <w:p w14:paraId="2A885A12">
            <w:pPr>
              <w:jc w:val="center"/>
            </w:pPr>
            <w:r>
              <w:rPr>
                <w:rFonts w:ascii="宋体" w:hAnsi="宋体" w:eastAsia="宋体" w:cs="宋体"/>
                <w:b w:val="0"/>
                <w:i w:val="0"/>
                <w:color w:val="000000"/>
                <w:sz w:val="17"/>
              </w:rPr>
              <w:t>20</w:t>
            </w:r>
          </w:p>
        </w:tc>
        <w:tc>
          <w:tcPr>
            <w:tcW w:w="1560" w:type="dxa"/>
            <w:vAlign w:val="center"/>
          </w:tcPr>
          <w:p w14:paraId="1AB0A058">
            <w:pPr>
              <w:jc w:val="center"/>
            </w:pPr>
            <w:r>
              <w:rPr>
                <w:rFonts w:ascii="宋体" w:hAnsi="宋体" w:eastAsia="宋体" w:cs="宋体"/>
                <w:b w:val="0"/>
                <w:i w:val="0"/>
                <w:color w:val="000000"/>
                <w:sz w:val="17"/>
              </w:rPr>
              <w:t>——</w:t>
            </w:r>
          </w:p>
        </w:tc>
        <w:tc>
          <w:tcPr>
            <w:tcW w:w="1460" w:type="dxa"/>
            <w:vAlign w:val="center"/>
          </w:tcPr>
          <w:p w14:paraId="4C29E0D5">
            <w:pPr>
              <w:jc w:val="center"/>
            </w:pPr>
            <w:r>
              <w:rPr>
                <w:rFonts w:ascii="宋体" w:hAnsi="宋体" w:eastAsia="宋体" w:cs="宋体"/>
                <w:b w:val="0"/>
                <w:i w:val="0"/>
                <w:color w:val="000000"/>
                <w:sz w:val="16"/>
              </w:rPr>
              <w:t>——</w:t>
            </w:r>
          </w:p>
        </w:tc>
        <w:tc>
          <w:tcPr>
            <w:tcW w:w="1586" w:type="dxa"/>
            <w:vAlign w:val="center"/>
          </w:tcPr>
          <w:p w14:paraId="7DEE39F7"/>
        </w:tc>
      </w:tr>
      <w:tr w14:paraId="2D192E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346" w:hRule="exact"/>
          <w:jc w:val="center"/>
        </w:trPr>
        <w:tc>
          <w:tcPr>
            <w:tcW w:w="2960" w:type="dxa"/>
            <w:gridSpan w:val="5"/>
            <w:tcBorders>
              <w:left w:val="single" w:color="FFFFFF" w:sz="4" w:space="0"/>
              <w:bottom w:val="single" w:color="FFFFFF" w:sz="4" w:space="0"/>
              <w:right w:val="single" w:color="FFFFFF" w:sz="4" w:space="0"/>
              <w:insideH w:val="single" w:sz="4" w:space="0"/>
              <w:insideV w:val="single" w:sz="4" w:space="0"/>
            </w:tcBorders>
            <w:vAlign w:val="center"/>
          </w:tcPr>
          <w:p w14:paraId="1CD3C8C5">
            <w:pPr>
              <w:jc w:val="left"/>
            </w:pPr>
            <w:r>
              <w:rPr>
                <w:rFonts w:ascii="宋体" w:hAnsi="宋体" w:eastAsia="宋体" w:cs="宋体"/>
                <w:b w:val="0"/>
                <w:i w:val="0"/>
                <w:color w:val="000000"/>
                <w:sz w:val="17"/>
              </w:rPr>
              <w:t>注：1.本表反映部门本年度财政拨款“三公”经费支出预决算情况。财政拨款包括一般公共预算财政拨款和政府性基金预算财政拨款。年初预算数指年初“三公”经费部门预算数（省级单位含上年结转数）；全年预算数指按规定程序调整调剂后的全年“三公”经费部门预算数；决算数反映当年预算安排的实际支出数（省级单位含上年结转资金安排的支出数）。</w:t>
            </w:r>
          </w:p>
        </w:tc>
      </w:tr>
      <w:tr w14:paraId="323732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2960" w:type="dxa"/>
            <w:gridSpan w:val="5"/>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135E3D05">
            <w:pPr>
              <w:jc w:val="left"/>
            </w:pPr>
            <w:r>
              <w:rPr>
                <w:rFonts w:ascii="宋体" w:hAnsi="宋体" w:eastAsia="宋体" w:cs="宋体"/>
                <w:b w:val="0"/>
                <w:i w:val="0"/>
                <w:color w:val="000000"/>
                <w:sz w:val="17"/>
              </w:rPr>
              <w:t xml:space="preserve">   2.当此表数据为空，即本部门（单位）无财政拨款“三公”经费支出</w:t>
            </w:r>
          </w:p>
        </w:tc>
      </w:tr>
    </w:tbl>
    <w:p w14:paraId="48625260">
      <w:pPr>
        <w:snapToGrid w:val="0"/>
        <w:spacing w:before="200" w:after="200" w:line="200" w:lineRule="auto"/>
      </w:pPr>
      <w:r>
        <w:rPr>
          <w:sz w:val="8"/>
        </w:rPr>
        <w:t xml:space="preserve"> </w:t>
      </w:r>
    </w:p>
    <w:p w14:paraId="34B5C3E0">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国有资产占用情况表</w:t>
      </w:r>
    </w:p>
    <w:tbl>
      <w:tblPr>
        <w:tblStyle w:val="17"/>
        <w:tblW w:w="8925"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Layout w:type="fixed"/>
        <w:tblCellMar>
          <w:top w:w="0" w:type="dxa"/>
          <w:left w:w="80" w:type="dxa"/>
          <w:bottom w:w="0" w:type="dxa"/>
          <w:right w:w="80" w:type="dxa"/>
        </w:tblCellMar>
      </w:tblPr>
      <w:tblGrid>
        <w:gridCol w:w="3153"/>
        <w:gridCol w:w="2000"/>
        <w:gridCol w:w="627"/>
        <w:gridCol w:w="880"/>
        <w:gridCol w:w="2265"/>
      </w:tblGrid>
      <w:tr w14:paraId="2700034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CellMar>
            <w:top w:w="0" w:type="dxa"/>
            <w:left w:w="80" w:type="dxa"/>
            <w:bottom w:w="0" w:type="dxa"/>
            <w:right w:w="80" w:type="dxa"/>
          </w:tblCellMar>
        </w:tblPrEx>
        <w:trPr>
          <w:trHeight w:val="0" w:hRule="atLeast"/>
          <w:jc w:val="center"/>
        </w:trPr>
        <w:tc>
          <w:tcPr>
            <w:tcW w:w="8925" w:type="dxa"/>
            <w:gridSpan w:val="5"/>
            <w:shd w:val="clear" w:color="auto" w:fill="auto"/>
            <w:noWrap w:val="0"/>
            <w:vAlign w:val="top"/>
          </w:tcPr>
          <w:p w14:paraId="6F6BE2F0">
            <w:pPr>
              <w:jc w:val="right"/>
            </w:pPr>
            <w:r>
              <w:rPr>
                <w:rFonts w:hint="eastAsia" w:ascii="宋体" w:hAnsi="宋体" w:eastAsia="宋体" w:cs="宋体"/>
                <w:sz w:val="20"/>
                <w:lang w:eastAsia="zh-CN"/>
              </w:rPr>
              <w:t>公开</w:t>
            </w:r>
            <w:r>
              <w:rPr>
                <w:rFonts w:ascii="宋体" w:hAnsi="宋体" w:eastAsia="宋体" w:cs="宋体"/>
                <w:sz w:val="20"/>
              </w:rPr>
              <w:t>10表</w:t>
            </w:r>
          </w:p>
        </w:tc>
      </w:tr>
      <w:tr w14:paraId="61EB9D2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shd w:val="clear" w:color="auto" w:fill="auto"/>
            <w:noWrap w:val="0"/>
            <w:vAlign w:val="top"/>
          </w:tcPr>
          <w:p w14:paraId="3F5C3E49">
            <w:pPr>
              <w:jc w:val="left"/>
            </w:pPr>
            <w:r>
              <w:rPr>
                <w:rFonts w:ascii="宋体" w:hAnsi="宋体" w:eastAsia="宋体" w:cs="宋体"/>
                <w:sz w:val="20"/>
              </w:rPr>
              <w:t>部门：</w:t>
            </w:r>
            <w:r>
              <w:rPr>
                <w:rFonts w:hint="eastAsia" w:ascii="宋体" w:hAnsi="宋体" w:eastAsia="宋体" w:cs="宋体"/>
                <w:b w:val="0"/>
                <w:i w:val="0"/>
                <w:color w:val="000000"/>
                <w:sz w:val="20"/>
              </w:rPr>
              <w:t>南昌市青云谱区住房和城乡建设局</w:t>
            </w:r>
          </w:p>
        </w:tc>
        <w:tc>
          <w:tcPr>
            <w:tcW w:w="2000" w:type="dxa"/>
            <w:shd w:val="clear" w:color="auto" w:fill="auto"/>
            <w:noWrap w:val="0"/>
            <w:vAlign w:val="top"/>
          </w:tcPr>
          <w:p w14:paraId="49CED4D6">
            <w:pPr>
              <w:jc w:val="center"/>
            </w:pPr>
            <w:r>
              <w:rPr>
                <w:rFonts w:ascii="宋体" w:hAnsi="宋体" w:eastAsia="宋体" w:cs="宋体"/>
                <w:sz w:val="20"/>
              </w:rPr>
              <w:t>2023年度</w:t>
            </w:r>
          </w:p>
        </w:tc>
        <w:tc>
          <w:tcPr>
            <w:tcW w:w="3772" w:type="dxa"/>
            <w:gridSpan w:val="3"/>
            <w:shd w:val="clear" w:color="auto" w:fill="auto"/>
            <w:noWrap w:val="0"/>
            <w:vAlign w:val="top"/>
          </w:tcPr>
          <w:p w14:paraId="2780E884">
            <w:pPr>
              <w:jc w:val="right"/>
              <w:rPr>
                <w:rFonts w:hint="default" w:eastAsia="宋体"/>
                <w:lang w:val="en-US" w:eastAsia="zh-CN"/>
              </w:rPr>
            </w:pPr>
            <w:r>
              <w:rPr>
                <w:rFonts w:ascii="宋体" w:hAnsi="宋体" w:eastAsia="宋体" w:cs="宋体"/>
                <w:sz w:val="20"/>
              </w:rPr>
              <w:t>单位：</w:t>
            </w:r>
            <w:r>
              <w:rPr>
                <w:rFonts w:hint="eastAsia" w:ascii="宋体" w:hAnsi="宋体" w:eastAsia="宋体" w:cs="宋体"/>
                <w:sz w:val="20"/>
                <w:lang w:val="en-US" w:eastAsia="zh-CN"/>
              </w:rPr>
              <w:t>台、辆、套</w:t>
            </w:r>
          </w:p>
        </w:tc>
      </w:tr>
      <w:tr w14:paraId="2CA979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5780" w:type="dxa"/>
            <w:gridSpan w:val="3"/>
            <w:shd w:val="clear" w:color="auto" w:fill="auto"/>
            <w:noWrap w:val="0"/>
            <w:vAlign w:val="center"/>
          </w:tcPr>
          <w:p w14:paraId="49D8E941">
            <w:pPr>
              <w:jc w:val="center"/>
            </w:pPr>
            <w:r>
              <w:rPr>
                <w:rFonts w:ascii="宋体" w:hAnsi="宋体" w:eastAsia="宋体" w:cs="宋体"/>
                <w:b w:val="0"/>
                <w:i w:val="0"/>
                <w:color w:val="000000"/>
                <w:sz w:val="20"/>
              </w:rPr>
              <w:t>项  目</w:t>
            </w:r>
          </w:p>
        </w:tc>
        <w:tc>
          <w:tcPr>
            <w:tcW w:w="880" w:type="dxa"/>
            <w:shd w:val="clear" w:color="auto" w:fill="auto"/>
            <w:noWrap w:val="0"/>
            <w:vAlign w:val="center"/>
          </w:tcPr>
          <w:p w14:paraId="55B26F19">
            <w:pPr>
              <w:jc w:val="center"/>
            </w:pPr>
            <w:r>
              <w:rPr>
                <w:rFonts w:ascii="宋体" w:hAnsi="宋体" w:eastAsia="宋体" w:cs="宋体"/>
                <w:b w:val="0"/>
                <w:i w:val="0"/>
                <w:color w:val="000000"/>
                <w:sz w:val="20"/>
              </w:rPr>
              <w:t>栏次</w:t>
            </w:r>
          </w:p>
        </w:tc>
        <w:tc>
          <w:tcPr>
            <w:tcW w:w="2265" w:type="dxa"/>
            <w:shd w:val="clear" w:color="auto" w:fill="auto"/>
            <w:noWrap w:val="0"/>
            <w:vAlign w:val="center"/>
          </w:tcPr>
          <w:p w14:paraId="2933A7F7">
            <w:pPr>
              <w:jc w:val="center"/>
            </w:pPr>
            <w:r>
              <w:rPr>
                <w:rFonts w:ascii="宋体" w:hAnsi="宋体" w:eastAsia="宋体" w:cs="宋体"/>
                <w:b w:val="0"/>
                <w:i w:val="0"/>
                <w:color w:val="000000"/>
                <w:sz w:val="20"/>
              </w:rPr>
              <w:t>决算数</w:t>
            </w:r>
          </w:p>
        </w:tc>
      </w:tr>
      <w:tr w14:paraId="26D5F6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27E19D4F">
            <w:pPr>
              <w:jc w:val="left"/>
            </w:pPr>
            <w:r>
              <w:rPr>
                <w:rFonts w:ascii="宋体" w:hAnsi="宋体" w:eastAsia="宋体" w:cs="宋体"/>
                <w:b w:val="0"/>
                <w:i w:val="0"/>
                <w:color w:val="000000"/>
                <w:sz w:val="20"/>
              </w:rPr>
              <w:t>一、车辆数合计(台、辆)</w:t>
            </w:r>
          </w:p>
        </w:tc>
        <w:tc>
          <w:tcPr>
            <w:tcW w:w="880" w:type="dxa"/>
            <w:shd w:val="clear" w:color="auto" w:fill="auto"/>
            <w:noWrap w:val="0"/>
            <w:vAlign w:val="center"/>
          </w:tcPr>
          <w:p w14:paraId="3B258458">
            <w:pPr>
              <w:jc w:val="center"/>
            </w:pPr>
            <w:r>
              <w:rPr>
                <w:rFonts w:ascii="宋体" w:hAnsi="宋体" w:eastAsia="宋体" w:cs="宋体"/>
                <w:b w:val="0"/>
                <w:i w:val="0"/>
                <w:color w:val="000000"/>
                <w:sz w:val="20"/>
              </w:rPr>
              <w:t>1</w:t>
            </w:r>
          </w:p>
        </w:tc>
        <w:tc>
          <w:tcPr>
            <w:tcW w:w="2265" w:type="dxa"/>
            <w:shd w:val="clear" w:color="auto" w:fill="auto"/>
            <w:noWrap w:val="0"/>
            <w:vAlign w:val="center"/>
          </w:tcPr>
          <w:p w14:paraId="26019969">
            <w:pPr>
              <w:jc w:val="right"/>
              <w:rPr>
                <w:rFonts w:hint="eastAsia" w:ascii="宋体" w:hAnsi="宋体" w:eastAsia="宋体" w:cs="宋体"/>
                <w:b w:val="0"/>
                <w:i w:val="0"/>
                <w:color w:val="000000"/>
                <w:sz w:val="20"/>
              </w:rPr>
            </w:pPr>
            <w:r>
              <w:rPr>
                <w:rFonts w:hint="eastAsia" w:ascii="宋体" w:hAnsi="宋体" w:eastAsia="宋体" w:cs="宋体"/>
                <w:b w:val="0"/>
                <w:i w:val="0"/>
                <w:color w:val="000000"/>
                <w:sz w:val="20"/>
              </w:rPr>
              <w:t>39</w:t>
            </w:r>
          </w:p>
        </w:tc>
      </w:tr>
      <w:tr w14:paraId="4DC76C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4FCE3A4C">
            <w:pPr>
              <w:jc w:val="left"/>
            </w:pPr>
            <w:r>
              <w:rPr>
                <w:rFonts w:ascii="宋体" w:hAnsi="宋体" w:eastAsia="宋体" w:cs="宋体"/>
                <w:b w:val="0"/>
                <w:i w:val="0"/>
                <w:color w:val="000000"/>
                <w:sz w:val="20"/>
              </w:rPr>
              <w:t xml:space="preserve">  1.副部（省）级及以上领导用车</w:t>
            </w:r>
          </w:p>
        </w:tc>
        <w:tc>
          <w:tcPr>
            <w:tcW w:w="880" w:type="dxa"/>
            <w:shd w:val="clear" w:color="auto" w:fill="auto"/>
            <w:noWrap w:val="0"/>
            <w:vAlign w:val="center"/>
          </w:tcPr>
          <w:p w14:paraId="0C5B0F1D">
            <w:pPr>
              <w:jc w:val="center"/>
            </w:pPr>
            <w:r>
              <w:rPr>
                <w:rFonts w:ascii="宋体" w:hAnsi="宋体" w:eastAsia="宋体" w:cs="宋体"/>
                <w:b w:val="0"/>
                <w:i w:val="0"/>
                <w:color w:val="000000"/>
                <w:sz w:val="20"/>
              </w:rPr>
              <w:t>2</w:t>
            </w:r>
          </w:p>
        </w:tc>
        <w:tc>
          <w:tcPr>
            <w:tcW w:w="2265" w:type="dxa"/>
            <w:shd w:val="clear" w:color="auto" w:fill="auto"/>
            <w:noWrap w:val="0"/>
            <w:vAlign w:val="center"/>
          </w:tcPr>
          <w:p w14:paraId="6B7D4779">
            <w:pPr>
              <w:jc w:val="right"/>
            </w:pPr>
            <w:r>
              <w:rPr>
                <w:rFonts w:hint="eastAsia" w:ascii="宋体" w:hAnsi="宋体" w:eastAsia="宋体" w:cs="宋体"/>
                <w:b w:val="0"/>
                <w:i w:val="0"/>
                <w:color w:val="000000"/>
                <w:sz w:val="20"/>
              </w:rPr>
              <w:t>0</w:t>
            </w:r>
          </w:p>
        </w:tc>
      </w:tr>
      <w:tr w14:paraId="680956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00873C24">
            <w:pPr>
              <w:jc w:val="left"/>
            </w:pPr>
            <w:r>
              <w:rPr>
                <w:rFonts w:ascii="宋体" w:hAnsi="宋体" w:eastAsia="宋体" w:cs="宋体"/>
                <w:b w:val="0"/>
                <w:i w:val="0"/>
                <w:color w:val="000000"/>
                <w:sz w:val="20"/>
              </w:rPr>
              <w:t xml:space="preserve">  2.主要负责人用车</w:t>
            </w:r>
          </w:p>
        </w:tc>
        <w:tc>
          <w:tcPr>
            <w:tcW w:w="880" w:type="dxa"/>
            <w:shd w:val="clear" w:color="auto" w:fill="auto"/>
            <w:noWrap w:val="0"/>
            <w:vAlign w:val="center"/>
          </w:tcPr>
          <w:p w14:paraId="11076840">
            <w:pPr>
              <w:jc w:val="center"/>
            </w:pPr>
            <w:r>
              <w:rPr>
                <w:rFonts w:ascii="宋体" w:hAnsi="宋体" w:eastAsia="宋体" w:cs="宋体"/>
                <w:b w:val="0"/>
                <w:i w:val="0"/>
                <w:color w:val="000000"/>
                <w:sz w:val="20"/>
              </w:rPr>
              <w:t>3</w:t>
            </w:r>
          </w:p>
        </w:tc>
        <w:tc>
          <w:tcPr>
            <w:tcW w:w="2265" w:type="dxa"/>
            <w:shd w:val="clear" w:color="auto" w:fill="auto"/>
            <w:noWrap w:val="0"/>
            <w:vAlign w:val="center"/>
          </w:tcPr>
          <w:p w14:paraId="0D188633">
            <w:pPr>
              <w:jc w:val="right"/>
            </w:pPr>
            <w:r>
              <w:rPr>
                <w:rFonts w:hint="eastAsia" w:ascii="宋体" w:hAnsi="宋体" w:eastAsia="宋体" w:cs="宋体"/>
                <w:b w:val="0"/>
                <w:i w:val="0"/>
                <w:color w:val="000000"/>
                <w:sz w:val="20"/>
              </w:rPr>
              <w:t>0</w:t>
            </w:r>
          </w:p>
        </w:tc>
      </w:tr>
      <w:tr w14:paraId="200CB6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3F3ABDF4">
            <w:pPr>
              <w:jc w:val="left"/>
            </w:pPr>
            <w:r>
              <w:rPr>
                <w:rFonts w:ascii="宋体" w:hAnsi="宋体" w:eastAsia="宋体" w:cs="宋体"/>
                <w:b w:val="0"/>
                <w:i w:val="0"/>
                <w:color w:val="000000"/>
                <w:sz w:val="20"/>
              </w:rPr>
              <w:t xml:space="preserve">  3.机要通信用车</w:t>
            </w:r>
          </w:p>
        </w:tc>
        <w:tc>
          <w:tcPr>
            <w:tcW w:w="880" w:type="dxa"/>
            <w:shd w:val="clear" w:color="auto" w:fill="auto"/>
            <w:noWrap w:val="0"/>
            <w:vAlign w:val="center"/>
          </w:tcPr>
          <w:p w14:paraId="17BAF435">
            <w:pPr>
              <w:jc w:val="center"/>
            </w:pPr>
            <w:r>
              <w:rPr>
                <w:rFonts w:ascii="宋体" w:hAnsi="宋体" w:eastAsia="宋体" w:cs="宋体"/>
                <w:b w:val="0"/>
                <w:i w:val="0"/>
                <w:color w:val="000000"/>
                <w:sz w:val="20"/>
              </w:rPr>
              <w:t>4</w:t>
            </w:r>
          </w:p>
        </w:tc>
        <w:tc>
          <w:tcPr>
            <w:tcW w:w="2265" w:type="dxa"/>
            <w:shd w:val="clear" w:color="auto" w:fill="auto"/>
            <w:noWrap w:val="0"/>
            <w:vAlign w:val="center"/>
          </w:tcPr>
          <w:p w14:paraId="413630BB">
            <w:pPr>
              <w:jc w:val="right"/>
            </w:pPr>
            <w:r>
              <w:rPr>
                <w:rFonts w:hint="eastAsia" w:ascii="宋体" w:hAnsi="宋体" w:eastAsia="宋体" w:cs="宋体"/>
                <w:b w:val="0"/>
                <w:i w:val="0"/>
                <w:color w:val="000000"/>
                <w:sz w:val="20"/>
              </w:rPr>
              <w:t>0</w:t>
            </w:r>
          </w:p>
        </w:tc>
      </w:tr>
      <w:tr w14:paraId="3D3FA0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004121E9">
            <w:pPr>
              <w:jc w:val="left"/>
            </w:pPr>
            <w:r>
              <w:rPr>
                <w:rFonts w:ascii="宋体" w:hAnsi="宋体" w:eastAsia="宋体" w:cs="宋体"/>
                <w:b w:val="0"/>
                <w:i w:val="0"/>
                <w:color w:val="000000"/>
                <w:sz w:val="20"/>
              </w:rPr>
              <w:t xml:space="preserve">  4.应急保障用车</w:t>
            </w:r>
          </w:p>
        </w:tc>
        <w:tc>
          <w:tcPr>
            <w:tcW w:w="880" w:type="dxa"/>
            <w:shd w:val="clear" w:color="auto" w:fill="auto"/>
            <w:noWrap w:val="0"/>
            <w:vAlign w:val="center"/>
          </w:tcPr>
          <w:p w14:paraId="4C0B9204">
            <w:pPr>
              <w:jc w:val="center"/>
            </w:pPr>
            <w:r>
              <w:rPr>
                <w:rFonts w:ascii="宋体" w:hAnsi="宋体" w:eastAsia="宋体" w:cs="宋体"/>
                <w:b w:val="0"/>
                <w:i w:val="0"/>
                <w:color w:val="000000"/>
                <w:sz w:val="20"/>
              </w:rPr>
              <w:t>5</w:t>
            </w:r>
          </w:p>
        </w:tc>
        <w:tc>
          <w:tcPr>
            <w:tcW w:w="2265" w:type="dxa"/>
            <w:shd w:val="clear" w:color="auto" w:fill="auto"/>
            <w:noWrap w:val="0"/>
            <w:vAlign w:val="center"/>
          </w:tcPr>
          <w:p w14:paraId="2BF69712">
            <w:pPr>
              <w:jc w:val="right"/>
            </w:pPr>
            <w:r>
              <w:rPr>
                <w:rFonts w:hint="eastAsia" w:ascii="宋体" w:hAnsi="宋体" w:eastAsia="宋体" w:cs="宋体"/>
                <w:b w:val="0"/>
                <w:i w:val="0"/>
                <w:color w:val="000000"/>
                <w:sz w:val="20"/>
              </w:rPr>
              <w:t>0</w:t>
            </w:r>
          </w:p>
        </w:tc>
      </w:tr>
      <w:tr w14:paraId="4C51F3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396CE8F9">
            <w:pPr>
              <w:jc w:val="left"/>
            </w:pPr>
            <w:r>
              <w:rPr>
                <w:rFonts w:ascii="宋体" w:hAnsi="宋体" w:eastAsia="宋体" w:cs="宋体"/>
                <w:b w:val="0"/>
                <w:i w:val="0"/>
                <w:color w:val="000000"/>
                <w:sz w:val="20"/>
              </w:rPr>
              <w:t xml:space="preserve">  5.执法执勤用车</w:t>
            </w:r>
          </w:p>
        </w:tc>
        <w:tc>
          <w:tcPr>
            <w:tcW w:w="880" w:type="dxa"/>
            <w:shd w:val="clear" w:color="auto" w:fill="auto"/>
            <w:noWrap w:val="0"/>
            <w:vAlign w:val="center"/>
          </w:tcPr>
          <w:p w14:paraId="48FF2AA4">
            <w:pPr>
              <w:jc w:val="center"/>
            </w:pPr>
            <w:r>
              <w:rPr>
                <w:rFonts w:ascii="宋体" w:hAnsi="宋体" w:eastAsia="宋体" w:cs="宋体"/>
                <w:b w:val="0"/>
                <w:i w:val="0"/>
                <w:color w:val="000000"/>
                <w:sz w:val="20"/>
              </w:rPr>
              <w:t>6</w:t>
            </w:r>
          </w:p>
        </w:tc>
        <w:tc>
          <w:tcPr>
            <w:tcW w:w="2265" w:type="dxa"/>
            <w:shd w:val="clear" w:color="auto" w:fill="auto"/>
            <w:noWrap w:val="0"/>
            <w:vAlign w:val="center"/>
          </w:tcPr>
          <w:p w14:paraId="2709686D">
            <w:pPr>
              <w:jc w:val="right"/>
            </w:pPr>
            <w:r>
              <w:rPr>
                <w:rFonts w:hint="eastAsia" w:ascii="宋体" w:hAnsi="宋体" w:eastAsia="宋体" w:cs="宋体"/>
                <w:b w:val="0"/>
                <w:i w:val="0"/>
                <w:color w:val="000000"/>
                <w:sz w:val="20"/>
              </w:rPr>
              <w:t>0</w:t>
            </w:r>
          </w:p>
        </w:tc>
      </w:tr>
      <w:tr w14:paraId="4A901E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2BF45F24">
            <w:pPr>
              <w:jc w:val="left"/>
            </w:pPr>
            <w:r>
              <w:rPr>
                <w:rFonts w:ascii="宋体" w:hAnsi="宋体" w:eastAsia="宋体" w:cs="宋体"/>
                <w:b w:val="0"/>
                <w:i w:val="0"/>
                <w:color w:val="000000"/>
                <w:sz w:val="20"/>
              </w:rPr>
              <w:t xml:space="preserve">  6.特种专业技术用车</w:t>
            </w:r>
          </w:p>
        </w:tc>
        <w:tc>
          <w:tcPr>
            <w:tcW w:w="880" w:type="dxa"/>
            <w:shd w:val="clear" w:color="auto" w:fill="auto"/>
            <w:noWrap w:val="0"/>
            <w:vAlign w:val="center"/>
          </w:tcPr>
          <w:p w14:paraId="66FCF56D">
            <w:pPr>
              <w:jc w:val="center"/>
            </w:pPr>
            <w:r>
              <w:rPr>
                <w:rFonts w:ascii="宋体" w:hAnsi="宋体" w:eastAsia="宋体" w:cs="宋体"/>
                <w:b w:val="0"/>
                <w:i w:val="0"/>
                <w:color w:val="000000"/>
                <w:sz w:val="20"/>
              </w:rPr>
              <w:t>7</w:t>
            </w:r>
          </w:p>
        </w:tc>
        <w:tc>
          <w:tcPr>
            <w:tcW w:w="2265" w:type="dxa"/>
            <w:shd w:val="clear" w:color="auto" w:fill="auto"/>
            <w:noWrap w:val="0"/>
            <w:vAlign w:val="center"/>
          </w:tcPr>
          <w:p w14:paraId="2D07C842">
            <w:pPr>
              <w:jc w:val="right"/>
            </w:pPr>
            <w:r>
              <w:rPr>
                <w:rFonts w:hint="eastAsia" w:ascii="宋体" w:hAnsi="宋体" w:eastAsia="宋体" w:cs="宋体"/>
                <w:b w:val="0"/>
                <w:i w:val="0"/>
                <w:color w:val="000000"/>
                <w:sz w:val="20"/>
              </w:rPr>
              <w:t>2</w:t>
            </w:r>
          </w:p>
        </w:tc>
      </w:tr>
      <w:tr w14:paraId="1E5FAD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6E91149B">
            <w:pPr>
              <w:jc w:val="left"/>
            </w:pPr>
            <w:r>
              <w:rPr>
                <w:rFonts w:ascii="宋体" w:hAnsi="宋体" w:eastAsia="宋体" w:cs="宋体"/>
                <w:b w:val="0"/>
                <w:i w:val="0"/>
                <w:color w:val="000000"/>
                <w:sz w:val="20"/>
              </w:rPr>
              <w:t xml:space="preserve">  7.离退休干部服务用车</w:t>
            </w:r>
          </w:p>
        </w:tc>
        <w:tc>
          <w:tcPr>
            <w:tcW w:w="880" w:type="dxa"/>
            <w:shd w:val="clear" w:color="auto" w:fill="auto"/>
            <w:noWrap w:val="0"/>
            <w:vAlign w:val="center"/>
          </w:tcPr>
          <w:p w14:paraId="6B9E7A32">
            <w:pPr>
              <w:jc w:val="center"/>
            </w:pPr>
            <w:r>
              <w:rPr>
                <w:rFonts w:ascii="宋体" w:hAnsi="宋体" w:eastAsia="宋体" w:cs="宋体"/>
                <w:b w:val="0"/>
                <w:i w:val="0"/>
                <w:color w:val="000000"/>
                <w:sz w:val="20"/>
              </w:rPr>
              <w:t>8</w:t>
            </w:r>
          </w:p>
        </w:tc>
        <w:tc>
          <w:tcPr>
            <w:tcW w:w="2265" w:type="dxa"/>
            <w:shd w:val="clear" w:color="auto" w:fill="auto"/>
            <w:noWrap w:val="0"/>
            <w:vAlign w:val="center"/>
          </w:tcPr>
          <w:p w14:paraId="558420DA">
            <w:pPr>
              <w:jc w:val="right"/>
            </w:pPr>
            <w:r>
              <w:rPr>
                <w:rFonts w:hint="eastAsia" w:ascii="宋体" w:hAnsi="宋体" w:eastAsia="宋体" w:cs="宋体"/>
                <w:b w:val="0"/>
                <w:i w:val="0"/>
                <w:color w:val="000000"/>
                <w:sz w:val="20"/>
              </w:rPr>
              <w:t>0</w:t>
            </w:r>
          </w:p>
        </w:tc>
      </w:tr>
      <w:tr w14:paraId="00C202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7CD76FA1">
            <w:pPr>
              <w:jc w:val="left"/>
            </w:pPr>
            <w:r>
              <w:rPr>
                <w:rFonts w:ascii="宋体" w:hAnsi="宋体" w:eastAsia="宋体" w:cs="宋体"/>
                <w:b w:val="0"/>
                <w:i w:val="0"/>
                <w:color w:val="000000"/>
                <w:sz w:val="20"/>
              </w:rPr>
              <w:t xml:space="preserve">  8.其他用车</w:t>
            </w:r>
          </w:p>
        </w:tc>
        <w:tc>
          <w:tcPr>
            <w:tcW w:w="880" w:type="dxa"/>
            <w:shd w:val="clear" w:color="auto" w:fill="auto"/>
            <w:noWrap w:val="0"/>
            <w:vAlign w:val="center"/>
          </w:tcPr>
          <w:p w14:paraId="4F6092B8">
            <w:pPr>
              <w:jc w:val="center"/>
            </w:pPr>
            <w:r>
              <w:rPr>
                <w:rFonts w:ascii="宋体" w:hAnsi="宋体" w:eastAsia="宋体" w:cs="宋体"/>
                <w:b w:val="0"/>
                <w:i w:val="0"/>
                <w:color w:val="000000"/>
                <w:sz w:val="20"/>
              </w:rPr>
              <w:t>9</w:t>
            </w:r>
          </w:p>
        </w:tc>
        <w:tc>
          <w:tcPr>
            <w:tcW w:w="2265" w:type="dxa"/>
            <w:shd w:val="clear" w:color="auto" w:fill="auto"/>
            <w:noWrap w:val="0"/>
            <w:vAlign w:val="center"/>
          </w:tcPr>
          <w:p w14:paraId="76D472E9">
            <w:pPr>
              <w:jc w:val="right"/>
            </w:pPr>
            <w:r>
              <w:rPr>
                <w:rFonts w:hint="eastAsia" w:ascii="宋体" w:hAnsi="宋体" w:eastAsia="宋体" w:cs="宋体"/>
                <w:b w:val="0"/>
                <w:i w:val="0"/>
                <w:color w:val="000000"/>
                <w:sz w:val="20"/>
              </w:rPr>
              <w:t>37</w:t>
            </w:r>
          </w:p>
        </w:tc>
      </w:tr>
      <w:tr w14:paraId="7190D5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76B4A543">
            <w:pPr>
              <w:jc w:val="left"/>
            </w:pPr>
            <w:r>
              <w:rPr>
                <w:rFonts w:ascii="宋体" w:hAnsi="宋体" w:eastAsia="宋体" w:cs="宋体"/>
                <w:b w:val="0"/>
                <w:i w:val="0"/>
                <w:color w:val="000000"/>
                <w:sz w:val="20"/>
              </w:rPr>
              <w:t>二、单价100万元（含）以上设备（不含车辆）(台、套)</w:t>
            </w:r>
          </w:p>
        </w:tc>
        <w:tc>
          <w:tcPr>
            <w:tcW w:w="880" w:type="dxa"/>
            <w:shd w:val="clear" w:color="auto" w:fill="auto"/>
            <w:noWrap w:val="0"/>
            <w:vAlign w:val="center"/>
          </w:tcPr>
          <w:p w14:paraId="0DA597E4">
            <w:pPr>
              <w:jc w:val="center"/>
            </w:pPr>
            <w:r>
              <w:rPr>
                <w:rFonts w:ascii="宋体" w:hAnsi="宋体" w:eastAsia="宋体" w:cs="宋体"/>
                <w:b w:val="0"/>
                <w:i w:val="0"/>
                <w:color w:val="000000"/>
                <w:sz w:val="20"/>
              </w:rPr>
              <w:t>10</w:t>
            </w:r>
          </w:p>
        </w:tc>
        <w:tc>
          <w:tcPr>
            <w:tcW w:w="2265" w:type="dxa"/>
            <w:shd w:val="clear" w:color="auto" w:fill="auto"/>
            <w:noWrap w:val="0"/>
            <w:vAlign w:val="center"/>
          </w:tcPr>
          <w:p w14:paraId="3C328265">
            <w:pPr>
              <w:jc w:val="right"/>
            </w:pPr>
            <w:r>
              <w:rPr>
                <w:rFonts w:hint="eastAsia" w:ascii="宋体" w:hAnsi="宋体" w:eastAsia="宋体" w:cs="宋体"/>
                <w:b w:val="0"/>
                <w:i w:val="0"/>
                <w:color w:val="000000"/>
                <w:sz w:val="20"/>
              </w:rPr>
              <w:t>0</w:t>
            </w:r>
          </w:p>
        </w:tc>
      </w:tr>
      <w:tr w14:paraId="50C69F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70" w:hRule="exact"/>
          <w:jc w:val="center"/>
        </w:trPr>
        <w:tc>
          <w:tcPr>
            <w:tcW w:w="8925" w:type="dxa"/>
            <w:gridSpan w:val="5"/>
            <w:tcBorders>
              <w:left w:val="single" w:color="FFFFFF" w:sz="4" w:space="0"/>
              <w:bottom w:val="single" w:color="FFFFFF" w:sz="4" w:space="0"/>
              <w:right w:val="single" w:color="FFFFFF" w:sz="4" w:space="0"/>
            </w:tcBorders>
            <w:shd w:val="clear" w:color="auto" w:fill="auto"/>
            <w:noWrap w:val="0"/>
            <w:vAlign w:val="center"/>
          </w:tcPr>
          <w:p w14:paraId="02EF1A4C">
            <w:pPr>
              <w:jc w:val="left"/>
            </w:pPr>
            <w:r>
              <w:rPr>
                <w:rFonts w:ascii="宋体" w:hAnsi="宋体" w:eastAsia="宋体" w:cs="宋体"/>
                <w:b w:val="0"/>
                <w:i w:val="0"/>
                <w:color w:val="000000"/>
                <w:sz w:val="20"/>
              </w:rPr>
              <w:t>注：1.本表反映截止2023年12月31日，部门(单位)占用的国有资产情况。</w:t>
            </w:r>
          </w:p>
          <w:p w14:paraId="55265E61">
            <w:pPr>
              <w:jc w:val="left"/>
            </w:pPr>
            <w:r>
              <w:rPr>
                <w:rFonts w:ascii="宋体" w:hAnsi="宋体" w:eastAsia="宋体" w:cs="宋体"/>
                <w:b w:val="0"/>
                <w:i w:val="0"/>
                <w:color w:val="000000"/>
                <w:sz w:val="20"/>
              </w:rPr>
              <w:t xml:space="preserve">    2.当本表数据为空时，即本部门（单位）无相关资产。</w:t>
            </w:r>
          </w:p>
        </w:tc>
      </w:tr>
    </w:tbl>
    <w:p w14:paraId="4F1A34D5">
      <w:pPr>
        <w:bidi w:val="0"/>
        <w:rPr>
          <w:rFonts w:hint="eastAsia"/>
        </w:rPr>
      </w:pPr>
    </w:p>
    <w:p w14:paraId="3A7A06BB">
      <w:pPr>
        <w:bidi w:val="0"/>
        <w:rPr>
          <w:rFonts w:hint="eastAsia"/>
        </w:rPr>
      </w:pPr>
    </w:p>
    <w:p w14:paraId="204DF162">
      <w:pPr>
        <w:bidi w:val="0"/>
        <w:rPr>
          <w:rFonts w:hint="eastAsia"/>
        </w:rPr>
      </w:pPr>
    </w:p>
    <w:p w14:paraId="2C9DCE65">
      <w:pPr>
        <w:bidi w:val="0"/>
        <w:rPr>
          <w:rFonts w:hint="eastAsia"/>
        </w:rPr>
      </w:pPr>
    </w:p>
    <w:p w14:paraId="7309F283">
      <w:pPr>
        <w:bidi w:val="0"/>
        <w:rPr>
          <w:rFonts w:hint="eastAsia"/>
        </w:rPr>
      </w:pPr>
    </w:p>
    <w:p w14:paraId="09737AD7">
      <w:pPr>
        <w:bidi w:val="0"/>
        <w:rPr>
          <w:rFonts w:hint="eastAsia"/>
        </w:rPr>
      </w:pPr>
    </w:p>
    <w:p w14:paraId="3B2F8264">
      <w:pPr>
        <w:bidi w:val="0"/>
        <w:rPr>
          <w:rFonts w:hint="eastAsia"/>
        </w:rPr>
      </w:pPr>
    </w:p>
    <w:p w14:paraId="421B7644">
      <w:pPr>
        <w:bidi w:val="0"/>
        <w:rPr>
          <w:rFonts w:hint="eastAsia"/>
        </w:rPr>
      </w:pPr>
    </w:p>
    <w:p w14:paraId="59469380">
      <w:pPr>
        <w:bidi w:val="0"/>
        <w:rPr>
          <w:rFonts w:hint="eastAsia"/>
        </w:rPr>
      </w:pPr>
    </w:p>
    <w:p w14:paraId="17251171">
      <w:pPr>
        <w:bidi w:val="0"/>
        <w:rPr>
          <w:rFonts w:hint="eastAsia"/>
        </w:rPr>
      </w:pPr>
    </w:p>
    <w:p w14:paraId="30C2D3C3">
      <w:pPr>
        <w:keepNext w:val="0"/>
        <w:keepLines w:val="0"/>
        <w:pageBreakBefore w:val="0"/>
        <w:widowControl/>
        <w:kinsoku/>
        <w:wordWrap/>
        <w:overflowPunct/>
        <w:topLinePunct w:val="0"/>
        <w:autoSpaceDE/>
        <w:autoSpaceDN/>
        <w:bidi w:val="0"/>
        <w:adjustRightInd/>
        <w:snapToGrid/>
        <w:spacing w:line="600" w:lineRule="exact"/>
        <w:jc w:val="both"/>
        <w:textAlignment w:val="auto"/>
        <w:outlineLvl w:val="0"/>
        <w:rPr>
          <w:rFonts w:hint="eastAsia" w:ascii="宋体" w:hAnsi="宋体" w:cs="宋体"/>
          <w:b/>
          <w:sz w:val="44"/>
          <w:szCs w:val="44"/>
        </w:rPr>
      </w:pPr>
    </w:p>
    <w:p w14:paraId="67DB0961">
      <w:pPr>
        <w:keepNext w:val="0"/>
        <w:keepLines w:val="0"/>
        <w:pageBreakBefore w:val="0"/>
        <w:widowControl/>
        <w:kinsoku/>
        <w:wordWrap/>
        <w:overflowPunct/>
        <w:topLinePunct w:val="0"/>
        <w:autoSpaceDE/>
        <w:autoSpaceDN/>
        <w:bidi w:val="0"/>
        <w:adjustRightInd/>
        <w:snapToGrid/>
        <w:spacing w:line="600" w:lineRule="exact"/>
        <w:jc w:val="both"/>
        <w:textAlignment w:val="auto"/>
        <w:outlineLvl w:val="0"/>
        <w:rPr>
          <w:rFonts w:hint="eastAsia" w:ascii="宋体" w:hAnsi="宋体" w:cs="宋体"/>
          <w:b/>
          <w:sz w:val="44"/>
          <w:szCs w:val="44"/>
        </w:rPr>
      </w:pPr>
    </w:p>
    <w:p w14:paraId="3493D577">
      <w:pPr>
        <w:keepNext w:val="0"/>
        <w:keepLines w:val="0"/>
        <w:pageBreakBefore w:val="0"/>
        <w:widowControl/>
        <w:kinsoku/>
        <w:wordWrap/>
        <w:overflowPunct/>
        <w:topLinePunct w:val="0"/>
        <w:autoSpaceDE/>
        <w:autoSpaceDN/>
        <w:bidi w:val="0"/>
        <w:adjustRightInd/>
        <w:snapToGrid/>
        <w:spacing w:line="600" w:lineRule="exact"/>
        <w:jc w:val="both"/>
        <w:textAlignment w:val="auto"/>
        <w:outlineLvl w:val="0"/>
        <w:rPr>
          <w:rFonts w:hint="eastAsia" w:ascii="宋体" w:hAnsi="宋体" w:cs="宋体"/>
          <w:b/>
          <w:sz w:val="44"/>
          <w:szCs w:val="44"/>
        </w:rPr>
      </w:pPr>
    </w:p>
    <w:p w14:paraId="0A1F17A1">
      <w:pPr>
        <w:keepNext w:val="0"/>
        <w:keepLines w:val="0"/>
        <w:pageBreakBefore w:val="0"/>
        <w:widowControl/>
        <w:kinsoku/>
        <w:wordWrap/>
        <w:overflowPunct/>
        <w:topLinePunct w:val="0"/>
        <w:autoSpaceDE/>
        <w:autoSpaceDN/>
        <w:bidi w:val="0"/>
        <w:adjustRightInd/>
        <w:snapToGrid/>
        <w:spacing w:line="600" w:lineRule="exact"/>
        <w:jc w:val="both"/>
        <w:textAlignment w:val="auto"/>
        <w:outlineLvl w:val="0"/>
        <w:rPr>
          <w:rFonts w:hint="eastAsia" w:ascii="宋体" w:hAnsi="宋体" w:cs="宋体"/>
          <w:b/>
          <w:sz w:val="44"/>
          <w:szCs w:val="44"/>
        </w:rPr>
      </w:pPr>
    </w:p>
    <w:p w14:paraId="2DFA4696">
      <w:pPr>
        <w:keepNext w:val="0"/>
        <w:keepLines w:val="0"/>
        <w:pageBreakBefore w:val="0"/>
        <w:widowControl/>
        <w:kinsoku/>
        <w:wordWrap/>
        <w:overflowPunct/>
        <w:topLinePunct w:val="0"/>
        <w:autoSpaceDE/>
        <w:autoSpaceDN/>
        <w:bidi w:val="0"/>
        <w:adjustRightInd/>
        <w:snapToGrid/>
        <w:spacing w:line="600" w:lineRule="exact"/>
        <w:jc w:val="both"/>
        <w:textAlignment w:val="auto"/>
        <w:outlineLvl w:val="0"/>
        <w:rPr>
          <w:rFonts w:hint="eastAsia" w:ascii="宋体" w:hAnsi="宋体" w:cs="宋体"/>
          <w:b/>
          <w:sz w:val="44"/>
          <w:szCs w:val="44"/>
        </w:rPr>
      </w:pPr>
    </w:p>
    <w:p w14:paraId="4C79AECE">
      <w:pPr>
        <w:keepNext w:val="0"/>
        <w:keepLines w:val="0"/>
        <w:pageBreakBefore w:val="0"/>
        <w:widowControl/>
        <w:kinsoku/>
        <w:wordWrap/>
        <w:overflowPunct/>
        <w:topLinePunct w:val="0"/>
        <w:autoSpaceDE/>
        <w:autoSpaceDN/>
        <w:bidi w:val="0"/>
        <w:adjustRightInd/>
        <w:snapToGrid/>
        <w:spacing w:line="600" w:lineRule="exact"/>
        <w:jc w:val="both"/>
        <w:textAlignment w:val="auto"/>
        <w:outlineLvl w:val="0"/>
        <w:rPr>
          <w:rFonts w:hint="eastAsia" w:ascii="宋体" w:hAnsi="宋体" w:cs="宋体"/>
          <w:b/>
          <w:sz w:val="44"/>
          <w:szCs w:val="44"/>
        </w:rPr>
      </w:pPr>
    </w:p>
    <w:p w14:paraId="7BE47658">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r>
        <w:rPr>
          <w:rFonts w:hint="eastAsia" w:ascii="宋体" w:hAnsi="宋体" w:cs="宋体"/>
          <w:b/>
          <w:sz w:val="44"/>
          <w:szCs w:val="44"/>
        </w:rPr>
        <w:t>第三部分  2023年度部门决算情况说明</w:t>
      </w:r>
    </w:p>
    <w:p w14:paraId="6D6DFBFA">
      <w:pPr>
        <w:ind w:firstLine="630"/>
        <w:jc w:val="left"/>
        <w:rPr>
          <w:rFonts w:hint="eastAsia" w:ascii="仿宋_GB2312" w:hAnsi="仿宋_GB2312" w:eastAsia="仿宋_GB2312"/>
          <w:sz w:val="30"/>
          <w:szCs w:val="30"/>
        </w:rPr>
      </w:pPr>
    </w:p>
    <w:p w14:paraId="413FB59C">
      <w:pPr>
        <w:ind w:firstLine="630"/>
        <w:jc w:val="left"/>
        <w:outlineLvl w:val="1"/>
        <w:rPr>
          <w:rFonts w:hint="eastAsia" w:ascii="黑体" w:hAnsi="黑体" w:eastAsia="黑体"/>
          <w:sz w:val="32"/>
          <w:szCs w:val="32"/>
        </w:rPr>
      </w:pPr>
      <w:r>
        <w:rPr>
          <w:rFonts w:hint="eastAsia" w:ascii="黑体" w:hAnsi="黑体" w:eastAsia="黑体"/>
          <w:sz w:val="32"/>
          <w:szCs w:val="32"/>
        </w:rPr>
        <w:t>一、收入决算情况说明</w:t>
      </w:r>
    </w:p>
    <w:p w14:paraId="59C3A279">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本部门2023年度收入总计51516.23万元，其中年初结转和结余0.00万元，与上年持平；使用非财政拨款结余和专用结余0.00万元，与上年持平；本年收入合计51516.23万元，比上年增加11717.33万元</w:t>
      </w:r>
      <w:r>
        <w:rPr>
          <w:rFonts w:hint="eastAsia" w:ascii="仿宋_GB2312" w:hAnsi="仿宋_GB2312" w:eastAsia="仿宋_GB2312" w:cs="Times New Roman"/>
          <w:sz w:val="32"/>
          <w:szCs w:val="32"/>
        </w:rPr>
        <w:t>，增长29.44%</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2022年的老旧小区改造项目专项债资金收入</w:t>
      </w:r>
      <w:r>
        <w:rPr>
          <w:rFonts w:hint="eastAsia" w:ascii="仿宋_GB2312" w:hAnsi="仿宋_GB2312" w:eastAsia="仿宋_GB2312"/>
          <w:sz w:val="32"/>
          <w:szCs w:val="32"/>
        </w:rPr>
        <w:t>。</w:t>
      </w:r>
    </w:p>
    <w:p w14:paraId="4DCEA3C6">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 xml:space="preserve">本年收入的具体构成：财政拨款收入47443.45万元，占92.09%；事业收入0.00万元，占0.00%；经营收入0.00万元，占0.00%；上级补助收入0.00万元，占0.00%；附属单位上缴收入0.00万元，占0.00%；其他收入4072.78万元，占7.91%。  </w:t>
      </w:r>
    </w:p>
    <w:p w14:paraId="7F8D345C">
      <w:pPr>
        <w:ind w:firstLine="630"/>
        <w:jc w:val="left"/>
        <w:outlineLvl w:val="1"/>
        <w:rPr>
          <w:rFonts w:hint="eastAsia" w:ascii="黑体" w:hAnsi="黑体" w:eastAsia="黑体"/>
          <w:sz w:val="32"/>
          <w:szCs w:val="32"/>
        </w:rPr>
      </w:pPr>
      <w:r>
        <w:rPr>
          <w:rFonts w:hint="eastAsia" w:ascii="黑体" w:hAnsi="黑体" w:eastAsia="黑体"/>
          <w:sz w:val="32"/>
          <w:szCs w:val="32"/>
        </w:rPr>
        <w:t>二、支出决算情况说明</w:t>
      </w:r>
    </w:p>
    <w:p w14:paraId="2222CB48">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本部门2023年度支出总计51516.23万元，其中本年支出合计50832.25万元，比上年增加11033.34万元</w:t>
      </w:r>
      <w:r>
        <w:rPr>
          <w:rFonts w:hint="eastAsia" w:ascii="仿宋_GB2312" w:hAnsi="仿宋_GB2312" w:eastAsia="仿宋_GB2312" w:cs="Times New Roman"/>
          <w:sz w:val="32"/>
          <w:szCs w:val="32"/>
        </w:rPr>
        <w:t>，增长27.72%</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支付2022年度老旧小区改造项目资金支付</w:t>
      </w:r>
      <w:r>
        <w:rPr>
          <w:rFonts w:hint="eastAsia" w:ascii="仿宋_GB2312" w:hAnsi="仿宋_GB2312" w:eastAsia="仿宋_GB2312"/>
          <w:sz w:val="32"/>
          <w:szCs w:val="32"/>
        </w:rPr>
        <w:t>；结余分配0.00万元，与上年持平；年末结转和结余683.98万元，比上年增加683.98万元，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lang w:val="en-US" w:eastAsia="zh-CN"/>
        </w:rPr>
        <w:t>上年度无结余</w:t>
      </w:r>
      <w:r>
        <w:rPr>
          <w:rFonts w:hint="eastAsia" w:ascii="仿宋_GB2312" w:hAnsi="仿宋_GB2312" w:eastAsia="仿宋_GB2312"/>
          <w:sz w:val="32"/>
          <w:szCs w:val="32"/>
        </w:rPr>
        <w:t>。</w:t>
      </w:r>
    </w:p>
    <w:p w14:paraId="0D74BBC4">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本年支出的具体构成：基本支出6423.68万元，占12.64%；项目支出44408.57万元，占87.36%；经营支出0.00万元，占0.00%；上缴上级支出0.00万元，占0.00%；对附属单位补助支出0.00万元，占0.00%。</w:t>
      </w:r>
    </w:p>
    <w:p w14:paraId="52B64A90">
      <w:pPr>
        <w:ind w:firstLine="630"/>
        <w:jc w:val="left"/>
        <w:outlineLvl w:val="1"/>
        <w:rPr>
          <w:rFonts w:hint="eastAsia" w:ascii="黑体" w:hAnsi="黑体" w:eastAsia="黑体"/>
          <w:sz w:val="32"/>
          <w:szCs w:val="32"/>
        </w:rPr>
      </w:pPr>
      <w:r>
        <w:rPr>
          <w:rFonts w:hint="eastAsia" w:ascii="黑体" w:hAnsi="黑体" w:eastAsia="黑体"/>
          <w:sz w:val="32"/>
          <w:szCs w:val="32"/>
        </w:rPr>
        <w:t>三、财政拨款支出决算情况说明</w:t>
      </w:r>
    </w:p>
    <w:p w14:paraId="5F1D19EB">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本部门2023年度财政拨款本年支出年初预算数10536.83万元，决算数47443.45万元，完成年初预算的450.26%。其中：</w:t>
      </w:r>
    </w:p>
    <w:p w14:paraId="0459C4CA">
      <w:pPr>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rPr>
        <w:t xml:space="preserve">（一）一般公共服务支出（类）年初预算数10.00万元，决算数10.00万元，完成年初预算的100.00%。 </w:t>
      </w:r>
    </w:p>
    <w:p w14:paraId="5E04FBF0">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二</w:t>
      </w:r>
      <w:r>
        <w:rPr>
          <w:rFonts w:hint="eastAsia" w:ascii="仿宋_GB2312" w:hAnsi="仿宋_GB2312" w:eastAsia="仿宋_GB2312"/>
          <w:sz w:val="32"/>
          <w:szCs w:val="32"/>
        </w:rPr>
        <w:t>）社会保障和就业支出（类）年初预算数34.03万元，决算数34.59万元，完成年初预算的101.66%。预决算差异主要原因：</w:t>
      </w:r>
      <w:r>
        <w:rPr>
          <w:rFonts w:hint="eastAsia" w:ascii="仿宋_GB2312" w:hAnsi="仿宋_GB2312" w:eastAsia="仿宋_GB2312"/>
          <w:sz w:val="32"/>
          <w:szCs w:val="32"/>
          <w:lang w:val="en-US" w:eastAsia="zh-CN"/>
        </w:rPr>
        <w:t>部分人员调基补缴养老保险支出</w:t>
      </w:r>
      <w:r>
        <w:rPr>
          <w:rFonts w:hint="eastAsia" w:ascii="仿宋_GB2312" w:hAnsi="仿宋_GB2312" w:eastAsia="仿宋_GB2312"/>
          <w:sz w:val="32"/>
          <w:szCs w:val="32"/>
        </w:rPr>
        <w:t>。</w:t>
      </w:r>
    </w:p>
    <w:p w14:paraId="15FAED0E">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三</w:t>
      </w:r>
      <w:r>
        <w:rPr>
          <w:rFonts w:hint="eastAsia" w:ascii="仿宋_GB2312" w:hAnsi="仿宋_GB2312" w:eastAsia="仿宋_GB2312"/>
          <w:sz w:val="32"/>
          <w:szCs w:val="32"/>
        </w:rPr>
        <w:t>）卫生健康支出（类）年初预算数0.00万元，决算数930.58万元，预决算差异主要原因：</w:t>
      </w:r>
      <w:r>
        <w:rPr>
          <w:rFonts w:hint="eastAsia" w:ascii="仿宋_GB2312" w:hAnsi="仿宋_GB2312" w:eastAsia="仿宋_GB2312"/>
          <w:sz w:val="32"/>
          <w:szCs w:val="32"/>
          <w:lang w:val="en-US" w:eastAsia="zh-CN"/>
        </w:rPr>
        <w:t>年度追加支出疫情防控经费</w:t>
      </w:r>
      <w:r>
        <w:rPr>
          <w:rFonts w:hint="eastAsia" w:ascii="仿宋_GB2312" w:hAnsi="仿宋_GB2312" w:eastAsia="仿宋_GB2312"/>
          <w:sz w:val="32"/>
          <w:szCs w:val="32"/>
        </w:rPr>
        <w:t>。</w:t>
      </w:r>
    </w:p>
    <w:p w14:paraId="51E035B1">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四</w:t>
      </w:r>
      <w:r>
        <w:rPr>
          <w:rFonts w:hint="eastAsia" w:ascii="仿宋_GB2312" w:hAnsi="仿宋_GB2312" w:eastAsia="仿宋_GB2312"/>
          <w:sz w:val="32"/>
          <w:szCs w:val="32"/>
        </w:rPr>
        <w:t>）节能环保支出（类）年初预算数586.52万元，决算数3241.51万元，完成年初预算的552.67%。预决算差异主要原因：</w:t>
      </w:r>
      <w:r>
        <w:rPr>
          <w:rFonts w:hint="eastAsia" w:ascii="仿宋_GB2312" w:hAnsi="仿宋_GB2312" w:eastAsia="仿宋_GB2312"/>
          <w:sz w:val="32"/>
          <w:szCs w:val="32"/>
          <w:lang w:val="en-US" w:eastAsia="zh-CN"/>
        </w:rPr>
        <w:t>中央预算内安排城市水环境治理和安置房周边道路排水工程项目海绵城市建设补助资金</w:t>
      </w:r>
      <w:r>
        <w:rPr>
          <w:rFonts w:hint="eastAsia" w:ascii="仿宋_GB2312" w:hAnsi="仿宋_GB2312" w:eastAsia="仿宋_GB2312"/>
          <w:sz w:val="32"/>
          <w:szCs w:val="32"/>
        </w:rPr>
        <w:t>。</w:t>
      </w:r>
    </w:p>
    <w:p w14:paraId="164FFA5B">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五</w:t>
      </w:r>
      <w:r>
        <w:rPr>
          <w:rFonts w:hint="eastAsia" w:ascii="仿宋_GB2312" w:hAnsi="仿宋_GB2312" w:eastAsia="仿宋_GB2312"/>
          <w:sz w:val="32"/>
          <w:szCs w:val="32"/>
        </w:rPr>
        <w:t>）城乡社区支出（类）年初预算数3797.09万元，决算数5642.55万元，完成年初预算的148.60%。预决算差异主要原因：</w:t>
      </w:r>
      <w:r>
        <w:rPr>
          <w:rFonts w:hint="eastAsia" w:ascii="仿宋_GB2312" w:hAnsi="仿宋_GB2312" w:eastAsia="仿宋_GB2312"/>
          <w:sz w:val="32"/>
          <w:szCs w:val="32"/>
          <w:lang w:val="en-US" w:eastAsia="zh-CN"/>
        </w:rPr>
        <w:t>足额发放月绩效工资及新增人员</w:t>
      </w:r>
      <w:r>
        <w:rPr>
          <w:rFonts w:hint="eastAsia" w:ascii="仿宋_GB2312" w:hAnsi="仿宋_GB2312" w:eastAsia="仿宋_GB2312"/>
          <w:sz w:val="32"/>
          <w:szCs w:val="32"/>
        </w:rPr>
        <w:t>。</w:t>
      </w:r>
    </w:p>
    <w:p w14:paraId="3BDE9546">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六</w:t>
      </w:r>
      <w:r>
        <w:rPr>
          <w:rFonts w:hint="eastAsia" w:ascii="仿宋_GB2312" w:hAnsi="仿宋_GB2312" w:eastAsia="仿宋_GB2312"/>
          <w:sz w:val="32"/>
          <w:szCs w:val="32"/>
        </w:rPr>
        <w:t>）农林水支出（类）年初预算数17.00万元，决算数34.34万元，完成年初预算的201.99%。预决算差异主要原因：</w:t>
      </w:r>
      <w:r>
        <w:rPr>
          <w:rFonts w:hint="eastAsia" w:ascii="仿宋_GB2312" w:hAnsi="仿宋_GB2312" w:eastAsia="仿宋_GB2312"/>
          <w:sz w:val="32"/>
          <w:szCs w:val="32"/>
          <w:lang w:val="en-US" w:eastAsia="zh-CN"/>
        </w:rPr>
        <w:t>支付上年度水利项目费用</w:t>
      </w:r>
      <w:r>
        <w:rPr>
          <w:rFonts w:hint="eastAsia" w:ascii="仿宋_GB2312" w:hAnsi="仿宋_GB2312" w:eastAsia="仿宋_GB2312"/>
          <w:sz w:val="32"/>
          <w:szCs w:val="32"/>
        </w:rPr>
        <w:t>。</w:t>
      </w:r>
    </w:p>
    <w:p w14:paraId="72F49856">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七</w:t>
      </w:r>
      <w:r>
        <w:rPr>
          <w:rFonts w:hint="eastAsia" w:ascii="仿宋_GB2312" w:hAnsi="仿宋_GB2312" w:eastAsia="仿宋_GB2312"/>
          <w:sz w:val="32"/>
          <w:szCs w:val="32"/>
        </w:rPr>
        <w:t>）交通运输支出（类）年初预算数0.00万元，决算数53.00万元，预决算差异主要原因：</w:t>
      </w:r>
      <w:r>
        <w:rPr>
          <w:rFonts w:hint="eastAsia" w:ascii="仿宋_GB2312" w:hAnsi="仿宋_GB2312" w:eastAsia="仿宋_GB2312"/>
          <w:sz w:val="32"/>
          <w:szCs w:val="32"/>
          <w:lang w:val="en-US" w:eastAsia="zh-CN"/>
        </w:rPr>
        <w:t>该资金为市级拨入调整预算金额</w:t>
      </w:r>
      <w:r>
        <w:rPr>
          <w:rFonts w:hint="eastAsia" w:ascii="仿宋_GB2312" w:hAnsi="仿宋_GB2312" w:eastAsia="仿宋_GB2312"/>
          <w:sz w:val="32"/>
          <w:szCs w:val="32"/>
        </w:rPr>
        <w:t>。</w:t>
      </w:r>
    </w:p>
    <w:p w14:paraId="005E9C76">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八</w:t>
      </w:r>
      <w:r>
        <w:rPr>
          <w:rFonts w:hint="eastAsia" w:ascii="仿宋_GB2312" w:hAnsi="仿宋_GB2312" w:eastAsia="仿宋_GB2312"/>
          <w:sz w:val="32"/>
          <w:szCs w:val="32"/>
        </w:rPr>
        <w:t>）住房保障支出（类）年初预算数6092.19万元，决算数4506.87万元，完成年初预算的73.98%。预决算差异主要原因：</w:t>
      </w:r>
      <w:r>
        <w:rPr>
          <w:rFonts w:hint="eastAsia" w:ascii="仿宋_GB2312" w:hAnsi="仿宋_GB2312" w:eastAsia="仿宋_GB2312"/>
          <w:sz w:val="32"/>
          <w:szCs w:val="32"/>
          <w:lang w:val="en-US" w:eastAsia="zh-CN"/>
        </w:rPr>
        <w:t>由于工程进度问题，部分保障安居工程项目资金指标结转至下年度</w:t>
      </w:r>
      <w:r>
        <w:rPr>
          <w:rFonts w:hint="eastAsia" w:ascii="仿宋_GB2312" w:hAnsi="仿宋_GB2312" w:eastAsia="仿宋_GB2312"/>
          <w:sz w:val="32"/>
          <w:szCs w:val="32"/>
        </w:rPr>
        <w:t>。</w:t>
      </w:r>
    </w:p>
    <w:p w14:paraId="667E4C52">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九</w:t>
      </w:r>
      <w:r>
        <w:rPr>
          <w:rFonts w:hint="eastAsia" w:ascii="仿宋_GB2312" w:hAnsi="仿宋_GB2312" w:eastAsia="仿宋_GB2312"/>
          <w:sz w:val="32"/>
          <w:szCs w:val="32"/>
        </w:rPr>
        <w:t>）其他支出（类）年初预算数0.00万元，决算数32990.00万元，预决算差异主要原因：</w:t>
      </w:r>
      <w:r>
        <w:rPr>
          <w:rFonts w:hint="eastAsia" w:ascii="仿宋_GB2312" w:hAnsi="仿宋_GB2312" w:eastAsia="仿宋_GB2312"/>
          <w:sz w:val="32"/>
          <w:szCs w:val="32"/>
          <w:lang w:val="en-US" w:eastAsia="zh-CN"/>
        </w:rPr>
        <w:t>该资金均为专项债资金，均为年度追加调整预算收入</w:t>
      </w:r>
      <w:r>
        <w:rPr>
          <w:rFonts w:hint="eastAsia" w:ascii="仿宋_GB2312" w:hAnsi="仿宋_GB2312" w:eastAsia="仿宋_GB2312"/>
          <w:sz w:val="32"/>
          <w:szCs w:val="32"/>
        </w:rPr>
        <w:t>。</w:t>
      </w:r>
    </w:p>
    <w:p w14:paraId="4061FE68">
      <w:pPr>
        <w:ind w:firstLine="585"/>
        <w:jc w:val="left"/>
        <w:outlineLvl w:val="1"/>
        <w:rPr>
          <w:rFonts w:hint="eastAsia" w:ascii="黑体" w:hAnsi="黑体" w:eastAsia="黑体"/>
          <w:sz w:val="32"/>
          <w:szCs w:val="32"/>
        </w:rPr>
      </w:pPr>
      <w:r>
        <w:rPr>
          <w:rFonts w:hint="eastAsia" w:ascii="黑体" w:hAnsi="黑体" w:eastAsia="黑体"/>
          <w:sz w:val="32"/>
          <w:szCs w:val="32"/>
        </w:rPr>
        <w:t>四、一般公共预算财政拨款基本支出决算情况说明</w:t>
      </w:r>
    </w:p>
    <w:p w14:paraId="1DB00269">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本部门2023年度一般公共预算财政拨款基本支出4156.58万元，其中：</w:t>
      </w:r>
    </w:p>
    <w:p w14:paraId="315A6118">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（一）工资福利支出2609.68万元，比上年增加1140.80万元</w:t>
      </w:r>
      <w:r>
        <w:rPr>
          <w:rFonts w:hint="eastAsia" w:ascii="仿宋_GB2312" w:hAnsi="仿宋_GB2312" w:eastAsia="仿宋_GB2312" w:cs="Times New Roman"/>
          <w:sz w:val="32"/>
          <w:szCs w:val="32"/>
        </w:rPr>
        <w:t>，增长77.66%</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足额发放月绩效工资及新增人员</w:t>
      </w:r>
      <w:r>
        <w:rPr>
          <w:rFonts w:hint="eastAsia" w:ascii="仿宋_GB2312" w:hAnsi="仿宋_GB2312" w:eastAsia="仿宋_GB2312"/>
          <w:sz w:val="32"/>
          <w:szCs w:val="32"/>
        </w:rPr>
        <w:t>。</w:t>
      </w:r>
    </w:p>
    <w:p w14:paraId="1992FB17">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（二）商品和服务支出734.08万元，比上年增加680.86万元</w:t>
      </w:r>
      <w:r>
        <w:rPr>
          <w:rFonts w:hint="eastAsia" w:ascii="仿宋_GB2312" w:hAnsi="仿宋_GB2312" w:eastAsia="仿宋_GB2312" w:cs="Times New Roman"/>
          <w:sz w:val="32"/>
          <w:szCs w:val="32"/>
        </w:rPr>
        <w:t>，增长1279.11%</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主要增加项目前期费用支出</w:t>
      </w:r>
      <w:r>
        <w:rPr>
          <w:rFonts w:hint="eastAsia" w:ascii="仿宋_GB2312" w:hAnsi="仿宋_GB2312" w:eastAsia="仿宋_GB2312"/>
          <w:sz w:val="32"/>
          <w:szCs w:val="32"/>
        </w:rPr>
        <w:t>。</w:t>
      </w:r>
    </w:p>
    <w:p w14:paraId="3C0ADFAF">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（三）对个人和家庭补助支出809.07万元，比上年增加772.14万元</w:t>
      </w:r>
      <w:r>
        <w:rPr>
          <w:rFonts w:hint="eastAsia" w:ascii="仿宋_GB2312" w:hAnsi="仿宋_GB2312" w:eastAsia="仿宋_GB2312" w:cs="Times New Roman"/>
          <w:sz w:val="32"/>
          <w:szCs w:val="32"/>
        </w:rPr>
        <w:t>，增长2090.81%</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lang w:val="en-US" w:eastAsia="zh-CN"/>
        </w:rPr>
        <w:t>足额发放退休人员绩效工资</w:t>
      </w:r>
      <w:r>
        <w:rPr>
          <w:rFonts w:hint="eastAsia" w:ascii="仿宋_GB2312" w:hAnsi="仿宋_GB2312" w:eastAsia="仿宋_GB2312"/>
          <w:sz w:val="32"/>
          <w:szCs w:val="32"/>
        </w:rPr>
        <w:t>。</w:t>
      </w:r>
    </w:p>
    <w:p w14:paraId="05DD60B1">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（四）资本性支出3.76万元，比上年增加3.76万元，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人员新增，</w:t>
      </w:r>
      <w:r>
        <w:rPr>
          <w:rFonts w:hint="eastAsia" w:ascii="仿宋_GB2312" w:hAnsi="仿宋_GB2312" w:eastAsia="仿宋_GB2312"/>
          <w:color w:val="auto"/>
          <w:sz w:val="32"/>
          <w:szCs w:val="32"/>
          <w:lang w:val="en-US" w:eastAsia="zh-CN"/>
        </w:rPr>
        <w:t>采购办公设备支出</w:t>
      </w:r>
      <w:r>
        <w:rPr>
          <w:rFonts w:hint="eastAsia" w:ascii="仿宋_GB2312" w:hAnsi="仿宋_GB2312" w:eastAsia="仿宋_GB2312"/>
          <w:sz w:val="32"/>
          <w:szCs w:val="32"/>
        </w:rPr>
        <w:t>。</w:t>
      </w:r>
    </w:p>
    <w:p w14:paraId="4515B3D7">
      <w:pPr>
        <w:ind w:firstLine="630"/>
        <w:jc w:val="left"/>
        <w:outlineLvl w:val="1"/>
        <w:rPr>
          <w:rFonts w:hint="eastAsia" w:ascii="黑体" w:hAnsi="黑体" w:eastAsia="黑体"/>
          <w:sz w:val="32"/>
          <w:szCs w:val="32"/>
        </w:rPr>
      </w:pPr>
      <w:r>
        <w:rPr>
          <w:rFonts w:hint="eastAsia" w:ascii="黑体" w:hAnsi="黑体" w:eastAsia="黑体"/>
          <w:sz w:val="32"/>
          <w:szCs w:val="32"/>
        </w:rPr>
        <w:t>五、财政拨款“三公”经费支出决算情况说明</w:t>
      </w:r>
    </w:p>
    <w:p w14:paraId="77A03C0F">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本部门2023年度财政拨款“三公”经费支出全年预算数6.96万元，决算数4.46万元，完成全年预算的64.10%</w:t>
      </w:r>
      <w:r>
        <w:rPr>
          <w:rFonts w:hint="eastAsia" w:ascii="仿宋_GB2312" w:hAnsi="仿宋_GB2312" w:eastAsia="仿宋_GB2312"/>
          <w:sz w:val="32"/>
          <w:szCs w:val="32"/>
          <w:lang w:val="en-US" w:eastAsia="zh-CN"/>
        </w:rPr>
        <w:t>；</w:t>
      </w:r>
      <w:r>
        <w:rPr>
          <w:rFonts w:hint="eastAsia" w:ascii="仿宋_GB2312" w:hAnsi="仿宋_GB2312" w:eastAsia="仿宋_GB2312"/>
          <w:sz w:val="32"/>
          <w:szCs w:val="32"/>
        </w:rPr>
        <w:t>决算数比上年减少1.36万元，下降23.32%，其中：</w:t>
      </w:r>
    </w:p>
    <w:p w14:paraId="1A679A51">
      <w:pPr>
        <w:ind w:firstLine="640" w:firstLineChars="200"/>
        <w:jc w:val="left"/>
        <w:rPr>
          <w:rFonts w:ascii="仿宋_GB2312" w:hAnsi="仿宋_GB2312" w:eastAsia="仿宋_GB2312"/>
          <w:color w:val="auto"/>
          <w:sz w:val="32"/>
          <w:szCs w:val="32"/>
        </w:rPr>
      </w:pPr>
      <w:r>
        <w:rPr>
          <w:rFonts w:hint="eastAsia" w:ascii="仿宋_GB2312" w:hAnsi="仿宋_GB2312" w:eastAsia="仿宋_GB2312"/>
          <w:sz w:val="32"/>
          <w:szCs w:val="32"/>
        </w:rPr>
        <w:t>（一）因公出国（境）费全年预算数0.00万元，决算数0.00万元，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lang w:val="en-US" w:eastAsia="zh-CN"/>
        </w:rPr>
        <w:t>年度无安排出国公务出行</w:t>
      </w:r>
      <w:r>
        <w:rPr>
          <w:rFonts w:hint="eastAsia" w:ascii="仿宋_GB2312" w:hAnsi="仿宋_GB2312" w:eastAsia="仿宋_GB2312"/>
          <w:color w:val="auto"/>
          <w:sz w:val="32"/>
          <w:szCs w:val="32"/>
        </w:rPr>
        <w:t>。决算数与上年持平</w:t>
      </w:r>
      <w:r>
        <w:rPr>
          <w:rFonts w:hint="eastAsia" w:ascii="仿宋_GB2312" w:hAnsi="仿宋_GB2312" w:eastAsia="仿宋_GB2312" w:cs="Times New Roman"/>
          <w:color w:val="auto"/>
          <w:sz w:val="32"/>
          <w:szCs w:val="32"/>
        </w:rPr>
        <w:t>，</w:t>
      </w:r>
      <w:r>
        <w:rPr>
          <w:rFonts w:hint="eastAsia" w:ascii="仿宋_GB2312" w:hAnsi="仿宋_GB2312" w:eastAsia="仿宋_GB2312"/>
          <w:color w:val="auto"/>
          <w:sz w:val="32"/>
          <w:szCs w:val="32"/>
          <w:lang w:eastAsia="zh-CN"/>
        </w:rPr>
        <w:t>主要原因</w:t>
      </w:r>
      <w:r>
        <w:rPr>
          <w:rFonts w:hint="eastAsia" w:ascii="仿宋_GB2312" w:hAnsi="仿宋_GB2312" w:eastAsia="仿宋_GB2312"/>
          <w:color w:val="auto"/>
          <w:sz w:val="32"/>
          <w:szCs w:val="32"/>
        </w:rPr>
        <w:t>：</w:t>
      </w:r>
      <w:r>
        <w:rPr>
          <w:rFonts w:hint="eastAsia" w:ascii="仿宋_GB2312" w:hAnsi="仿宋_GB2312" w:eastAsia="仿宋_GB2312"/>
          <w:color w:val="auto"/>
          <w:sz w:val="32"/>
          <w:szCs w:val="32"/>
          <w:lang w:val="en-US" w:eastAsia="zh-CN"/>
        </w:rPr>
        <w:t>年度无安排出国公务出行</w:t>
      </w:r>
      <w:r>
        <w:rPr>
          <w:rFonts w:hint="eastAsia" w:ascii="仿宋_GB2312" w:hAnsi="仿宋_GB2312" w:eastAsia="仿宋_GB2312"/>
          <w:color w:val="auto"/>
          <w:sz w:val="32"/>
          <w:szCs w:val="32"/>
        </w:rPr>
        <w:t>。全年安排因公出国（境）团组0个，累计0人次，主要是：</w:t>
      </w:r>
      <w:r>
        <w:rPr>
          <w:rFonts w:hint="eastAsia" w:ascii="仿宋_GB2312" w:hAnsi="仿宋_GB2312" w:eastAsia="仿宋_GB2312"/>
          <w:color w:val="auto"/>
          <w:sz w:val="32"/>
          <w:szCs w:val="32"/>
          <w:lang w:val="en-US" w:eastAsia="zh-CN"/>
        </w:rPr>
        <w:t>年度无安排出国公务出行</w:t>
      </w:r>
      <w:r>
        <w:rPr>
          <w:rFonts w:hint="eastAsia" w:ascii="仿宋_GB2312" w:hAnsi="仿宋_GB2312" w:eastAsia="仿宋_GB2312"/>
          <w:color w:val="auto"/>
          <w:sz w:val="32"/>
          <w:szCs w:val="32"/>
        </w:rPr>
        <w:t>。</w:t>
      </w:r>
    </w:p>
    <w:p w14:paraId="4B9EFB82">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（二）公务用车购置及运行维护费全年预算数5.77万元，决算数4.46万元，其中：</w:t>
      </w:r>
    </w:p>
    <w:p w14:paraId="5D7C893D">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公务用车购置全年预算数0.00万元，决算数0.00万元，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lang w:val="en-US" w:eastAsia="zh-CN"/>
        </w:rPr>
        <w:t>车辆保有量未减少</w:t>
      </w:r>
      <w:r>
        <w:rPr>
          <w:rFonts w:hint="eastAsia" w:ascii="仿宋_GB2312" w:hAnsi="仿宋_GB2312" w:eastAsia="仿宋_GB2312"/>
          <w:color w:val="auto"/>
          <w:sz w:val="32"/>
          <w:szCs w:val="32"/>
        </w:rPr>
        <w:t>。决算数与上年持平,</w:t>
      </w:r>
      <w:r>
        <w:rPr>
          <w:rFonts w:hint="eastAsia" w:ascii="仿宋_GB2312" w:hAnsi="仿宋_GB2312" w:eastAsia="仿宋_GB2312"/>
          <w:color w:val="auto"/>
          <w:sz w:val="32"/>
          <w:szCs w:val="32"/>
          <w:lang w:eastAsia="zh-CN"/>
        </w:rPr>
        <w:t>主要原因</w:t>
      </w:r>
      <w:r>
        <w:rPr>
          <w:rFonts w:hint="eastAsia" w:ascii="仿宋_GB2312" w:hAnsi="仿宋_GB2312" w:eastAsia="仿宋_GB2312"/>
          <w:color w:val="auto"/>
          <w:sz w:val="32"/>
          <w:szCs w:val="32"/>
        </w:rPr>
        <w:t>：</w:t>
      </w:r>
      <w:r>
        <w:rPr>
          <w:rFonts w:hint="eastAsia" w:ascii="仿宋_GB2312" w:hAnsi="仿宋_GB2312" w:eastAsia="仿宋_GB2312"/>
          <w:color w:val="auto"/>
          <w:sz w:val="32"/>
          <w:szCs w:val="32"/>
          <w:lang w:val="en-US" w:eastAsia="zh-CN"/>
        </w:rPr>
        <w:t>车辆保有量未减少</w:t>
      </w:r>
      <w:r>
        <w:rPr>
          <w:rFonts w:hint="eastAsia" w:ascii="仿宋_GB2312" w:hAnsi="仿宋_GB2312" w:eastAsia="仿宋_GB2312"/>
          <w:color w:val="auto"/>
          <w:sz w:val="32"/>
          <w:szCs w:val="32"/>
        </w:rPr>
        <w:t>。</w:t>
      </w:r>
      <w:r>
        <w:rPr>
          <w:rFonts w:hint="eastAsia" w:ascii="仿宋_GB2312" w:hAnsi="仿宋_GB2312" w:eastAsia="仿宋_GB2312"/>
          <w:sz w:val="32"/>
          <w:szCs w:val="32"/>
        </w:rPr>
        <w:t>全年使用财政拨款购置公务用车0辆。</w:t>
      </w:r>
    </w:p>
    <w:p w14:paraId="0C245443">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公务用车运行维护费全年预算数5.77万元，决算数4.46万元，完成全年预算的77.30%，</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事业单位公务用车改革</w:t>
      </w:r>
      <w:r>
        <w:rPr>
          <w:rFonts w:hint="eastAsia" w:ascii="仿宋_GB2312" w:hAnsi="仿宋_GB2312" w:eastAsia="仿宋_GB2312"/>
          <w:sz w:val="32"/>
          <w:szCs w:val="32"/>
        </w:rPr>
        <w:t>。决算数比上年减少1.36万元，下降23.32%,</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事业单位公务用车改革，部分车辆有公车平台养护</w:t>
      </w:r>
      <w:r>
        <w:rPr>
          <w:rFonts w:hint="eastAsia" w:ascii="仿宋_GB2312" w:hAnsi="仿宋_GB2312" w:eastAsia="仿宋_GB2312"/>
          <w:sz w:val="32"/>
          <w:szCs w:val="32"/>
        </w:rPr>
        <w:t>。年末使用财政拨款负担费用的公务用车保有量5辆。</w:t>
      </w:r>
    </w:p>
    <w:p w14:paraId="036E2288">
      <w:pPr>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sz w:val="32"/>
          <w:szCs w:val="32"/>
        </w:rPr>
        <w:t>（三）公务接待费全年预算数1.19万元，决算数0.00万元，完成全年预算的0.00%，</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lang w:val="en-US" w:eastAsia="zh-CN"/>
        </w:rPr>
        <w:t>年度未开展公务接待活动</w:t>
      </w:r>
      <w:r>
        <w:rPr>
          <w:rFonts w:hint="eastAsia" w:ascii="仿宋_GB2312" w:hAnsi="仿宋_GB2312" w:eastAsia="仿宋_GB2312"/>
          <w:color w:val="auto"/>
          <w:sz w:val="32"/>
          <w:szCs w:val="32"/>
        </w:rPr>
        <w:t>。决算数与上年持平,</w:t>
      </w:r>
      <w:r>
        <w:rPr>
          <w:rFonts w:hint="eastAsia" w:ascii="仿宋_GB2312" w:hAnsi="仿宋_GB2312" w:eastAsia="仿宋_GB2312"/>
          <w:color w:val="auto"/>
          <w:sz w:val="32"/>
          <w:szCs w:val="32"/>
          <w:lang w:eastAsia="zh-CN"/>
        </w:rPr>
        <w:t>主要原因</w:t>
      </w:r>
      <w:r>
        <w:rPr>
          <w:rFonts w:hint="eastAsia" w:ascii="仿宋_GB2312" w:hAnsi="仿宋_GB2312" w:eastAsia="仿宋_GB2312"/>
          <w:color w:val="auto"/>
          <w:sz w:val="32"/>
          <w:szCs w:val="32"/>
        </w:rPr>
        <w:t>：</w:t>
      </w:r>
      <w:r>
        <w:rPr>
          <w:rFonts w:hint="eastAsia" w:ascii="仿宋_GB2312" w:hAnsi="仿宋_GB2312" w:eastAsia="仿宋_GB2312"/>
          <w:color w:val="auto"/>
          <w:sz w:val="32"/>
          <w:szCs w:val="32"/>
          <w:lang w:val="en-US" w:eastAsia="zh-CN"/>
        </w:rPr>
        <w:t>年度未开展公务接待活动</w:t>
      </w:r>
      <w:r>
        <w:rPr>
          <w:rFonts w:hint="eastAsia" w:ascii="仿宋_GB2312" w:hAnsi="仿宋_GB2312" w:eastAsia="仿宋_GB2312"/>
          <w:color w:val="auto"/>
          <w:sz w:val="32"/>
          <w:szCs w:val="32"/>
        </w:rPr>
        <w:t>。全年国内公务接待0批，累计接待0人次，主要是：</w:t>
      </w:r>
      <w:r>
        <w:rPr>
          <w:rFonts w:hint="eastAsia" w:ascii="仿宋_GB2312" w:hAnsi="仿宋_GB2312" w:eastAsia="仿宋_GB2312"/>
          <w:color w:val="auto"/>
          <w:sz w:val="32"/>
          <w:szCs w:val="32"/>
          <w:lang w:val="en-US" w:eastAsia="zh-CN"/>
        </w:rPr>
        <w:t>年度未开展公务接待活动</w:t>
      </w:r>
      <w:r>
        <w:rPr>
          <w:rFonts w:hint="eastAsia" w:ascii="仿宋_GB2312" w:hAnsi="仿宋_GB2312" w:eastAsia="仿宋_GB2312"/>
          <w:color w:val="auto"/>
          <w:sz w:val="32"/>
          <w:szCs w:val="32"/>
        </w:rPr>
        <w:t>。</w:t>
      </w:r>
    </w:p>
    <w:p w14:paraId="450F0293">
      <w:pPr>
        <w:ind w:firstLine="630"/>
        <w:jc w:val="left"/>
        <w:outlineLvl w:val="1"/>
        <w:rPr>
          <w:rFonts w:hint="eastAsia" w:ascii="黑体" w:hAnsi="黑体" w:eastAsia="黑体"/>
          <w:sz w:val="32"/>
          <w:szCs w:val="32"/>
        </w:rPr>
      </w:pPr>
      <w:r>
        <w:rPr>
          <w:rFonts w:hint="eastAsia" w:ascii="黑体" w:hAnsi="黑体" w:eastAsia="黑体"/>
          <w:sz w:val="32"/>
          <w:szCs w:val="32"/>
        </w:rPr>
        <w:t>六、机关运行经费支出情况说明</w:t>
      </w:r>
    </w:p>
    <w:p w14:paraId="7197849F">
      <w:pPr>
        <w:ind w:firstLine="630"/>
        <w:jc w:val="left"/>
        <w:rPr>
          <w:rFonts w:hint="eastAsia" w:ascii="仿宋_GB2312" w:hAnsi="仿宋_GB2312" w:eastAsia="仿宋_GB2312"/>
          <w:color w:val="auto"/>
          <w:sz w:val="32"/>
          <w:szCs w:val="32"/>
          <w:highlight w:val="cyan"/>
        </w:rPr>
      </w:pPr>
      <w:r>
        <w:rPr>
          <w:rFonts w:hint="eastAsia" w:ascii="仿宋_GB2312" w:hAnsi="仿宋_GB2312" w:eastAsia="仿宋_GB2312"/>
          <w:sz w:val="32"/>
          <w:szCs w:val="32"/>
        </w:rPr>
        <w:t>本部门2023年度机关运行经费支出587.52万元，决算数比上年增加574.11万元</w:t>
      </w:r>
      <w:r>
        <w:rPr>
          <w:rFonts w:hint="eastAsia" w:ascii="仿宋_GB2312" w:hAnsi="仿宋_GB2312" w:eastAsia="仿宋_GB2312" w:cs="Times New Roman"/>
          <w:sz w:val="32"/>
          <w:szCs w:val="32"/>
        </w:rPr>
        <w:t>，增长4279.57%</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lang w:val="en-US" w:eastAsia="zh-CN"/>
        </w:rPr>
        <w:t>足额发放人员绩效工资</w:t>
      </w:r>
      <w:r>
        <w:rPr>
          <w:rFonts w:hint="eastAsia" w:ascii="仿宋_GB2312" w:hAnsi="仿宋_GB2312" w:eastAsia="仿宋_GB2312"/>
          <w:color w:val="auto"/>
          <w:sz w:val="32"/>
          <w:szCs w:val="32"/>
        </w:rPr>
        <w:t>。</w:t>
      </w:r>
    </w:p>
    <w:p w14:paraId="6F5994A7">
      <w:pPr>
        <w:ind w:firstLine="630"/>
        <w:jc w:val="left"/>
        <w:outlineLvl w:val="1"/>
        <w:rPr>
          <w:rFonts w:ascii="黑体" w:hAnsi="黑体" w:eastAsia="黑体"/>
          <w:sz w:val="32"/>
          <w:szCs w:val="32"/>
        </w:rPr>
      </w:pPr>
      <w:r>
        <w:rPr>
          <w:rFonts w:hint="eastAsia" w:ascii="黑体" w:hAnsi="黑体" w:eastAsia="黑体"/>
          <w:sz w:val="32"/>
          <w:szCs w:val="32"/>
        </w:rPr>
        <w:t>七、政府采购支出情况说明</w:t>
      </w:r>
    </w:p>
    <w:p w14:paraId="5609810C">
      <w:pPr>
        <w:pStyle w:val="26"/>
        <w:spacing w:line="600" w:lineRule="atLeast"/>
        <w:ind w:firstLine="600"/>
        <w:rPr>
          <w:rFonts w:hint="eastAsia" w:ascii="仿宋_GB2312" w:hAnsi="仿宋_GB2312" w:eastAsia="仿宋_GB2312"/>
          <w:sz w:val="32"/>
          <w:szCs w:val="32"/>
        </w:rPr>
      </w:pPr>
      <w:r>
        <w:rPr>
          <w:rFonts w:hint="eastAsia" w:ascii="仿宋_GB2312" w:hAnsi="仿宋_GB2312" w:eastAsia="仿宋_GB2312"/>
          <w:kern w:val="2"/>
          <w:sz w:val="32"/>
          <w:szCs w:val="32"/>
        </w:rPr>
        <w:t>本部门2023年度政府采购支出总额49.85万元，其中：政府采购货物支出36.45万元、政府采购工程支出0.00万元、政府采购服务支出13.40万元。授予中小企业合同金额44.01万元，占政府采购支出总额的88.28%，其中：授予小微企业合同金额44.01万元，占授予中小企业合同金额的100.00%。</w:t>
      </w:r>
      <w:r>
        <w:rPr>
          <w:rFonts w:hint="eastAsia" w:ascii="仿宋_GB2312" w:hAnsi="仿宋_GB2312" w:eastAsia="仿宋_GB2312"/>
          <w:sz w:val="32"/>
          <w:szCs w:val="32"/>
        </w:rPr>
        <w:t>货物采购授予中小企业合同金额占货物支出金额</w:t>
      </w:r>
      <w:r>
        <w:rPr>
          <w:rFonts w:hint="eastAsia" w:ascii="仿宋_GB2312" w:hAnsi="仿宋_GB2312" w:eastAsia="仿宋_GB2312"/>
          <w:color w:val="auto"/>
          <w:sz w:val="32"/>
          <w:szCs w:val="32"/>
        </w:rPr>
        <w:t>的</w:t>
      </w:r>
      <w:r>
        <w:rPr>
          <w:rFonts w:hint="eastAsia" w:ascii="仿宋_GB2312" w:hAnsi="仿宋_GB2312" w:eastAsia="仿宋_GB2312"/>
          <w:color w:val="auto"/>
          <w:sz w:val="32"/>
          <w:szCs w:val="32"/>
          <w:lang w:val="en-US" w:eastAsia="zh-CN"/>
        </w:rPr>
        <w:t>0</w:t>
      </w:r>
      <w:r>
        <w:rPr>
          <w:rFonts w:hint="eastAsia" w:ascii="仿宋_GB2312" w:hAnsi="仿宋_GB2312" w:eastAsia="仿宋_GB2312"/>
          <w:color w:val="auto"/>
          <w:sz w:val="32"/>
          <w:szCs w:val="32"/>
        </w:rPr>
        <w:t>%，工程采购授予中小企业合同金额占工程支出金额的</w:t>
      </w:r>
      <w:r>
        <w:rPr>
          <w:rFonts w:hint="eastAsia" w:ascii="仿宋_GB2312" w:hAnsi="仿宋_GB2312" w:eastAsia="仿宋_GB2312"/>
          <w:color w:val="auto"/>
          <w:sz w:val="32"/>
          <w:szCs w:val="32"/>
          <w:lang w:val="en-US" w:eastAsia="zh-CN"/>
        </w:rPr>
        <w:t>0</w:t>
      </w:r>
      <w:r>
        <w:rPr>
          <w:rFonts w:hint="eastAsia" w:ascii="仿宋_GB2312" w:hAnsi="仿宋_GB2312" w:eastAsia="仿宋_GB2312"/>
          <w:color w:val="auto"/>
          <w:sz w:val="32"/>
          <w:szCs w:val="32"/>
        </w:rPr>
        <w:t>%，服务采购授予中小企业合同金额占服务支出金额的</w:t>
      </w:r>
      <w:r>
        <w:rPr>
          <w:rFonts w:hint="eastAsia" w:ascii="仿宋_GB2312" w:hAnsi="仿宋_GB2312" w:eastAsia="仿宋_GB2312"/>
          <w:color w:val="auto"/>
          <w:sz w:val="32"/>
          <w:szCs w:val="32"/>
          <w:lang w:val="en-US" w:eastAsia="zh-CN"/>
        </w:rPr>
        <w:t>0</w:t>
      </w:r>
      <w:r>
        <w:rPr>
          <w:rFonts w:hint="eastAsia" w:ascii="仿宋_GB2312" w:hAnsi="仿宋_GB2312" w:eastAsia="仿宋_GB2312"/>
          <w:color w:val="auto"/>
          <w:sz w:val="32"/>
          <w:szCs w:val="32"/>
        </w:rPr>
        <w:t>%</w:t>
      </w:r>
      <w:r>
        <w:rPr>
          <w:rFonts w:hint="eastAsia" w:ascii="仿宋_GB2312" w:hAnsi="仿宋_GB2312" w:eastAsia="仿宋_GB2312"/>
          <w:sz w:val="32"/>
          <w:szCs w:val="32"/>
        </w:rPr>
        <w:t>。</w:t>
      </w:r>
    </w:p>
    <w:p w14:paraId="65C35BD0">
      <w:pPr>
        <w:ind w:firstLine="630"/>
        <w:jc w:val="left"/>
        <w:outlineLvl w:val="1"/>
        <w:rPr>
          <w:rFonts w:hint="eastAsia" w:ascii="黑体" w:hAnsi="黑体" w:eastAsia="黑体"/>
          <w:sz w:val="32"/>
          <w:szCs w:val="32"/>
        </w:rPr>
      </w:pPr>
      <w:r>
        <w:rPr>
          <w:rFonts w:hint="eastAsia" w:ascii="黑体" w:hAnsi="黑体" w:eastAsia="黑体"/>
          <w:sz w:val="32"/>
          <w:szCs w:val="32"/>
        </w:rPr>
        <w:t>八、国有资产占用情况说明</w:t>
      </w:r>
    </w:p>
    <w:p w14:paraId="71E3AB90">
      <w:pPr>
        <w:ind w:firstLine="630"/>
        <w:jc w:val="left"/>
        <w:rPr>
          <w:rFonts w:ascii="仿宋_GB2312" w:hAnsi="仿宋_GB2312" w:eastAsia="仿宋_GB2312"/>
          <w:kern w:val="0"/>
          <w:sz w:val="32"/>
          <w:szCs w:val="32"/>
        </w:rPr>
      </w:pPr>
      <w:r>
        <w:rPr>
          <w:rFonts w:hint="eastAsia" w:ascii="仿宋_GB2312" w:hAnsi="仿宋_GB2312" w:eastAsia="仿宋_GB2312"/>
          <w:kern w:val="0"/>
          <w:sz w:val="32"/>
          <w:szCs w:val="32"/>
        </w:rPr>
        <w:t>截止2023年12月31日，本部门共有车辆</w:t>
      </w:r>
      <w:r>
        <w:rPr>
          <w:rFonts w:hint="eastAsia" w:ascii="仿宋_GB2312" w:hAnsi="仿宋_GB2312" w:eastAsia="仿宋_GB2312"/>
          <w:sz w:val="32"/>
          <w:szCs w:val="32"/>
        </w:rPr>
        <w:t>39</w:t>
      </w:r>
      <w:r>
        <w:rPr>
          <w:rFonts w:hint="eastAsia" w:ascii="仿宋_GB2312" w:hAnsi="仿宋_GB2312" w:eastAsia="仿宋_GB2312"/>
          <w:kern w:val="0"/>
          <w:sz w:val="32"/>
          <w:szCs w:val="32"/>
        </w:rPr>
        <w:t>辆（台），其中：副部（省）级及以上领导用车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辆、主要负责人用车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辆、机要通信用车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辆、应急保障用车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辆、执法执勤用车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辆、特种专业技术用车</w:t>
      </w:r>
      <w:r>
        <w:rPr>
          <w:rFonts w:hint="eastAsia" w:ascii="仿宋_GB2312" w:hAnsi="仿宋_GB2312" w:eastAsia="仿宋_GB2312"/>
          <w:sz w:val="32"/>
          <w:szCs w:val="32"/>
        </w:rPr>
        <w:t>2</w:t>
      </w:r>
      <w:r>
        <w:rPr>
          <w:rFonts w:hint="eastAsia" w:ascii="仿宋_GB2312" w:hAnsi="仿宋_GB2312" w:eastAsia="仿宋_GB2312"/>
          <w:kern w:val="0"/>
          <w:sz w:val="32"/>
          <w:szCs w:val="32"/>
        </w:rPr>
        <w:t>辆、离退休干部服务用车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辆、其他用车</w:t>
      </w:r>
      <w:r>
        <w:rPr>
          <w:rFonts w:hint="eastAsia" w:ascii="仿宋_GB2312" w:hAnsi="仿宋_GB2312" w:eastAsia="仿宋_GB2312"/>
          <w:sz w:val="32"/>
          <w:szCs w:val="32"/>
        </w:rPr>
        <w:t>37</w:t>
      </w:r>
      <w:r>
        <w:rPr>
          <w:rFonts w:hint="eastAsia" w:ascii="仿宋_GB2312" w:hAnsi="仿宋_GB2312" w:eastAsia="仿宋_GB2312"/>
          <w:kern w:val="0"/>
          <w:sz w:val="32"/>
          <w:szCs w:val="32"/>
        </w:rPr>
        <w:t>辆</w:t>
      </w:r>
      <w:r>
        <w:rPr>
          <w:rFonts w:hint="eastAsia" w:ascii="仿宋_GB2312" w:hAnsi="仿宋_GB2312" w:eastAsia="仿宋_GB2312" w:cs="Times New Roman"/>
          <w:sz w:val="32"/>
          <w:szCs w:val="32"/>
        </w:rPr>
        <w:t>，其他用车主要是用于（此处请补充内容）</w:t>
      </w:r>
      <w:r>
        <w:rPr>
          <w:rFonts w:hint="eastAsia" w:ascii="仿宋_GB2312" w:hAnsi="仿宋_GB2312" w:eastAsia="仿宋_GB2312"/>
          <w:kern w:val="0"/>
          <w:sz w:val="32"/>
          <w:szCs w:val="32"/>
        </w:rPr>
        <w:t>。本部门单价100万元（含）以上设备（不含车辆）</w:t>
      </w:r>
      <w:r>
        <w:rPr>
          <w:rFonts w:hint="eastAsia" w:ascii="仿宋_GB2312" w:hAnsi="仿宋_GB2312" w:eastAsia="仿宋_GB2312"/>
          <w:sz w:val="32"/>
          <w:szCs w:val="32"/>
        </w:rPr>
        <w:t>0</w:t>
      </w:r>
      <w:r>
        <w:rPr>
          <w:rFonts w:hint="eastAsia" w:ascii="仿宋_GB2312" w:hAnsi="仿宋_GB2312" w:eastAsia="仿宋_GB2312"/>
          <w:kern w:val="0"/>
          <w:sz w:val="32"/>
          <w:szCs w:val="32"/>
        </w:rPr>
        <w:t>台（套）。</w:t>
      </w:r>
    </w:p>
    <w:p w14:paraId="4EBD0624">
      <w:pPr>
        <w:ind w:firstLine="630"/>
        <w:jc w:val="left"/>
        <w:outlineLvl w:val="1"/>
        <w:rPr>
          <w:rFonts w:hint="eastAsia" w:ascii="黑体" w:hAnsi="黑体" w:eastAsia="黑体"/>
          <w:sz w:val="32"/>
          <w:szCs w:val="32"/>
        </w:rPr>
      </w:pPr>
      <w:r>
        <w:rPr>
          <w:rFonts w:hint="eastAsia" w:ascii="黑体" w:hAnsi="黑体" w:eastAsia="黑体"/>
          <w:sz w:val="32"/>
          <w:szCs w:val="32"/>
        </w:rPr>
        <w:t>九、预算绩效情况说明</w:t>
      </w:r>
    </w:p>
    <w:p w14:paraId="46D96334">
      <w:pPr>
        <w:autoSpaceDE w:val="0"/>
        <w:autoSpaceDN w:val="0"/>
        <w:adjustRightInd w:val="0"/>
        <w:spacing w:line="360" w:lineRule="auto"/>
        <w:ind w:firstLine="600"/>
        <w:jc w:val="left"/>
        <w:outlineLvl w:val="2"/>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（一）绩效管理工作开展情况。</w:t>
      </w:r>
    </w:p>
    <w:p w14:paraId="383B5DA1">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根据预算绩效管理要求，我部门组织对纳入2023年度部门预算范围的二级项目</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 xml:space="preserve">个全面开展绩效自评，共涉及资金   </w:t>
      </w:r>
      <w:r>
        <w:rPr>
          <w:rFonts w:hint="eastAsia" w:ascii="仿宋_GB2312" w:hAnsi="仿宋_GB2312" w:eastAsia="仿宋_GB2312" w:cs="仿宋_GB2312"/>
          <w:kern w:val="0"/>
          <w:sz w:val="32"/>
          <w:szCs w:val="32"/>
          <w:lang w:val="en-US" w:eastAsia="zh-CN"/>
        </w:rPr>
        <w:t>38729.86</w:t>
      </w:r>
      <w:r>
        <w:rPr>
          <w:rFonts w:hint="eastAsia" w:ascii="仿宋_GB2312" w:hAnsi="仿宋_GB2312" w:eastAsia="仿宋_GB2312" w:cs="仿宋_GB2312"/>
          <w:kern w:val="0"/>
          <w:sz w:val="32"/>
          <w:szCs w:val="32"/>
        </w:rPr>
        <w:t>万元，占项目支出总额的</w:t>
      </w:r>
      <w:r>
        <w:rPr>
          <w:rFonts w:hint="eastAsia" w:ascii="仿宋_GB2312" w:hAnsi="仿宋_GB2312" w:eastAsia="仿宋_GB2312" w:cs="仿宋_GB2312"/>
          <w:kern w:val="0"/>
          <w:sz w:val="32"/>
          <w:szCs w:val="32"/>
          <w:lang w:val="en-US" w:eastAsia="zh-CN"/>
        </w:rPr>
        <w:t>67.55</w:t>
      </w:r>
      <w:r>
        <w:rPr>
          <w:rFonts w:hint="eastAsia" w:ascii="仿宋_GB2312" w:hAnsi="仿宋_GB2312" w:eastAsia="仿宋_GB2312" w:cs="仿宋_GB2312"/>
          <w:kern w:val="0"/>
          <w:sz w:val="32"/>
          <w:szCs w:val="32"/>
        </w:rPr>
        <w:t xml:space="preserve">%。其中， </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 xml:space="preserve">个项目评价结果为“优”， </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个项目评价结果为“良”，</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个项目评价结果为“中”，</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 xml:space="preserve">个项目评价结果为“差”。   </w:t>
      </w:r>
    </w:p>
    <w:p w14:paraId="2C575699">
      <w:pPr>
        <w:pStyle w:val="11"/>
        <w:ind w:left="0" w:leftChars="0" w:firstLine="640" w:firstLineChars="200"/>
        <w:rPr>
          <w:rFonts w:hint="eastAsia" w:ascii="仿宋" w:hAnsi="仿宋" w:eastAsia="仿宋" w:cs="仿宋"/>
          <w:bCs/>
          <w:color w:val="auto"/>
          <w:sz w:val="32"/>
          <w:szCs w:val="32"/>
          <w:lang w:eastAsia="zh-CN"/>
        </w:rPr>
      </w:pPr>
      <w:r>
        <w:rPr>
          <w:rFonts w:hint="eastAsia" w:ascii="仿宋_GB2312" w:hAnsi="仿宋_GB2312" w:eastAsia="仿宋_GB2312" w:cs="仿宋_GB2312"/>
          <w:kern w:val="0"/>
          <w:sz w:val="32"/>
          <w:szCs w:val="32"/>
        </w:rPr>
        <w:t>组织对</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个项目开展了部门评价，</w:t>
      </w:r>
      <w:r>
        <w:rPr>
          <w:rFonts w:hint="eastAsia" w:ascii="仿宋_GB2312" w:hAnsi="仿宋_GB2312" w:eastAsia="仿宋_GB2312" w:cs="仿宋_GB2312"/>
          <w:kern w:val="0"/>
          <w:sz w:val="32"/>
          <w:szCs w:val="32"/>
          <w:lang w:val="en-US" w:eastAsia="zh-CN"/>
        </w:rPr>
        <w:t>分别为：</w:t>
      </w:r>
      <w:r>
        <w:rPr>
          <w:rFonts w:hint="eastAsia" w:ascii="仿宋" w:hAnsi="仿宋" w:eastAsia="仿宋" w:cs="仿宋"/>
          <w:sz w:val="32"/>
          <w:szCs w:val="32"/>
          <w:lang w:val="en-US" w:eastAsia="zh-CN"/>
        </w:rPr>
        <w:t>青云谱区水环境治理雨污分流制项目绩效自评报告、</w:t>
      </w:r>
      <w:r>
        <w:rPr>
          <w:rFonts w:hint="eastAsia" w:ascii="仿宋" w:hAnsi="仿宋" w:eastAsia="仿宋" w:cs="仿宋"/>
          <w:bCs/>
          <w:color w:val="auto"/>
          <w:sz w:val="32"/>
          <w:szCs w:val="32"/>
        </w:rPr>
        <w:t>青</w:t>
      </w:r>
      <w:r>
        <w:rPr>
          <w:rFonts w:hint="eastAsia" w:ascii="仿宋" w:hAnsi="仿宋" w:eastAsia="仿宋" w:cs="仿宋"/>
          <w:bCs/>
          <w:color w:val="auto"/>
          <w:sz w:val="32"/>
          <w:szCs w:val="32"/>
          <w:lang w:eastAsia="zh-CN"/>
        </w:rPr>
        <w:t>云谱</w:t>
      </w:r>
      <w:r>
        <w:rPr>
          <w:rFonts w:hint="eastAsia" w:ascii="仿宋" w:hAnsi="仿宋" w:eastAsia="仿宋" w:cs="仿宋"/>
          <w:bCs/>
          <w:color w:val="auto"/>
          <w:sz w:val="32"/>
          <w:szCs w:val="32"/>
        </w:rPr>
        <w:t>区</w:t>
      </w:r>
      <w:r>
        <w:rPr>
          <w:rFonts w:hint="eastAsia" w:ascii="仿宋" w:hAnsi="仿宋" w:eastAsia="仿宋" w:cs="仿宋"/>
          <w:bCs/>
          <w:color w:val="auto"/>
          <w:sz w:val="32"/>
          <w:szCs w:val="32"/>
          <w:lang w:eastAsia="zh-CN"/>
        </w:rPr>
        <w:t>洪都新城建设项目</w:t>
      </w:r>
      <w:r>
        <w:rPr>
          <w:rFonts w:hint="eastAsia" w:ascii="仿宋" w:hAnsi="仿宋" w:eastAsia="仿宋" w:cs="仿宋"/>
          <w:bCs/>
          <w:color w:val="auto"/>
          <w:sz w:val="32"/>
          <w:szCs w:val="32"/>
          <w:lang w:val="en-US" w:eastAsia="zh-CN"/>
        </w:rPr>
        <w:t>2023</w:t>
      </w:r>
      <w:r>
        <w:rPr>
          <w:rFonts w:hint="eastAsia" w:ascii="仿宋" w:hAnsi="仿宋" w:eastAsia="仿宋" w:cs="仿宋"/>
          <w:bCs/>
          <w:color w:val="auto"/>
          <w:sz w:val="32"/>
          <w:szCs w:val="32"/>
        </w:rPr>
        <w:t>年度绩效自评报告</w:t>
      </w:r>
      <w:r>
        <w:rPr>
          <w:rFonts w:hint="eastAsia" w:ascii="仿宋" w:hAnsi="仿宋" w:eastAsia="仿宋" w:cs="仿宋"/>
          <w:sz w:val="32"/>
          <w:szCs w:val="32"/>
          <w:lang w:val="en-US" w:eastAsia="zh-CN"/>
        </w:rPr>
        <w:t>、</w:t>
      </w:r>
      <w:r>
        <w:rPr>
          <w:rFonts w:hint="eastAsia" w:ascii="仿宋" w:hAnsi="仿宋" w:eastAsia="仿宋" w:cs="仿宋"/>
          <w:bCs/>
          <w:color w:val="auto"/>
          <w:sz w:val="32"/>
          <w:szCs w:val="32"/>
        </w:rPr>
        <w:t>青</w:t>
      </w:r>
      <w:r>
        <w:rPr>
          <w:rFonts w:hint="eastAsia" w:ascii="仿宋" w:hAnsi="仿宋" w:eastAsia="仿宋" w:cs="仿宋"/>
          <w:bCs/>
          <w:color w:val="auto"/>
          <w:sz w:val="32"/>
          <w:szCs w:val="32"/>
          <w:lang w:eastAsia="zh-CN"/>
        </w:rPr>
        <w:t>云谱</w:t>
      </w:r>
      <w:r>
        <w:rPr>
          <w:rFonts w:hint="eastAsia" w:ascii="仿宋" w:hAnsi="仿宋" w:eastAsia="仿宋" w:cs="仿宋"/>
          <w:bCs/>
          <w:color w:val="auto"/>
          <w:sz w:val="32"/>
          <w:szCs w:val="32"/>
        </w:rPr>
        <w:t>区</w:t>
      </w:r>
      <w:r>
        <w:rPr>
          <w:rFonts w:hint="eastAsia" w:ascii="仿宋" w:hAnsi="仿宋" w:eastAsia="仿宋" w:cs="仿宋"/>
          <w:bCs/>
          <w:color w:val="auto"/>
          <w:sz w:val="32"/>
          <w:szCs w:val="32"/>
          <w:lang w:eastAsia="zh-CN"/>
        </w:rPr>
        <w:t>徐坊、三店老旧小区提升改造项目</w:t>
      </w:r>
      <w:r>
        <w:rPr>
          <w:rFonts w:hint="eastAsia" w:ascii="仿宋" w:hAnsi="仿宋" w:eastAsia="仿宋" w:cs="仿宋"/>
          <w:bCs/>
          <w:color w:val="auto"/>
          <w:sz w:val="32"/>
          <w:szCs w:val="32"/>
          <w:lang w:val="en-US" w:eastAsia="zh-CN"/>
        </w:rPr>
        <w:t>2023</w:t>
      </w:r>
      <w:r>
        <w:rPr>
          <w:rFonts w:hint="eastAsia" w:ascii="仿宋" w:hAnsi="仿宋" w:eastAsia="仿宋" w:cs="仿宋"/>
          <w:bCs/>
          <w:color w:val="auto"/>
          <w:sz w:val="32"/>
          <w:szCs w:val="32"/>
        </w:rPr>
        <w:t>年度绩效</w:t>
      </w:r>
      <w:r>
        <w:rPr>
          <w:rFonts w:hint="eastAsia" w:ascii="仿宋" w:hAnsi="仿宋" w:eastAsia="仿宋" w:cs="仿宋"/>
          <w:bCs/>
          <w:color w:val="auto"/>
          <w:sz w:val="32"/>
          <w:szCs w:val="32"/>
          <w:lang w:val="en-US" w:eastAsia="zh-CN"/>
        </w:rPr>
        <w:t>评估</w:t>
      </w:r>
      <w:r>
        <w:rPr>
          <w:rFonts w:hint="eastAsia" w:ascii="仿宋" w:hAnsi="仿宋" w:eastAsia="仿宋" w:cs="仿宋"/>
          <w:bCs/>
          <w:color w:val="auto"/>
          <w:sz w:val="32"/>
          <w:szCs w:val="32"/>
        </w:rPr>
        <w:t>报告</w:t>
      </w:r>
      <w:r>
        <w:rPr>
          <w:rFonts w:hint="eastAsia" w:ascii="仿宋" w:hAnsi="仿宋" w:eastAsia="仿宋" w:cs="仿宋"/>
          <w:bCs/>
          <w:color w:val="auto"/>
          <w:sz w:val="32"/>
          <w:szCs w:val="32"/>
          <w:lang w:eastAsia="zh-CN"/>
        </w:rPr>
        <w:t>。</w:t>
      </w:r>
    </w:p>
    <w:p w14:paraId="6E6B0690">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涉及一般公共预算支出</w:t>
      </w:r>
      <w:r>
        <w:rPr>
          <w:rFonts w:hint="eastAsia" w:ascii="仿宋_GB2312" w:hAnsi="仿宋_GB2312" w:eastAsia="仿宋_GB2312" w:cs="仿宋_GB2312"/>
          <w:kern w:val="0"/>
          <w:sz w:val="32"/>
          <w:szCs w:val="32"/>
          <w:lang w:val="en-US" w:eastAsia="zh-CN"/>
        </w:rPr>
        <w:t>19429.86</w:t>
      </w:r>
      <w:r>
        <w:rPr>
          <w:rFonts w:hint="eastAsia" w:ascii="仿宋_GB2312" w:hAnsi="仿宋_GB2312" w:eastAsia="仿宋_GB2312" w:cs="仿宋_GB2312"/>
          <w:kern w:val="0"/>
          <w:sz w:val="32"/>
          <w:szCs w:val="32"/>
        </w:rPr>
        <w:t>万元，政府性基金预算支出</w:t>
      </w:r>
      <w:r>
        <w:rPr>
          <w:rFonts w:hint="eastAsia" w:ascii="仿宋_GB2312" w:hAnsi="仿宋_GB2312" w:eastAsia="仿宋_GB2312" w:cs="仿宋_GB2312"/>
          <w:kern w:val="0"/>
          <w:sz w:val="32"/>
          <w:szCs w:val="32"/>
          <w:lang w:val="en-US" w:eastAsia="zh-CN"/>
        </w:rPr>
        <w:t>19300</w:t>
      </w:r>
      <w:r>
        <w:rPr>
          <w:rFonts w:hint="eastAsia" w:ascii="仿宋_GB2312" w:hAnsi="仿宋_GB2312" w:eastAsia="仿宋_GB2312" w:cs="仿宋_GB2312"/>
          <w:kern w:val="0"/>
          <w:sz w:val="32"/>
          <w:szCs w:val="32"/>
        </w:rPr>
        <w:t>万元，国有资本预算支出</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w:t>
      </w:r>
    </w:p>
    <w:p w14:paraId="029E13D9">
      <w:pPr>
        <w:autoSpaceDE w:val="0"/>
        <w:autoSpaceDN w:val="0"/>
        <w:adjustRightInd w:val="0"/>
        <w:spacing w:line="360" w:lineRule="auto"/>
        <w:ind w:firstLine="640" w:firstLineChars="200"/>
        <w:jc w:val="left"/>
        <w:rPr>
          <w:rFonts w:hint="default" w:eastAsia="仿宋_GB2312"/>
          <w:lang w:val="en-US" w:eastAsia="zh-CN"/>
        </w:rPr>
      </w:pPr>
      <w:r>
        <w:rPr>
          <w:rFonts w:hint="eastAsia" w:ascii="仿宋_GB2312" w:hAnsi="仿宋_GB2312" w:eastAsia="仿宋_GB2312" w:cs="仿宋_GB2312"/>
          <w:kern w:val="0"/>
          <w:sz w:val="32"/>
          <w:szCs w:val="32"/>
        </w:rPr>
        <w:t>组织开展部门整体支出绩效评价，涉及一般公共预算支出</w:t>
      </w:r>
      <w:r>
        <w:rPr>
          <w:rFonts w:hint="eastAsia" w:ascii="仿宋_GB2312" w:hAnsi="仿宋_GB2312" w:eastAsia="仿宋_GB2312" w:cs="仿宋_GB2312"/>
          <w:kern w:val="0"/>
          <w:sz w:val="32"/>
          <w:szCs w:val="32"/>
          <w:lang w:val="en-US" w:eastAsia="zh-CN"/>
        </w:rPr>
        <w:t>14453.</w:t>
      </w:r>
      <w:r>
        <w:rPr>
          <w:rFonts w:hint="eastAsia" w:ascii="仿宋_GB2312" w:hAnsi="仿宋_GB2312" w:eastAsia="仿宋_GB2312" w:cs="仿宋_GB2312"/>
          <w:color w:val="auto"/>
          <w:kern w:val="0"/>
          <w:sz w:val="32"/>
          <w:szCs w:val="32"/>
          <w:lang w:val="en-US" w:eastAsia="zh-CN"/>
        </w:rPr>
        <w:t>45</w:t>
      </w:r>
      <w:r>
        <w:rPr>
          <w:rFonts w:hint="eastAsia" w:ascii="仿宋_GB2312" w:hAnsi="仿宋_GB2312" w:eastAsia="仿宋_GB2312" w:cs="仿宋_GB2312"/>
          <w:color w:val="auto"/>
          <w:kern w:val="0"/>
          <w:sz w:val="32"/>
          <w:szCs w:val="32"/>
        </w:rPr>
        <w:t>万元，政府性基金预算支出</w:t>
      </w:r>
      <w:r>
        <w:rPr>
          <w:rFonts w:hint="eastAsia" w:ascii="仿宋_GB2312" w:hAnsi="仿宋_GB2312" w:eastAsia="仿宋_GB2312" w:cs="仿宋_GB2312"/>
          <w:color w:val="auto"/>
          <w:kern w:val="0"/>
          <w:sz w:val="32"/>
          <w:szCs w:val="32"/>
          <w:lang w:val="en-US" w:eastAsia="zh-CN"/>
        </w:rPr>
        <w:t>32990.00</w:t>
      </w:r>
      <w:r>
        <w:rPr>
          <w:rFonts w:hint="eastAsia" w:ascii="仿宋_GB2312" w:hAnsi="仿宋_GB2312" w:eastAsia="仿宋_GB2312" w:cs="仿宋_GB2312"/>
          <w:color w:val="auto"/>
          <w:kern w:val="0"/>
          <w:sz w:val="32"/>
          <w:szCs w:val="32"/>
        </w:rPr>
        <w:t>万元</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评价结果为“</w:t>
      </w:r>
      <w:r>
        <w:rPr>
          <w:rFonts w:hint="eastAsia" w:ascii="仿宋_GB2312" w:hAnsi="仿宋_GB2312" w:eastAsia="仿宋_GB2312" w:cs="Times New Roman"/>
          <w:color w:val="auto"/>
          <w:sz w:val="32"/>
          <w:szCs w:val="32"/>
          <w:lang w:val="en-US" w:eastAsia="zh-CN"/>
        </w:rPr>
        <w:t>优</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详见：附件1</w:t>
      </w:r>
    </w:p>
    <w:p w14:paraId="18B2D76B">
      <w:pPr>
        <w:autoSpaceDE w:val="0"/>
        <w:autoSpaceDN w:val="0"/>
        <w:adjustRightInd w:val="0"/>
        <w:spacing w:line="360" w:lineRule="auto"/>
        <w:ind w:firstLine="600"/>
        <w:jc w:val="left"/>
        <w:outlineLvl w:val="2"/>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（二）部门决算中项目绩效自评情况。</w:t>
      </w:r>
    </w:p>
    <w:p w14:paraId="6B8E4537">
      <w:pPr>
        <w:bidi w:val="0"/>
        <w:ind w:firstLine="640" w:firstLineChars="200"/>
        <w:jc w:val="left"/>
        <w:rPr>
          <w:rFonts w:hint="eastAsia"/>
        </w:rPr>
      </w:pPr>
      <w:r>
        <w:rPr>
          <w:rFonts w:hint="eastAsia" w:ascii="仿宋" w:hAnsi="仿宋" w:eastAsia="仿宋" w:cs="仿宋"/>
          <w:color w:val="auto"/>
          <w:sz w:val="32"/>
          <w:szCs w:val="32"/>
        </w:rPr>
        <w:t>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年，我单位积极履行，强化管理，较好地完成了年度工作目标。通过加强预算收支管理，不断建立健全内部管理制度，梳理内部管理流程，部门</w:t>
      </w:r>
      <w:r>
        <w:rPr>
          <w:rFonts w:hint="eastAsia" w:ascii="仿宋" w:hAnsi="仿宋" w:eastAsia="仿宋" w:cs="仿宋"/>
          <w:color w:val="auto"/>
          <w:sz w:val="32"/>
          <w:szCs w:val="32"/>
          <w:lang w:eastAsia="zh-CN"/>
        </w:rPr>
        <w:t>项目</w:t>
      </w:r>
      <w:r>
        <w:rPr>
          <w:rFonts w:hint="eastAsia" w:ascii="仿宋" w:hAnsi="仿宋" w:eastAsia="仿宋" w:cs="仿宋"/>
          <w:color w:val="auto"/>
          <w:sz w:val="32"/>
          <w:szCs w:val="32"/>
        </w:rPr>
        <w:t>整体支出管理水平得到提升。根据部门</w:t>
      </w:r>
      <w:r>
        <w:rPr>
          <w:rFonts w:hint="eastAsia" w:ascii="仿宋" w:hAnsi="仿宋" w:eastAsia="仿宋" w:cs="仿宋"/>
          <w:color w:val="auto"/>
          <w:sz w:val="32"/>
          <w:szCs w:val="32"/>
          <w:lang w:eastAsia="zh-CN"/>
        </w:rPr>
        <w:t>项目</w:t>
      </w:r>
      <w:r>
        <w:rPr>
          <w:rFonts w:hint="eastAsia" w:ascii="仿宋" w:hAnsi="仿宋" w:eastAsia="仿宋" w:cs="仿宋"/>
          <w:color w:val="auto"/>
          <w:sz w:val="32"/>
          <w:szCs w:val="32"/>
        </w:rPr>
        <w:t>整体支出绩效评价指标体系，我单位202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年度评价得分为</w:t>
      </w:r>
      <w:r>
        <w:rPr>
          <w:rFonts w:hint="eastAsia" w:ascii="仿宋" w:hAnsi="仿宋" w:eastAsia="仿宋" w:cs="仿宋"/>
          <w:color w:val="auto"/>
          <w:sz w:val="32"/>
          <w:szCs w:val="32"/>
          <w:lang w:val="en-US" w:eastAsia="zh-CN"/>
        </w:rPr>
        <w:t>92.07</w:t>
      </w:r>
      <w:r>
        <w:rPr>
          <w:rFonts w:hint="eastAsia" w:ascii="仿宋" w:hAnsi="仿宋" w:eastAsia="仿宋" w:cs="仿宋"/>
          <w:color w:val="auto"/>
          <w:sz w:val="32"/>
          <w:szCs w:val="32"/>
        </w:rPr>
        <w:t>分。</w:t>
      </w:r>
    </w:p>
    <w:p w14:paraId="158BB644">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本部门“</w:t>
      </w:r>
      <w:r>
        <w:rPr>
          <w:rFonts w:hint="eastAsia" w:ascii="仿宋" w:hAnsi="仿宋" w:eastAsia="仿宋" w:cs="仿宋"/>
          <w:sz w:val="32"/>
          <w:szCs w:val="32"/>
          <w:lang w:val="en-US" w:eastAsia="zh-CN"/>
        </w:rPr>
        <w:t>水环境治理雨污分流制项目</w:t>
      </w:r>
      <w:r>
        <w:rPr>
          <w:rFonts w:hint="eastAsia" w:ascii="仿宋_GB2312" w:hAnsi="仿宋_GB2312" w:eastAsia="仿宋_GB2312" w:cs="仿宋_GB2312"/>
          <w:kern w:val="0"/>
          <w:sz w:val="32"/>
          <w:szCs w:val="32"/>
        </w:rPr>
        <w:t>”、“</w:t>
      </w:r>
      <w:r>
        <w:rPr>
          <w:rFonts w:hint="eastAsia" w:ascii="仿宋" w:hAnsi="仿宋" w:eastAsia="仿宋" w:cs="仿宋"/>
          <w:sz w:val="32"/>
          <w:szCs w:val="32"/>
          <w:lang w:val="en-US" w:eastAsia="zh-CN"/>
        </w:rPr>
        <w:t>洪都新城建设项目</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“2023年青云谱区徐坊、三店街道老旧小区提升改造项目” 项目支出绩效自评结果如下：</w:t>
      </w:r>
    </w:p>
    <w:p w14:paraId="2858A71F">
      <w:pPr>
        <w:autoSpaceDE w:val="0"/>
        <w:autoSpaceDN w:val="0"/>
        <w:adjustRightInd w:val="0"/>
        <w:spacing w:line="360" w:lineRule="auto"/>
        <w:ind w:firstLine="600"/>
        <w:jc w:val="left"/>
        <w:outlineLvl w:val="2"/>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（三）部门评价项目绩效评价情况。</w:t>
      </w:r>
    </w:p>
    <w:p w14:paraId="16038DD4">
      <w:pPr>
        <w:autoSpaceDE w:val="0"/>
        <w:autoSpaceDN w:val="0"/>
        <w:adjustRightInd w:val="0"/>
        <w:spacing w:line="360" w:lineRule="auto"/>
        <w:ind w:firstLine="600"/>
        <w:jc w:val="left"/>
        <w:rPr>
          <w:rFonts w:hint="eastAsia" w:ascii="仿宋_GB2312" w:hAnsi="仿宋_GB2312" w:eastAsia="仿宋_GB2312"/>
          <w:color w:val="auto"/>
          <w:sz w:val="32"/>
          <w:szCs w:val="32"/>
        </w:rPr>
      </w:pPr>
      <w:r>
        <w:rPr>
          <w:rFonts w:hint="eastAsia" w:ascii="仿宋_GB2312" w:hAnsi="仿宋_GB2312" w:eastAsia="仿宋_GB2312" w:cs="仿宋_GB2312"/>
          <w:kern w:val="0"/>
          <w:sz w:val="32"/>
          <w:szCs w:val="32"/>
        </w:rPr>
        <w:t>项目部门评价报告见第五部分附件。</w:t>
      </w:r>
      <w:r>
        <w:rPr>
          <w:rFonts w:hint="eastAsia" w:ascii="仿宋_GB2312" w:hAnsi="仿宋_GB2312" w:eastAsia="仿宋_GB2312" w:cs="仿宋_GB2312"/>
          <w:color w:val="auto"/>
          <w:kern w:val="0"/>
          <w:sz w:val="32"/>
          <w:szCs w:val="32"/>
        </w:rPr>
        <w:t>（部门评价报告作为附件</w:t>
      </w:r>
      <w:r>
        <w:rPr>
          <w:rFonts w:hint="eastAsia" w:ascii="仿宋_GB2312" w:hAnsi="仿宋_GB2312" w:eastAsia="仿宋_GB2312" w:cs="仿宋_GB2312"/>
          <w:color w:val="auto"/>
          <w:kern w:val="0"/>
          <w:sz w:val="32"/>
          <w:szCs w:val="32"/>
          <w:lang w:val="en-US" w:eastAsia="zh-CN"/>
        </w:rPr>
        <w:t>反映在第五部分</w:t>
      </w:r>
      <w:r>
        <w:rPr>
          <w:rFonts w:hint="eastAsia" w:ascii="仿宋_GB2312" w:hAnsi="仿宋_GB2312" w:eastAsia="仿宋_GB2312" w:cs="仿宋_GB2312"/>
          <w:color w:val="auto"/>
          <w:kern w:val="0"/>
          <w:sz w:val="32"/>
          <w:szCs w:val="32"/>
        </w:rPr>
        <w:t>。</w:t>
      </w:r>
      <w:r>
        <w:rPr>
          <w:rFonts w:hint="eastAsia" w:ascii="仿宋_GB2312" w:hAnsi="仿宋_GB2312" w:eastAsia="仿宋_GB2312"/>
          <w:color w:val="auto"/>
          <w:sz w:val="32"/>
          <w:szCs w:val="32"/>
        </w:rPr>
        <w:t>按照绩效信息公开要求，部门评价报告应予以公开</w:t>
      </w:r>
      <w:r>
        <w:rPr>
          <w:rFonts w:hint="eastAsia" w:ascii="仿宋_GB2312" w:hAnsi="仿宋_GB2312" w:eastAsia="仿宋_GB2312"/>
          <w:color w:val="auto"/>
          <w:sz w:val="32"/>
          <w:szCs w:val="32"/>
          <w:lang w:eastAsia="zh-CN"/>
        </w:rPr>
        <w:t>，</w:t>
      </w:r>
      <w:r>
        <w:rPr>
          <w:rFonts w:hint="eastAsia" w:ascii="仿宋_GB2312" w:hAnsi="仿宋_GB2312" w:eastAsia="仿宋_GB2312"/>
          <w:color w:val="auto"/>
          <w:sz w:val="32"/>
          <w:szCs w:val="32"/>
        </w:rPr>
        <w:t>涉密、敏感信息</w:t>
      </w:r>
      <w:r>
        <w:rPr>
          <w:rFonts w:hint="eastAsia" w:ascii="仿宋_GB2312" w:hAnsi="仿宋_GB2312" w:eastAsia="仿宋_GB2312"/>
          <w:color w:val="auto"/>
          <w:sz w:val="32"/>
          <w:szCs w:val="32"/>
          <w:lang w:val="en-US" w:eastAsia="zh-CN"/>
        </w:rPr>
        <w:t>除</w:t>
      </w:r>
      <w:r>
        <w:rPr>
          <w:rFonts w:hint="eastAsia" w:ascii="仿宋_GB2312" w:hAnsi="仿宋_GB2312" w:eastAsia="仿宋_GB2312"/>
          <w:color w:val="auto"/>
          <w:sz w:val="32"/>
          <w:szCs w:val="32"/>
        </w:rPr>
        <w:t>外。</w:t>
      </w:r>
      <w:r>
        <w:rPr>
          <w:rFonts w:hint="eastAsia" w:ascii="仿宋_GB2312" w:hAnsi="仿宋_GB2312" w:eastAsia="仿宋_GB2312"/>
          <w:color w:val="auto"/>
          <w:sz w:val="32"/>
          <w:szCs w:val="32"/>
          <w:lang w:val="en-US" w:eastAsia="zh-CN"/>
        </w:rPr>
        <w:t>原则上，</w:t>
      </w:r>
      <w:r>
        <w:rPr>
          <w:rFonts w:hint="eastAsia" w:ascii="仿宋_GB2312" w:hAnsi="仿宋_GB2312" w:eastAsia="仿宋_GB2312" w:cs="仿宋_GB2312"/>
          <w:color w:val="auto"/>
          <w:kern w:val="0"/>
          <w:sz w:val="32"/>
          <w:szCs w:val="32"/>
          <w:highlight w:val="none"/>
        </w:rPr>
        <w:t>部门评价项目数量在3个以内的，至少</w:t>
      </w:r>
      <w:r>
        <w:rPr>
          <w:rFonts w:hint="eastAsia" w:ascii="仿宋_GB2312" w:hAnsi="仿宋_GB2312" w:eastAsia="仿宋_GB2312" w:cs="仿宋_GB2312"/>
          <w:color w:val="auto"/>
          <w:kern w:val="0"/>
          <w:sz w:val="32"/>
          <w:szCs w:val="32"/>
          <w:highlight w:val="none"/>
          <w:lang w:val="en-US" w:eastAsia="zh-CN"/>
        </w:rPr>
        <w:t>公开</w:t>
      </w:r>
      <w:r>
        <w:rPr>
          <w:rFonts w:hint="eastAsia" w:ascii="仿宋_GB2312" w:hAnsi="仿宋_GB2312" w:eastAsia="仿宋_GB2312" w:cs="仿宋_GB2312"/>
          <w:color w:val="auto"/>
          <w:kern w:val="0"/>
          <w:sz w:val="32"/>
          <w:szCs w:val="32"/>
          <w:highlight w:val="none"/>
        </w:rPr>
        <w:t>1个部门评价报告；部门评价项目数量大于3个的，至少</w:t>
      </w:r>
      <w:r>
        <w:rPr>
          <w:rFonts w:hint="eastAsia" w:ascii="仿宋_GB2312" w:hAnsi="仿宋_GB2312" w:eastAsia="仿宋_GB2312" w:cs="仿宋_GB2312"/>
          <w:color w:val="auto"/>
          <w:kern w:val="0"/>
          <w:sz w:val="32"/>
          <w:szCs w:val="32"/>
          <w:highlight w:val="none"/>
          <w:lang w:val="en-US" w:eastAsia="zh-CN"/>
        </w:rPr>
        <w:t>公开</w:t>
      </w:r>
      <w:r>
        <w:rPr>
          <w:rFonts w:hint="eastAsia" w:ascii="仿宋_GB2312" w:hAnsi="仿宋_GB2312" w:eastAsia="仿宋_GB2312" w:cs="仿宋_GB2312"/>
          <w:color w:val="auto"/>
          <w:kern w:val="0"/>
          <w:sz w:val="32"/>
          <w:szCs w:val="32"/>
          <w:highlight w:val="none"/>
        </w:rPr>
        <w:t>2个部门评价报告。</w:t>
      </w:r>
      <w:r>
        <w:rPr>
          <w:rFonts w:hint="eastAsia" w:ascii="仿宋_GB2312" w:hAnsi="仿宋_GB2312" w:eastAsia="仿宋_GB2312"/>
          <w:color w:val="auto"/>
          <w:sz w:val="32"/>
          <w:szCs w:val="32"/>
        </w:rPr>
        <w:t>报告框架可参考《江西省省级项目支出和部门整体支出绩效评价管理暂行办法》（赣财绩〔2022〕9号）中《项目支出绩效评价报告（参考提纲）》）</w:t>
      </w:r>
    </w:p>
    <w:p w14:paraId="22262F2C">
      <w:pPr>
        <w:pStyle w:val="2"/>
        <w:rPr>
          <w:rFonts w:hint="eastAsia"/>
        </w:rPr>
      </w:pPr>
    </w:p>
    <w:p w14:paraId="51D5CEB8">
      <w:pPr>
        <w:autoSpaceDE w:val="0"/>
        <w:autoSpaceDN w:val="0"/>
        <w:adjustRightInd w:val="0"/>
        <w:spacing w:line="360" w:lineRule="auto"/>
        <w:ind w:firstLine="600"/>
        <w:jc w:val="left"/>
        <w:rPr>
          <w:rFonts w:hint="eastAsia" w:ascii="仿宋_GB2312" w:hAnsi="仿宋_GB2312" w:eastAsia="仿宋_GB2312" w:cs="仿宋_GB2312"/>
          <w:color w:val="FF0000"/>
          <w:kern w:val="0"/>
          <w:sz w:val="32"/>
          <w:szCs w:val="32"/>
        </w:rPr>
      </w:pPr>
    </w:p>
    <w:p w14:paraId="3BDD4F0C">
      <w:pPr>
        <w:keepNext w:val="0"/>
        <w:keepLines w:val="0"/>
        <w:pageBreakBefore w:val="0"/>
        <w:widowControl/>
        <w:kinsoku/>
        <w:wordWrap/>
        <w:overflowPunct/>
        <w:topLinePunct w:val="0"/>
        <w:autoSpaceDE/>
        <w:autoSpaceDN/>
        <w:bidi w:val="0"/>
        <w:adjustRightInd/>
        <w:snapToGrid/>
        <w:spacing w:line="600" w:lineRule="exact"/>
        <w:jc w:val="both"/>
        <w:textAlignment w:val="auto"/>
        <w:outlineLvl w:val="0"/>
        <w:rPr>
          <w:rFonts w:hint="eastAsia" w:ascii="宋体" w:hAnsi="宋体" w:cs="宋体"/>
          <w:b/>
          <w:bCs/>
          <w:sz w:val="44"/>
          <w:szCs w:val="44"/>
        </w:rPr>
      </w:pPr>
    </w:p>
    <w:p w14:paraId="42F9D852">
      <w:pPr>
        <w:pStyle w:val="2"/>
        <w:rPr>
          <w:rFonts w:hint="eastAsia" w:ascii="宋体" w:hAnsi="宋体" w:cs="宋体"/>
          <w:b/>
          <w:bCs/>
          <w:sz w:val="44"/>
          <w:szCs w:val="44"/>
        </w:rPr>
      </w:pPr>
    </w:p>
    <w:p w14:paraId="2AD74695">
      <w:pPr>
        <w:pStyle w:val="2"/>
        <w:rPr>
          <w:rFonts w:hint="eastAsia" w:ascii="宋体" w:hAnsi="宋体" w:cs="宋体"/>
          <w:b/>
          <w:bCs/>
          <w:sz w:val="44"/>
          <w:szCs w:val="44"/>
        </w:rPr>
      </w:pPr>
    </w:p>
    <w:p w14:paraId="07412769">
      <w:pPr>
        <w:keepNext w:val="0"/>
        <w:keepLines w:val="0"/>
        <w:pageBreakBefore w:val="0"/>
        <w:widowControl/>
        <w:kinsoku/>
        <w:wordWrap/>
        <w:overflowPunct/>
        <w:topLinePunct w:val="0"/>
        <w:autoSpaceDE/>
        <w:autoSpaceDN/>
        <w:bidi w:val="0"/>
        <w:adjustRightInd/>
        <w:snapToGrid/>
        <w:spacing w:line="600" w:lineRule="exact"/>
        <w:jc w:val="both"/>
        <w:textAlignment w:val="auto"/>
        <w:outlineLvl w:val="0"/>
        <w:rPr>
          <w:rFonts w:hint="eastAsia" w:ascii="宋体" w:hAnsi="宋体" w:cs="宋体"/>
          <w:b/>
          <w:bCs/>
          <w:sz w:val="44"/>
          <w:szCs w:val="44"/>
        </w:rPr>
      </w:pPr>
    </w:p>
    <w:p w14:paraId="7E53C0B4">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仿宋_GB2312" w:hAnsi="仿宋_GB2312" w:eastAsia="仿宋_GB2312"/>
          <w:sz w:val="30"/>
          <w:szCs w:val="30"/>
        </w:rPr>
      </w:pPr>
      <w:r>
        <w:rPr>
          <w:rFonts w:hint="eastAsia" w:ascii="宋体" w:hAnsi="宋体" w:cs="宋体"/>
          <w:b/>
          <w:bCs/>
          <w:sz w:val="44"/>
          <w:szCs w:val="44"/>
        </w:rPr>
        <w:t>第四部分  名词解释</w:t>
      </w:r>
    </w:p>
    <w:p w14:paraId="415D7982">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一、收入科目</w:t>
      </w:r>
    </w:p>
    <w:p w14:paraId="4363955A">
      <w:pPr>
        <w:spacing w:line="560" w:lineRule="exact"/>
        <w:ind w:firstLine="640"/>
        <w:rPr>
          <w:rFonts w:hint="eastAsia" w:ascii="仿宋_GB2312" w:eastAsia="仿宋_GB2312"/>
          <w:sz w:val="32"/>
          <w:szCs w:val="30"/>
        </w:rPr>
      </w:pPr>
      <w:r>
        <w:rPr>
          <w:rFonts w:hint="eastAsia" w:ascii="仿宋_GB2312" w:eastAsia="仿宋_GB2312"/>
          <w:sz w:val="32"/>
          <w:szCs w:val="30"/>
        </w:rPr>
        <w:t>（一）财政拨款：指当年财政拨付的资金。</w:t>
      </w:r>
    </w:p>
    <w:p w14:paraId="0852990E">
      <w:pPr>
        <w:spacing w:line="560" w:lineRule="exact"/>
        <w:ind w:firstLine="640"/>
        <w:rPr>
          <w:rFonts w:hint="eastAsia" w:ascii="仿宋_GB2312" w:eastAsia="仿宋_GB2312"/>
          <w:sz w:val="32"/>
          <w:szCs w:val="30"/>
        </w:rPr>
      </w:pPr>
      <w:r>
        <w:rPr>
          <w:rFonts w:hint="eastAsia" w:ascii="仿宋_GB2312" w:eastAsia="仿宋_GB2312"/>
          <w:sz w:val="32"/>
          <w:szCs w:val="30"/>
        </w:rPr>
        <w:t>（二）事业收入：指事业单位开展专业业务活动及辅助活动取得的收入。</w:t>
      </w:r>
    </w:p>
    <w:p w14:paraId="09B60046">
      <w:pPr>
        <w:spacing w:line="560" w:lineRule="exact"/>
        <w:ind w:firstLine="640"/>
        <w:rPr>
          <w:rFonts w:hint="eastAsia" w:ascii="仿宋_GB2312" w:eastAsia="仿宋_GB2312"/>
          <w:sz w:val="32"/>
          <w:szCs w:val="30"/>
        </w:rPr>
      </w:pPr>
      <w:r>
        <w:rPr>
          <w:rFonts w:hint="eastAsia" w:ascii="仿宋_GB2312" w:eastAsia="仿宋_GB2312"/>
          <w:sz w:val="32"/>
          <w:szCs w:val="30"/>
        </w:rPr>
        <w:t>（三）其他收入：指除财政拨款、事业收入、事业单位经营收入等以外的各项收入。</w:t>
      </w:r>
    </w:p>
    <w:p w14:paraId="2287D6C8">
      <w:pPr>
        <w:spacing w:line="560" w:lineRule="exact"/>
        <w:ind w:firstLine="640"/>
        <w:rPr>
          <w:rFonts w:hint="eastAsia" w:ascii="仿宋_GB2312" w:hAnsi="仿宋_GB2312" w:eastAsia="仿宋_GB2312"/>
          <w:color w:val="FF0000"/>
          <w:kern w:val="0"/>
          <w:sz w:val="32"/>
          <w:szCs w:val="32"/>
        </w:rPr>
      </w:pPr>
      <w:r>
        <w:rPr>
          <w:rFonts w:hint="eastAsia" w:ascii="仿宋_GB2312" w:eastAsia="仿宋_GB2312"/>
          <w:sz w:val="32"/>
          <w:szCs w:val="30"/>
        </w:rPr>
        <w:t>（四）上年结转和结余：填列202</w:t>
      </w:r>
      <w:r>
        <w:rPr>
          <w:rFonts w:hint="eastAsia" w:ascii="仿宋_GB2312" w:eastAsia="仿宋_GB2312"/>
          <w:sz w:val="32"/>
          <w:szCs w:val="30"/>
          <w:lang w:val="en-US" w:eastAsia="zh-CN"/>
        </w:rPr>
        <w:t>2</w:t>
      </w:r>
      <w:r>
        <w:rPr>
          <w:rFonts w:hint="eastAsia" w:ascii="仿宋_GB2312" w:eastAsia="仿宋_GB2312"/>
          <w:sz w:val="32"/>
          <w:szCs w:val="30"/>
        </w:rPr>
        <w:t>年全部结转和结余的资金数，包括当年结转结余资金和历年滚存结转结余资金。</w:t>
      </w:r>
    </w:p>
    <w:p w14:paraId="5FF126F6">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二、支出科目</w:t>
      </w:r>
    </w:p>
    <w:p w14:paraId="428B775F">
      <w:pPr>
        <w:spacing w:line="560" w:lineRule="exact"/>
        <w:ind w:firstLine="640"/>
        <w:rPr>
          <w:rFonts w:hint="eastAsia" w:ascii="仿宋_GB2312" w:eastAsia="仿宋_GB2312"/>
          <w:sz w:val="32"/>
          <w:szCs w:val="30"/>
        </w:rPr>
      </w:pPr>
      <w:r>
        <w:rPr>
          <w:rFonts w:hint="eastAsia" w:ascii="仿宋_GB2312" w:eastAsia="仿宋_GB2312"/>
          <w:sz w:val="32"/>
          <w:szCs w:val="30"/>
        </w:rPr>
        <w:t>（一）行政运行：反映行政单位（包括参公单位）的基本支出。</w:t>
      </w:r>
    </w:p>
    <w:p w14:paraId="5E168E06">
      <w:pPr>
        <w:spacing w:line="560" w:lineRule="exact"/>
        <w:ind w:firstLine="640"/>
        <w:rPr>
          <w:rFonts w:hint="eastAsia" w:ascii="仿宋_GB2312" w:eastAsia="仿宋_GB2312"/>
          <w:sz w:val="32"/>
          <w:szCs w:val="30"/>
        </w:rPr>
      </w:pPr>
      <w:r>
        <w:rPr>
          <w:rFonts w:hint="eastAsia" w:ascii="仿宋_GB2312" w:eastAsia="仿宋_GB2312"/>
          <w:sz w:val="32"/>
          <w:szCs w:val="30"/>
        </w:rPr>
        <w:t>（二）一般行政管理事务：反映行政单位（包括参公单位）未单独设置项级科目的其他项目支出。</w:t>
      </w:r>
    </w:p>
    <w:p w14:paraId="2142F7F4">
      <w:pPr>
        <w:spacing w:line="560" w:lineRule="exact"/>
        <w:ind w:firstLine="640"/>
        <w:rPr>
          <w:rFonts w:hint="eastAsia" w:ascii="仿宋_GB2312" w:eastAsia="仿宋_GB2312"/>
          <w:sz w:val="32"/>
          <w:szCs w:val="30"/>
        </w:rPr>
      </w:pPr>
      <w:r>
        <w:rPr>
          <w:rFonts w:hint="eastAsia" w:ascii="仿宋_GB2312" w:eastAsia="仿宋_GB2312"/>
          <w:sz w:val="32"/>
          <w:szCs w:val="30"/>
        </w:rPr>
        <w:t>（三）事业运行：反映事业单位的基本支出。</w:t>
      </w:r>
    </w:p>
    <w:p w14:paraId="122F083E">
      <w:pPr>
        <w:spacing w:line="560" w:lineRule="exact"/>
        <w:ind w:firstLine="640" w:firstLineChars="200"/>
        <w:rPr>
          <w:rFonts w:hint="eastAsia" w:ascii="仿宋_GB2312" w:hAnsi="仿宋_GB2312" w:eastAsia="仿宋_GB2312"/>
          <w:color w:val="FF0000"/>
          <w:kern w:val="0"/>
          <w:sz w:val="32"/>
          <w:szCs w:val="32"/>
        </w:rPr>
      </w:pPr>
      <w:r>
        <w:rPr>
          <w:rFonts w:hint="eastAsia" w:ascii="仿宋_GB2312" w:eastAsia="仿宋_GB2312"/>
          <w:sz w:val="32"/>
          <w:szCs w:val="30"/>
        </w:rPr>
        <w:t>（四）住房公积金：反映行政事业单位按人力资源和社会保障部、财政部规定的基本工资和津补贴以及规定比例为职工缴纳的住房公积金</w:t>
      </w:r>
      <w:r>
        <w:rPr>
          <w:rFonts w:hint="eastAsia" w:ascii="仿宋_GB2312" w:eastAsia="仿宋_GB2312"/>
          <w:sz w:val="32"/>
          <w:szCs w:val="30"/>
          <w:lang w:eastAsia="zh-CN"/>
        </w:rPr>
        <w:t>。</w:t>
      </w:r>
    </w:p>
    <w:p w14:paraId="1A96F0E6">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三、相关专业名词</w:t>
      </w:r>
    </w:p>
    <w:p w14:paraId="1507C9BA">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 xml:space="preserve"> </w:t>
      </w:r>
      <w:r>
        <w:rPr>
          <w:rFonts w:hint="eastAsia" w:ascii="仿宋_GB2312" w:hAnsi="仿宋_GB2312" w:eastAsia="仿宋_GB2312" w:cs="仿宋_GB2312"/>
          <w:b/>
          <w:bCs/>
          <w:kern w:val="0"/>
          <w:sz w:val="32"/>
          <w:szCs w:val="32"/>
        </w:rPr>
        <w:t>（一）</w:t>
      </w:r>
      <w:r>
        <w:rPr>
          <w:rFonts w:hint="eastAsia" w:ascii="仿宋_GB2312" w:hAnsi="仿宋_GB2312" w:eastAsia="仿宋_GB2312"/>
          <w:b/>
          <w:bCs/>
          <w:kern w:val="0"/>
          <w:sz w:val="32"/>
          <w:szCs w:val="32"/>
        </w:rPr>
        <w:t>“三公”经费：</w:t>
      </w:r>
      <w:r>
        <w:rPr>
          <w:rFonts w:hint="eastAsia" w:ascii="仿宋_GB2312" w:hAnsi="仿宋_GB2312" w:eastAsia="仿宋_GB2312"/>
          <w:kern w:val="0"/>
          <w:sz w:val="32"/>
          <w:szCs w:val="32"/>
        </w:rPr>
        <w:t>是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6E5A5C44">
      <w:pPr>
        <w:ind w:firstLine="600"/>
        <w:rPr>
          <w:rFonts w:hint="eastAsia" w:ascii="仿宋_GB2312" w:hAnsi="仿宋_GB2312" w:eastAsia="仿宋_GB2312"/>
          <w:kern w:val="0"/>
          <w:sz w:val="32"/>
          <w:szCs w:val="32"/>
        </w:rPr>
      </w:pPr>
      <w:r>
        <w:rPr>
          <w:rFonts w:hint="eastAsia" w:ascii="仿宋_GB2312" w:hAnsi="仿宋_GB2312" w:eastAsia="仿宋_GB2312" w:cs="仿宋_GB2312"/>
          <w:b/>
          <w:bCs/>
          <w:kern w:val="0"/>
          <w:sz w:val="32"/>
          <w:szCs w:val="32"/>
        </w:rPr>
        <w:t>（二）</w:t>
      </w:r>
      <w:r>
        <w:rPr>
          <w:rFonts w:hint="eastAsia" w:ascii="仿宋_GB2312" w:hAnsi="仿宋_GB2312" w:eastAsia="仿宋_GB2312"/>
          <w:b/>
          <w:bCs/>
          <w:kern w:val="0"/>
          <w:sz w:val="32"/>
          <w:szCs w:val="32"/>
        </w:rPr>
        <w:t>机关运行经费：</w:t>
      </w:r>
      <w:r>
        <w:rPr>
          <w:rFonts w:hint="eastAsia" w:ascii="仿宋_GB2312" w:hAnsi="仿宋_GB2312" w:eastAsia="仿宋_GB2312"/>
          <w:kern w:val="0"/>
          <w:sz w:val="32"/>
          <w:szCs w:val="32"/>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03A77D08">
      <w:pPr>
        <w:bidi w:val="0"/>
        <w:rPr>
          <w:rFonts w:hint="eastAsia"/>
        </w:rPr>
      </w:pPr>
    </w:p>
    <w:p w14:paraId="506E4CD6">
      <w:pPr>
        <w:bidi w:val="0"/>
        <w:rPr>
          <w:rFonts w:hint="eastAsia"/>
        </w:rPr>
      </w:pPr>
    </w:p>
    <w:p w14:paraId="6EE135F9">
      <w:pPr>
        <w:bidi w:val="0"/>
        <w:rPr>
          <w:rFonts w:hint="eastAsia"/>
        </w:rPr>
      </w:pPr>
    </w:p>
    <w:p w14:paraId="1546EA18">
      <w:pPr>
        <w:bidi w:val="0"/>
        <w:rPr>
          <w:rFonts w:hint="eastAsia"/>
        </w:rPr>
      </w:pPr>
    </w:p>
    <w:p w14:paraId="6E12FB99">
      <w:pPr>
        <w:bidi w:val="0"/>
        <w:rPr>
          <w:rFonts w:hint="eastAsia"/>
        </w:rPr>
      </w:pPr>
    </w:p>
    <w:p w14:paraId="6C2B6101">
      <w:pPr>
        <w:bidi w:val="0"/>
        <w:rPr>
          <w:rFonts w:hint="eastAsia"/>
        </w:rPr>
      </w:pPr>
    </w:p>
    <w:p w14:paraId="067554AB">
      <w:pPr>
        <w:bidi w:val="0"/>
        <w:rPr>
          <w:rFonts w:hint="eastAsia"/>
        </w:rPr>
      </w:pPr>
    </w:p>
    <w:p w14:paraId="2AB1B6D0">
      <w:pPr>
        <w:bidi w:val="0"/>
        <w:rPr>
          <w:rFonts w:hint="eastAsia"/>
        </w:rPr>
      </w:pPr>
    </w:p>
    <w:p w14:paraId="612A81AD">
      <w:pPr>
        <w:bidi w:val="0"/>
        <w:rPr>
          <w:rFonts w:hint="eastAsia"/>
        </w:rPr>
      </w:pPr>
    </w:p>
    <w:p w14:paraId="74CBC3A5">
      <w:pPr>
        <w:bidi w:val="0"/>
        <w:rPr>
          <w:rFonts w:hint="eastAsia"/>
        </w:rPr>
      </w:pPr>
    </w:p>
    <w:p w14:paraId="160EAF90">
      <w:pPr>
        <w:bidi w:val="0"/>
        <w:rPr>
          <w:rFonts w:hint="eastAsia"/>
        </w:rPr>
      </w:pPr>
    </w:p>
    <w:p w14:paraId="3B3014AC">
      <w:pPr>
        <w:bidi w:val="0"/>
        <w:rPr>
          <w:rFonts w:hint="eastAsia"/>
        </w:rPr>
      </w:pPr>
    </w:p>
    <w:p w14:paraId="2B8AA7FA">
      <w:pPr>
        <w:bidi w:val="0"/>
        <w:rPr>
          <w:rFonts w:hint="eastAsia"/>
        </w:rPr>
      </w:pPr>
    </w:p>
    <w:p w14:paraId="69CC4992">
      <w:pPr>
        <w:bidi w:val="0"/>
        <w:rPr>
          <w:rFonts w:hint="eastAsia"/>
        </w:rPr>
      </w:pPr>
    </w:p>
    <w:p w14:paraId="5479AA45">
      <w:pPr>
        <w:bidi w:val="0"/>
        <w:rPr>
          <w:rFonts w:hint="eastAsia"/>
        </w:rPr>
      </w:pPr>
    </w:p>
    <w:p w14:paraId="62BDD59A">
      <w:pPr>
        <w:bidi w:val="0"/>
        <w:rPr>
          <w:rFonts w:hint="eastAsia"/>
        </w:rPr>
      </w:pPr>
    </w:p>
    <w:p w14:paraId="1B95B075">
      <w:pPr>
        <w:keepNext w:val="0"/>
        <w:keepLines w:val="0"/>
        <w:pageBreakBefore/>
        <w:widowControl/>
        <w:kinsoku/>
        <w:wordWrap/>
        <w:overflowPunct/>
        <w:topLinePunct w:val="0"/>
        <w:autoSpaceDE/>
        <w:autoSpaceDN/>
        <w:bidi w:val="0"/>
        <w:adjustRightInd/>
        <w:snapToGrid/>
        <w:spacing w:line="600" w:lineRule="exact"/>
        <w:textAlignment w:val="auto"/>
        <w:outlineLvl w:val="0"/>
        <w:rPr>
          <w:rFonts w:hint="eastAsia" w:ascii="宋体" w:hAnsi="宋体" w:cs="宋体"/>
          <w:b/>
          <w:bCs/>
          <w:sz w:val="44"/>
          <w:szCs w:val="44"/>
        </w:rPr>
      </w:pPr>
    </w:p>
    <w:p w14:paraId="2538DD29">
      <w:pPr>
        <w:keepNext w:val="0"/>
        <w:keepLines w:val="0"/>
        <w:pageBreakBefore w:val="0"/>
        <w:widowControl/>
        <w:numPr>
          <w:ilvl w:val="0"/>
          <w:numId w:val="1"/>
        </w:numPr>
        <w:kinsoku/>
        <w:wordWrap/>
        <w:overflowPunct/>
        <w:topLinePunct w:val="0"/>
        <w:autoSpaceDE/>
        <w:autoSpaceDN/>
        <w:bidi w:val="0"/>
        <w:adjustRightInd/>
        <w:snapToGrid/>
        <w:spacing w:line="600" w:lineRule="exact"/>
        <w:ind w:left="77" w:leftChars="0" w:firstLine="2653" w:firstLineChars="0"/>
        <w:textAlignment w:val="auto"/>
        <w:outlineLvl w:val="0"/>
        <w:rPr>
          <w:rFonts w:hint="eastAsia" w:ascii="宋体" w:hAnsi="宋体" w:cs="宋体"/>
          <w:b/>
          <w:bCs/>
          <w:sz w:val="44"/>
          <w:szCs w:val="44"/>
        </w:rPr>
      </w:pPr>
      <w:r>
        <w:rPr>
          <w:rFonts w:hint="eastAsia" w:ascii="宋体" w:hAnsi="宋体" w:cs="宋体"/>
          <w:b/>
          <w:bCs/>
          <w:sz w:val="44"/>
          <w:szCs w:val="44"/>
        </w:rPr>
        <w:t xml:space="preserve"> 附件</w:t>
      </w:r>
    </w:p>
    <w:p w14:paraId="0EFC7529">
      <w:pPr>
        <w:pStyle w:val="2"/>
        <w:numPr>
          <w:ilvl w:val="0"/>
          <w:numId w:val="0"/>
        </w:numPr>
        <w:rPr>
          <w:rFonts w:hint="eastAsia"/>
        </w:rPr>
      </w:pPr>
    </w:p>
    <w:p w14:paraId="66D3CF05">
      <w:pPr>
        <w:pStyle w:val="11"/>
        <w:ind w:left="0" w:leftChars="0" w:firstLine="0" w:firstLineChars="0"/>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附件：</w:t>
      </w:r>
    </w:p>
    <w:p w14:paraId="201CF3B2">
      <w:pPr>
        <w:pStyle w:val="11"/>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1、2023年度南昌市青云谱区住房和城乡建设部门整体绩效自评报告</w:t>
      </w:r>
    </w:p>
    <w:p w14:paraId="56F7378B">
      <w:pPr>
        <w:spacing w:line="536" w:lineRule="exact"/>
        <w:jc w:val="center"/>
        <w:rPr>
          <w:rFonts w:hint="default" w:ascii="仿宋" w:hAnsi="仿宋" w:eastAsia="仿宋" w:cs="仿宋"/>
          <w:bCs/>
          <w:color w:val="auto"/>
          <w:sz w:val="32"/>
          <w:szCs w:val="32"/>
          <w:lang w:val="en-US"/>
        </w:rPr>
      </w:pPr>
      <w:r>
        <w:rPr>
          <w:rFonts w:hint="eastAsia" w:ascii="仿宋" w:hAnsi="仿宋" w:eastAsia="仿宋" w:cs="仿宋"/>
          <w:sz w:val="32"/>
          <w:szCs w:val="32"/>
          <w:lang w:val="en-US" w:eastAsia="zh-CN"/>
        </w:rPr>
        <w:t xml:space="preserve">    2、青云谱区水环境治理雨污分流制项目绩效自评报告</w:t>
      </w:r>
    </w:p>
    <w:p w14:paraId="5EF76638">
      <w:pPr>
        <w:pStyle w:val="11"/>
        <w:ind w:left="2658" w:leftChars="504" w:hanging="1600" w:hangingChars="500"/>
        <w:rPr>
          <w:rFonts w:hint="eastAsia" w:ascii="仿宋" w:hAnsi="仿宋" w:eastAsia="仿宋" w:cs="仿宋"/>
          <w:sz w:val="32"/>
          <w:szCs w:val="32"/>
          <w:lang w:val="en-US" w:eastAsia="zh-CN"/>
        </w:rPr>
      </w:pPr>
    </w:p>
    <w:p w14:paraId="3869856A">
      <w:pPr>
        <w:spacing w:line="536" w:lineRule="exact"/>
        <w:jc w:val="center"/>
        <w:rPr>
          <w:rFonts w:hint="eastAsia" w:ascii="仿宋" w:hAnsi="仿宋" w:eastAsia="仿宋" w:cs="仿宋"/>
          <w:bCs/>
          <w:color w:val="auto"/>
          <w:sz w:val="32"/>
          <w:szCs w:val="32"/>
        </w:rPr>
      </w:pPr>
      <w:r>
        <w:rPr>
          <w:rFonts w:hint="eastAsia" w:ascii="仿宋" w:hAnsi="仿宋" w:eastAsia="仿宋" w:cs="仿宋"/>
          <w:sz w:val="32"/>
          <w:szCs w:val="32"/>
          <w:lang w:val="en-US" w:eastAsia="zh-CN"/>
        </w:rPr>
        <w:t xml:space="preserve">    3、</w:t>
      </w:r>
      <w:r>
        <w:rPr>
          <w:rFonts w:hint="eastAsia" w:ascii="仿宋" w:hAnsi="仿宋" w:eastAsia="仿宋" w:cs="仿宋"/>
          <w:bCs/>
          <w:color w:val="auto"/>
          <w:sz w:val="32"/>
          <w:szCs w:val="32"/>
        </w:rPr>
        <w:t>青</w:t>
      </w:r>
      <w:r>
        <w:rPr>
          <w:rFonts w:hint="eastAsia" w:ascii="仿宋" w:hAnsi="仿宋" w:eastAsia="仿宋" w:cs="仿宋"/>
          <w:bCs/>
          <w:color w:val="auto"/>
          <w:sz w:val="32"/>
          <w:szCs w:val="32"/>
          <w:lang w:eastAsia="zh-CN"/>
        </w:rPr>
        <w:t>云谱</w:t>
      </w:r>
      <w:r>
        <w:rPr>
          <w:rFonts w:hint="eastAsia" w:ascii="仿宋" w:hAnsi="仿宋" w:eastAsia="仿宋" w:cs="仿宋"/>
          <w:bCs/>
          <w:color w:val="auto"/>
          <w:sz w:val="32"/>
          <w:szCs w:val="32"/>
        </w:rPr>
        <w:t>区</w:t>
      </w:r>
      <w:r>
        <w:rPr>
          <w:rFonts w:hint="eastAsia" w:ascii="仿宋" w:hAnsi="仿宋" w:eastAsia="仿宋" w:cs="仿宋"/>
          <w:bCs/>
          <w:color w:val="auto"/>
          <w:sz w:val="32"/>
          <w:szCs w:val="32"/>
          <w:lang w:eastAsia="zh-CN"/>
        </w:rPr>
        <w:t>洪都新城建设项目</w:t>
      </w:r>
      <w:r>
        <w:rPr>
          <w:rFonts w:hint="eastAsia" w:ascii="仿宋" w:hAnsi="仿宋" w:eastAsia="仿宋" w:cs="仿宋"/>
          <w:bCs/>
          <w:color w:val="auto"/>
          <w:sz w:val="32"/>
          <w:szCs w:val="32"/>
          <w:lang w:val="en-US" w:eastAsia="zh-CN"/>
        </w:rPr>
        <w:t>2023</w:t>
      </w:r>
      <w:r>
        <w:rPr>
          <w:rFonts w:hint="eastAsia" w:ascii="仿宋" w:hAnsi="仿宋" w:eastAsia="仿宋" w:cs="仿宋"/>
          <w:bCs/>
          <w:color w:val="auto"/>
          <w:sz w:val="32"/>
          <w:szCs w:val="32"/>
        </w:rPr>
        <w:t>年度绩效自评报告</w:t>
      </w:r>
    </w:p>
    <w:p w14:paraId="0947C621">
      <w:pPr>
        <w:spacing w:line="536" w:lineRule="exact"/>
        <w:jc w:val="center"/>
        <w:rPr>
          <w:rFonts w:hint="eastAsia" w:ascii="仿宋" w:hAnsi="仿宋" w:eastAsia="仿宋" w:cs="仿宋"/>
          <w:bCs/>
          <w:color w:val="auto"/>
          <w:sz w:val="32"/>
          <w:szCs w:val="32"/>
        </w:rPr>
      </w:pPr>
    </w:p>
    <w:p w14:paraId="5776FC46">
      <w:pPr>
        <w:spacing w:line="536" w:lineRule="exact"/>
        <w:ind w:left="960" w:hanging="960" w:hangingChars="300"/>
        <w:jc w:val="left"/>
        <w:rPr>
          <w:rFonts w:hint="eastAsia" w:ascii="仿宋" w:hAnsi="仿宋" w:eastAsia="仿宋" w:cs="仿宋"/>
          <w:bCs/>
          <w:color w:val="auto"/>
          <w:sz w:val="32"/>
          <w:szCs w:val="32"/>
        </w:rPr>
      </w:pPr>
      <w:r>
        <w:rPr>
          <w:rFonts w:hint="eastAsia" w:ascii="仿宋" w:hAnsi="仿宋" w:eastAsia="仿宋" w:cs="仿宋"/>
          <w:b w:val="0"/>
          <w:bCs w:val="0"/>
          <w:sz w:val="32"/>
          <w:szCs w:val="32"/>
          <w:lang w:val="en-US" w:eastAsia="zh-CN"/>
        </w:rPr>
        <w:t xml:space="preserve">    4、</w:t>
      </w:r>
      <w:r>
        <w:rPr>
          <w:rFonts w:hint="eastAsia" w:ascii="仿宋" w:hAnsi="仿宋" w:eastAsia="仿宋" w:cs="仿宋"/>
          <w:bCs/>
          <w:color w:val="auto"/>
          <w:sz w:val="32"/>
          <w:szCs w:val="32"/>
        </w:rPr>
        <w:t>青</w:t>
      </w:r>
      <w:r>
        <w:rPr>
          <w:rFonts w:hint="eastAsia" w:ascii="仿宋" w:hAnsi="仿宋" w:eastAsia="仿宋" w:cs="仿宋"/>
          <w:bCs/>
          <w:color w:val="auto"/>
          <w:sz w:val="32"/>
          <w:szCs w:val="32"/>
          <w:lang w:eastAsia="zh-CN"/>
        </w:rPr>
        <w:t>云谱</w:t>
      </w:r>
      <w:r>
        <w:rPr>
          <w:rFonts w:hint="eastAsia" w:ascii="仿宋" w:hAnsi="仿宋" w:eastAsia="仿宋" w:cs="仿宋"/>
          <w:bCs/>
          <w:color w:val="auto"/>
          <w:sz w:val="32"/>
          <w:szCs w:val="32"/>
        </w:rPr>
        <w:t>区</w:t>
      </w:r>
      <w:r>
        <w:rPr>
          <w:rFonts w:hint="eastAsia" w:ascii="仿宋" w:hAnsi="仿宋" w:eastAsia="仿宋" w:cs="仿宋"/>
          <w:bCs/>
          <w:color w:val="auto"/>
          <w:sz w:val="32"/>
          <w:szCs w:val="32"/>
          <w:lang w:eastAsia="zh-CN"/>
        </w:rPr>
        <w:t>徐坊、三店老旧小区提升改造项目</w:t>
      </w:r>
      <w:r>
        <w:rPr>
          <w:rFonts w:hint="eastAsia" w:ascii="仿宋" w:hAnsi="仿宋" w:eastAsia="仿宋" w:cs="仿宋"/>
          <w:bCs/>
          <w:color w:val="auto"/>
          <w:sz w:val="32"/>
          <w:szCs w:val="32"/>
          <w:lang w:val="en-US" w:eastAsia="zh-CN"/>
        </w:rPr>
        <w:t>2023</w:t>
      </w:r>
      <w:r>
        <w:rPr>
          <w:rFonts w:hint="eastAsia" w:ascii="仿宋" w:hAnsi="仿宋" w:eastAsia="仿宋" w:cs="仿宋"/>
          <w:bCs/>
          <w:color w:val="auto"/>
          <w:sz w:val="32"/>
          <w:szCs w:val="32"/>
        </w:rPr>
        <w:t>年度绩效</w:t>
      </w:r>
      <w:r>
        <w:rPr>
          <w:rFonts w:hint="eastAsia" w:ascii="仿宋" w:hAnsi="仿宋" w:eastAsia="仿宋" w:cs="仿宋"/>
          <w:bCs/>
          <w:color w:val="auto"/>
          <w:sz w:val="32"/>
          <w:szCs w:val="32"/>
          <w:lang w:val="en-US" w:eastAsia="zh-CN"/>
        </w:rPr>
        <w:t>评估</w:t>
      </w:r>
      <w:r>
        <w:rPr>
          <w:rFonts w:hint="eastAsia" w:ascii="仿宋" w:hAnsi="仿宋" w:eastAsia="仿宋" w:cs="仿宋"/>
          <w:bCs/>
          <w:color w:val="auto"/>
          <w:sz w:val="32"/>
          <w:szCs w:val="32"/>
        </w:rPr>
        <w:t>报告</w:t>
      </w:r>
    </w:p>
    <w:p w14:paraId="65B4D8A1">
      <w:pPr>
        <w:jc w:val="left"/>
        <w:rPr>
          <w:rFonts w:hint="default" w:ascii="仿宋" w:hAnsi="仿宋" w:eastAsia="仿宋" w:cs="仿宋"/>
          <w:b w:val="0"/>
          <w:bCs w:val="0"/>
          <w:sz w:val="32"/>
          <w:szCs w:val="32"/>
          <w:lang w:val="en-US" w:eastAsia="zh-CN"/>
        </w:rPr>
      </w:pPr>
    </w:p>
    <w:p w14:paraId="29F1028F">
      <w:pPr>
        <w:ind w:firstLine="640" w:firstLineChars="200"/>
        <w:rPr>
          <w:rFonts w:hint="eastAsia" w:ascii="仿宋_GB2312" w:hAnsi="仿宋_GB2312" w:eastAsia="仿宋_GB2312"/>
          <w:color w:val="FF0000"/>
          <w:kern w:val="0"/>
          <w:sz w:val="32"/>
          <w:szCs w:val="32"/>
        </w:rPr>
      </w:pPr>
    </w:p>
    <w:p w14:paraId="1E32B14E">
      <w:pPr>
        <w:ind w:firstLine="600"/>
        <w:rPr>
          <w:rFonts w:hint="eastAsia" w:ascii="仿宋_GB2312" w:hAnsi="仿宋_GB2312" w:eastAsia="仿宋_GB2312"/>
          <w:kern w:val="0"/>
          <w:sz w:val="32"/>
          <w:szCs w:val="32"/>
        </w:rPr>
      </w:pPr>
    </w:p>
    <w:p w14:paraId="1DE1E3D5">
      <w:pPr>
        <w:pStyle w:val="2"/>
        <w:rPr>
          <w:rFonts w:hint="eastAsia" w:ascii="仿宋_GB2312" w:hAnsi="仿宋_GB2312" w:eastAsia="仿宋_GB2312"/>
          <w:kern w:val="0"/>
          <w:sz w:val="32"/>
          <w:szCs w:val="32"/>
        </w:rPr>
      </w:pPr>
    </w:p>
    <w:p w14:paraId="5C6D0232">
      <w:pPr>
        <w:pStyle w:val="2"/>
        <w:rPr>
          <w:rFonts w:hint="eastAsia" w:ascii="仿宋_GB2312" w:hAnsi="仿宋_GB2312" w:eastAsia="仿宋_GB2312"/>
          <w:kern w:val="0"/>
          <w:sz w:val="32"/>
          <w:szCs w:val="32"/>
        </w:rPr>
      </w:pPr>
    </w:p>
    <w:p w14:paraId="1063D63B">
      <w:pPr>
        <w:pStyle w:val="2"/>
        <w:rPr>
          <w:rFonts w:hint="eastAsia" w:ascii="仿宋_GB2312" w:hAnsi="仿宋_GB2312" w:eastAsia="仿宋_GB2312"/>
          <w:kern w:val="0"/>
          <w:sz w:val="32"/>
          <w:szCs w:val="32"/>
        </w:rPr>
      </w:pPr>
    </w:p>
    <w:p w14:paraId="75443EF3">
      <w:pPr>
        <w:pStyle w:val="2"/>
        <w:rPr>
          <w:rFonts w:hint="eastAsia" w:ascii="仿宋_GB2312" w:hAnsi="仿宋_GB2312" w:eastAsia="仿宋_GB2312"/>
          <w:kern w:val="0"/>
          <w:sz w:val="32"/>
          <w:szCs w:val="32"/>
        </w:rPr>
      </w:pPr>
    </w:p>
    <w:p w14:paraId="43497641">
      <w:pPr>
        <w:pStyle w:val="2"/>
        <w:rPr>
          <w:rFonts w:hint="eastAsia" w:ascii="仿宋_GB2312" w:hAnsi="仿宋_GB2312" w:eastAsia="仿宋_GB2312"/>
          <w:kern w:val="0"/>
          <w:sz w:val="32"/>
          <w:szCs w:val="32"/>
        </w:rPr>
      </w:pPr>
    </w:p>
    <w:p w14:paraId="56579084">
      <w:pPr>
        <w:pStyle w:val="2"/>
        <w:rPr>
          <w:rFonts w:hint="eastAsia" w:ascii="仿宋_GB2312" w:hAnsi="仿宋_GB2312" w:eastAsia="仿宋_GB2312"/>
          <w:kern w:val="0"/>
          <w:sz w:val="32"/>
          <w:szCs w:val="32"/>
        </w:rPr>
      </w:pPr>
    </w:p>
    <w:p w14:paraId="4444F9B4">
      <w:pPr>
        <w:pStyle w:val="2"/>
        <w:rPr>
          <w:rFonts w:hint="eastAsia" w:ascii="仿宋_GB2312" w:hAnsi="仿宋_GB2312" w:eastAsia="仿宋_GB2312"/>
          <w:kern w:val="0"/>
          <w:sz w:val="32"/>
          <w:szCs w:val="32"/>
        </w:rPr>
      </w:pPr>
    </w:p>
    <w:p w14:paraId="06D743F8">
      <w:pPr>
        <w:pStyle w:val="2"/>
        <w:rPr>
          <w:rFonts w:hint="eastAsia" w:ascii="仿宋_GB2312" w:hAnsi="仿宋_GB2312" w:eastAsia="仿宋_GB2312"/>
          <w:kern w:val="0"/>
          <w:sz w:val="32"/>
          <w:szCs w:val="32"/>
        </w:rPr>
      </w:pPr>
    </w:p>
    <w:p w14:paraId="0C84FDA9">
      <w:pPr>
        <w:numPr>
          <w:ilvl w:val="0"/>
          <w:numId w:val="0"/>
        </w:numPr>
        <w:jc w:val="center"/>
        <w:rPr>
          <w:rFonts w:hint="eastAsia" w:ascii="仿宋" w:hAnsi="仿宋" w:eastAsia="仿宋"/>
          <w:b/>
          <w:bCs/>
          <w:sz w:val="32"/>
          <w:szCs w:val="22"/>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3</w:t>
      </w:r>
      <w:r>
        <w:rPr>
          <w:rFonts w:hint="eastAsia" w:ascii="方正小标宋简体" w:hAnsi="方正小标宋简体" w:eastAsia="方正小标宋简体" w:cs="方正小标宋简体"/>
          <w:sz w:val="44"/>
          <w:szCs w:val="44"/>
        </w:rPr>
        <w:t>年住建局</w:t>
      </w:r>
      <w:r>
        <w:rPr>
          <w:rFonts w:hint="eastAsia" w:ascii="方正小标宋简体" w:hAnsi="方正小标宋简体" w:eastAsia="方正小标宋简体" w:cs="方正小标宋简体"/>
          <w:sz w:val="44"/>
          <w:szCs w:val="44"/>
          <w:lang w:eastAsia="zh-CN"/>
        </w:rPr>
        <w:t>部门整体</w:t>
      </w:r>
      <w:r>
        <w:rPr>
          <w:rFonts w:hint="eastAsia" w:ascii="方正小标宋简体" w:hAnsi="方正小标宋简体" w:eastAsia="方正小标宋简体" w:cs="方正小标宋简体"/>
          <w:sz w:val="44"/>
          <w:szCs w:val="44"/>
        </w:rPr>
        <w:t>绩效</w:t>
      </w:r>
      <w:r>
        <w:rPr>
          <w:rFonts w:hint="eastAsia" w:ascii="方正小标宋简体" w:hAnsi="方正小标宋简体" w:eastAsia="方正小标宋简体" w:cs="方正小标宋简体"/>
          <w:sz w:val="44"/>
          <w:szCs w:val="44"/>
          <w:lang w:eastAsia="zh-CN"/>
        </w:rPr>
        <w:t>自评</w:t>
      </w:r>
      <w:r>
        <w:rPr>
          <w:rFonts w:hint="eastAsia" w:ascii="方正小标宋简体" w:hAnsi="方正小标宋简体" w:eastAsia="方正小标宋简体" w:cs="方正小标宋简体"/>
          <w:sz w:val="44"/>
          <w:szCs w:val="44"/>
        </w:rPr>
        <w:t>报告</w:t>
      </w:r>
    </w:p>
    <w:p w14:paraId="22B3C433">
      <w:pPr>
        <w:widowControl/>
        <w:ind w:firstLine="524" w:firstLineChars="200"/>
        <w:jc w:val="left"/>
        <w:rPr>
          <w:rFonts w:hint="eastAsia" w:ascii="仿宋" w:hAnsi="仿宋" w:eastAsia="仿宋" w:cs="仿宋"/>
          <w:color w:val="auto"/>
          <w:sz w:val="32"/>
          <w:szCs w:val="32"/>
        </w:rPr>
      </w:pPr>
      <w:r>
        <w:rPr>
          <w:rFonts w:hint="eastAsia" w:ascii="仿宋" w:hAnsi="仿宋" w:eastAsia="仿宋" w:cs="仿宋"/>
          <w:color w:val="auto"/>
          <w:spacing w:val="-29"/>
          <w:sz w:val="32"/>
          <w:szCs w:val="32"/>
        </w:rPr>
        <w:t>为深入贯彻落实《中共青云谱区委青云谱区人民政府关于全</w:t>
      </w:r>
      <w:r>
        <w:rPr>
          <w:rFonts w:hint="eastAsia" w:ascii="仿宋" w:hAnsi="仿宋" w:eastAsia="仿宋" w:cs="仿宋"/>
          <w:color w:val="auto"/>
          <w:spacing w:val="12"/>
          <w:sz w:val="32"/>
          <w:szCs w:val="32"/>
        </w:rPr>
        <w:t xml:space="preserve"> </w:t>
      </w:r>
      <w:r>
        <w:rPr>
          <w:rFonts w:hint="eastAsia" w:ascii="仿宋" w:hAnsi="仿宋" w:eastAsia="仿宋" w:cs="仿宋"/>
          <w:color w:val="auto"/>
          <w:spacing w:val="-24"/>
          <w:sz w:val="32"/>
          <w:szCs w:val="32"/>
        </w:rPr>
        <w:t>面实施预算绩效管理的实施意见》(青字〔2019〕59号)及《青</w:t>
      </w:r>
      <w:r>
        <w:rPr>
          <w:rFonts w:hint="eastAsia" w:ascii="仿宋" w:hAnsi="仿宋" w:eastAsia="仿宋" w:cs="仿宋"/>
          <w:color w:val="auto"/>
          <w:spacing w:val="-23"/>
          <w:sz w:val="32"/>
          <w:szCs w:val="32"/>
        </w:rPr>
        <w:t>云谱区财政项目支出绩效评价管理办法》(青财发〔2020〕6</w:t>
      </w:r>
      <w:r>
        <w:rPr>
          <w:rFonts w:hint="eastAsia" w:ascii="仿宋" w:hAnsi="仿宋" w:eastAsia="仿宋" w:cs="仿宋"/>
          <w:color w:val="auto"/>
          <w:spacing w:val="-24"/>
          <w:sz w:val="32"/>
          <w:szCs w:val="32"/>
        </w:rPr>
        <w:t>0号)</w:t>
      </w:r>
      <w:r>
        <w:rPr>
          <w:rFonts w:hint="eastAsia" w:ascii="仿宋" w:hAnsi="仿宋" w:eastAsia="仿宋" w:cs="仿宋"/>
          <w:color w:val="auto"/>
          <w:sz w:val="32"/>
          <w:szCs w:val="32"/>
        </w:rPr>
        <w:t xml:space="preserve"> </w:t>
      </w:r>
      <w:r>
        <w:rPr>
          <w:rFonts w:hint="eastAsia" w:ascii="仿宋" w:hAnsi="仿宋" w:eastAsia="仿宋" w:cs="仿宋"/>
          <w:color w:val="auto"/>
          <w:spacing w:val="-28"/>
          <w:sz w:val="32"/>
          <w:szCs w:val="32"/>
        </w:rPr>
        <w:t>精神，强化区直部门绩效管理主体责任意识，根据省财政厅统一</w:t>
      </w:r>
      <w:r>
        <w:rPr>
          <w:rFonts w:hint="eastAsia" w:ascii="仿宋" w:hAnsi="仿宋" w:eastAsia="仿宋" w:cs="仿宋"/>
          <w:color w:val="auto"/>
          <w:sz w:val="32"/>
          <w:szCs w:val="32"/>
        </w:rPr>
        <w:t xml:space="preserve"> </w:t>
      </w:r>
      <w:r>
        <w:rPr>
          <w:rFonts w:hint="eastAsia" w:ascii="仿宋" w:hAnsi="仿宋" w:eastAsia="仿宋" w:cs="仿宋"/>
          <w:color w:val="auto"/>
          <w:spacing w:val="-25"/>
          <w:sz w:val="32"/>
          <w:szCs w:val="32"/>
        </w:rPr>
        <w:t>部署，开展2023年度全区预算单位自评及部门评价工作，</w:t>
      </w:r>
      <w:r>
        <w:rPr>
          <w:rFonts w:hint="eastAsia" w:ascii="仿宋" w:hAnsi="仿宋" w:eastAsia="仿宋" w:cs="仿宋"/>
          <w:color w:val="auto"/>
          <w:sz w:val="32"/>
          <w:szCs w:val="32"/>
        </w:rPr>
        <w:t>现将</w:t>
      </w:r>
      <w:r>
        <w:rPr>
          <w:rFonts w:hint="eastAsia" w:ascii="仿宋" w:hAnsi="仿宋" w:eastAsia="仿宋" w:cs="仿宋"/>
          <w:color w:val="auto"/>
          <w:sz w:val="32"/>
          <w:szCs w:val="32"/>
          <w:lang w:eastAsia="zh-CN"/>
        </w:rPr>
        <w:t>自评结果</w:t>
      </w:r>
      <w:r>
        <w:rPr>
          <w:rFonts w:hint="eastAsia" w:ascii="仿宋" w:hAnsi="仿宋" w:eastAsia="仿宋" w:cs="仿宋"/>
          <w:color w:val="auto"/>
          <w:sz w:val="32"/>
          <w:szCs w:val="32"/>
        </w:rPr>
        <w:t>报告如下：</w:t>
      </w:r>
    </w:p>
    <w:p w14:paraId="1D4FE5A6">
      <w:pPr>
        <w:widowControl/>
        <w:numPr>
          <w:ilvl w:val="0"/>
          <w:numId w:val="2"/>
        </w:numPr>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部门概况</w:t>
      </w:r>
    </w:p>
    <w:p w14:paraId="492348C0">
      <w:pPr>
        <w:snapToGrid w:val="0"/>
        <w:spacing w:line="520" w:lineRule="exact"/>
        <w:ind w:firstLine="643" w:firstLineChars="200"/>
        <w:rPr>
          <w:rFonts w:hint="eastAsia" w:ascii="仿宋" w:hAnsi="仿宋" w:eastAsia="仿宋" w:cs="仿宋"/>
          <w:sz w:val="32"/>
          <w:szCs w:val="40"/>
          <w:lang w:val="en-US" w:eastAsia="zh-CN"/>
        </w:rPr>
      </w:pPr>
      <w:r>
        <w:rPr>
          <w:rFonts w:hint="eastAsia" w:ascii="仿宋" w:hAnsi="仿宋" w:eastAsia="仿宋" w:cs="仿宋"/>
          <w:b/>
          <w:bCs/>
          <w:color w:val="auto"/>
          <w:sz w:val="32"/>
          <w:szCs w:val="32"/>
        </w:rPr>
        <w:t>1．主要职能。</w:t>
      </w:r>
    </w:p>
    <w:p w14:paraId="48A76F40">
      <w:pPr>
        <w:numPr>
          <w:ilvl w:val="0"/>
          <w:numId w:val="0"/>
        </w:numPr>
        <w:kinsoku/>
        <w:autoSpaceDE/>
        <w:autoSpaceDN/>
        <w:adjustRightInd/>
        <w:snapToGrid/>
        <w:ind w:firstLine="640" w:firstLineChars="200"/>
        <w:textAlignment w:val="auto"/>
        <w:rPr>
          <w:rFonts w:hint="eastAsia" w:ascii="仿宋" w:hAnsi="仿宋" w:eastAsia="仿宋" w:cs="仿宋"/>
          <w:snapToGrid/>
          <w:kern w:val="2"/>
          <w:sz w:val="32"/>
          <w:szCs w:val="30"/>
        </w:rPr>
      </w:pPr>
      <w:r>
        <w:rPr>
          <w:rFonts w:hint="eastAsia" w:ascii="仿宋" w:hAnsi="仿宋" w:eastAsia="仿宋" w:cs="仿宋"/>
          <w:sz w:val="32"/>
          <w:szCs w:val="40"/>
          <w:lang w:val="en-US" w:eastAsia="zh-CN"/>
        </w:rPr>
        <w:t>(1)</w:t>
      </w:r>
      <w:r>
        <w:rPr>
          <w:rFonts w:hint="eastAsia" w:ascii="仿宋" w:hAnsi="仿宋" w:eastAsia="仿宋" w:cs="仿宋"/>
          <w:sz w:val="32"/>
          <w:szCs w:val="30"/>
        </w:rPr>
        <w:t>贯彻执行国家关于城市建设事业方针政策和法律、法规，负责市政公用设施、园林绿化工程建设与管理。</w:t>
      </w:r>
    </w:p>
    <w:p w14:paraId="7A223150">
      <w:pPr>
        <w:kinsoku/>
        <w:autoSpaceDE/>
        <w:autoSpaceDN/>
        <w:adjustRightInd/>
        <w:snapToGrid/>
        <w:ind w:firstLine="640" w:firstLineChars="200"/>
        <w:textAlignment w:val="auto"/>
        <w:rPr>
          <w:rFonts w:hint="eastAsia" w:ascii="仿宋" w:hAnsi="仿宋" w:eastAsia="仿宋" w:cs="仿宋"/>
          <w:snapToGrid/>
          <w:kern w:val="2"/>
          <w:sz w:val="32"/>
          <w:szCs w:val="30"/>
        </w:rPr>
      </w:pPr>
      <w:r>
        <w:rPr>
          <w:rFonts w:hint="eastAsia" w:ascii="仿宋" w:hAnsi="仿宋" w:eastAsia="仿宋" w:cs="仿宋"/>
          <w:snapToGrid/>
          <w:kern w:val="2"/>
          <w:sz w:val="32"/>
          <w:szCs w:val="30"/>
        </w:rPr>
        <w:t>（</w:t>
      </w:r>
      <w:r>
        <w:rPr>
          <w:rFonts w:hint="eastAsia" w:ascii="仿宋" w:hAnsi="仿宋" w:eastAsia="仿宋" w:cs="仿宋"/>
          <w:snapToGrid/>
          <w:kern w:val="2"/>
          <w:sz w:val="32"/>
          <w:szCs w:val="30"/>
          <w:lang w:val="en-US" w:eastAsia="zh-CN"/>
        </w:rPr>
        <w:t>2</w:t>
      </w:r>
      <w:r>
        <w:rPr>
          <w:rFonts w:hint="eastAsia" w:ascii="仿宋" w:hAnsi="仿宋" w:eastAsia="仿宋" w:cs="仿宋"/>
          <w:snapToGrid/>
          <w:kern w:val="2"/>
          <w:sz w:val="32"/>
          <w:szCs w:val="30"/>
        </w:rPr>
        <w:t>）</w:t>
      </w:r>
      <w:r>
        <w:rPr>
          <w:rFonts w:hint="eastAsia" w:ascii="仿宋" w:hAnsi="仿宋" w:eastAsia="仿宋" w:cs="仿宋"/>
          <w:sz w:val="32"/>
          <w:szCs w:val="30"/>
        </w:rPr>
        <w:t>负责全区城镇低收入家庭的住房保障工作、负责全区集体土地上房屋权属登记管理工作、负责全区低洼地危旧房的普查、统计工作；会同区有关部门拟定全区低洼地危旧房改造计划并组织实施、负责全区城市房屋拆迁补偿安置管理工作、负责办理房屋租赁登记备案并核发《房屋租赁证明》、负责全区物业管理活动的监督管理工作。</w:t>
      </w:r>
    </w:p>
    <w:p w14:paraId="22E540FD">
      <w:pPr>
        <w:pStyle w:val="27"/>
        <w:rPr>
          <w:rFonts w:hint="eastAsia" w:ascii="仿宋" w:hAnsi="仿宋" w:eastAsia="仿宋" w:cs="仿宋"/>
          <w:sz w:val="32"/>
          <w:szCs w:val="30"/>
        </w:rPr>
      </w:pPr>
      <w:r>
        <w:rPr>
          <w:rFonts w:hint="eastAsia" w:ascii="仿宋" w:hAnsi="仿宋" w:eastAsia="仿宋" w:cs="仿宋"/>
          <w:sz w:val="32"/>
          <w:szCs w:val="30"/>
        </w:rPr>
        <w:t>（</w:t>
      </w:r>
      <w:r>
        <w:rPr>
          <w:rFonts w:hint="eastAsia" w:ascii="仿宋" w:hAnsi="仿宋" w:eastAsia="仿宋" w:cs="仿宋"/>
          <w:sz w:val="32"/>
          <w:szCs w:val="30"/>
          <w:lang w:val="en-US" w:eastAsia="zh-CN"/>
        </w:rPr>
        <w:t>3</w:t>
      </w:r>
      <w:r>
        <w:rPr>
          <w:rFonts w:hint="eastAsia" w:ascii="仿宋" w:hAnsi="仿宋" w:eastAsia="仿宋" w:cs="仿宋"/>
          <w:sz w:val="32"/>
          <w:szCs w:val="30"/>
        </w:rPr>
        <w:t>）负交通运输、水务、建设工程招投标等行业领域的监督与管理工作。</w:t>
      </w:r>
    </w:p>
    <w:p w14:paraId="2414FBCB">
      <w:pPr>
        <w:pStyle w:val="27"/>
        <w:rPr>
          <w:rFonts w:hint="eastAsia" w:ascii="仿宋" w:hAnsi="仿宋" w:eastAsia="仿宋" w:cs="仿宋"/>
          <w:sz w:val="32"/>
          <w:szCs w:val="30"/>
        </w:rPr>
      </w:pPr>
      <w:r>
        <w:rPr>
          <w:rFonts w:hint="eastAsia" w:ascii="仿宋" w:hAnsi="仿宋" w:eastAsia="仿宋" w:cs="仿宋"/>
          <w:sz w:val="32"/>
          <w:szCs w:val="30"/>
        </w:rPr>
        <w:t>（</w:t>
      </w:r>
      <w:r>
        <w:rPr>
          <w:rFonts w:hint="eastAsia" w:ascii="仿宋" w:hAnsi="仿宋" w:eastAsia="仿宋" w:cs="仿宋"/>
          <w:sz w:val="32"/>
          <w:szCs w:val="30"/>
          <w:lang w:val="en-US" w:eastAsia="zh-CN"/>
        </w:rPr>
        <w:t>4</w:t>
      </w:r>
      <w:r>
        <w:rPr>
          <w:rFonts w:hint="eastAsia" w:ascii="仿宋" w:hAnsi="仿宋" w:eastAsia="仿宋" w:cs="仿宋"/>
          <w:sz w:val="32"/>
          <w:szCs w:val="30"/>
        </w:rPr>
        <w:t>）协助上级部门组织实施公有住房出售和公有住房租金标准的相关政策。</w:t>
      </w:r>
    </w:p>
    <w:p w14:paraId="3431AFC7">
      <w:pPr>
        <w:pStyle w:val="27"/>
        <w:rPr>
          <w:rFonts w:hint="eastAsia" w:ascii="仿宋" w:hAnsi="仿宋" w:eastAsia="仿宋" w:cs="仿宋"/>
          <w:sz w:val="32"/>
          <w:szCs w:val="30"/>
        </w:rPr>
      </w:pPr>
      <w:r>
        <w:rPr>
          <w:rFonts w:hint="eastAsia" w:ascii="仿宋" w:hAnsi="仿宋" w:eastAsia="仿宋" w:cs="仿宋"/>
          <w:sz w:val="32"/>
          <w:szCs w:val="30"/>
        </w:rPr>
        <w:t>（</w:t>
      </w:r>
      <w:r>
        <w:rPr>
          <w:rFonts w:hint="eastAsia" w:ascii="仿宋" w:hAnsi="仿宋" w:eastAsia="仿宋" w:cs="仿宋"/>
          <w:sz w:val="32"/>
          <w:szCs w:val="30"/>
          <w:lang w:val="en-US" w:eastAsia="zh-CN"/>
        </w:rPr>
        <w:t>5</w:t>
      </w:r>
      <w:r>
        <w:rPr>
          <w:rFonts w:hint="eastAsia" w:ascii="仿宋" w:hAnsi="仿宋" w:eastAsia="仿宋" w:cs="仿宋"/>
          <w:sz w:val="32"/>
          <w:szCs w:val="30"/>
        </w:rPr>
        <w:t>）配合市建委对辖区建筑工程安全和文明施工进行监督与管理。</w:t>
      </w:r>
    </w:p>
    <w:p w14:paraId="2C106593">
      <w:pPr>
        <w:snapToGrid w:val="0"/>
        <w:spacing w:line="520" w:lineRule="exact"/>
        <w:ind w:firstLine="640" w:firstLineChars="200"/>
        <w:rPr>
          <w:rFonts w:hint="eastAsia" w:ascii="仿宋" w:hAnsi="仿宋" w:eastAsia="仿宋" w:cs="仿宋"/>
          <w:sz w:val="32"/>
          <w:szCs w:val="40"/>
          <w:lang w:val="en-US" w:eastAsia="zh-CN"/>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）完成区委和区政府交办的其他任务。</w:t>
      </w:r>
    </w:p>
    <w:p w14:paraId="26CB5DCA">
      <w:pPr>
        <w:numPr>
          <w:ilvl w:val="0"/>
          <w:numId w:val="3"/>
        </w:numPr>
        <w:snapToGrid w:val="0"/>
        <w:spacing w:line="520" w:lineRule="exact"/>
        <w:ind w:left="-223" w:leftChars="0" w:firstLine="643" w:firstLineChars="0"/>
        <w:rPr>
          <w:rFonts w:hint="eastAsia" w:ascii="仿宋" w:hAnsi="仿宋" w:eastAsia="仿宋" w:cs="仿宋"/>
          <w:b/>
          <w:bCs/>
          <w:color w:val="auto"/>
          <w:sz w:val="32"/>
          <w:szCs w:val="32"/>
        </w:rPr>
      </w:pPr>
      <w:r>
        <w:rPr>
          <w:rFonts w:hint="eastAsia" w:ascii="仿宋" w:hAnsi="仿宋" w:eastAsia="仿宋" w:cs="仿宋"/>
          <w:b/>
          <w:bCs/>
          <w:color w:val="auto"/>
          <w:sz w:val="32"/>
          <w:szCs w:val="32"/>
        </w:rPr>
        <w:t>机构情况，包括当年变动情况及原因。</w:t>
      </w:r>
    </w:p>
    <w:p w14:paraId="19D0A0B5">
      <w:pPr>
        <w:ind w:firstLine="560" w:firstLineChars="200"/>
        <w:jc w:val="left"/>
        <w:rPr>
          <w:rFonts w:hint="eastAsia" w:ascii="仿宋" w:hAnsi="仿宋" w:eastAsia="仿宋" w:cs="仿宋"/>
          <w:color w:val="auto"/>
          <w:sz w:val="32"/>
          <w:szCs w:val="32"/>
          <w:lang w:val="en-US" w:eastAsia="zh-CN"/>
        </w:rPr>
      </w:pPr>
      <w:r>
        <w:rPr>
          <w:rFonts w:hint="eastAsia" w:ascii="仿宋" w:hAnsi="仿宋" w:eastAsia="仿宋" w:cs="仿宋"/>
          <w:b w:val="0"/>
          <w:bCs w:val="0"/>
          <w:color w:val="auto"/>
          <w:sz w:val="28"/>
          <w:szCs w:val="28"/>
          <w:lang w:val="en-US" w:eastAsia="zh-CN"/>
        </w:rPr>
        <w:t>住建局共有预算单位4个</w:t>
      </w:r>
      <w:r>
        <w:rPr>
          <w:rFonts w:hint="eastAsia" w:ascii="仿宋" w:hAnsi="仿宋" w:eastAsia="仿宋" w:cs="仿宋"/>
          <w:color w:val="auto"/>
          <w:sz w:val="30"/>
          <w:szCs w:val="30"/>
        </w:rPr>
        <w:t>，</w:t>
      </w:r>
      <w:r>
        <w:rPr>
          <w:rFonts w:hint="eastAsia" w:ascii="仿宋" w:hAnsi="仿宋" w:eastAsia="仿宋" w:cs="仿宋"/>
          <w:b w:val="0"/>
          <w:bCs w:val="0"/>
          <w:color w:val="auto"/>
          <w:sz w:val="28"/>
          <w:szCs w:val="28"/>
          <w:lang w:val="en-US" w:eastAsia="zh-CN"/>
        </w:rPr>
        <w:t>包括局本级和3个所属二级预算单位，其中，行政机关1个：区住房和城乡建设局；财政补助事业单位3个：青云谱区市政园林养护中心（2023年6月份职能划转，单位整体转入区城管局）、青云谱区建筑工程质量和安全服务中心、青云谱区国有土地上房屋征收与补偿中心。</w:t>
      </w:r>
    </w:p>
    <w:p w14:paraId="7F168555">
      <w:pPr>
        <w:numPr>
          <w:ilvl w:val="0"/>
          <w:numId w:val="0"/>
        </w:numPr>
        <w:snapToGrid w:val="0"/>
        <w:spacing w:line="520" w:lineRule="exact"/>
        <w:ind w:leftChars="200" w:firstLine="321" w:firstLineChars="10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3.</w:t>
      </w:r>
      <w:r>
        <w:rPr>
          <w:rFonts w:hint="eastAsia" w:ascii="仿宋" w:hAnsi="仿宋" w:eastAsia="仿宋" w:cs="仿宋"/>
          <w:b/>
          <w:bCs/>
          <w:color w:val="auto"/>
          <w:sz w:val="32"/>
          <w:szCs w:val="32"/>
          <w:highlight w:val="none"/>
        </w:rPr>
        <w:t>人员情况，包括当年变动情况及原因。</w:t>
      </w:r>
    </w:p>
    <w:p w14:paraId="5923E64E">
      <w:pPr>
        <w:snapToGrid w:val="0"/>
        <w:spacing w:line="520" w:lineRule="exact"/>
        <w:ind w:firstLine="560" w:firstLineChars="200"/>
        <w:rPr>
          <w:rFonts w:hint="eastAsia" w:ascii="仿宋" w:hAnsi="仿宋" w:eastAsia="仿宋" w:cs="仿宋"/>
          <w:b/>
          <w:bCs/>
          <w:sz w:val="32"/>
          <w:szCs w:val="32"/>
          <w:lang w:val="en-US" w:eastAsia="zh-CN"/>
        </w:rPr>
      </w:pPr>
      <w:r>
        <w:rPr>
          <w:rFonts w:hint="eastAsia" w:ascii="仿宋" w:hAnsi="仿宋" w:eastAsia="仿宋" w:cs="仿宋"/>
          <w:b w:val="0"/>
          <w:bCs w:val="0"/>
          <w:color w:val="auto"/>
          <w:sz w:val="28"/>
          <w:szCs w:val="28"/>
          <w:lang w:val="en-US" w:eastAsia="zh-CN"/>
        </w:rPr>
        <w:t>年末实有人数280人，其中：在职行政人员7人，非参公事业人员112人，退休人员161人。</w:t>
      </w:r>
    </w:p>
    <w:p w14:paraId="1A3F2710">
      <w:pPr>
        <w:numPr>
          <w:ilvl w:val="0"/>
          <w:numId w:val="0"/>
        </w:numPr>
        <w:jc w:val="left"/>
        <w:rPr>
          <w:rFonts w:hint="eastAsia" w:ascii="仿宋" w:hAnsi="仿宋" w:eastAsia="仿宋" w:cs="仿宋"/>
          <w:b/>
          <w:bCs/>
          <w:sz w:val="32"/>
          <w:szCs w:val="32"/>
        </w:rPr>
      </w:pP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本部门绩效</w:t>
      </w:r>
      <w:r>
        <w:rPr>
          <w:rFonts w:hint="eastAsia" w:ascii="仿宋" w:hAnsi="仿宋" w:eastAsia="仿宋" w:cs="仿宋"/>
          <w:b/>
          <w:bCs/>
          <w:sz w:val="32"/>
          <w:szCs w:val="32"/>
          <w:lang w:eastAsia="zh-CN"/>
        </w:rPr>
        <w:t>自评</w:t>
      </w:r>
      <w:r>
        <w:rPr>
          <w:rFonts w:hint="eastAsia" w:ascii="仿宋" w:hAnsi="仿宋" w:eastAsia="仿宋" w:cs="仿宋"/>
          <w:b/>
          <w:bCs/>
          <w:sz w:val="32"/>
          <w:szCs w:val="32"/>
        </w:rPr>
        <w:t>结果总体分析</w:t>
      </w:r>
    </w:p>
    <w:p w14:paraId="0D7FF525">
      <w:pPr>
        <w:rPr>
          <w:rFonts w:hint="eastAsia" w:ascii="仿宋" w:hAnsi="仿宋" w:eastAsia="仿宋" w:cs="仿宋"/>
          <w:color w:val="auto"/>
          <w:sz w:val="32"/>
          <w:szCs w:val="32"/>
        </w:rPr>
      </w:pPr>
      <w:r>
        <w:rPr>
          <w:rFonts w:hint="eastAsia" w:ascii="仿宋" w:hAnsi="仿宋" w:eastAsia="仿宋" w:cs="仿宋"/>
          <w:color w:val="auto"/>
          <w:sz w:val="32"/>
          <w:szCs w:val="32"/>
        </w:rPr>
        <w:t>（一）、预算绩效</w:t>
      </w:r>
      <w:r>
        <w:rPr>
          <w:rFonts w:hint="eastAsia" w:ascii="仿宋" w:hAnsi="仿宋" w:eastAsia="仿宋" w:cs="仿宋"/>
          <w:color w:val="auto"/>
          <w:sz w:val="32"/>
          <w:szCs w:val="32"/>
          <w:lang w:eastAsia="zh-CN"/>
        </w:rPr>
        <w:t>自评</w:t>
      </w:r>
      <w:r>
        <w:rPr>
          <w:rFonts w:hint="eastAsia" w:ascii="仿宋" w:hAnsi="仿宋" w:eastAsia="仿宋" w:cs="仿宋"/>
          <w:color w:val="auto"/>
          <w:sz w:val="32"/>
          <w:szCs w:val="32"/>
        </w:rPr>
        <w:t>工作组织开展状况</w:t>
      </w:r>
    </w:p>
    <w:p w14:paraId="3D5F2EC5">
      <w:pPr>
        <w:spacing w:line="360" w:lineRule="auto"/>
        <w:ind w:firstLine="630"/>
        <w:jc w:val="left"/>
        <w:rPr>
          <w:rFonts w:hint="eastAsia" w:ascii="仿宋" w:hAnsi="仿宋" w:eastAsia="仿宋" w:cs="仿宋"/>
          <w:b/>
          <w:bCs/>
          <w:color w:val="auto"/>
          <w:sz w:val="30"/>
          <w:szCs w:val="30"/>
        </w:rPr>
      </w:pPr>
      <w:r>
        <w:rPr>
          <w:rFonts w:hint="eastAsia" w:ascii="仿宋" w:hAnsi="仿宋" w:eastAsia="仿宋" w:cs="仿宋"/>
          <w:b/>
          <w:bCs/>
          <w:color w:val="auto"/>
          <w:sz w:val="30"/>
          <w:szCs w:val="30"/>
        </w:rPr>
        <w:t>1、年度总体目标</w:t>
      </w:r>
    </w:p>
    <w:p w14:paraId="4A4568F7">
      <w:pPr>
        <w:keepNext w:val="0"/>
        <w:keepLines w:val="0"/>
        <w:pageBreakBefore w:val="0"/>
        <w:widowControl w:val="0"/>
        <w:kinsoku/>
        <w:wordWrap/>
        <w:overflowPunct/>
        <w:topLinePunct w:val="0"/>
        <w:autoSpaceDE/>
        <w:autoSpaceDN/>
        <w:bidi w:val="0"/>
        <w:adjustRightInd/>
        <w:snapToGrid/>
        <w:spacing w:line="600" w:lineRule="exact"/>
        <w:ind w:firstLine="600" w:firstLineChars="200"/>
        <w:rPr>
          <w:rFonts w:hint="eastAsia" w:ascii="仿宋" w:hAnsi="仿宋" w:eastAsia="仿宋" w:cs="仿宋"/>
          <w:b w:val="0"/>
          <w:bCs w:val="0"/>
          <w:color w:val="auto"/>
          <w:sz w:val="30"/>
          <w:szCs w:val="30"/>
        </w:rPr>
      </w:pPr>
      <w:r>
        <w:rPr>
          <w:rFonts w:hint="eastAsia" w:ascii="仿宋" w:hAnsi="仿宋" w:eastAsia="仿宋" w:cs="仿宋"/>
          <w:b w:val="0"/>
          <w:bCs w:val="0"/>
          <w:color w:val="auto"/>
          <w:sz w:val="30"/>
          <w:szCs w:val="30"/>
        </w:rPr>
        <w:t>今年，青云谱区</w:t>
      </w:r>
      <w:r>
        <w:rPr>
          <w:rFonts w:hint="eastAsia" w:ascii="仿宋" w:hAnsi="仿宋" w:eastAsia="仿宋" w:cs="仿宋"/>
          <w:b w:val="0"/>
          <w:bCs w:val="0"/>
          <w:color w:val="auto"/>
          <w:sz w:val="30"/>
          <w:szCs w:val="30"/>
          <w:lang w:val="en-US" w:eastAsia="zh-CN"/>
        </w:rPr>
        <w:t>住建</w:t>
      </w:r>
      <w:r>
        <w:rPr>
          <w:rFonts w:hint="eastAsia" w:ascii="仿宋" w:hAnsi="仿宋" w:eastAsia="仿宋" w:cs="仿宋"/>
          <w:b w:val="0"/>
          <w:bCs w:val="0"/>
          <w:color w:val="auto"/>
          <w:sz w:val="30"/>
          <w:szCs w:val="30"/>
        </w:rPr>
        <w:t>局在</w:t>
      </w:r>
      <w:r>
        <w:rPr>
          <w:rFonts w:hint="eastAsia" w:ascii="仿宋" w:hAnsi="仿宋" w:eastAsia="仿宋" w:cs="仿宋"/>
          <w:b w:val="0"/>
          <w:bCs w:val="0"/>
          <w:color w:val="auto"/>
          <w:sz w:val="30"/>
          <w:szCs w:val="30"/>
          <w:lang w:val="en-US" w:eastAsia="zh-CN"/>
        </w:rPr>
        <w:t>区委区政府</w:t>
      </w:r>
      <w:r>
        <w:rPr>
          <w:rFonts w:hint="eastAsia" w:ascii="仿宋" w:hAnsi="仿宋" w:eastAsia="仿宋" w:cs="仿宋"/>
          <w:b w:val="0"/>
          <w:bCs w:val="0"/>
          <w:color w:val="auto"/>
          <w:sz w:val="30"/>
          <w:szCs w:val="30"/>
        </w:rPr>
        <w:t>的正确</w:t>
      </w:r>
      <w:r>
        <w:rPr>
          <w:rFonts w:hint="eastAsia" w:ascii="仿宋" w:hAnsi="仿宋" w:eastAsia="仿宋" w:cs="仿宋"/>
          <w:b w:val="0"/>
          <w:bCs w:val="0"/>
          <w:color w:val="auto"/>
          <w:sz w:val="30"/>
          <w:szCs w:val="30"/>
          <w:lang w:val="en-US" w:eastAsia="zh-CN"/>
        </w:rPr>
        <w:t>领</w:t>
      </w:r>
      <w:r>
        <w:rPr>
          <w:rFonts w:hint="eastAsia" w:ascii="仿宋" w:hAnsi="仿宋" w:eastAsia="仿宋" w:cs="仿宋"/>
          <w:b w:val="0"/>
          <w:bCs w:val="0"/>
          <w:color w:val="auto"/>
          <w:sz w:val="30"/>
          <w:szCs w:val="30"/>
        </w:rPr>
        <w:t>导下，紧紧围绕“干净整齐、畅通有序、文明礼让、和谐宜居”目标，想群众之所盼，急群众之所需，做群众之所愿，</w:t>
      </w:r>
      <w:r>
        <w:rPr>
          <w:rFonts w:hint="eastAsia" w:ascii="仿宋" w:hAnsi="仿宋" w:eastAsia="仿宋" w:cs="仿宋"/>
          <w:b w:val="0"/>
          <w:bCs w:val="0"/>
          <w:color w:val="auto"/>
          <w:sz w:val="30"/>
          <w:szCs w:val="30"/>
          <w:lang w:val="en-US" w:eastAsia="zh-CN"/>
        </w:rPr>
        <w:t>重点加快围绕城市更新项目建设</w:t>
      </w:r>
      <w:r>
        <w:rPr>
          <w:rFonts w:hint="eastAsia" w:ascii="仿宋" w:hAnsi="仿宋" w:eastAsia="仿宋" w:cs="仿宋"/>
          <w:b w:val="0"/>
          <w:bCs w:val="0"/>
          <w:color w:val="auto"/>
          <w:kern w:val="0"/>
          <w:sz w:val="30"/>
          <w:szCs w:val="30"/>
          <w:lang w:val="en-US" w:eastAsia="zh-CN"/>
        </w:rPr>
        <w:t>，</w:t>
      </w:r>
      <w:r>
        <w:rPr>
          <w:rFonts w:hint="eastAsia" w:ascii="仿宋" w:hAnsi="仿宋" w:eastAsia="仿宋" w:cs="仿宋"/>
          <w:b w:val="0"/>
          <w:bCs w:val="0"/>
          <w:color w:val="auto"/>
          <w:sz w:val="30"/>
          <w:szCs w:val="30"/>
        </w:rPr>
        <w:t>不断刷新城市面貌，提高提升群众幸福感。</w:t>
      </w:r>
    </w:p>
    <w:p w14:paraId="04EB3F8D">
      <w:pPr>
        <w:numPr>
          <w:ilvl w:val="0"/>
          <w:numId w:val="4"/>
        </w:numPr>
        <w:spacing w:line="360" w:lineRule="auto"/>
        <w:ind w:firstLine="602" w:firstLineChars="200"/>
        <w:rPr>
          <w:rFonts w:hint="eastAsia" w:ascii="仿宋" w:hAnsi="仿宋" w:eastAsia="仿宋" w:cs="仿宋"/>
          <w:b/>
          <w:color w:val="auto"/>
          <w:sz w:val="30"/>
          <w:szCs w:val="30"/>
        </w:rPr>
      </w:pPr>
      <w:r>
        <w:rPr>
          <w:rFonts w:hint="eastAsia" w:ascii="仿宋" w:hAnsi="仿宋" w:eastAsia="仿宋" w:cs="仿宋"/>
          <w:b/>
          <w:color w:val="auto"/>
          <w:sz w:val="30"/>
          <w:szCs w:val="30"/>
        </w:rPr>
        <w:t>年度工作任务</w:t>
      </w:r>
    </w:p>
    <w:p w14:paraId="6805584D">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bCs/>
          <w:i w:val="0"/>
          <w:iCs w:val="0"/>
          <w:caps w:val="0"/>
          <w:color w:val="333333"/>
          <w:spacing w:val="0"/>
          <w:sz w:val="32"/>
          <w:szCs w:val="32"/>
          <w:shd w:val="clear" w:fill="FFFFFF"/>
          <w:lang w:val="en-US" w:eastAsia="zh-CN"/>
        </w:rPr>
      </w:pPr>
      <w:r>
        <w:rPr>
          <w:rFonts w:hint="eastAsia" w:ascii="仿宋" w:hAnsi="仿宋" w:eastAsia="仿宋" w:cs="仿宋"/>
          <w:b/>
          <w:bCs/>
          <w:i w:val="0"/>
          <w:iCs w:val="0"/>
          <w:caps w:val="0"/>
          <w:color w:val="333333"/>
          <w:spacing w:val="0"/>
          <w:sz w:val="32"/>
          <w:szCs w:val="32"/>
          <w:shd w:val="clear" w:fill="FFFFFF"/>
        </w:rPr>
        <w:t>致力打造品质之城</w:t>
      </w:r>
      <w:r>
        <w:rPr>
          <w:rFonts w:hint="eastAsia" w:ascii="仿宋" w:hAnsi="仿宋" w:eastAsia="仿宋" w:cs="仿宋"/>
          <w:b/>
          <w:bCs/>
          <w:i w:val="0"/>
          <w:iCs w:val="0"/>
          <w:caps w:val="0"/>
          <w:color w:val="333333"/>
          <w:spacing w:val="0"/>
          <w:sz w:val="32"/>
          <w:szCs w:val="32"/>
          <w:shd w:val="clear" w:fill="FFFFFF"/>
          <w:lang w:eastAsia="zh-CN"/>
        </w:rPr>
        <w:t>，</w:t>
      </w:r>
      <w:r>
        <w:rPr>
          <w:rFonts w:hint="eastAsia" w:ascii="仿宋" w:hAnsi="仿宋" w:eastAsia="仿宋" w:cs="仿宋"/>
          <w:b/>
          <w:bCs/>
          <w:i w:val="0"/>
          <w:iCs w:val="0"/>
          <w:caps w:val="0"/>
          <w:color w:val="333333"/>
          <w:spacing w:val="0"/>
          <w:sz w:val="32"/>
          <w:szCs w:val="32"/>
          <w:shd w:val="clear" w:fill="FFFFFF"/>
        </w:rPr>
        <w:t>绘就城市建设新篇章</w:t>
      </w:r>
    </w:p>
    <w:p w14:paraId="270E9E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bCs/>
          <w:i w:val="0"/>
          <w:iCs w:val="0"/>
          <w:caps w:val="0"/>
          <w:color w:val="333333"/>
          <w:spacing w:val="0"/>
          <w:sz w:val="32"/>
          <w:szCs w:val="32"/>
          <w:shd w:val="clear" w:fill="FFFFFF"/>
          <w:lang w:val="en-US" w:eastAsia="zh-CN"/>
        </w:rPr>
      </w:pPr>
      <w:r>
        <w:rPr>
          <w:rFonts w:hint="eastAsia" w:ascii="仿宋" w:hAnsi="仿宋" w:eastAsia="仿宋" w:cs="仿宋"/>
          <w:b/>
          <w:bCs/>
          <w:i w:val="0"/>
          <w:iCs w:val="0"/>
          <w:caps w:val="0"/>
          <w:color w:val="333333"/>
          <w:spacing w:val="0"/>
          <w:sz w:val="32"/>
          <w:szCs w:val="32"/>
          <w:shd w:val="clear" w:fill="FFFFFF"/>
          <w:lang w:val="en-US" w:eastAsia="zh-CN"/>
        </w:rPr>
        <w:t>1.不断加强路网建设。</w:t>
      </w:r>
      <w:r>
        <w:rPr>
          <w:rFonts w:hint="eastAsia" w:ascii="仿宋" w:hAnsi="仿宋" w:eastAsia="仿宋" w:cs="仿宋"/>
          <w:sz w:val="32"/>
          <w:szCs w:val="32"/>
          <w:lang w:val="en-US" w:eastAsia="zh-CN"/>
        </w:rPr>
        <w:t>一是续建项目。三期、四期工程，已开工建设</w:t>
      </w:r>
      <w:r>
        <w:rPr>
          <w:rFonts w:hint="eastAsia" w:ascii="仿宋" w:hAnsi="仿宋" w:eastAsia="仿宋" w:cs="仿宋"/>
          <w:color w:val="auto"/>
          <w:sz w:val="32"/>
          <w:szCs w:val="32"/>
          <w:lang w:val="en-US" w:eastAsia="zh-CN"/>
        </w:rPr>
        <w:t>6.5公里，已完工通车3.6公里</w:t>
      </w:r>
      <w:r>
        <w:rPr>
          <w:rFonts w:hint="eastAsia" w:ascii="仿宋" w:hAnsi="仿宋" w:eastAsia="仿宋" w:cs="仿宋"/>
          <w:sz w:val="32"/>
          <w:szCs w:val="32"/>
          <w:lang w:val="en-US" w:eastAsia="zh-CN"/>
        </w:rPr>
        <w:t>。</w:t>
      </w:r>
      <w:r>
        <w:rPr>
          <w:rFonts w:hint="eastAsia" w:ascii="仿宋" w:hAnsi="仿宋" w:eastAsia="仿宋" w:cs="仿宋"/>
          <w:sz w:val="32"/>
          <w:szCs w:val="32"/>
          <w:highlight w:val="none"/>
          <w:lang w:eastAsia="zh-CN"/>
        </w:rPr>
        <w:t>目前，城南路、塔南路已完工通车。二是新建项目。新开工安置房周边道路排水工程：正在实施上海南路安置房项目、楞上安置房项目、城南安置房项目、万溪安置房项目、昌南安置房项目、西后巷安置房项目、南莲路安置房项目周边道路，其中四条道路已通车，已完成总工程量60%。三是打通断头路工程。结合道路建设，全力推进“打通断头路 畅通微循环”攻坚专项行动，完善建成区道路路网，目前和宝二路已</w:t>
      </w:r>
      <w:r>
        <w:rPr>
          <w:rFonts w:hint="eastAsia" w:ascii="仿宋" w:hAnsi="仿宋" w:eastAsia="仿宋" w:cs="仿宋"/>
          <w:sz w:val="32"/>
          <w:szCs w:val="32"/>
          <w:highlight w:val="none"/>
          <w:lang w:val="en-US" w:eastAsia="zh-CN"/>
        </w:rPr>
        <w:t>完工</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警民南一路及江联南路</w:t>
      </w:r>
      <w:r>
        <w:rPr>
          <w:rFonts w:hint="eastAsia" w:ascii="仿宋" w:hAnsi="仿宋" w:eastAsia="仿宋" w:cs="仿宋"/>
          <w:sz w:val="32"/>
          <w:szCs w:val="32"/>
          <w:highlight w:val="none"/>
          <w:lang w:eastAsia="zh-CN"/>
        </w:rPr>
        <w:t>预计</w:t>
      </w:r>
      <w:r>
        <w:rPr>
          <w:rFonts w:hint="eastAsia" w:ascii="仿宋" w:hAnsi="仿宋" w:eastAsia="仿宋" w:cs="仿宋"/>
          <w:sz w:val="32"/>
          <w:szCs w:val="32"/>
          <w:highlight w:val="none"/>
          <w:lang w:val="en-US" w:eastAsia="zh-CN"/>
        </w:rPr>
        <w:t>12上</w:t>
      </w:r>
      <w:r>
        <w:rPr>
          <w:rFonts w:hint="eastAsia" w:ascii="仿宋" w:hAnsi="仿宋" w:eastAsia="仿宋" w:cs="仿宋"/>
          <w:sz w:val="32"/>
          <w:szCs w:val="32"/>
          <w:highlight w:val="none"/>
          <w:lang w:eastAsia="zh-CN"/>
        </w:rPr>
        <w:t>旬挂网招标。</w:t>
      </w:r>
    </w:p>
    <w:p w14:paraId="063A8BBE">
      <w:pPr>
        <w:keepNext w:val="0"/>
        <w:keepLines w:val="0"/>
        <w:pageBreakBefore w:val="0"/>
        <w:kinsoku/>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2.推进海绵城市建设。</w:t>
      </w:r>
      <w:r>
        <w:rPr>
          <w:rFonts w:hint="eastAsia" w:ascii="仿宋" w:hAnsi="仿宋" w:eastAsia="仿宋" w:cs="仿宋"/>
          <w:b w:val="0"/>
          <w:bCs/>
          <w:sz w:val="32"/>
          <w:szCs w:val="32"/>
          <w:lang w:bidi="ar"/>
        </w:rPr>
        <w:t>目前已完成2022年三店、洪都街道老旧小区改造项目</w:t>
      </w:r>
      <w:r>
        <w:rPr>
          <w:rFonts w:hint="eastAsia" w:ascii="仿宋" w:hAnsi="仿宋" w:eastAsia="仿宋" w:cs="仿宋"/>
          <w:b w:val="0"/>
          <w:bCs/>
          <w:sz w:val="32"/>
          <w:szCs w:val="32"/>
          <w:lang w:eastAsia="zh-CN" w:bidi="ar"/>
        </w:rPr>
        <w:t>等</w:t>
      </w:r>
      <w:r>
        <w:rPr>
          <w:rFonts w:hint="eastAsia" w:ascii="仿宋" w:hAnsi="仿宋" w:eastAsia="仿宋" w:cs="仿宋"/>
          <w:b w:val="0"/>
          <w:bCs/>
          <w:sz w:val="32"/>
          <w:szCs w:val="32"/>
          <w:lang w:bidi="ar"/>
        </w:rPr>
        <w:t>5个建设项目，剩余洪都新城规划道路建设路网三、四期、水环境治理、旧改安置房22条周边道路排水工程4个项目</w:t>
      </w:r>
      <w:r>
        <w:rPr>
          <w:rFonts w:hint="eastAsia" w:ascii="仿宋" w:hAnsi="仿宋" w:eastAsia="仿宋" w:cs="仿宋"/>
          <w:b w:val="0"/>
          <w:bCs/>
          <w:sz w:val="32"/>
          <w:szCs w:val="32"/>
          <w:lang w:eastAsia="zh-CN" w:bidi="ar"/>
        </w:rPr>
        <w:t>于</w:t>
      </w:r>
      <w:r>
        <w:rPr>
          <w:rFonts w:hint="eastAsia" w:ascii="仿宋" w:hAnsi="仿宋" w:eastAsia="仿宋" w:cs="仿宋"/>
          <w:b w:val="0"/>
          <w:bCs/>
          <w:sz w:val="32"/>
          <w:szCs w:val="32"/>
          <w:lang w:bidi="ar"/>
        </w:rPr>
        <w:t>2024年底全面完工</w:t>
      </w:r>
      <w:r>
        <w:rPr>
          <w:rFonts w:hint="eastAsia" w:ascii="仿宋" w:hAnsi="仿宋" w:eastAsia="仿宋" w:cs="仿宋"/>
          <w:b w:val="0"/>
          <w:bCs/>
          <w:sz w:val="32"/>
          <w:szCs w:val="32"/>
          <w:lang w:eastAsia="zh-CN" w:bidi="ar"/>
        </w:rPr>
        <w:t>。</w:t>
      </w:r>
    </w:p>
    <w:p w14:paraId="103BD10D">
      <w:pPr>
        <w:keepNext w:val="0"/>
        <w:keepLines w:val="0"/>
        <w:pageBreakBefore w:val="0"/>
        <w:kinsoku/>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3.开展城市水环境治理。</w:t>
      </w:r>
      <w:r>
        <w:rPr>
          <w:rFonts w:hint="eastAsia" w:ascii="仿宋" w:hAnsi="仿宋" w:eastAsia="仿宋" w:cs="仿宋"/>
          <w:color w:val="000000" w:themeColor="text1"/>
          <w:sz w:val="32"/>
          <w:szCs w:val="32"/>
          <w:lang w:val="en-US" w:eastAsia="zh-CN"/>
          <w14:textFill>
            <w14:solidFill>
              <w14:schemeClr w14:val="tx1"/>
            </w14:solidFill>
          </w14:textFill>
        </w:rPr>
        <w:t>按照下达考核任务要求，我区2023年底前需完成261个排水单元整治。年初，按照“项目建设推进治理、相关部门牵头督促”的改造思路，区水办向各属地、各牵头单位共下达了282个排水单元考核任务（在年度考核任务的基础上自我加压，增加21个排水单元整治任务）。截至目前，下达的考核任务中完成现场验收75个，批复存档备案15个，批复顺延验收5个，批复任务划转8个，考核任务计划外新增现场验收1个，还有178个排水单元任务未完成销号。</w:t>
      </w:r>
    </w:p>
    <w:p w14:paraId="440EBC41">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bCs/>
          <w:i w:val="0"/>
          <w:iCs w:val="0"/>
          <w:caps w:val="0"/>
          <w:color w:val="333333"/>
          <w:spacing w:val="0"/>
          <w:sz w:val="32"/>
          <w:szCs w:val="32"/>
          <w:shd w:val="clear" w:fill="FFFFFF"/>
          <w:lang w:val="en-US" w:eastAsia="zh-CN"/>
        </w:rPr>
      </w:pPr>
      <w:r>
        <w:rPr>
          <w:rFonts w:hint="eastAsia" w:ascii="仿宋" w:hAnsi="仿宋" w:eastAsia="仿宋" w:cs="仿宋"/>
          <w:b/>
          <w:bCs/>
          <w:i w:val="0"/>
          <w:iCs w:val="0"/>
          <w:caps w:val="0"/>
          <w:color w:val="333333"/>
          <w:spacing w:val="0"/>
          <w:sz w:val="32"/>
          <w:szCs w:val="32"/>
          <w:shd w:val="clear" w:fill="FFFFFF"/>
        </w:rPr>
        <w:t>致力践行惠民之举</w:t>
      </w:r>
      <w:r>
        <w:rPr>
          <w:rFonts w:hint="eastAsia" w:ascii="仿宋" w:hAnsi="仿宋" w:eastAsia="仿宋" w:cs="仿宋"/>
          <w:b/>
          <w:bCs/>
          <w:i w:val="0"/>
          <w:iCs w:val="0"/>
          <w:caps w:val="0"/>
          <w:color w:val="333333"/>
          <w:spacing w:val="0"/>
          <w:sz w:val="32"/>
          <w:szCs w:val="32"/>
          <w:shd w:val="clear" w:fill="FFFFFF"/>
          <w:lang w:eastAsia="zh-CN"/>
        </w:rPr>
        <w:t>，</w:t>
      </w:r>
      <w:r>
        <w:rPr>
          <w:rFonts w:hint="eastAsia" w:ascii="仿宋" w:hAnsi="仿宋" w:eastAsia="仿宋" w:cs="仿宋"/>
          <w:b/>
          <w:bCs/>
          <w:i w:val="0"/>
          <w:iCs w:val="0"/>
          <w:caps w:val="0"/>
          <w:color w:val="333333"/>
          <w:spacing w:val="0"/>
          <w:sz w:val="32"/>
          <w:szCs w:val="32"/>
          <w:shd w:val="clear" w:fill="FFFFFF"/>
        </w:rPr>
        <w:t>构建民生保障新格局</w:t>
      </w:r>
    </w:p>
    <w:p w14:paraId="53F1B703">
      <w:pPr>
        <w:spacing w:line="560" w:lineRule="exact"/>
        <w:ind w:firstLine="643" w:firstLineChars="200"/>
        <w:rPr>
          <w:rFonts w:hint="eastAsia" w:ascii="仿宋" w:hAnsi="仿宋" w:eastAsia="仿宋" w:cs="仿宋"/>
          <w:b/>
          <w:bCs/>
          <w:sz w:val="32"/>
          <w:szCs w:val="32"/>
          <w:lang w:val="en-US" w:eastAsia="zh-CN"/>
        </w:rPr>
      </w:pPr>
      <w:r>
        <w:rPr>
          <w:rFonts w:hint="eastAsia" w:ascii="仿宋" w:hAnsi="仿宋" w:eastAsia="仿宋" w:cs="仿宋"/>
          <w:b/>
          <w:bCs/>
          <w:i w:val="0"/>
          <w:iCs w:val="0"/>
          <w:caps w:val="0"/>
          <w:color w:val="333333"/>
          <w:spacing w:val="0"/>
          <w:sz w:val="32"/>
          <w:szCs w:val="32"/>
          <w:shd w:val="clear" w:fill="FFFFFF"/>
          <w:lang w:val="en-US" w:eastAsia="zh-CN"/>
        </w:rPr>
        <w:t>1.扎实推进老旧小区改造。</w:t>
      </w:r>
      <w:r>
        <w:rPr>
          <w:rFonts w:hint="eastAsia" w:ascii="仿宋" w:hAnsi="仿宋" w:eastAsia="仿宋" w:cs="仿宋"/>
          <w:sz w:val="32"/>
          <w:szCs w:val="32"/>
          <w:lang w:val="en-US" w:eastAsia="zh-CN"/>
        </w:rPr>
        <w:t>2023年，我区全面启动了25个老旧小区改造，涉及改造户数近7000户，按照标准以基础类改造为主，共投入资金约1.7亿元。目前，已完成15个老旧小区改造，力争在今年春节前全面完工，届时改造后将惠及居民近2.3万。</w:t>
      </w:r>
    </w:p>
    <w:p w14:paraId="3F6C9DBC">
      <w:pPr>
        <w:keepNext w:val="0"/>
        <w:keepLines w:val="0"/>
        <w:pageBreakBefore w:val="0"/>
        <w:kinsoku/>
        <w:overflowPunct w:val="0"/>
        <w:topLinePunct w:val="0"/>
        <w:autoSpaceDE/>
        <w:autoSpaceDN/>
        <w:bidi w:val="0"/>
        <w:adjustRightInd/>
        <w:snapToGrid/>
        <w:spacing w:line="560" w:lineRule="exact"/>
        <w:ind w:firstLine="643" w:firstLineChars="200"/>
        <w:textAlignment w:val="baseline"/>
        <w:rPr>
          <w:rFonts w:hint="eastAsia" w:ascii="仿宋" w:hAnsi="仿宋" w:eastAsia="仿宋" w:cs="仿宋"/>
          <w:bCs/>
          <w:sz w:val="32"/>
          <w:szCs w:val="32"/>
          <w:lang w:val="en-US" w:eastAsia="zh-CN"/>
        </w:rPr>
      </w:pPr>
      <w:r>
        <w:rPr>
          <w:rFonts w:hint="eastAsia" w:ascii="仿宋" w:hAnsi="仿宋" w:eastAsia="仿宋" w:cs="仿宋"/>
          <w:b/>
          <w:bCs/>
          <w:i w:val="0"/>
          <w:iCs w:val="0"/>
          <w:caps w:val="0"/>
          <w:color w:val="333333"/>
          <w:spacing w:val="0"/>
          <w:sz w:val="32"/>
          <w:szCs w:val="32"/>
          <w:shd w:val="clear" w:fill="FFFFFF"/>
          <w:lang w:val="en-US" w:eastAsia="zh-CN"/>
        </w:rPr>
        <w:t>2.完善保障性住房体系。</w:t>
      </w:r>
      <w:r>
        <w:rPr>
          <w:rFonts w:hint="eastAsia" w:ascii="仿宋" w:hAnsi="仿宋" w:eastAsia="仿宋" w:cs="仿宋"/>
          <w:bCs/>
          <w:sz w:val="32"/>
          <w:szCs w:val="32"/>
          <w:lang w:eastAsia="zh-CN"/>
        </w:rPr>
        <w:t>一是</w:t>
      </w:r>
      <w:r>
        <w:rPr>
          <w:rFonts w:hint="eastAsia" w:ascii="仿宋" w:hAnsi="仿宋" w:eastAsia="仿宋" w:cs="仿宋"/>
          <w:bCs/>
          <w:sz w:val="32"/>
          <w:szCs w:val="32"/>
        </w:rPr>
        <w:t>2023年我区向3754户低收入家庭发放住房保障补贴2410308元，</w:t>
      </w:r>
      <w:r>
        <w:rPr>
          <w:rFonts w:hint="eastAsia" w:ascii="仿宋" w:hAnsi="仿宋" w:eastAsia="仿宋" w:cs="仿宋"/>
          <w:bCs/>
          <w:sz w:val="32"/>
          <w:szCs w:val="32"/>
          <w:lang w:eastAsia="zh-CN"/>
        </w:rPr>
        <w:t>向</w:t>
      </w:r>
      <w:r>
        <w:rPr>
          <w:rFonts w:hint="eastAsia" w:ascii="仿宋" w:hAnsi="仿宋" w:eastAsia="仿宋" w:cs="仿宋"/>
          <w:bCs/>
          <w:sz w:val="32"/>
          <w:szCs w:val="32"/>
        </w:rPr>
        <w:t>240户低保家庭 发放住房保障补贴 214965元。办理公租房低收入家庭解除限购户数204户</w:t>
      </w:r>
      <w:r>
        <w:rPr>
          <w:rFonts w:hint="eastAsia" w:ascii="仿宋" w:hAnsi="仿宋" w:eastAsia="仿宋" w:cs="仿宋"/>
          <w:bCs/>
          <w:sz w:val="32"/>
          <w:szCs w:val="32"/>
          <w:lang w:eastAsia="zh-CN"/>
        </w:rPr>
        <w:t>，</w:t>
      </w:r>
      <w:r>
        <w:rPr>
          <w:rFonts w:hint="eastAsia" w:ascii="仿宋" w:hAnsi="仿宋" w:eastAsia="仿宋" w:cs="仿宋"/>
          <w:bCs/>
          <w:sz w:val="32"/>
          <w:szCs w:val="32"/>
        </w:rPr>
        <w:t>完成动态审核及异议复核1950户</w:t>
      </w:r>
      <w:r>
        <w:rPr>
          <w:rFonts w:hint="eastAsia" w:ascii="仿宋" w:hAnsi="仿宋" w:eastAsia="仿宋" w:cs="仿宋"/>
          <w:bCs/>
          <w:sz w:val="32"/>
          <w:szCs w:val="32"/>
          <w:lang w:eastAsia="zh-CN"/>
        </w:rPr>
        <w:t>。二是</w:t>
      </w:r>
      <w:r>
        <w:rPr>
          <w:rFonts w:hint="eastAsia" w:ascii="仿宋" w:hAnsi="仿宋" w:eastAsia="仿宋" w:cs="仿宋"/>
          <w:bCs/>
          <w:sz w:val="32"/>
          <w:szCs w:val="32"/>
        </w:rPr>
        <w:t>根据我区民政部门脱贫解困领导小组反馈名单，至2023年符合住房保障条件的家庭中享受公租房实物配租家庭614户，享受租赁补贴家庭208户。</w:t>
      </w:r>
      <w:r>
        <w:rPr>
          <w:rFonts w:hint="eastAsia" w:ascii="仿宋" w:hAnsi="仿宋" w:eastAsia="仿宋" w:cs="仿宋"/>
          <w:bCs/>
          <w:sz w:val="32"/>
          <w:szCs w:val="32"/>
          <w:lang w:eastAsia="zh-CN"/>
        </w:rPr>
        <w:t>三是</w:t>
      </w:r>
      <w:r>
        <w:rPr>
          <w:rFonts w:hint="eastAsia" w:ascii="仿宋" w:hAnsi="仿宋" w:eastAsia="仿宋" w:cs="仿宋"/>
          <w:bCs/>
          <w:sz w:val="32"/>
          <w:szCs w:val="32"/>
        </w:rPr>
        <w:t>我区公共租赁住房已保障3060户住房困难家庭。其中保障低保户和二级以上残疾（含二级残疾）617户,低收入家庭为2443户。</w:t>
      </w:r>
      <w:r>
        <w:rPr>
          <w:rFonts w:hint="eastAsia" w:ascii="仿宋" w:hAnsi="仿宋" w:eastAsia="仿宋" w:cs="仿宋"/>
          <w:bCs/>
          <w:sz w:val="32"/>
          <w:szCs w:val="32"/>
          <w:lang w:eastAsia="zh-CN"/>
        </w:rPr>
        <w:t>四是</w:t>
      </w:r>
      <w:r>
        <w:rPr>
          <w:rFonts w:hint="eastAsia" w:ascii="仿宋" w:hAnsi="仿宋" w:eastAsia="仿宋" w:cs="仿宋"/>
          <w:bCs/>
          <w:sz w:val="32"/>
          <w:szCs w:val="32"/>
        </w:rPr>
        <w:t>2023年市级下达我区保障性租赁住房计划任务为600套，目前，我区的保障性租赁住房项目为洪都集团单身青年公寓，共计632套，总建筑面积24594.7平方米，超额完成上级部门下达的任务。</w:t>
      </w:r>
    </w:p>
    <w:p w14:paraId="0679F779">
      <w:pPr>
        <w:keepNext w:val="0"/>
        <w:keepLines w:val="0"/>
        <w:pageBreakBefore w:val="0"/>
        <w:numPr>
          <w:ilvl w:val="0"/>
          <w:numId w:val="0"/>
        </w:numPr>
        <w:kinsoku/>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bCs/>
          <w:sz w:val="32"/>
          <w:szCs w:val="32"/>
          <w:lang w:val="en-US" w:eastAsia="zh-CN"/>
        </w:rPr>
        <w:t>3.加强物业小区管理。</w:t>
      </w:r>
      <w:r>
        <w:rPr>
          <w:rFonts w:hint="eastAsia" w:ascii="仿宋" w:hAnsi="仿宋" w:eastAsia="仿宋" w:cs="仿宋"/>
          <w:bCs/>
          <w:sz w:val="32"/>
          <w:szCs w:val="32"/>
          <w:lang w:eastAsia="zh-CN"/>
        </w:rPr>
        <w:t>一是</w:t>
      </w:r>
      <w:r>
        <w:rPr>
          <w:rFonts w:hint="eastAsia" w:ascii="仿宋" w:hAnsi="仿宋" w:eastAsia="仿宋" w:cs="仿宋"/>
          <w:bCs/>
          <w:sz w:val="32"/>
          <w:szCs w:val="32"/>
        </w:rPr>
        <w:t>建立党建引领下的社区居民委员会、业主委员会、物业服务企业协调运行机制，充分调动居民参与积极性，形成社区治理合力，最大程度把党的政治优势、组织优势转化为社区治理优势。目前，我区成立小区业主委员会48个</w:t>
      </w:r>
      <w:r>
        <w:rPr>
          <w:rFonts w:hint="eastAsia" w:ascii="仿宋" w:hAnsi="仿宋" w:eastAsia="仿宋" w:cs="仿宋"/>
          <w:bCs/>
          <w:sz w:val="32"/>
          <w:szCs w:val="32"/>
          <w:lang w:eastAsia="zh-CN"/>
        </w:rPr>
        <w:t>。</w:t>
      </w:r>
      <w:r>
        <w:rPr>
          <w:rFonts w:hint="eastAsia" w:ascii="仿宋" w:hAnsi="仿宋" w:eastAsia="仿宋" w:cs="仿宋"/>
          <w:bCs/>
          <w:sz w:val="32"/>
          <w:szCs w:val="32"/>
          <w:lang w:val="en-US" w:eastAsia="zh-CN"/>
        </w:rPr>
        <w:t>二是建立健全市、区、街道三级“星级”物业服务考评体系，根据考评结果定期发布物业服务质量“红黑名单”，对物业服务企业及其从业人员信用行为实行守信联合激励、失信联合惩戒。并将考核结果纳入南昌市物业服务企业信用信息管理系统，综合评价、按分授星、分类监管，着力提高物业服务管理质量。三是设立物业服务信息监督公示栏，如实公布并及时更新物业项目负责人的基本情况、联系方式以及物业服务投诉电话、物业服务内容和标准、收费项目和标准等信息。同时加大对物业行业监管力度，积极化解物业矛盾纠纷，努力解决群众急难愁盼问题，督促提高物业服务水平。</w:t>
      </w:r>
    </w:p>
    <w:p w14:paraId="02F36B31">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致力</w:t>
      </w:r>
      <w:r>
        <w:rPr>
          <w:rFonts w:hint="eastAsia" w:ascii="仿宋" w:hAnsi="仿宋" w:eastAsia="仿宋" w:cs="仿宋"/>
          <w:b/>
          <w:bCs/>
          <w:i w:val="0"/>
          <w:iCs w:val="0"/>
          <w:caps w:val="0"/>
          <w:color w:val="333333"/>
          <w:spacing w:val="0"/>
          <w:sz w:val="32"/>
          <w:szCs w:val="32"/>
          <w:shd w:val="clear" w:fill="FFFFFF"/>
          <w:lang w:eastAsia="zh-CN"/>
        </w:rPr>
        <w:t>压实工作</w:t>
      </w:r>
      <w:r>
        <w:rPr>
          <w:rFonts w:hint="eastAsia" w:ascii="仿宋" w:hAnsi="仿宋" w:eastAsia="仿宋" w:cs="仿宋"/>
          <w:b/>
          <w:bCs/>
          <w:i w:val="0"/>
          <w:iCs w:val="0"/>
          <w:caps w:val="0"/>
          <w:color w:val="333333"/>
          <w:spacing w:val="0"/>
          <w:sz w:val="32"/>
          <w:szCs w:val="32"/>
          <w:shd w:val="clear" w:fill="FFFFFF"/>
        </w:rPr>
        <w:t>之责</w:t>
      </w:r>
      <w:r>
        <w:rPr>
          <w:rFonts w:hint="eastAsia" w:ascii="仿宋" w:hAnsi="仿宋" w:eastAsia="仿宋" w:cs="仿宋"/>
          <w:b/>
          <w:bCs/>
          <w:i w:val="0"/>
          <w:iCs w:val="0"/>
          <w:caps w:val="0"/>
          <w:color w:val="333333"/>
          <w:spacing w:val="0"/>
          <w:sz w:val="32"/>
          <w:szCs w:val="32"/>
          <w:shd w:val="clear" w:fill="FFFFFF"/>
          <w:lang w:eastAsia="zh-CN"/>
        </w:rPr>
        <w:t>，</w:t>
      </w:r>
      <w:r>
        <w:rPr>
          <w:rFonts w:hint="eastAsia" w:ascii="仿宋" w:hAnsi="仿宋" w:eastAsia="仿宋" w:cs="仿宋"/>
          <w:b/>
          <w:bCs/>
          <w:i w:val="0"/>
          <w:iCs w:val="0"/>
          <w:caps w:val="0"/>
          <w:color w:val="333333"/>
          <w:spacing w:val="0"/>
          <w:sz w:val="32"/>
          <w:szCs w:val="32"/>
          <w:shd w:val="clear" w:fill="FFFFFF"/>
          <w:lang w:val="en-US" w:eastAsia="zh-CN"/>
        </w:rPr>
        <w:t>促进行业管理新台阶</w:t>
      </w:r>
    </w:p>
    <w:p w14:paraId="4479ED69">
      <w:pPr>
        <w:ind w:firstLine="643" w:firstLineChars="200"/>
        <w:rPr>
          <w:rFonts w:hint="eastAsia" w:ascii="仿宋" w:hAnsi="仿宋" w:eastAsia="仿宋" w:cs="仿宋"/>
          <w:bCs/>
          <w:sz w:val="32"/>
          <w:szCs w:val="32"/>
          <w:lang w:val="en-US" w:eastAsia="zh-CN"/>
        </w:rPr>
      </w:pPr>
      <w:r>
        <w:rPr>
          <w:rFonts w:hint="eastAsia" w:ascii="仿宋" w:hAnsi="仿宋" w:eastAsia="仿宋" w:cs="仿宋"/>
          <w:b/>
          <w:bCs/>
          <w:i w:val="0"/>
          <w:iCs w:val="0"/>
          <w:caps w:val="0"/>
          <w:color w:val="333333"/>
          <w:spacing w:val="0"/>
          <w:sz w:val="32"/>
          <w:szCs w:val="32"/>
          <w:shd w:val="clear" w:fill="FFFFFF"/>
          <w:lang w:val="en-US" w:eastAsia="zh-CN"/>
        </w:rPr>
        <w:t>1.规范建筑市场秩序。</w:t>
      </w:r>
      <w:r>
        <w:rPr>
          <w:rFonts w:hint="eastAsia" w:ascii="仿宋" w:hAnsi="仿宋" w:eastAsia="仿宋" w:cs="仿宋"/>
          <w:bCs/>
          <w:sz w:val="32"/>
          <w:szCs w:val="32"/>
          <w:lang w:val="en-US" w:eastAsia="zh-CN"/>
        </w:rPr>
        <w:t>一是开展各类建筑工地安全生产专项行动暨各大节前专项行动、安全生产三年专项行动等，已出动执法车辆310台次、检查人员280人次，检查在建项目390家次，发现安全和隐患共计180处，出具整改通知书160份，约谈企业7次，处罚企业9次，均已完成整改。二是对工地不间断的巡查，积极建设智慧工地和开展联合检查，推广和应用高效的扬尘防治技术和设备，在6个工地新增了高空喷淋，降尘效果明显。三是为促进建筑业发展，组织全区建筑企业安全生产及争先创优奖评优，对辖区内三十余个建筑企业进行表彰。</w:t>
      </w:r>
    </w:p>
    <w:p w14:paraId="76C4DE0C">
      <w:pPr>
        <w:ind w:firstLine="643" w:firstLineChars="200"/>
        <w:rPr>
          <w:rFonts w:hint="eastAsia" w:ascii="仿宋" w:hAnsi="仿宋" w:eastAsia="仿宋" w:cs="仿宋"/>
          <w:color w:val="000000"/>
          <w:sz w:val="32"/>
          <w:szCs w:val="32"/>
          <w:lang w:val="en-US" w:eastAsia="zh-CN"/>
        </w:rPr>
      </w:pPr>
      <w:r>
        <w:rPr>
          <w:rFonts w:hint="eastAsia" w:ascii="仿宋" w:hAnsi="仿宋" w:eastAsia="仿宋" w:cs="仿宋"/>
          <w:b/>
          <w:bCs/>
          <w:color w:val="000000"/>
          <w:sz w:val="32"/>
          <w:szCs w:val="32"/>
          <w:lang w:val="en-US" w:eastAsia="zh-CN"/>
        </w:rPr>
        <w:t>2.</w:t>
      </w:r>
      <w:r>
        <w:rPr>
          <w:rFonts w:hint="eastAsia" w:ascii="仿宋" w:hAnsi="仿宋" w:eastAsia="仿宋" w:cs="仿宋"/>
          <w:b/>
          <w:bCs/>
          <w:sz w:val="32"/>
          <w:szCs w:val="32"/>
        </w:rPr>
        <w:t>既有住宅加装电梯工作</w:t>
      </w:r>
      <w:r>
        <w:rPr>
          <w:rFonts w:hint="eastAsia" w:ascii="仿宋" w:hAnsi="仿宋" w:eastAsia="仿宋" w:cs="仿宋"/>
          <w:b/>
          <w:bCs/>
          <w:sz w:val="32"/>
          <w:szCs w:val="32"/>
          <w:lang w:eastAsia="zh-CN"/>
        </w:rPr>
        <w:t>。</w:t>
      </w:r>
      <w:r>
        <w:rPr>
          <w:rFonts w:hint="eastAsia" w:ascii="仿宋" w:hAnsi="仿宋" w:eastAsia="仿宋" w:cs="仿宋"/>
          <w:color w:val="000000"/>
          <w:sz w:val="32"/>
          <w:szCs w:val="32"/>
          <w:lang w:val="en-US" w:eastAsia="zh-CN"/>
        </w:rPr>
        <w:t>根据市住建局下达《关于下达20</w:t>
      </w:r>
      <w:r>
        <w:rPr>
          <w:rFonts w:hint="eastAsia" w:ascii="仿宋" w:hAnsi="仿宋" w:eastAsia="仿宋" w:cs="仿宋"/>
          <w:color w:val="auto"/>
          <w:sz w:val="32"/>
          <w:szCs w:val="32"/>
          <w:lang w:val="en-US" w:eastAsia="zh-CN"/>
        </w:rPr>
        <w:t>23年南昌市既有住宅加装电梯指导性任务的通知》其中青云谱区2023年任务数是17台。截至目前青云谱区已完成9台（去年超额完成7台计算今年），目前已有15台正在施工。其中908医院宿舍13台处于基坑街段，徐坊街道2台居民自筹电梯，1台井道主体阶段，1台准备开工阶段，预计今年年底内全部建设完工。</w:t>
      </w:r>
    </w:p>
    <w:p w14:paraId="4FC143F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3.加强河湖管理保护。</w:t>
      </w:r>
      <w:r>
        <w:rPr>
          <w:rFonts w:hint="eastAsia" w:ascii="仿宋" w:hAnsi="仿宋" w:eastAsia="仿宋" w:cs="仿宋"/>
          <w:sz w:val="32"/>
          <w:szCs w:val="32"/>
          <w:lang w:val="en-US" w:eastAsia="zh-CN"/>
        </w:rPr>
        <w:t>一是</w:t>
      </w:r>
      <w:r>
        <w:rPr>
          <w:rFonts w:hint="eastAsia" w:ascii="仿宋" w:hAnsi="仿宋" w:eastAsia="仿宋" w:cs="仿宋"/>
          <w:i w:val="0"/>
          <w:caps w:val="0"/>
          <w:color w:val="333333"/>
          <w:spacing w:val="0"/>
          <w:sz w:val="32"/>
          <w:szCs w:val="32"/>
          <w:shd w:val="clear" w:color="auto" w:fill="FFFFFF"/>
          <w:lang w:val="en-US" w:eastAsia="zh-CN"/>
        </w:rPr>
        <w:t>督促三级河长加强日常巡查，</w:t>
      </w:r>
      <w:r>
        <w:rPr>
          <w:rFonts w:hint="eastAsia" w:ascii="仿宋" w:hAnsi="仿宋" w:eastAsia="仿宋" w:cs="仿宋"/>
          <w:sz w:val="32"/>
          <w:szCs w:val="32"/>
        </w:rPr>
        <w:t>对河面、湖面、河湖岸</w:t>
      </w:r>
      <w:r>
        <w:rPr>
          <w:rFonts w:hint="eastAsia" w:ascii="仿宋" w:hAnsi="仿宋" w:eastAsia="仿宋" w:cs="仿宋"/>
          <w:sz w:val="32"/>
          <w:szCs w:val="32"/>
          <w:lang w:val="en-US" w:eastAsia="zh-CN"/>
        </w:rPr>
        <w:t>线</w:t>
      </w:r>
      <w:r>
        <w:rPr>
          <w:rFonts w:hint="eastAsia" w:ascii="仿宋" w:hAnsi="仿宋" w:eastAsia="仿宋" w:cs="仿宋"/>
          <w:sz w:val="32"/>
          <w:szCs w:val="32"/>
        </w:rPr>
        <w:t>进行地毯式巡查，</w:t>
      </w:r>
      <w:r>
        <w:rPr>
          <w:rFonts w:hint="eastAsia" w:ascii="仿宋" w:hAnsi="仿宋" w:eastAsia="仿宋" w:cs="仿宋"/>
          <w:sz w:val="32"/>
          <w:szCs w:val="32"/>
          <w:lang w:val="en-US" w:eastAsia="zh-CN"/>
        </w:rPr>
        <w:t>做好</w:t>
      </w:r>
      <w:r>
        <w:rPr>
          <w:rFonts w:hint="eastAsia" w:ascii="仿宋" w:hAnsi="仿宋" w:eastAsia="仿宋" w:cs="仿宋"/>
          <w:sz w:val="32"/>
          <w:szCs w:val="32"/>
        </w:rPr>
        <w:t>巡查记录</w:t>
      </w:r>
      <w:r>
        <w:rPr>
          <w:rFonts w:hint="eastAsia" w:ascii="仿宋" w:hAnsi="仿宋" w:eastAsia="仿宋" w:cs="仿宋"/>
          <w:sz w:val="32"/>
          <w:szCs w:val="32"/>
          <w:lang w:eastAsia="zh-CN"/>
        </w:rPr>
        <w:t>、台账</w:t>
      </w:r>
      <w:r>
        <w:rPr>
          <w:rFonts w:hint="eastAsia" w:ascii="仿宋" w:hAnsi="仿宋" w:eastAsia="仿宋" w:cs="仿宋"/>
          <w:sz w:val="32"/>
          <w:szCs w:val="32"/>
          <w:lang w:val="en-US" w:eastAsia="zh-CN"/>
        </w:rPr>
        <w:t>等工作</w:t>
      </w:r>
      <w:r>
        <w:rPr>
          <w:rFonts w:hint="eastAsia" w:ascii="仿宋" w:hAnsi="仿宋" w:eastAsia="仿宋" w:cs="仿宋"/>
          <w:sz w:val="32"/>
          <w:szCs w:val="32"/>
          <w:lang w:eastAsia="zh-CN"/>
        </w:rPr>
        <w:t>。截至目前</w:t>
      </w:r>
      <w:r>
        <w:rPr>
          <w:rFonts w:hint="eastAsia" w:ascii="仿宋" w:hAnsi="仿宋" w:eastAsia="仿宋" w:cs="仿宋"/>
          <w:sz w:val="32"/>
          <w:szCs w:val="32"/>
        </w:rPr>
        <w:t>三级河湖长</w:t>
      </w:r>
      <w:r>
        <w:rPr>
          <w:rFonts w:hint="eastAsia" w:ascii="仿宋" w:hAnsi="仿宋" w:eastAsia="仿宋" w:cs="仿宋"/>
          <w:color w:val="000000" w:themeColor="text1"/>
          <w:sz w:val="32"/>
          <w:szCs w:val="32"/>
          <w14:textFill>
            <w14:solidFill>
              <w14:schemeClr w14:val="tx1"/>
            </w14:solidFill>
          </w14:textFill>
        </w:rPr>
        <w:t>共</w:t>
      </w:r>
      <w:r>
        <w:rPr>
          <w:rFonts w:hint="eastAsia" w:ascii="仿宋" w:hAnsi="仿宋" w:eastAsia="仿宋" w:cs="仿宋"/>
          <w:sz w:val="32"/>
          <w:szCs w:val="32"/>
        </w:rPr>
        <w:t>巡</w:t>
      </w:r>
      <w:r>
        <w:rPr>
          <w:rFonts w:hint="eastAsia" w:ascii="仿宋" w:hAnsi="仿宋" w:eastAsia="仿宋" w:cs="仿宋"/>
          <w:color w:val="000000" w:themeColor="text1"/>
          <w:sz w:val="32"/>
          <w:szCs w:val="32"/>
          <w14:textFill>
            <w14:solidFill>
              <w14:schemeClr w14:val="tx1"/>
            </w14:solidFill>
          </w14:textFill>
        </w:rPr>
        <w:t>河</w:t>
      </w:r>
      <w:r>
        <w:rPr>
          <w:rFonts w:hint="eastAsia" w:ascii="仿宋" w:hAnsi="仿宋" w:eastAsia="仿宋" w:cs="仿宋"/>
          <w:color w:val="000000" w:themeColor="text1"/>
          <w:sz w:val="32"/>
          <w:szCs w:val="32"/>
          <w:lang w:val="en-US" w:eastAsia="zh-CN"/>
          <w14:textFill>
            <w14:solidFill>
              <w14:schemeClr w14:val="tx1"/>
            </w14:solidFill>
          </w14:textFill>
        </w:rPr>
        <w:t>1567</w:t>
      </w:r>
      <w:r>
        <w:rPr>
          <w:rFonts w:hint="eastAsia" w:ascii="仿宋" w:hAnsi="仿宋" w:eastAsia="仿宋" w:cs="仿宋"/>
          <w:color w:val="000000" w:themeColor="text1"/>
          <w:sz w:val="32"/>
          <w:szCs w:val="32"/>
          <w14:textFill>
            <w14:solidFill>
              <w14:schemeClr w14:val="tx1"/>
            </w14:solidFill>
          </w14:textFill>
        </w:rPr>
        <w:t>次。</w:t>
      </w:r>
      <w:r>
        <w:rPr>
          <w:rFonts w:hint="eastAsia" w:ascii="仿宋" w:hAnsi="仿宋" w:eastAsia="仿宋" w:cs="仿宋"/>
          <w:color w:val="000000" w:themeColor="text1"/>
          <w:sz w:val="32"/>
          <w:szCs w:val="32"/>
          <w:lang w:eastAsia="zh-CN"/>
          <w14:textFill>
            <w14:solidFill>
              <w14:schemeClr w14:val="tx1"/>
            </w14:solidFill>
          </w14:textFill>
        </w:rPr>
        <w:t>二是</w:t>
      </w:r>
      <w:r>
        <w:rPr>
          <w:rFonts w:hint="eastAsia" w:ascii="仿宋" w:hAnsi="仿宋" w:eastAsia="仿宋" w:cs="仿宋"/>
          <w:b w:val="0"/>
          <w:bCs w:val="0"/>
          <w:kern w:val="0"/>
          <w:sz w:val="32"/>
          <w:szCs w:val="32"/>
          <w:lang w:val="en-US" w:eastAsia="zh-CN" w:bidi="ar"/>
        </w:rPr>
        <w:t>对青云谱区9处水域开展河湖专项整治行动，深入现场走访涉及“四乱”点的流域，详细了解实际情况，打击“四乱”行为，努力实现“河畅、水清、岸绿、景美、人和”的河湖环境。三是</w:t>
      </w:r>
      <w:r>
        <w:rPr>
          <w:rFonts w:hint="eastAsia" w:ascii="仿宋" w:hAnsi="仿宋" w:eastAsia="仿宋" w:cs="仿宋"/>
          <w:b w:val="0"/>
          <w:bCs w:val="0"/>
          <w:color w:val="000000"/>
          <w:sz w:val="32"/>
          <w:szCs w:val="32"/>
          <w:lang w:val="en-US" w:eastAsia="zh-CN"/>
        </w:rPr>
        <w:t>对五干渠东西岸护坡，东岸绿化、游步道、护栏、路灯等进行提升改造，改造长度960米，工程范围约2.7</w:t>
      </w:r>
      <w:r>
        <w:rPr>
          <w:rFonts w:hint="eastAsia" w:ascii="仿宋" w:hAnsi="仿宋" w:eastAsia="仿宋" w:cs="仿宋"/>
          <w:b w:val="0"/>
          <w:bCs w:val="0"/>
          <w:color w:val="000000" w:themeColor="text1"/>
          <w:sz w:val="32"/>
          <w:szCs w:val="32"/>
          <w:lang w:val="en-US" w:eastAsia="zh-CN"/>
          <w14:textFill>
            <w14:solidFill>
              <w14:schemeClr w14:val="tx1"/>
            </w14:solidFill>
          </w14:textFill>
        </w:rPr>
        <w:t>ha</w:t>
      </w:r>
      <w:r>
        <w:rPr>
          <w:rFonts w:hint="eastAsia" w:ascii="仿宋" w:hAnsi="仿宋" w:eastAsia="仿宋" w:cs="仿宋"/>
          <w:b w:val="0"/>
          <w:bCs w:val="0"/>
          <w:color w:val="000000"/>
          <w:sz w:val="32"/>
          <w:szCs w:val="32"/>
          <w:lang w:val="en-US" w:eastAsia="zh-CN"/>
        </w:rPr>
        <w:t>。大幅度提升了周边生态环境。四是组织街道、社区开展了3次河湖长制大型宣传活动，</w:t>
      </w:r>
      <w:r>
        <w:rPr>
          <w:rFonts w:hint="eastAsia" w:ascii="仿宋" w:hAnsi="仿宋" w:eastAsia="仿宋" w:cs="仿宋"/>
          <w:color w:val="000000" w:themeColor="text1"/>
          <w:sz w:val="32"/>
          <w:szCs w:val="32"/>
          <w:lang w:eastAsia="zh-CN"/>
          <w14:textFill>
            <w14:solidFill>
              <w14:schemeClr w14:val="tx1"/>
            </w14:solidFill>
          </w14:textFill>
        </w:rPr>
        <w:t>发</w:t>
      </w:r>
      <w:r>
        <w:rPr>
          <w:rFonts w:hint="eastAsia" w:ascii="仿宋" w:hAnsi="仿宋" w:eastAsia="仿宋" w:cs="仿宋"/>
          <w:color w:val="000000" w:themeColor="text1"/>
          <w:sz w:val="32"/>
          <w:szCs w:val="32"/>
          <w:lang w:val="en-US" w:eastAsia="zh-CN"/>
          <w14:textFill>
            <w14:solidFill>
              <w14:schemeClr w14:val="tx1"/>
            </w14:solidFill>
          </w14:textFill>
        </w:rPr>
        <w:t>放</w:t>
      </w:r>
      <w:r>
        <w:rPr>
          <w:rFonts w:hint="eastAsia" w:ascii="仿宋" w:hAnsi="仿宋" w:eastAsia="仿宋" w:cs="仿宋"/>
          <w:b w:val="0"/>
          <w:i w:val="0"/>
          <w:caps w:val="0"/>
          <w:color w:val="333333"/>
          <w:spacing w:val="0"/>
          <w:sz w:val="32"/>
          <w:szCs w:val="32"/>
          <w:shd w:val="clear" w:fill="FFFFFF"/>
        </w:rPr>
        <w:t>《江西省实施河长制湖长制条例</w:t>
      </w:r>
      <w:r>
        <w:rPr>
          <w:rFonts w:hint="eastAsia" w:ascii="仿宋" w:hAnsi="仿宋" w:eastAsia="仿宋" w:cs="仿宋"/>
          <w:b w:val="0"/>
          <w:i w:val="0"/>
          <w:caps w:val="0"/>
          <w:color w:val="000000" w:themeColor="text1"/>
          <w:spacing w:val="0"/>
          <w:sz w:val="32"/>
          <w:szCs w:val="32"/>
          <w:shd w:val="clear" w:fill="FFFFFF"/>
          <w14:textFill>
            <w14:solidFill>
              <w14:schemeClr w14:val="tx1"/>
            </w14:solidFill>
          </w14:textFill>
        </w:rPr>
        <w:t>》读本</w:t>
      </w:r>
      <w:r>
        <w:rPr>
          <w:rFonts w:hint="eastAsia" w:ascii="仿宋" w:hAnsi="仿宋" w:eastAsia="仿宋" w:cs="仿宋"/>
          <w:b w:val="0"/>
          <w:i w:val="0"/>
          <w:caps w:val="0"/>
          <w:color w:val="000000" w:themeColor="text1"/>
          <w:spacing w:val="0"/>
          <w:sz w:val="32"/>
          <w:szCs w:val="32"/>
          <w:shd w:val="clear" w:fill="FFFFFF"/>
          <w:lang w:val="en-US" w:eastAsia="zh-CN"/>
          <w14:textFill>
            <w14:solidFill>
              <w14:schemeClr w14:val="tx1"/>
            </w14:solidFill>
          </w14:textFill>
        </w:rPr>
        <w:t>500余册</w:t>
      </w:r>
      <w:r>
        <w:rPr>
          <w:rFonts w:hint="eastAsia" w:ascii="仿宋" w:hAnsi="仿宋" w:eastAsia="仿宋" w:cs="仿宋"/>
          <w:color w:val="000000" w:themeColor="text1"/>
          <w:sz w:val="32"/>
          <w:szCs w:val="32"/>
          <w:lang w:val="en-US" w:eastAsia="zh-CN"/>
          <w14:textFill>
            <w14:solidFill>
              <w14:schemeClr w14:val="tx1"/>
            </w14:solidFill>
          </w14:textFill>
        </w:rPr>
        <w:t>，有效提高了辖区内居民爱水护水意识。</w:t>
      </w:r>
    </w:p>
    <w:p w14:paraId="0AAD3414">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bCs/>
          <w:i w:val="0"/>
          <w:iCs w:val="0"/>
          <w:caps w:val="0"/>
          <w:color w:val="333333"/>
          <w:spacing w:val="0"/>
          <w:sz w:val="32"/>
          <w:szCs w:val="32"/>
          <w:shd w:val="clear" w:fill="FFFFFF"/>
          <w:lang w:eastAsia="zh-CN"/>
        </w:rPr>
      </w:pPr>
      <w:r>
        <w:rPr>
          <w:rFonts w:hint="eastAsia" w:ascii="仿宋" w:hAnsi="仿宋" w:eastAsia="仿宋" w:cs="仿宋"/>
          <w:b/>
          <w:bCs/>
          <w:i w:val="0"/>
          <w:iCs w:val="0"/>
          <w:caps w:val="0"/>
          <w:color w:val="333333"/>
          <w:spacing w:val="0"/>
          <w:sz w:val="32"/>
          <w:szCs w:val="32"/>
          <w:shd w:val="clear" w:fill="FFFFFF"/>
          <w:lang w:eastAsia="zh-CN"/>
        </w:rPr>
        <w:t>致力安全发展之路，提高风险管理新能力</w:t>
      </w:r>
    </w:p>
    <w:p w14:paraId="13BB0583">
      <w:pPr>
        <w:keepNext w:val="0"/>
        <w:keepLines w:val="0"/>
        <w:pageBreakBefore w:val="0"/>
        <w:numPr>
          <w:ilvl w:val="0"/>
          <w:numId w:val="0"/>
        </w:numPr>
        <w:kinsoku/>
        <w:overflowPunct/>
        <w:topLinePunct w:val="0"/>
        <w:autoSpaceDE/>
        <w:autoSpaceDN/>
        <w:bidi w:val="0"/>
        <w:adjustRightInd/>
        <w:snapToGrid/>
        <w:spacing w:line="560" w:lineRule="exact"/>
        <w:ind w:firstLine="643" w:firstLineChars="200"/>
        <w:textAlignment w:val="auto"/>
        <w:rPr>
          <w:rFonts w:hint="eastAsia" w:ascii="仿宋" w:hAnsi="仿宋" w:eastAsia="仿宋" w:cs="仿宋"/>
          <w:kern w:val="0"/>
          <w:sz w:val="32"/>
          <w:szCs w:val="32"/>
          <w:lang w:val="en-US" w:eastAsia="zh-CN"/>
        </w:rPr>
      </w:pPr>
      <w:r>
        <w:rPr>
          <w:rFonts w:hint="eastAsia" w:ascii="仿宋" w:hAnsi="仿宋" w:eastAsia="仿宋" w:cs="仿宋"/>
          <w:b/>
          <w:bCs/>
          <w:i w:val="0"/>
          <w:iCs w:val="0"/>
          <w:caps w:val="0"/>
          <w:color w:val="000000" w:themeColor="text1"/>
          <w:spacing w:val="0"/>
          <w:sz w:val="32"/>
          <w:szCs w:val="32"/>
          <w:shd w:val="clear" w:fill="FFFFFF"/>
          <w:lang w:val="en-US" w:eastAsia="zh-CN"/>
          <w14:textFill>
            <w14:solidFill>
              <w14:schemeClr w14:val="tx1"/>
            </w14:solidFill>
          </w14:textFill>
        </w:rPr>
        <w:t>1.</w:t>
      </w:r>
      <w:r>
        <w:rPr>
          <w:rFonts w:hint="eastAsia" w:ascii="仿宋" w:hAnsi="仿宋" w:eastAsia="仿宋" w:cs="仿宋"/>
          <w:b/>
          <w:bCs/>
          <w:i w:val="0"/>
          <w:iCs w:val="0"/>
          <w:caps w:val="0"/>
          <w:color w:val="000000" w:themeColor="text1"/>
          <w:spacing w:val="0"/>
          <w:sz w:val="32"/>
          <w:szCs w:val="32"/>
          <w:shd w:val="clear" w:fill="FFFFFF"/>
          <w:lang w:eastAsia="zh-CN"/>
          <w14:textFill>
            <w14:solidFill>
              <w14:schemeClr w14:val="tx1"/>
            </w14:solidFill>
          </w14:textFill>
        </w:rPr>
        <w:t>促进交通领域稳定。</w:t>
      </w:r>
      <w:r>
        <w:rPr>
          <w:rFonts w:hint="eastAsia" w:ascii="仿宋" w:hAnsi="仿宋" w:eastAsia="仿宋" w:cs="仿宋"/>
          <w:sz w:val="32"/>
          <w:szCs w:val="32"/>
        </w:rPr>
        <w:t>与客运企业签订了安全生产、消防、综合治理责任书，严格落实“三不进站、六不出站” 和实名制售票等工作，</w:t>
      </w:r>
      <w:r>
        <w:rPr>
          <w:rFonts w:hint="eastAsia" w:ascii="仿宋" w:hAnsi="仿宋" w:eastAsia="仿宋" w:cs="仿宋"/>
          <w:sz w:val="32"/>
          <w:szCs w:val="32"/>
          <w:lang w:val="en-US" w:eastAsia="zh-CN"/>
        </w:rPr>
        <w:t>截至目前，</w:t>
      </w:r>
      <w:r>
        <w:rPr>
          <w:rFonts w:hint="eastAsia" w:ascii="仿宋" w:hAnsi="仿宋" w:eastAsia="仿宋" w:cs="仿宋"/>
          <w:sz w:val="32"/>
          <w:szCs w:val="32"/>
        </w:rPr>
        <w:t>督导货运企业“两类人员”（企业负责人、企业安全员）参加安全考试</w:t>
      </w:r>
      <w:r>
        <w:rPr>
          <w:rFonts w:hint="eastAsia" w:ascii="仿宋" w:hAnsi="仿宋" w:eastAsia="仿宋" w:cs="仿宋"/>
          <w:sz w:val="32"/>
          <w:szCs w:val="32"/>
          <w:lang w:eastAsia="zh-CN"/>
        </w:rPr>
        <w:t>，</w:t>
      </w:r>
      <w:r>
        <w:rPr>
          <w:rFonts w:hint="eastAsia" w:ascii="仿宋" w:hAnsi="仿宋" w:eastAsia="仿宋" w:cs="仿宋"/>
          <w:sz w:val="32"/>
          <w:szCs w:val="32"/>
        </w:rPr>
        <w:t>通过</w:t>
      </w:r>
      <w:r>
        <w:rPr>
          <w:rFonts w:hint="eastAsia" w:ascii="仿宋" w:hAnsi="仿宋" w:eastAsia="仿宋" w:cs="仿宋"/>
          <w:sz w:val="32"/>
          <w:szCs w:val="32"/>
          <w:lang w:val="en-US" w:eastAsia="zh-CN"/>
        </w:rPr>
        <w:t>率100%</w:t>
      </w:r>
      <w:r>
        <w:rPr>
          <w:rFonts w:hint="eastAsia" w:ascii="仿宋" w:hAnsi="仿宋" w:eastAsia="仿宋" w:cs="仿宋"/>
          <w:sz w:val="32"/>
          <w:szCs w:val="32"/>
        </w:rPr>
        <w:t>。</w:t>
      </w:r>
      <w:r>
        <w:rPr>
          <w:rFonts w:hint="eastAsia" w:ascii="仿宋" w:hAnsi="仿宋" w:eastAsia="仿宋" w:cs="仿宋"/>
          <w:color w:val="000000"/>
          <w:sz w:val="32"/>
          <w:szCs w:val="32"/>
          <w:lang w:val="en-US" w:eastAsia="zh-CN"/>
        </w:rPr>
        <w:t>每月定期</w:t>
      </w:r>
      <w:r>
        <w:rPr>
          <w:rFonts w:hint="eastAsia" w:ascii="仿宋" w:hAnsi="仿宋" w:eastAsia="仿宋" w:cs="仿宋"/>
          <w:color w:val="000000"/>
          <w:sz w:val="32"/>
          <w:szCs w:val="32"/>
        </w:rPr>
        <w:t>召开会议进行现场培训</w:t>
      </w:r>
      <w:r>
        <w:rPr>
          <w:rFonts w:hint="eastAsia" w:ascii="仿宋" w:hAnsi="仿宋" w:eastAsia="仿宋" w:cs="仿宋"/>
          <w:color w:val="000000"/>
          <w:sz w:val="32"/>
          <w:szCs w:val="32"/>
          <w:lang w:eastAsia="zh-CN"/>
        </w:rPr>
        <w:t>，并为企业</w:t>
      </w:r>
      <w:r>
        <w:rPr>
          <w:rFonts w:hint="eastAsia" w:ascii="仿宋" w:hAnsi="仿宋" w:eastAsia="仿宋" w:cs="仿宋"/>
          <w:color w:val="auto"/>
          <w:sz w:val="32"/>
          <w:szCs w:val="32"/>
        </w:rPr>
        <w:t>印制</w:t>
      </w:r>
      <w:r>
        <w:rPr>
          <w:rFonts w:hint="eastAsia" w:ascii="仿宋" w:hAnsi="仿宋" w:eastAsia="仿宋" w:cs="仿宋"/>
          <w:color w:val="auto"/>
          <w:sz w:val="32"/>
          <w:szCs w:val="32"/>
          <w:lang w:val="en-US" w:eastAsia="zh-CN"/>
        </w:rPr>
        <w:t>150</w:t>
      </w:r>
      <w:r>
        <w:rPr>
          <w:rFonts w:hint="eastAsia" w:ascii="仿宋" w:hAnsi="仿宋" w:eastAsia="仿宋" w:cs="仿宋"/>
          <w:color w:val="auto"/>
          <w:sz w:val="32"/>
          <w:szCs w:val="32"/>
        </w:rPr>
        <w:t>套</w:t>
      </w:r>
      <w:r>
        <w:rPr>
          <w:rFonts w:hint="eastAsia" w:ascii="仿宋" w:hAnsi="仿宋" w:eastAsia="仿宋" w:cs="仿宋"/>
          <w:color w:val="auto"/>
          <w:sz w:val="32"/>
          <w:szCs w:val="32"/>
          <w:lang w:eastAsia="zh-CN"/>
        </w:rPr>
        <w:t>安全生产台账</w:t>
      </w:r>
      <w:r>
        <w:rPr>
          <w:rFonts w:hint="eastAsia" w:ascii="仿宋" w:hAnsi="仿宋" w:eastAsia="仿宋" w:cs="仿宋"/>
          <w:color w:val="000000"/>
          <w:sz w:val="32"/>
          <w:szCs w:val="32"/>
          <w:lang w:eastAsia="zh-CN"/>
        </w:rPr>
        <w:t>。</w:t>
      </w:r>
      <w:r>
        <w:rPr>
          <w:rFonts w:hint="eastAsia" w:ascii="仿宋" w:hAnsi="仿宋" w:eastAsia="仿宋" w:cs="仿宋"/>
          <w:color w:val="000000" w:themeColor="text1"/>
          <w:sz w:val="32"/>
          <w:szCs w:val="32"/>
          <w:highlight w:val="none"/>
          <w:lang w:val="en-US" w:eastAsia="zh-CN"/>
          <w14:textFill>
            <w14:solidFill>
              <w14:schemeClr w14:val="tx1"/>
            </w14:solidFill>
          </w14:textFill>
        </w:rPr>
        <w:t>同时</w:t>
      </w:r>
      <w:r>
        <w:rPr>
          <w:rFonts w:hint="eastAsia" w:ascii="仿宋" w:hAnsi="仿宋" w:eastAsia="仿宋" w:cs="仿宋"/>
          <w:sz w:val="32"/>
          <w:szCs w:val="32"/>
        </w:rPr>
        <w:t>在</w:t>
      </w:r>
      <w:r>
        <w:rPr>
          <w:rFonts w:hint="eastAsia" w:ascii="仿宋" w:hAnsi="仿宋" w:eastAsia="仿宋" w:cs="仿宋"/>
          <w:sz w:val="32"/>
          <w:szCs w:val="32"/>
          <w:lang w:val="en-US" w:eastAsia="zh-CN"/>
        </w:rPr>
        <w:t>城南大道</w:t>
      </w:r>
      <w:r>
        <w:rPr>
          <w:rFonts w:hint="eastAsia" w:ascii="仿宋" w:hAnsi="仿宋" w:eastAsia="仿宋" w:cs="仿宋"/>
          <w:sz w:val="32"/>
          <w:szCs w:val="32"/>
        </w:rPr>
        <w:t>、</w:t>
      </w:r>
      <w:r>
        <w:rPr>
          <w:rFonts w:hint="eastAsia" w:ascii="仿宋" w:hAnsi="仿宋" w:eastAsia="仿宋" w:cs="仿宋"/>
          <w:sz w:val="32"/>
          <w:szCs w:val="32"/>
          <w:lang w:val="en-US" w:eastAsia="zh-CN"/>
        </w:rPr>
        <w:t>航空路</w:t>
      </w:r>
      <w:r>
        <w:rPr>
          <w:rFonts w:hint="eastAsia" w:ascii="仿宋" w:hAnsi="仿宋" w:eastAsia="仿宋" w:cs="仿宋"/>
          <w:sz w:val="32"/>
          <w:szCs w:val="32"/>
        </w:rPr>
        <w:t>等路段开展联合执法行动</w:t>
      </w:r>
      <w:r>
        <w:rPr>
          <w:rFonts w:hint="eastAsia" w:ascii="仿宋" w:hAnsi="仿宋" w:eastAsia="仿宋" w:cs="仿宋"/>
          <w:sz w:val="32"/>
          <w:szCs w:val="32"/>
          <w:lang w:eastAsia="zh-CN"/>
        </w:rPr>
        <w:t>，</w:t>
      </w:r>
      <w:r>
        <w:rPr>
          <w:rFonts w:hint="eastAsia" w:ascii="仿宋" w:hAnsi="仿宋" w:eastAsia="仿宋" w:cs="仿宋"/>
          <w:sz w:val="32"/>
          <w:szCs w:val="32"/>
        </w:rPr>
        <w:t>共检查各类货车</w:t>
      </w:r>
      <w:r>
        <w:rPr>
          <w:rFonts w:hint="eastAsia" w:ascii="仿宋" w:hAnsi="仿宋" w:eastAsia="仿宋" w:cs="仿宋"/>
          <w:sz w:val="32"/>
          <w:szCs w:val="32"/>
          <w:lang w:val="en-US" w:eastAsia="zh-CN"/>
        </w:rPr>
        <w:t>2900余</w:t>
      </w:r>
      <w:r>
        <w:rPr>
          <w:rFonts w:hint="eastAsia" w:ascii="仿宋" w:hAnsi="仿宋" w:eastAsia="仿宋" w:cs="仿宋"/>
          <w:sz w:val="32"/>
          <w:szCs w:val="32"/>
        </w:rPr>
        <w:t>辆，现场处罚违法违规</w:t>
      </w:r>
      <w:r>
        <w:rPr>
          <w:rFonts w:hint="eastAsia" w:ascii="仿宋" w:hAnsi="仿宋" w:eastAsia="仿宋" w:cs="仿宋"/>
          <w:sz w:val="32"/>
          <w:szCs w:val="32"/>
          <w:lang w:val="en-US" w:eastAsia="zh-CN"/>
        </w:rPr>
        <w:t>车辆22起</w:t>
      </w:r>
      <w:r>
        <w:rPr>
          <w:rFonts w:hint="eastAsia" w:ascii="仿宋" w:hAnsi="仿宋" w:eastAsia="仿宋" w:cs="仿宋"/>
          <w:kern w:val="0"/>
          <w:sz w:val="32"/>
          <w:szCs w:val="32"/>
          <w:lang w:val="en-US" w:eastAsia="zh-CN"/>
        </w:rPr>
        <w:t>；源头治超方面，目前共对我辖区一般源头企业（南昌中意混凝土工程有限公司）巡查16次，发现问题3处，均已监督整改到位。</w:t>
      </w:r>
    </w:p>
    <w:p w14:paraId="54EA298D">
      <w:pPr>
        <w:keepNext w:val="0"/>
        <w:keepLines w:val="0"/>
        <w:pageBreakBefore w:val="0"/>
        <w:kinsoku/>
        <w:topLinePunct w:val="0"/>
        <w:autoSpaceDE/>
        <w:autoSpaceDN/>
        <w:bidi w:val="0"/>
        <w:adjustRightInd/>
        <w:snapToGrid/>
        <w:spacing w:line="560" w:lineRule="exact"/>
        <w:ind w:firstLine="643" w:firstLineChars="200"/>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2.消除危房安全隐患。</w:t>
      </w:r>
      <w:r>
        <w:rPr>
          <w:rFonts w:hint="eastAsia" w:ascii="仿宋" w:hAnsi="仿宋" w:eastAsia="仿宋" w:cs="仿宋"/>
          <w:sz w:val="32"/>
          <w:szCs w:val="32"/>
          <w:highlight w:val="none"/>
          <w:lang w:val="en-US" w:eastAsia="zh-CN"/>
        </w:rPr>
        <w:t>坚决落实“人不进危房，危房不进人”、“经营不带险，带险不经营”要求，截至目前</w:t>
      </w:r>
      <w:r>
        <w:rPr>
          <w:rFonts w:hint="eastAsia" w:ascii="仿宋" w:hAnsi="仿宋" w:eastAsia="仿宋" w:cs="仿宋"/>
          <w:sz w:val="32"/>
          <w:szCs w:val="32"/>
        </w:rPr>
        <w:t>已完成84栋经营性自建房的安全整治，剩余2栋C级正在加固中，预计12月可以完成整治销号。</w:t>
      </w:r>
      <w:r>
        <w:rPr>
          <w:rFonts w:hint="eastAsia" w:ascii="仿宋" w:hAnsi="仿宋" w:eastAsia="仿宋" w:cs="仿宋"/>
          <w:sz w:val="32"/>
          <w:szCs w:val="32"/>
          <w:lang w:eastAsia="zh-CN"/>
        </w:rPr>
        <w:t>已完成</w:t>
      </w:r>
      <w:r>
        <w:rPr>
          <w:rFonts w:hint="eastAsia" w:ascii="仿宋" w:hAnsi="仿宋" w:eastAsia="仿宋" w:cs="仿宋"/>
          <w:sz w:val="32"/>
          <w:szCs w:val="32"/>
        </w:rPr>
        <w:t>C级危房维修加固164栋，整治完成率73.21%</w:t>
      </w:r>
      <w:r>
        <w:rPr>
          <w:rFonts w:hint="eastAsia" w:ascii="仿宋" w:hAnsi="仿宋" w:eastAsia="仿宋" w:cs="仿宋"/>
          <w:sz w:val="32"/>
          <w:szCs w:val="32"/>
          <w:lang w:eastAsia="zh-CN"/>
        </w:rPr>
        <w:t>；</w:t>
      </w:r>
      <w:r>
        <w:rPr>
          <w:rFonts w:hint="eastAsia" w:ascii="仿宋" w:hAnsi="仿宋" w:eastAsia="仿宋" w:cs="仿宋"/>
          <w:sz w:val="32"/>
          <w:szCs w:val="32"/>
        </w:rPr>
        <w:t>已完成D级危房整治43栋，整治完成率93.5%。剩余60栋C级、3栋D级力争在今年年底前完成加固。</w:t>
      </w:r>
    </w:p>
    <w:p w14:paraId="4B2B5455">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bCs/>
          <w:i w:val="0"/>
          <w:iCs w:val="0"/>
          <w:caps w:val="0"/>
          <w:color w:val="333333"/>
          <w:spacing w:val="0"/>
          <w:sz w:val="32"/>
          <w:szCs w:val="32"/>
          <w:shd w:val="clear" w:fill="FFFFFF"/>
          <w:lang w:val="en-US" w:eastAsia="zh-CN"/>
        </w:rPr>
      </w:pPr>
      <w:r>
        <w:rPr>
          <w:rFonts w:hint="eastAsia" w:ascii="仿宋" w:hAnsi="仿宋" w:eastAsia="仿宋" w:cs="仿宋"/>
          <w:b/>
          <w:bCs/>
          <w:i w:val="0"/>
          <w:iCs w:val="0"/>
          <w:caps w:val="0"/>
          <w:color w:val="333333"/>
          <w:spacing w:val="0"/>
          <w:sz w:val="32"/>
          <w:szCs w:val="32"/>
          <w:shd w:val="clear" w:fill="FFFFFF"/>
          <w:lang w:eastAsia="zh-CN"/>
        </w:rPr>
        <w:t>致力改革创新之力，提升职能履行新水平</w:t>
      </w:r>
    </w:p>
    <w:p w14:paraId="4037C350">
      <w:pPr>
        <w:keepNext w:val="0"/>
        <w:keepLines w:val="0"/>
        <w:pageBreakBefore w:val="0"/>
        <w:widowControl w:val="0"/>
        <w:kinsoku/>
        <w:wordWrap/>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Style w:val="15"/>
          <w:rFonts w:hint="eastAsia" w:ascii="仿宋" w:hAnsi="仿宋" w:eastAsia="仿宋" w:cs="仿宋"/>
          <w:i w:val="0"/>
          <w:iCs w:val="0"/>
          <w:caps w:val="0"/>
          <w:color w:val="333333"/>
          <w:spacing w:val="0"/>
          <w:kern w:val="0"/>
          <w:sz w:val="32"/>
          <w:szCs w:val="32"/>
          <w:shd w:val="clear" w:fill="FFFFFF"/>
          <w:lang w:val="en-US" w:eastAsia="zh-CN" w:bidi="ar"/>
        </w:rPr>
        <w:t>1.强化审批效能。</w:t>
      </w:r>
      <w:r>
        <w:rPr>
          <w:rFonts w:hint="eastAsia" w:ascii="仿宋" w:hAnsi="仿宋" w:eastAsia="仿宋" w:cs="仿宋"/>
          <w:sz w:val="32"/>
          <w:szCs w:val="32"/>
          <w:lang w:val="en-US" w:eastAsia="zh-CN"/>
        </w:rPr>
        <w:t>成立了青云谱区工程建设项目审批制度改革工作领导小组，由住建局牵头协调推进工程建设项目审批制度改革工作，工程建设项目审批流程划分为立项（备案）审批、工程建设许可、施工许可、竣工验收四个阶段，</w:t>
      </w:r>
      <w:r>
        <w:rPr>
          <w:rFonts w:hint="eastAsia" w:ascii="仿宋" w:hAnsi="仿宋" w:eastAsia="仿宋" w:cs="仿宋"/>
          <w:sz w:val="32"/>
          <w:szCs w:val="32"/>
        </w:rPr>
        <w:t>明确我</w:t>
      </w:r>
      <w:r>
        <w:rPr>
          <w:rFonts w:hint="eastAsia" w:ascii="仿宋" w:hAnsi="仿宋" w:eastAsia="仿宋" w:cs="仿宋"/>
          <w:sz w:val="32"/>
          <w:szCs w:val="32"/>
          <w:lang w:val="en-US" w:eastAsia="zh-CN"/>
        </w:rPr>
        <w:t>区</w:t>
      </w:r>
      <w:r>
        <w:rPr>
          <w:rFonts w:hint="eastAsia" w:ascii="仿宋" w:hAnsi="仿宋" w:eastAsia="仿宋" w:cs="仿宋"/>
          <w:sz w:val="32"/>
          <w:szCs w:val="32"/>
        </w:rPr>
        <w:t>工程建设项目审批制度改革部分重点工作牵头单位。</w:t>
      </w:r>
      <w:r>
        <w:rPr>
          <w:rFonts w:hint="eastAsia" w:ascii="仿宋" w:hAnsi="仿宋" w:eastAsia="仿宋" w:cs="仿宋"/>
          <w:b w:val="0"/>
          <w:bCs/>
          <w:color w:val="auto"/>
          <w:kern w:val="2"/>
          <w:sz w:val="32"/>
          <w:szCs w:val="32"/>
          <w:lang w:val="en-US" w:eastAsia="zh-CN" w:bidi="ar-SA"/>
        </w:rPr>
        <w:t>截至目前已</w:t>
      </w:r>
      <w:r>
        <w:rPr>
          <w:rFonts w:hint="eastAsia" w:ascii="仿宋" w:hAnsi="仿宋" w:eastAsia="仿宋" w:cs="仿宋"/>
          <w:b w:val="0"/>
          <w:bCs w:val="0"/>
          <w:i w:val="0"/>
          <w:iCs w:val="0"/>
          <w:caps w:val="0"/>
          <w:color w:val="auto"/>
          <w:spacing w:val="0"/>
          <w:sz w:val="32"/>
          <w:szCs w:val="32"/>
          <w:shd w:val="clear" w:fill="FFFFFF"/>
          <w:lang w:val="en-US" w:eastAsia="zh-CN"/>
        </w:rPr>
        <w:t>办理审批事项1821件，受理工程建设项目</w:t>
      </w:r>
      <w:r>
        <w:rPr>
          <w:rFonts w:hint="eastAsia" w:ascii="仿宋" w:hAnsi="仿宋" w:eastAsia="仿宋" w:cs="仿宋"/>
          <w:b w:val="0"/>
          <w:bCs w:val="0"/>
          <w:i w:val="0"/>
          <w:iCs w:val="0"/>
          <w:caps w:val="0"/>
          <w:color w:val="auto"/>
          <w:spacing w:val="0"/>
          <w:sz w:val="32"/>
          <w:szCs w:val="32"/>
          <w:highlight w:val="none"/>
          <w:shd w:val="clear" w:fill="FFFFFF"/>
          <w:lang w:val="en-US" w:eastAsia="zh-CN"/>
        </w:rPr>
        <w:t>299件</w:t>
      </w:r>
      <w:r>
        <w:rPr>
          <w:rFonts w:hint="eastAsia" w:ascii="仿宋" w:hAnsi="仿宋" w:eastAsia="仿宋" w:cs="仿宋"/>
          <w:b w:val="0"/>
          <w:bCs w:val="0"/>
          <w:i w:val="0"/>
          <w:iCs w:val="0"/>
          <w:caps w:val="0"/>
          <w:color w:val="auto"/>
          <w:spacing w:val="0"/>
          <w:sz w:val="32"/>
          <w:szCs w:val="32"/>
          <w:shd w:val="clear" w:fill="FFFFFF"/>
          <w:lang w:val="en-US" w:eastAsia="zh-CN"/>
        </w:rPr>
        <w:t>，</w:t>
      </w:r>
      <w:r>
        <w:rPr>
          <w:rFonts w:hint="eastAsia" w:ascii="仿宋" w:hAnsi="仿宋" w:eastAsia="仿宋" w:cs="仿宋"/>
          <w:b w:val="0"/>
          <w:bCs w:val="0"/>
          <w:i w:val="0"/>
          <w:iCs w:val="0"/>
          <w:caps w:val="0"/>
          <w:color w:val="000000" w:themeColor="text1"/>
          <w:spacing w:val="0"/>
          <w:sz w:val="32"/>
          <w:szCs w:val="32"/>
          <w:shd w:val="clear" w:fill="FFFFFF"/>
          <w:lang w:val="en-US" w:eastAsia="zh-CN"/>
          <w14:textFill>
            <w14:solidFill>
              <w14:schemeClr w14:val="tx1"/>
            </w14:solidFill>
          </w14:textFill>
        </w:rPr>
        <w:t>并联率县区名列前茅。</w:t>
      </w:r>
      <w:r>
        <w:rPr>
          <w:rFonts w:hint="eastAsia" w:ascii="仿宋" w:hAnsi="仿宋" w:eastAsia="仿宋" w:cs="仿宋"/>
          <w:b w:val="0"/>
          <w:bCs/>
          <w:color w:val="000000"/>
          <w:kern w:val="2"/>
          <w:sz w:val="32"/>
          <w:szCs w:val="32"/>
          <w:lang w:val="en-US" w:eastAsia="zh-CN" w:bidi="ar-SA"/>
        </w:rPr>
        <w:t>办理建筑类消防设计审查和装饰装修许可证数量比去年增长了30%，</w:t>
      </w:r>
      <w:r>
        <w:rPr>
          <w:rFonts w:hint="eastAsia" w:ascii="仿宋" w:hAnsi="仿宋" w:eastAsia="仿宋" w:cs="仿宋"/>
          <w:sz w:val="32"/>
          <w:szCs w:val="32"/>
        </w:rPr>
        <w:t>受理消防设计审查、验收和备案事项</w:t>
      </w:r>
      <w:r>
        <w:rPr>
          <w:rFonts w:hint="eastAsia" w:ascii="仿宋" w:hAnsi="仿宋" w:eastAsia="仿宋" w:cs="仿宋"/>
          <w:b w:val="0"/>
          <w:bCs/>
          <w:color w:val="000000"/>
          <w:kern w:val="2"/>
          <w:sz w:val="32"/>
          <w:szCs w:val="32"/>
          <w:lang w:val="en-US" w:eastAsia="zh-CN" w:bidi="ar-SA"/>
        </w:rPr>
        <w:t>共13件，</w:t>
      </w:r>
      <w:r>
        <w:rPr>
          <w:rFonts w:hint="eastAsia" w:ascii="仿宋" w:hAnsi="仿宋" w:eastAsia="仿宋" w:cs="仿宋"/>
          <w:sz w:val="32"/>
          <w:szCs w:val="32"/>
        </w:rPr>
        <w:t>审查完成率100%。</w:t>
      </w:r>
    </w:p>
    <w:p w14:paraId="64D1D6AF">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仿宋" w:hAnsi="仿宋" w:eastAsia="仿宋" w:cs="仿宋"/>
          <w:i w:val="0"/>
          <w:iCs w:val="0"/>
          <w:caps w:val="0"/>
          <w:color w:val="0000FF"/>
          <w:spacing w:val="0"/>
          <w:sz w:val="32"/>
          <w:szCs w:val="32"/>
          <w:shd w:val="clear" w:fill="FFFFFF"/>
          <w:lang w:val="en-US" w:eastAsia="zh-CN"/>
        </w:rPr>
      </w:pPr>
      <w:r>
        <w:rPr>
          <w:rFonts w:hint="eastAsia" w:ascii="仿宋" w:hAnsi="仿宋" w:eastAsia="仿宋" w:cs="仿宋"/>
          <w:b/>
          <w:bCs/>
          <w:i w:val="0"/>
          <w:iCs w:val="0"/>
          <w:caps w:val="0"/>
          <w:color w:val="000000" w:themeColor="text1"/>
          <w:spacing w:val="0"/>
          <w:sz w:val="32"/>
          <w:szCs w:val="32"/>
          <w:shd w:val="clear" w:fill="FFFFFF"/>
          <w:lang w:val="en-US" w:eastAsia="zh-CN"/>
          <w14:textFill>
            <w14:solidFill>
              <w14:schemeClr w14:val="tx1"/>
            </w14:solidFill>
          </w14:textFill>
        </w:rPr>
        <w:t>2.持续推进工程招投标项目。</w:t>
      </w:r>
      <w:r>
        <w:rPr>
          <w:rFonts w:hint="eastAsia" w:ascii="仿宋" w:hAnsi="仿宋" w:eastAsia="仿宋" w:cs="仿宋"/>
          <w:bCs/>
          <w:sz w:val="32"/>
          <w:szCs w:val="32"/>
        </w:rPr>
        <w:t>年初以来，共监督工程招投标</w:t>
      </w:r>
      <w:r>
        <w:rPr>
          <w:rFonts w:hint="eastAsia" w:ascii="仿宋" w:hAnsi="仿宋" w:eastAsia="仿宋" w:cs="仿宋"/>
          <w:sz w:val="32"/>
          <w:szCs w:val="32"/>
        </w:rPr>
        <w:t>项目21个，</w:t>
      </w:r>
      <w:r>
        <w:rPr>
          <w:rFonts w:hint="eastAsia" w:ascii="仿宋" w:hAnsi="仿宋" w:eastAsia="仿宋" w:cs="仿宋"/>
          <w:sz w:val="32"/>
          <w:szCs w:val="32"/>
          <w:lang w:eastAsia="zh-CN"/>
        </w:rPr>
        <w:t>已</w:t>
      </w:r>
      <w:r>
        <w:rPr>
          <w:rFonts w:hint="eastAsia" w:ascii="仿宋" w:hAnsi="仿宋" w:eastAsia="仿宋" w:cs="仿宋"/>
          <w:bCs/>
          <w:sz w:val="32"/>
          <w:szCs w:val="32"/>
        </w:rPr>
        <w:t>全部公开招标，</w:t>
      </w:r>
      <w:r>
        <w:rPr>
          <w:rFonts w:hint="eastAsia" w:ascii="仿宋" w:hAnsi="仿宋" w:eastAsia="仿宋" w:cs="仿宋"/>
          <w:sz w:val="32"/>
          <w:szCs w:val="32"/>
        </w:rPr>
        <w:t>全流程电子化，招投标各环节均在省公共资源交易系统和南昌公共资源交易中心实施，实现投标人“一次不跑”网上办理和“不见面开标”，营造了公平公正公开的市场竞争环境。</w:t>
      </w:r>
    </w:p>
    <w:p w14:paraId="78CD751F">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bCs/>
          <w:i w:val="0"/>
          <w:iCs w:val="0"/>
          <w:caps w:val="0"/>
          <w:color w:val="333333"/>
          <w:spacing w:val="0"/>
          <w:sz w:val="32"/>
          <w:szCs w:val="32"/>
          <w:shd w:val="clear" w:fill="FFFFFF"/>
          <w:lang w:val="en-US" w:eastAsia="zh-CN"/>
        </w:rPr>
      </w:pPr>
      <w:r>
        <w:rPr>
          <w:rFonts w:hint="eastAsia" w:ascii="仿宋" w:hAnsi="仿宋" w:eastAsia="仿宋" w:cs="仿宋"/>
          <w:b/>
          <w:bCs/>
          <w:i w:val="0"/>
          <w:iCs w:val="0"/>
          <w:caps w:val="0"/>
          <w:color w:val="333333"/>
          <w:spacing w:val="0"/>
          <w:sz w:val="32"/>
          <w:szCs w:val="32"/>
          <w:shd w:val="clear" w:fill="FFFFFF"/>
          <w:lang w:eastAsia="zh-CN"/>
        </w:rPr>
        <w:t>致力塑造宜居之地，推动旧改征迁新蝶变</w:t>
      </w:r>
    </w:p>
    <w:p w14:paraId="17C2BFE0">
      <w:pPr>
        <w:pStyle w:val="9"/>
        <w:keepNext w:val="0"/>
        <w:keepLines w:val="0"/>
        <w:pageBreakBefore w:val="0"/>
        <w:numPr>
          <w:ilvl w:val="0"/>
          <w:numId w:val="0"/>
        </w:numPr>
        <w:kinsoku/>
        <w:overflowPunct/>
        <w:topLinePunct w:val="0"/>
        <w:autoSpaceDE/>
        <w:autoSpaceDN/>
        <w:bidi w:val="0"/>
        <w:adjustRightInd/>
        <w:snapToGrid/>
        <w:spacing w:line="560" w:lineRule="exact"/>
        <w:ind w:leftChars="0" w:firstLine="643"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1.征收项目方面。</w:t>
      </w:r>
      <w:r>
        <w:rPr>
          <w:rFonts w:hint="eastAsia" w:ascii="仿宋" w:hAnsi="仿宋" w:eastAsia="仿宋" w:cs="仿宋"/>
          <w:b w:val="0"/>
          <w:bCs/>
          <w:sz w:val="32"/>
          <w:szCs w:val="32"/>
          <w:lang w:val="en-US" w:eastAsia="zh-CN"/>
        </w:rPr>
        <w:t>洪都七区棚户区改造项目于2023年4月2日下达征收决定，正式开展征收工作。</w:t>
      </w:r>
      <w:r>
        <w:rPr>
          <w:rStyle w:val="28"/>
          <w:rFonts w:hint="eastAsia" w:ascii="仿宋" w:hAnsi="仿宋" w:eastAsia="仿宋" w:cs="仿宋"/>
          <w:color w:val="000000"/>
          <w:sz w:val="32"/>
          <w:szCs w:val="32"/>
          <w:lang w:val="en-US" w:eastAsia="zh-CN"/>
        </w:rPr>
        <w:t>此地块</w:t>
      </w:r>
      <w:r>
        <w:rPr>
          <w:rFonts w:hint="eastAsia" w:ascii="仿宋" w:hAnsi="仿宋" w:eastAsia="仿宋" w:cs="仿宋"/>
          <w:sz w:val="32"/>
          <w:szCs w:val="32"/>
        </w:rPr>
        <w:t>征收总面积约2.6万平方米，被征收户约635户</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目前已拆除2.5万平方米，目前该项目已处在收尾阶段。</w:t>
      </w:r>
    </w:p>
    <w:p w14:paraId="0EF9C0C6">
      <w:pPr>
        <w:pStyle w:val="9"/>
        <w:keepNext w:val="0"/>
        <w:keepLines w:val="0"/>
        <w:pageBreakBefore w:val="0"/>
        <w:numPr>
          <w:ilvl w:val="0"/>
          <w:numId w:val="0"/>
        </w:numPr>
        <w:kinsoku/>
        <w:overflowPunct/>
        <w:topLinePunct w:val="0"/>
        <w:autoSpaceDE/>
        <w:autoSpaceDN/>
        <w:bidi w:val="0"/>
        <w:adjustRightInd/>
        <w:snapToGrid/>
        <w:spacing w:line="560" w:lineRule="exact"/>
        <w:ind w:leftChars="0" w:firstLine="640" w:firstLineChars="200"/>
        <w:jc w:val="left"/>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b w:val="0"/>
          <w:bCs/>
          <w:sz w:val="32"/>
          <w:szCs w:val="32"/>
          <w:lang w:val="en-US" w:eastAsia="zh-CN"/>
        </w:rPr>
        <w:t>2.</w:t>
      </w:r>
      <w:r>
        <w:rPr>
          <w:rFonts w:hint="eastAsia" w:ascii="仿宋" w:hAnsi="仿宋" w:eastAsia="仿宋" w:cs="仿宋"/>
          <w:b/>
          <w:bCs/>
          <w:sz w:val="32"/>
          <w:szCs w:val="32"/>
          <w:lang w:val="en-US" w:eastAsia="zh-CN"/>
        </w:rPr>
        <w:t>安置回迁方面。</w:t>
      </w:r>
      <w:r>
        <w:rPr>
          <w:rFonts w:hint="eastAsia" w:ascii="仿宋" w:hAnsi="仿宋" w:eastAsia="仿宋" w:cs="仿宋"/>
          <w:b w:val="0"/>
          <w:bCs/>
          <w:sz w:val="32"/>
          <w:szCs w:val="32"/>
          <w:lang w:val="en-US" w:eastAsia="zh-CN"/>
        </w:rPr>
        <w:t>2023年安置回迁项目涉及十字街二期（京山老街）项目、航空路地块（新溪桥路周边旧城改造）项目、墅溪路地块（上海南路沿线旧城改造三店村、楞上村、熊坊和石马村，其中</w:t>
      </w:r>
      <w:r>
        <w:rPr>
          <w:rFonts w:hint="eastAsia" w:ascii="仿宋" w:hAnsi="仿宋" w:eastAsia="仿宋" w:cs="仿宋"/>
          <w:b w:val="0"/>
          <w:bCs/>
          <w:sz w:val="32"/>
          <w:szCs w:val="32"/>
          <w:highlight w:val="none"/>
          <w:lang w:val="en-US" w:eastAsia="zh-CN"/>
        </w:rPr>
        <w:t>三店村</w:t>
      </w:r>
      <w:r>
        <w:rPr>
          <w:rFonts w:hint="eastAsia" w:ascii="仿宋" w:hAnsi="仿宋" w:eastAsia="仿宋" w:cs="仿宋"/>
          <w:b w:val="0"/>
          <w:bCs/>
          <w:sz w:val="32"/>
          <w:szCs w:val="32"/>
          <w:lang w:val="en-US" w:eastAsia="zh-CN"/>
        </w:rPr>
        <w:t>涉及回迁户共户90户，已安置回迁87户；楞上村涉及回迁户共580户，已安置回迁320户；</w:t>
      </w:r>
      <w:r>
        <w:rPr>
          <w:rFonts w:hint="eastAsia" w:ascii="仿宋" w:hAnsi="仿宋" w:eastAsia="仿宋" w:cs="仿宋"/>
          <w:b w:val="0"/>
          <w:bCs/>
          <w:sz w:val="32"/>
          <w:szCs w:val="32"/>
          <w:highlight w:val="none"/>
          <w:lang w:val="en-US" w:eastAsia="zh-CN"/>
        </w:rPr>
        <w:t>熊坊村</w:t>
      </w:r>
      <w:r>
        <w:rPr>
          <w:rFonts w:hint="eastAsia" w:ascii="仿宋" w:hAnsi="仿宋" w:eastAsia="仿宋" w:cs="仿宋"/>
          <w:b w:val="0"/>
          <w:bCs/>
          <w:sz w:val="32"/>
          <w:szCs w:val="32"/>
          <w:lang w:val="en-US" w:eastAsia="zh-CN"/>
        </w:rPr>
        <w:t>涉及回迁户共820户，已安置回迁700户；石马村涉及回迁户共666户，已安置回迁650户。</w:t>
      </w:r>
    </w:p>
    <w:p w14:paraId="0D06CDFA">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bCs/>
          <w:i w:val="0"/>
          <w:iCs w:val="0"/>
          <w:caps w:val="0"/>
          <w:color w:val="333333"/>
          <w:spacing w:val="0"/>
          <w:sz w:val="32"/>
          <w:szCs w:val="32"/>
          <w:shd w:val="clear" w:fill="FFFFFF"/>
          <w:lang w:eastAsia="zh-CN"/>
        </w:rPr>
      </w:pPr>
      <w:r>
        <w:rPr>
          <w:rFonts w:hint="eastAsia" w:ascii="仿宋" w:hAnsi="仿宋" w:eastAsia="仿宋" w:cs="仿宋"/>
          <w:b/>
          <w:bCs/>
          <w:i w:val="0"/>
          <w:iCs w:val="0"/>
          <w:caps w:val="0"/>
          <w:color w:val="333333"/>
          <w:spacing w:val="0"/>
          <w:sz w:val="32"/>
          <w:szCs w:val="32"/>
          <w:shd w:val="clear" w:fill="FFFFFF"/>
          <w:lang w:eastAsia="zh-CN"/>
        </w:rPr>
        <w:t>致力经济运行之稳，促进产业发展新气象</w:t>
      </w:r>
    </w:p>
    <w:p w14:paraId="755E1C70">
      <w:pPr>
        <w:pStyle w:val="9"/>
        <w:keepNext w:val="0"/>
        <w:keepLines w:val="0"/>
        <w:pageBreakBefore w:val="0"/>
        <w:numPr>
          <w:ilvl w:val="0"/>
          <w:numId w:val="0"/>
        </w:numPr>
        <w:kinsoku/>
        <w:overflowPunct/>
        <w:topLinePunct w:val="0"/>
        <w:autoSpaceDE/>
        <w:autoSpaceDN/>
        <w:bidi w:val="0"/>
        <w:adjustRightInd/>
        <w:snapToGrid/>
        <w:spacing w:line="560" w:lineRule="exact"/>
        <w:ind w:leftChars="0" w:firstLine="643" w:firstLineChars="200"/>
        <w:jc w:val="left"/>
        <w:textAlignment w:val="auto"/>
        <w:rPr>
          <w:rFonts w:hint="eastAsia" w:ascii="仿宋" w:hAnsi="仿宋" w:eastAsia="仿宋" w:cs="仿宋"/>
          <w:b w:val="0"/>
          <w:bCs/>
          <w:sz w:val="32"/>
          <w:szCs w:val="32"/>
          <w:highlight w:val="none"/>
          <w:lang w:val="en-US" w:eastAsia="zh-CN"/>
        </w:rPr>
      </w:pPr>
      <w:r>
        <w:rPr>
          <w:rFonts w:hint="eastAsia" w:ascii="仿宋" w:hAnsi="仿宋" w:eastAsia="仿宋" w:cs="仿宋"/>
          <w:b/>
          <w:bCs w:val="0"/>
          <w:sz w:val="32"/>
          <w:szCs w:val="32"/>
          <w:highlight w:val="none"/>
          <w:lang w:val="en-US" w:eastAsia="zh-CN"/>
        </w:rPr>
        <w:t>1.建筑业方面。</w:t>
      </w:r>
      <w:r>
        <w:rPr>
          <w:rFonts w:hint="eastAsia" w:ascii="仿宋" w:hAnsi="仿宋" w:eastAsia="仿宋" w:cs="仿宋"/>
          <w:b w:val="0"/>
          <w:bCs/>
          <w:sz w:val="32"/>
          <w:szCs w:val="32"/>
          <w:highlight w:val="none"/>
          <w:lang w:val="en-US" w:eastAsia="zh-CN"/>
        </w:rPr>
        <w:t>2023年三季度，全区共有规上建筑业企业140家，完成建筑业总产值约为546.35亿元，同比增速约为13.2%，增速位列全市第二。</w:t>
      </w:r>
    </w:p>
    <w:p w14:paraId="1436223D">
      <w:pPr>
        <w:pStyle w:val="9"/>
        <w:keepNext w:val="0"/>
        <w:keepLines w:val="0"/>
        <w:pageBreakBefore w:val="0"/>
        <w:numPr>
          <w:ilvl w:val="0"/>
          <w:numId w:val="0"/>
        </w:numPr>
        <w:kinsoku/>
        <w:overflowPunct/>
        <w:topLinePunct w:val="0"/>
        <w:autoSpaceDE/>
        <w:autoSpaceDN/>
        <w:bidi w:val="0"/>
        <w:adjustRightInd/>
        <w:snapToGrid/>
        <w:spacing w:line="560" w:lineRule="exact"/>
        <w:ind w:leftChars="0" w:firstLine="643" w:firstLineChars="200"/>
        <w:jc w:val="left"/>
        <w:textAlignment w:val="auto"/>
        <w:rPr>
          <w:rFonts w:hint="eastAsia" w:ascii="仿宋" w:hAnsi="仿宋" w:eastAsia="仿宋" w:cs="仿宋"/>
          <w:b w:val="0"/>
          <w:bCs/>
          <w:sz w:val="32"/>
          <w:szCs w:val="32"/>
          <w:highlight w:val="none"/>
          <w:lang w:val="en-US" w:eastAsia="zh-CN"/>
        </w:rPr>
      </w:pPr>
      <w:r>
        <w:rPr>
          <w:rFonts w:hint="eastAsia" w:ascii="仿宋" w:hAnsi="仿宋" w:eastAsia="仿宋" w:cs="仿宋"/>
          <w:b/>
          <w:bCs w:val="0"/>
          <w:sz w:val="32"/>
          <w:szCs w:val="32"/>
          <w:highlight w:val="none"/>
          <w:lang w:val="en-US" w:eastAsia="zh-CN"/>
        </w:rPr>
        <w:t>2.房地产方面。</w:t>
      </w:r>
      <w:r>
        <w:rPr>
          <w:rFonts w:hint="eastAsia" w:ascii="仿宋" w:hAnsi="仿宋" w:eastAsia="仿宋" w:cs="仿宋"/>
          <w:b w:val="0"/>
          <w:bCs/>
          <w:sz w:val="32"/>
          <w:szCs w:val="32"/>
          <w:highlight w:val="none"/>
          <w:lang w:val="en-US" w:eastAsia="zh-CN"/>
        </w:rPr>
        <w:t>截至目前，全区新建商品房网签销售6377套、销售面积62.42万㎡。预计2023年房地产固定资产投资总额为59亿元，同比增速为32%。</w:t>
      </w:r>
    </w:p>
    <w:p w14:paraId="75AF6526">
      <w:pPr>
        <w:spacing w:line="600" w:lineRule="exact"/>
        <w:ind w:firstLine="643" w:firstLineChars="200"/>
        <w:rPr>
          <w:rFonts w:hint="eastAsia" w:ascii="仿宋" w:hAnsi="仿宋" w:eastAsia="仿宋" w:cs="仿宋"/>
          <w:b/>
          <w:bCs w:val="0"/>
          <w:sz w:val="32"/>
          <w:szCs w:val="32"/>
        </w:rPr>
      </w:pPr>
      <w:r>
        <w:rPr>
          <w:rFonts w:hint="eastAsia" w:ascii="仿宋" w:hAnsi="仿宋" w:eastAsia="仿宋" w:cs="仿宋"/>
          <w:b/>
          <w:bCs w:val="0"/>
          <w:sz w:val="32"/>
          <w:szCs w:val="32"/>
        </w:rPr>
        <w:t>三、绩效分析及评价结论</w:t>
      </w:r>
    </w:p>
    <w:p w14:paraId="6205E203">
      <w:pPr>
        <w:rPr>
          <w:rFonts w:hint="eastAsia" w:ascii="仿宋" w:hAnsi="仿宋" w:eastAsia="仿宋" w:cs="仿宋"/>
          <w:lang w:val="en-US" w:eastAsia="zh-CN"/>
        </w:rPr>
      </w:pPr>
    </w:p>
    <w:p w14:paraId="3931C20E">
      <w:pPr>
        <w:spacing w:line="360" w:lineRule="auto"/>
        <w:ind w:firstLine="602" w:firstLineChars="200"/>
        <w:rPr>
          <w:rFonts w:hint="eastAsia" w:ascii="仿宋" w:hAnsi="仿宋" w:eastAsia="仿宋" w:cs="仿宋"/>
          <w:color w:val="auto"/>
          <w:sz w:val="30"/>
          <w:szCs w:val="30"/>
        </w:rPr>
      </w:pPr>
      <w:r>
        <w:rPr>
          <w:rFonts w:hint="eastAsia" w:ascii="仿宋" w:hAnsi="仿宋" w:eastAsia="仿宋" w:cs="仿宋"/>
          <w:b/>
          <w:bCs/>
          <w:color w:val="auto"/>
          <w:sz w:val="30"/>
          <w:szCs w:val="30"/>
          <w:lang w:val="en-US" w:eastAsia="zh-CN"/>
        </w:rPr>
        <w:t>1、</w:t>
      </w:r>
      <w:r>
        <w:rPr>
          <w:rFonts w:hint="eastAsia" w:ascii="仿宋" w:hAnsi="仿宋" w:eastAsia="仿宋" w:cs="仿宋"/>
          <w:b/>
          <w:bCs/>
          <w:color w:val="auto"/>
          <w:sz w:val="30"/>
          <w:szCs w:val="30"/>
          <w:lang w:eastAsia="zh-CN"/>
        </w:rPr>
        <w:t>预算执行情况</w:t>
      </w:r>
      <w:r>
        <w:rPr>
          <w:rFonts w:hint="eastAsia" w:ascii="仿宋" w:hAnsi="仿宋" w:eastAsia="仿宋" w:cs="仿宋"/>
          <w:color w:val="auto"/>
          <w:sz w:val="30"/>
          <w:szCs w:val="30"/>
        </w:rPr>
        <w:t>=（</w:t>
      </w:r>
      <w:r>
        <w:rPr>
          <w:rFonts w:hint="eastAsia" w:ascii="仿宋" w:hAnsi="仿宋" w:eastAsia="仿宋" w:cs="仿宋"/>
          <w:color w:val="auto"/>
          <w:sz w:val="30"/>
          <w:szCs w:val="30"/>
          <w:lang w:eastAsia="zh-CN"/>
        </w:rPr>
        <w:t>年初预算</w:t>
      </w:r>
      <w:r>
        <w:rPr>
          <w:rFonts w:hint="eastAsia" w:ascii="仿宋" w:hAnsi="仿宋" w:eastAsia="仿宋" w:cs="仿宋"/>
          <w:color w:val="auto"/>
          <w:sz w:val="30"/>
          <w:szCs w:val="30"/>
          <w:lang w:val="en-US" w:eastAsia="zh-CN"/>
        </w:rPr>
        <w:t>15979138.34元+调整预算690015499.77</w:t>
      </w:r>
      <w:r>
        <w:rPr>
          <w:rFonts w:hint="eastAsia" w:ascii="仿宋" w:hAnsi="仿宋" w:eastAsia="仿宋" w:cs="仿宋"/>
          <w:color w:val="auto"/>
          <w:sz w:val="30"/>
          <w:szCs w:val="30"/>
        </w:rPr>
        <w:t>元</w:t>
      </w:r>
      <w:r>
        <w:rPr>
          <w:rFonts w:hint="eastAsia" w:ascii="仿宋" w:hAnsi="仿宋" w:eastAsia="仿宋" w:cs="仿宋"/>
          <w:color w:val="auto"/>
          <w:sz w:val="30"/>
          <w:szCs w:val="30"/>
          <w:lang w:val="en-US" w:eastAsia="zh-CN"/>
        </w:rPr>
        <w:t>-</w:t>
      </w:r>
      <w:r>
        <w:rPr>
          <w:rFonts w:hint="eastAsia" w:ascii="仿宋" w:hAnsi="仿宋" w:eastAsia="仿宋" w:cs="仿宋"/>
          <w:color w:val="auto"/>
          <w:sz w:val="30"/>
          <w:szCs w:val="30"/>
        </w:rPr>
        <w:t>支出预算数</w:t>
      </w:r>
      <w:r>
        <w:rPr>
          <w:rFonts w:hint="eastAsia" w:ascii="仿宋" w:hAnsi="仿宋" w:eastAsia="仿宋" w:cs="仿宋"/>
          <w:color w:val="auto"/>
          <w:sz w:val="32"/>
          <w:szCs w:val="40"/>
          <w:lang w:val="en-US" w:eastAsia="zh-CN"/>
        </w:rPr>
        <w:t>686391122.82</w:t>
      </w:r>
      <w:r>
        <w:rPr>
          <w:rFonts w:hint="eastAsia" w:ascii="仿宋" w:hAnsi="仿宋" w:eastAsia="仿宋" w:cs="仿宋"/>
          <w:color w:val="auto"/>
          <w:sz w:val="30"/>
          <w:szCs w:val="30"/>
        </w:rPr>
        <w:t>元）×100%=</w:t>
      </w:r>
      <w:r>
        <w:rPr>
          <w:rFonts w:hint="eastAsia" w:ascii="仿宋" w:hAnsi="仿宋" w:eastAsia="仿宋" w:cs="仿宋"/>
          <w:color w:val="auto"/>
          <w:sz w:val="30"/>
          <w:szCs w:val="30"/>
          <w:lang w:val="en-US" w:eastAsia="zh-CN"/>
        </w:rPr>
        <w:t>80.77</w:t>
      </w:r>
      <w:r>
        <w:rPr>
          <w:rFonts w:hint="eastAsia" w:ascii="仿宋" w:hAnsi="仿宋" w:eastAsia="仿宋" w:cs="仿宋"/>
          <w:color w:val="auto"/>
          <w:sz w:val="30"/>
          <w:szCs w:val="30"/>
        </w:rPr>
        <w:t>%，得</w:t>
      </w:r>
      <w:r>
        <w:rPr>
          <w:rFonts w:hint="eastAsia" w:ascii="仿宋" w:hAnsi="仿宋" w:eastAsia="仿宋" w:cs="仿宋"/>
          <w:color w:val="auto"/>
          <w:sz w:val="30"/>
          <w:szCs w:val="30"/>
          <w:lang w:val="en-US" w:eastAsia="zh-CN"/>
        </w:rPr>
        <w:t>7</w:t>
      </w:r>
      <w:r>
        <w:rPr>
          <w:rFonts w:hint="eastAsia" w:ascii="仿宋" w:hAnsi="仿宋" w:eastAsia="仿宋" w:cs="仿宋"/>
          <w:color w:val="auto"/>
          <w:sz w:val="30"/>
          <w:szCs w:val="30"/>
        </w:rPr>
        <w:t>分</w:t>
      </w:r>
    </w:p>
    <w:p w14:paraId="393A0078">
      <w:pPr>
        <w:spacing w:line="360" w:lineRule="auto"/>
        <w:ind w:firstLine="602" w:firstLineChars="200"/>
        <w:rPr>
          <w:rFonts w:hint="eastAsia" w:ascii="仿宋" w:hAnsi="仿宋" w:eastAsia="仿宋" w:cs="仿宋"/>
          <w:b/>
          <w:bCs/>
          <w:color w:val="auto"/>
          <w:sz w:val="30"/>
          <w:szCs w:val="30"/>
        </w:rPr>
      </w:pPr>
      <w:r>
        <w:rPr>
          <w:rFonts w:hint="eastAsia" w:ascii="仿宋" w:hAnsi="仿宋" w:eastAsia="仿宋" w:cs="仿宋"/>
          <w:b/>
          <w:bCs/>
          <w:color w:val="auto"/>
          <w:sz w:val="30"/>
          <w:szCs w:val="30"/>
          <w:lang w:val="en-US" w:eastAsia="zh-CN"/>
        </w:rPr>
        <w:t>2</w:t>
      </w:r>
      <w:r>
        <w:rPr>
          <w:rFonts w:hint="eastAsia" w:ascii="仿宋" w:hAnsi="仿宋" w:eastAsia="仿宋" w:cs="仿宋"/>
          <w:b/>
          <w:bCs/>
          <w:color w:val="auto"/>
          <w:sz w:val="30"/>
          <w:szCs w:val="30"/>
        </w:rPr>
        <w:t>.</w:t>
      </w:r>
      <w:r>
        <w:rPr>
          <w:rFonts w:hint="eastAsia" w:ascii="仿宋" w:hAnsi="仿宋" w:eastAsia="仿宋" w:cs="仿宋"/>
          <w:b/>
          <w:bCs/>
          <w:color w:val="auto"/>
          <w:sz w:val="30"/>
          <w:szCs w:val="30"/>
          <w:lang w:eastAsia="zh-CN"/>
        </w:rPr>
        <w:t>成本使用指标完成较好，得</w:t>
      </w:r>
      <w:r>
        <w:rPr>
          <w:rFonts w:hint="eastAsia" w:ascii="仿宋" w:hAnsi="仿宋" w:eastAsia="仿宋" w:cs="仿宋"/>
          <w:b/>
          <w:bCs/>
          <w:color w:val="auto"/>
          <w:sz w:val="30"/>
          <w:szCs w:val="30"/>
        </w:rPr>
        <w:t>5分</w:t>
      </w:r>
    </w:p>
    <w:p w14:paraId="40EF013A">
      <w:pPr>
        <w:spacing w:line="360" w:lineRule="auto"/>
        <w:ind w:firstLine="600" w:firstLineChars="200"/>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eastAsia="zh-CN"/>
        </w:rPr>
        <w:t>年度路灯使用控制较好，严格按照年初计划控制&lt;</w:t>
      </w:r>
      <w:r>
        <w:rPr>
          <w:rFonts w:hint="eastAsia" w:ascii="仿宋" w:hAnsi="仿宋" w:eastAsia="仿宋" w:cs="仿宋"/>
          <w:color w:val="auto"/>
          <w:sz w:val="30"/>
          <w:szCs w:val="30"/>
          <w:lang w:val="en-US" w:eastAsia="zh-CN"/>
        </w:rPr>
        <w:t>10%以内，得5分。</w:t>
      </w:r>
    </w:p>
    <w:p w14:paraId="6D44FD0C">
      <w:pPr>
        <w:spacing w:line="360" w:lineRule="auto"/>
        <w:ind w:firstLine="602" w:firstLineChars="200"/>
        <w:rPr>
          <w:rFonts w:hint="eastAsia" w:ascii="仿宋" w:hAnsi="仿宋" w:eastAsia="仿宋" w:cs="仿宋"/>
          <w:b/>
          <w:bCs/>
          <w:color w:val="000000"/>
          <w:sz w:val="30"/>
          <w:szCs w:val="30"/>
        </w:rPr>
      </w:pPr>
      <w:r>
        <w:rPr>
          <w:rFonts w:hint="eastAsia" w:ascii="仿宋" w:hAnsi="仿宋" w:eastAsia="仿宋" w:cs="仿宋"/>
          <w:b/>
          <w:bCs/>
          <w:color w:val="000000"/>
          <w:sz w:val="30"/>
          <w:szCs w:val="30"/>
          <w:lang w:val="en-US" w:eastAsia="zh-CN"/>
        </w:rPr>
        <w:t>3、</w:t>
      </w:r>
      <w:r>
        <w:rPr>
          <w:rFonts w:hint="eastAsia" w:ascii="仿宋" w:hAnsi="仿宋" w:eastAsia="仿宋" w:cs="仿宋"/>
          <w:b/>
          <w:bCs/>
          <w:color w:val="000000"/>
          <w:sz w:val="30"/>
          <w:szCs w:val="30"/>
        </w:rPr>
        <w:t>数量指标执行情况到位得</w:t>
      </w:r>
      <w:r>
        <w:rPr>
          <w:rFonts w:hint="eastAsia" w:ascii="仿宋" w:hAnsi="仿宋" w:eastAsia="仿宋" w:cs="仿宋"/>
          <w:b/>
          <w:bCs/>
          <w:color w:val="000000"/>
          <w:sz w:val="30"/>
          <w:szCs w:val="30"/>
          <w:lang w:val="en-US" w:eastAsia="zh-CN"/>
        </w:rPr>
        <w:t>20</w:t>
      </w:r>
      <w:r>
        <w:rPr>
          <w:rFonts w:hint="eastAsia" w:ascii="仿宋" w:hAnsi="仿宋" w:eastAsia="仿宋" w:cs="仿宋"/>
          <w:b/>
          <w:bCs/>
          <w:color w:val="000000"/>
          <w:sz w:val="30"/>
          <w:szCs w:val="30"/>
        </w:rPr>
        <w:t>分</w:t>
      </w:r>
    </w:p>
    <w:p w14:paraId="0A1EF4A9">
      <w:pPr>
        <w:keepNext w:val="0"/>
        <w:keepLines w:val="0"/>
        <w:pageBreakBefore w:val="0"/>
        <w:kinsoku/>
        <w:overflowPunct/>
        <w:topLinePunct w:val="0"/>
        <w:bidi w:val="0"/>
        <w:spacing w:beforeLines="0" w:beforeAutospacing="0" w:afterLines="0" w:afterAutospacing="0" w:line="580" w:lineRule="exact"/>
        <w:ind w:firstLine="640" w:firstLineChars="200"/>
        <w:rPr>
          <w:rFonts w:hint="eastAsia" w:ascii="仿宋" w:hAnsi="仿宋" w:eastAsia="仿宋" w:cs="仿宋"/>
          <w:kern w:val="2"/>
          <w:sz w:val="32"/>
          <w:szCs w:val="40"/>
          <w:lang w:val="en-US" w:eastAsia="zh-CN"/>
        </w:rPr>
      </w:pPr>
      <w:r>
        <w:rPr>
          <w:rFonts w:hint="eastAsia" w:ascii="仿宋" w:hAnsi="仿宋" w:eastAsia="仿宋" w:cs="仿宋"/>
          <w:kern w:val="2"/>
          <w:sz w:val="32"/>
          <w:szCs w:val="40"/>
          <w:lang w:val="en-US" w:eastAsia="zh-CN"/>
        </w:rPr>
        <w:t>年度完成人员保障240人，实际完成保障人员240人，得5分；</w:t>
      </w:r>
    </w:p>
    <w:p w14:paraId="5C20F944">
      <w:pPr>
        <w:keepNext w:val="0"/>
        <w:keepLines w:val="0"/>
        <w:pageBreakBefore w:val="0"/>
        <w:kinsoku/>
        <w:overflowPunct/>
        <w:topLinePunct w:val="0"/>
        <w:bidi w:val="0"/>
        <w:spacing w:beforeLines="0" w:beforeAutospacing="0" w:afterLines="0" w:afterAutospacing="0" w:line="580" w:lineRule="exact"/>
        <w:ind w:firstLine="640" w:firstLineChars="200"/>
        <w:rPr>
          <w:rFonts w:hint="eastAsia" w:ascii="仿宋" w:hAnsi="仿宋" w:eastAsia="仿宋" w:cs="仿宋"/>
          <w:kern w:val="2"/>
          <w:sz w:val="32"/>
          <w:szCs w:val="40"/>
          <w:lang w:val="en-US" w:eastAsia="zh-CN"/>
        </w:rPr>
      </w:pPr>
      <w:r>
        <w:rPr>
          <w:rFonts w:hint="eastAsia" w:ascii="仿宋" w:hAnsi="仿宋" w:eastAsia="仿宋" w:cs="仿宋"/>
          <w:kern w:val="2"/>
          <w:sz w:val="32"/>
          <w:szCs w:val="40"/>
          <w:lang w:val="en-US" w:eastAsia="zh-CN"/>
        </w:rPr>
        <w:t>年度完成水环境治理项目1个，得5分；</w:t>
      </w:r>
    </w:p>
    <w:p w14:paraId="462E9A53">
      <w:pPr>
        <w:keepNext w:val="0"/>
        <w:keepLines w:val="0"/>
        <w:pageBreakBefore w:val="0"/>
        <w:kinsoku/>
        <w:overflowPunct/>
        <w:topLinePunct w:val="0"/>
        <w:bidi w:val="0"/>
        <w:spacing w:beforeLines="0" w:beforeAutospacing="0" w:afterLines="0" w:afterAutospacing="0" w:line="580" w:lineRule="exact"/>
        <w:ind w:firstLine="640" w:firstLineChars="200"/>
        <w:rPr>
          <w:rFonts w:hint="eastAsia" w:ascii="仿宋" w:hAnsi="仿宋" w:eastAsia="仿宋" w:cs="仿宋"/>
          <w:kern w:val="2"/>
          <w:sz w:val="32"/>
          <w:szCs w:val="40"/>
          <w:lang w:val="en-US" w:eastAsia="zh-CN"/>
        </w:rPr>
      </w:pPr>
      <w:r>
        <w:rPr>
          <w:rFonts w:hint="eastAsia" w:ascii="仿宋" w:hAnsi="仿宋" w:eastAsia="仿宋" w:cs="仿宋"/>
          <w:kern w:val="2"/>
          <w:sz w:val="32"/>
          <w:szCs w:val="40"/>
          <w:lang w:val="en-US" w:eastAsia="zh-CN"/>
        </w:rPr>
        <w:t>年度完成防汛抗旱工作180天，得5分；</w:t>
      </w:r>
    </w:p>
    <w:p w14:paraId="35016881">
      <w:pPr>
        <w:keepNext w:val="0"/>
        <w:keepLines w:val="0"/>
        <w:pageBreakBefore w:val="0"/>
        <w:kinsoku/>
        <w:overflowPunct/>
        <w:topLinePunct w:val="0"/>
        <w:bidi w:val="0"/>
        <w:spacing w:beforeLines="0" w:beforeAutospacing="0" w:afterLines="0" w:afterAutospacing="0" w:line="580" w:lineRule="exact"/>
        <w:ind w:firstLine="640" w:firstLineChars="200"/>
        <w:rPr>
          <w:rFonts w:hint="eastAsia" w:ascii="仿宋" w:hAnsi="仿宋" w:eastAsia="仿宋" w:cs="仿宋"/>
          <w:kern w:val="2"/>
          <w:sz w:val="32"/>
          <w:szCs w:val="40"/>
          <w:lang w:val="en-US" w:eastAsia="zh-CN"/>
        </w:rPr>
      </w:pPr>
      <w:r>
        <w:rPr>
          <w:rFonts w:hint="eastAsia" w:ascii="仿宋" w:hAnsi="仿宋" w:eastAsia="仿宋" w:cs="仿宋"/>
          <w:kern w:val="2"/>
          <w:sz w:val="32"/>
          <w:szCs w:val="40"/>
          <w:lang w:val="en-US" w:eastAsia="zh-CN"/>
        </w:rPr>
        <w:t>年度完成路灯养护6700盏，得5分。</w:t>
      </w:r>
    </w:p>
    <w:p w14:paraId="05237B2A">
      <w:pPr>
        <w:numPr>
          <w:ilvl w:val="0"/>
          <w:numId w:val="0"/>
        </w:numPr>
        <w:spacing w:line="360" w:lineRule="auto"/>
        <w:ind w:firstLine="602" w:firstLineChars="200"/>
        <w:rPr>
          <w:rFonts w:hint="eastAsia" w:ascii="仿宋" w:hAnsi="仿宋" w:eastAsia="仿宋" w:cs="仿宋"/>
          <w:b/>
          <w:bCs/>
          <w:color w:val="000000"/>
          <w:sz w:val="30"/>
          <w:szCs w:val="30"/>
        </w:rPr>
      </w:pPr>
      <w:r>
        <w:rPr>
          <w:rFonts w:hint="eastAsia" w:ascii="仿宋" w:hAnsi="仿宋" w:eastAsia="仿宋" w:cs="仿宋"/>
          <w:b/>
          <w:bCs/>
          <w:color w:val="000000"/>
          <w:sz w:val="30"/>
          <w:szCs w:val="30"/>
          <w:lang w:val="en-US" w:eastAsia="zh-CN"/>
        </w:rPr>
        <w:t>4、</w:t>
      </w:r>
      <w:r>
        <w:rPr>
          <w:rFonts w:hint="eastAsia" w:ascii="仿宋" w:hAnsi="仿宋" w:eastAsia="仿宋" w:cs="仿宋"/>
          <w:b/>
          <w:bCs/>
          <w:color w:val="000000"/>
          <w:sz w:val="30"/>
          <w:szCs w:val="30"/>
        </w:rPr>
        <w:t>质量指标完成情况较好得</w:t>
      </w:r>
      <w:r>
        <w:rPr>
          <w:rFonts w:hint="eastAsia" w:ascii="仿宋" w:hAnsi="仿宋" w:eastAsia="仿宋" w:cs="仿宋"/>
          <w:b/>
          <w:bCs/>
          <w:color w:val="000000"/>
          <w:sz w:val="30"/>
          <w:szCs w:val="30"/>
          <w:lang w:val="en-US" w:eastAsia="zh-CN"/>
        </w:rPr>
        <w:t>10</w:t>
      </w:r>
      <w:r>
        <w:rPr>
          <w:rFonts w:hint="eastAsia" w:ascii="仿宋" w:hAnsi="仿宋" w:eastAsia="仿宋" w:cs="仿宋"/>
          <w:b/>
          <w:bCs/>
          <w:color w:val="000000"/>
          <w:sz w:val="30"/>
          <w:szCs w:val="30"/>
        </w:rPr>
        <w:t>分</w:t>
      </w:r>
    </w:p>
    <w:p w14:paraId="3893D157">
      <w:pPr>
        <w:numPr>
          <w:ilvl w:val="0"/>
          <w:numId w:val="0"/>
        </w:numPr>
        <w:spacing w:line="360" w:lineRule="auto"/>
        <w:ind w:firstLine="300" w:firstLineChars="100"/>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eastAsia="zh-CN"/>
        </w:rPr>
        <w:t>年度项目质量严格按照项目设计方案实施，得</w:t>
      </w:r>
      <w:r>
        <w:rPr>
          <w:rFonts w:hint="eastAsia" w:ascii="仿宋" w:hAnsi="仿宋" w:eastAsia="仿宋" w:cs="仿宋"/>
          <w:color w:val="000000"/>
          <w:sz w:val="30"/>
          <w:szCs w:val="30"/>
          <w:lang w:val="en-US" w:eastAsia="zh-CN"/>
        </w:rPr>
        <w:t>5分；</w:t>
      </w:r>
    </w:p>
    <w:p w14:paraId="52992FD3">
      <w:pPr>
        <w:numPr>
          <w:ilvl w:val="0"/>
          <w:numId w:val="0"/>
        </w:numPr>
        <w:spacing w:line="360" w:lineRule="auto"/>
        <w:ind w:firstLine="300" w:firstLineChars="100"/>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eastAsia="zh-CN"/>
        </w:rPr>
        <w:t>年度维护质量完整度较高，达到年初设定目标值</w:t>
      </w:r>
      <w:r>
        <w:rPr>
          <w:rFonts w:hint="eastAsia" w:ascii="仿宋" w:hAnsi="仿宋" w:eastAsia="仿宋" w:cs="仿宋"/>
          <w:color w:val="000000"/>
          <w:sz w:val="30"/>
          <w:szCs w:val="30"/>
          <w:lang w:val="en-US" w:eastAsia="zh-CN"/>
        </w:rPr>
        <w:t>95%，得5分。</w:t>
      </w:r>
    </w:p>
    <w:p w14:paraId="02A9552A">
      <w:pPr>
        <w:numPr>
          <w:ilvl w:val="0"/>
          <w:numId w:val="6"/>
        </w:numPr>
        <w:spacing w:line="360" w:lineRule="auto"/>
        <w:ind w:firstLine="602" w:firstLineChars="200"/>
        <w:rPr>
          <w:rFonts w:hint="eastAsia" w:ascii="仿宋" w:hAnsi="仿宋" w:eastAsia="仿宋" w:cs="仿宋"/>
          <w:b/>
          <w:bCs/>
          <w:color w:val="000000"/>
          <w:sz w:val="30"/>
          <w:szCs w:val="30"/>
          <w:lang w:val="en-US" w:eastAsia="zh-CN"/>
        </w:rPr>
      </w:pPr>
      <w:r>
        <w:rPr>
          <w:rFonts w:hint="eastAsia" w:ascii="仿宋" w:hAnsi="仿宋" w:eastAsia="仿宋" w:cs="仿宋"/>
          <w:b/>
          <w:bCs/>
          <w:color w:val="000000"/>
          <w:sz w:val="30"/>
          <w:szCs w:val="30"/>
        </w:rPr>
        <w:t>时效指标</w:t>
      </w:r>
      <w:r>
        <w:rPr>
          <w:rFonts w:hint="eastAsia" w:ascii="仿宋" w:hAnsi="仿宋" w:eastAsia="仿宋" w:cs="仿宋"/>
          <w:b/>
          <w:bCs/>
          <w:color w:val="000000"/>
          <w:sz w:val="30"/>
          <w:szCs w:val="30"/>
          <w:lang w:eastAsia="zh-CN"/>
        </w:rPr>
        <w:t>完成较好，得</w:t>
      </w:r>
      <w:r>
        <w:rPr>
          <w:rFonts w:hint="eastAsia" w:ascii="仿宋" w:hAnsi="仿宋" w:eastAsia="仿宋" w:cs="仿宋"/>
          <w:b/>
          <w:bCs/>
          <w:color w:val="000000"/>
          <w:sz w:val="30"/>
          <w:szCs w:val="30"/>
          <w:lang w:val="en-US" w:eastAsia="zh-CN"/>
        </w:rPr>
        <w:t>5分</w:t>
      </w:r>
    </w:p>
    <w:p w14:paraId="55828CA7">
      <w:pPr>
        <w:numPr>
          <w:ilvl w:val="0"/>
          <w:numId w:val="0"/>
        </w:numPr>
        <w:spacing w:line="360" w:lineRule="auto"/>
        <w:ind w:firstLine="300" w:firstLineChars="100"/>
        <w:rPr>
          <w:rFonts w:hint="eastAsia" w:ascii="仿宋" w:hAnsi="仿宋" w:eastAsia="仿宋" w:cs="仿宋"/>
          <w:color w:val="000000"/>
          <w:sz w:val="30"/>
          <w:szCs w:val="30"/>
        </w:rPr>
      </w:pPr>
      <w:r>
        <w:rPr>
          <w:rFonts w:hint="eastAsia" w:ascii="仿宋" w:hAnsi="仿宋" w:eastAsia="仿宋" w:cs="仿宋"/>
          <w:color w:val="000000"/>
          <w:sz w:val="30"/>
          <w:szCs w:val="30"/>
        </w:rPr>
        <w:t>年度重点工作任务完成率较高，同时有部分问题已在202</w:t>
      </w:r>
      <w:r>
        <w:rPr>
          <w:rFonts w:hint="eastAsia" w:ascii="仿宋" w:hAnsi="仿宋" w:eastAsia="仿宋" w:cs="仿宋"/>
          <w:color w:val="000000"/>
          <w:sz w:val="30"/>
          <w:szCs w:val="30"/>
          <w:lang w:val="en-US" w:eastAsia="zh-CN"/>
        </w:rPr>
        <w:t>3</w:t>
      </w:r>
      <w:r>
        <w:rPr>
          <w:rFonts w:hint="eastAsia" w:ascii="仿宋" w:hAnsi="仿宋" w:eastAsia="仿宋" w:cs="仿宋"/>
          <w:color w:val="000000"/>
          <w:sz w:val="30"/>
          <w:szCs w:val="30"/>
        </w:rPr>
        <w:t>年度得到了更好的改善;补助资金也相应的发放及时达到100%，得5分。</w:t>
      </w:r>
    </w:p>
    <w:p w14:paraId="2B39943D">
      <w:pPr>
        <w:spacing w:line="360" w:lineRule="auto"/>
        <w:ind w:firstLine="602" w:firstLineChars="200"/>
        <w:rPr>
          <w:rFonts w:hint="eastAsia" w:ascii="仿宋" w:hAnsi="仿宋" w:eastAsia="仿宋" w:cs="仿宋"/>
          <w:b/>
          <w:bCs/>
          <w:color w:val="000000"/>
          <w:sz w:val="30"/>
          <w:szCs w:val="30"/>
        </w:rPr>
      </w:pPr>
      <w:r>
        <w:rPr>
          <w:rFonts w:hint="eastAsia" w:ascii="仿宋" w:hAnsi="仿宋" w:eastAsia="仿宋" w:cs="仿宋"/>
          <w:b/>
          <w:bCs/>
          <w:color w:val="000000"/>
          <w:sz w:val="30"/>
          <w:szCs w:val="30"/>
          <w:lang w:val="en-US" w:eastAsia="zh-CN"/>
        </w:rPr>
        <w:t>6、</w:t>
      </w:r>
      <w:r>
        <w:rPr>
          <w:rFonts w:hint="eastAsia" w:ascii="仿宋" w:hAnsi="仿宋" w:eastAsia="仿宋" w:cs="仿宋"/>
          <w:b/>
          <w:bCs/>
          <w:color w:val="000000"/>
          <w:sz w:val="30"/>
          <w:szCs w:val="30"/>
        </w:rPr>
        <w:t>社会效益指标良好得</w:t>
      </w:r>
      <w:r>
        <w:rPr>
          <w:rFonts w:hint="eastAsia" w:ascii="仿宋" w:hAnsi="仿宋" w:eastAsia="仿宋" w:cs="仿宋"/>
          <w:b/>
          <w:bCs/>
          <w:color w:val="000000"/>
          <w:sz w:val="30"/>
          <w:szCs w:val="30"/>
          <w:lang w:val="en-US" w:eastAsia="zh-CN"/>
        </w:rPr>
        <w:t>40</w:t>
      </w:r>
      <w:r>
        <w:rPr>
          <w:rFonts w:hint="eastAsia" w:ascii="仿宋" w:hAnsi="仿宋" w:eastAsia="仿宋" w:cs="仿宋"/>
          <w:b/>
          <w:bCs/>
          <w:color w:val="000000"/>
          <w:sz w:val="30"/>
          <w:szCs w:val="30"/>
        </w:rPr>
        <w:t>分。</w:t>
      </w:r>
    </w:p>
    <w:p w14:paraId="41777F33">
      <w:pPr>
        <w:spacing w:line="360" w:lineRule="auto"/>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青云谱区</w:t>
      </w:r>
      <w:r>
        <w:rPr>
          <w:rFonts w:hint="eastAsia" w:ascii="仿宋" w:hAnsi="仿宋" w:eastAsia="仿宋" w:cs="仿宋"/>
          <w:color w:val="000000"/>
          <w:sz w:val="30"/>
          <w:szCs w:val="30"/>
          <w:lang w:eastAsia="zh-CN"/>
        </w:rPr>
        <w:t>政府</w:t>
      </w:r>
      <w:r>
        <w:rPr>
          <w:rFonts w:hint="eastAsia" w:ascii="仿宋" w:hAnsi="仿宋" w:eastAsia="仿宋" w:cs="仿宋"/>
          <w:color w:val="000000"/>
          <w:sz w:val="30"/>
          <w:szCs w:val="30"/>
        </w:rPr>
        <w:t>不断加大投入，补足城市基础设施短板，全面提升城市功能与品质；不断创新举措，优化城市管理模式，全面提升城市管理精细化水平，对城市社会发展起到重要作用。</w:t>
      </w:r>
    </w:p>
    <w:p w14:paraId="3FAEF200">
      <w:pPr>
        <w:keepNext w:val="0"/>
        <w:keepLines w:val="0"/>
        <w:pageBreakBefore w:val="0"/>
        <w:kinsoku/>
        <w:overflowPunct/>
        <w:topLinePunct w:val="0"/>
        <w:bidi w:val="0"/>
        <w:spacing w:beforeAutospacing="0" w:afterAutospacing="0" w:line="580" w:lineRule="exact"/>
        <w:ind w:firstLine="640" w:firstLineChars="200"/>
        <w:rPr>
          <w:rFonts w:hint="eastAsia" w:ascii="仿宋" w:hAnsi="仿宋" w:eastAsia="仿宋" w:cs="仿宋"/>
          <w:color w:val="000000"/>
          <w:lang w:val="en-US" w:eastAsia="zh-CN"/>
        </w:rPr>
      </w:pPr>
      <w:r>
        <w:rPr>
          <w:rFonts w:hint="eastAsia" w:ascii="仿宋" w:hAnsi="仿宋" w:eastAsia="仿宋" w:cs="仿宋"/>
          <w:b w:val="0"/>
          <w:bCs/>
          <w:color w:val="000000"/>
          <w:sz w:val="32"/>
          <w:szCs w:val="32"/>
          <w:lang w:eastAsia="zh-CN"/>
        </w:rPr>
        <w:t>区住建局</w:t>
      </w:r>
      <w:r>
        <w:rPr>
          <w:rFonts w:hint="eastAsia" w:ascii="仿宋" w:hAnsi="仿宋" w:eastAsia="仿宋" w:cs="仿宋"/>
          <w:b w:val="0"/>
          <w:bCs/>
          <w:color w:val="000000"/>
          <w:sz w:val="32"/>
          <w:szCs w:val="32"/>
        </w:rPr>
        <w:t>全面落实区委、区政府工作部署，</w:t>
      </w:r>
      <w:r>
        <w:rPr>
          <w:rFonts w:hint="eastAsia" w:ascii="仿宋" w:hAnsi="仿宋" w:eastAsia="仿宋" w:cs="仿宋"/>
          <w:color w:val="000000"/>
          <w:sz w:val="30"/>
          <w:szCs w:val="30"/>
        </w:rPr>
        <w:t>强力推进</w:t>
      </w:r>
      <w:r>
        <w:rPr>
          <w:rFonts w:hint="eastAsia" w:ascii="仿宋" w:hAnsi="仿宋" w:eastAsia="仿宋" w:cs="仿宋"/>
          <w:b w:val="0"/>
          <w:bCs/>
          <w:color w:val="000000"/>
          <w:sz w:val="32"/>
          <w:szCs w:val="32"/>
          <w:lang w:eastAsia="zh-CN"/>
        </w:rPr>
        <w:t>以老旧小区改造、洪都新城建设，“</w:t>
      </w:r>
      <w:r>
        <w:rPr>
          <w:rFonts w:hint="eastAsia" w:ascii="仿宋" w:hAnsi="仿宋" w:eastAsia="仿宋" w:cs="仿宋"/>
          <w:b w:val="0"/>
          <w:bCs/>
          <w:color w:val="000000"/>
          <w:sz w:val="32"/>
          <w:szCs w:val="32"/>
        </w:rPr>
        <w:t>刷新城市颜值</w:t>
      </w:r>
      <w:r>
        <w:rPr>
          <w:rFonts w:hint="eastAsia" w:ascii="仿宋" w:hAnsi="仿宋" w:eastAsia="仿宋" w:cs="仿宋"/>
          <w:b w:val="0"/>
          <w:bCs/>
          <w:color w:val="000000"/>
          <w:sz w:val="32"/>
          <w:szCs w:val="32"/>
          <w:lang w:eastAsia="zh-CN"/>
        </w:rPr>
        <w:t>”、“</w:t>
      </w:r>
      <w:r>
        <w:rPr>
          <w:rFonts w:hint="eastAsia" w:ascii="仿宋" w:hAnsi="仿宋" w:eastAsia="仿宋" w:cs="仿宋"/>
          <w:b w:val="0"/>
          <w:bCs/>
          <w:color w:val="000000"/>
          <w:sz w:val="32"/>
          <w:szCs w:val="32"/>
        </w:rPr>
        <w:t>改善民生福祉</w:t>
      </w:r>
      <w:r>
        <w:rPr>
          <w:rFonts w:hint="eastAsia" w:ascii="仿宋" w:hAnsi="仿宋" w:eastAsia="仿宋" w:cs="仿宋"/>
          <w:b w:val="0"/>
          <w:bCs/>
          <w:color w:val="000000"/>
          <w:sz w:val="32"/>
          <w:szCs w:val="32"/>
          <w:lang w:eastAsia="zh-CN"/>
        </w:rPr>
        <w:t>”为主线，</w:t>
      </w:r>
      <w:r>
        <w:rPr>
          <w:rFonts w:hint="eastAsia" w:ascii="仿宋" w:hAnsi="仿宋" w:eastAsia="仿宋" w:cs="仿宋"/>
          <w:b w:val="0"/>
          <w:bCs/>
          <w:color w:val="000000"/>
          <w:sz w:val="32"/>
          <w:szCs w:val="32"/>
          <w:lang w:val="en-US" w:eastAsia="zh-CN"/>
        </w:rPr>
        <w:t>为打造我区 “生态人文都市区、产业创新未来城”作出新的更大的贡献。</w:t>
      </w:r>
    </w:p>
    <w:p w14:paraId="56FA316A">
      <w:pPr>
        <w:spacing w:line="360" w:lineRule="auto"/>
        <w:ind w:firstLine="602" w:firstLineChars="200"/>
        <w:rPr>
          <w:rFonts w:hint="eastAsia" w:ascii="仿宋" w:hAnsi="仿宋" w:eastAsia="仿宋" w:cs="仿宋"/>
          <w:b/>
          <w:color w:val="000000"/>
          <w:sz w:val="30"/>
          <w:szCs w:val="30"/>
        </w:rPr>
      </w:pPr>
      <w:r>
        <w:rPr>
          <w:rFonts w:hint="eastAsia" w:ascii="仿宋" w:hAnsi="仿宋" w:eastAsia="仿宋" w:cs="仿宋"/>
          <w:b/>
          <w:color w:val="000000"/>
          <w:sz w:val="30"/>
          <w:szCs w:val="30"/>
          <w:lang w:val="en-US" w:eastAsia="zh-CN"/>
        </w:rPr>
        <w:t>7、</w:t>
      </w:r>
      <w:r>
        <w:rPr>
          <w:rFonts w:hint="eastAsia" w:ascii="仿宋" w:hAnsi="仿宋" w:eastAsia="仿宋" w:cs="仿宋"/>
          <w:b/>
          <w:color w:val="000000"/>
          <w:sz w:val="30"/>
          <w:szCs w:val="30"/>
        </w:rPr>
        <w:t>社会公众满意度</w:t>
      </w:r>
    </w:p>
    <w:p w14:paraId="5A4BC705">
      <w:pPr>
        <w:pStyle w:val="11"/>
        <w:ind w:left="0" w:leftChars="0" w:firstLine="300" w:firstLineChars="100"/>
        <w:rPr>
          <w:rFonts w:hint="eastAsia" w:ascii="仿宋" w:hAnsi="仿宋" w:eastAsia="仿宋" w:cs="仿宋"/>
          <w:color w:val="000000"/>
          <w:sz w:val="30"/>
          <w:szCs w:val="30"/>
        </w:rPr>
      </w:pPr>
      <w:r>
        <w:rPr>
          <w:rFonts w:hint="eastAsia" w:ascii="仿宋" w:hAnsi="仿宋" w:eastAsia="仿宋" w:cs="仿宋"/>
          <w:color w:val="000000"/>
          <w:sz w:val="30"/>
          <w:szCs w:val="30"/>
        </w:rPr>
        <w:t>我局已通过问卷调查方式，按照要求向服务对象、社会</w:t>
      </w:r>
      <w:r>
        <w:rPr>
          <w:rFonts w:hint="eastAsia" w:ascii="仿宋" w:hAnsi="仿宋" w:eastAsia="仿宋" w:cs="仿宋"/>
          <w:color w:val="000000"/>
          <w:sz w:val="30"/>
          <w:szCs w:val="30"/>
          <w:lang w:val="en-US" w:eastAsia="zh-CN"/>
        </w:rPr>
        <w:t>公</w:t>
      </w:r>
      <w:r>
        <w:rPr>
          <w:rFonts w:hint="eastAsia" w:ascii="仿宋" w:hAnsi="仿宋" w:eastAsia="仿宋" w:cs="仿宋"/>
          <w:color w:val="000000"/>
          <w:sz w:val="30"/>
          <w:szCs w:val="30"/>
        </w:rPr>
        <w:t>众、内部员工进行满意度测评，测评结果为优秀</w:t>
      </w:r>
      <w:r>
        <w:rPr>
          <w:rFonts w:hint="eastAsia" w:ascii="仿宋" w:hAnsi="仿宋" w:eastAsia="仿宋" w:cs="仿宋"/>
          <w:color w:val="000000"/>
          <w:sz w:val="30"/>
          <w:szCs w:val="30"/>
          <w:lang w:eastAsia="zh-CN"/>
        </w:rPr>
        <w:t>，</w:t>
      </w:r>
      <w:r>
        <w:rPr>
          <w:rFonts w:hint="eastAsia" w:ascii="仿宋" w:hAnsi="仿宋" w:eastAsia="仿宋" w:cs="仿宋"/>
          <w:color w:val="000000"/>
          <w:sz w:val="30"/>
          <w:szCs w:val="30"/>
          <w:lang w:val="en-US" w:eastAsia="zh-CN"/>
        </w:rPr>
        <w:t>得10分</w:t>
      </w:r>
      <w:r>
        <w:rPr>
          <w:rFonts w:hint="eastAsia" w:ascii="仿宋" w:hAnsi="仿宋" w:eastAsia="仿宋" w:cs="仿宋"/>
          <w:color w:val="000000"/>
          <w:sz w:val="30"/>
          <w:szCs w:val="30"/>
        </w:rPr>
        <w:t>。</w:t>
      </w:r>
    </w:p>
    <w:p w14:paraId="5A4C558B">
      <w:pPr>
        <w:adjustRightInd w:val="0"/>
        <w:snapToGrid w:val="0"/>
        <w:spacing w:line="570" w:lineRule="exact"/>
        <w:ind w:firstLine="643" w:firstLineChars="200"/>
        <w:rPr>
          <w:rFonts w:hint="eastAsia" w:ascii="仿宋" w:hAnsi="仿宋" w:eastAsia="仿宋" w:cs="仿宋"/>
          <w:b/>
          <w:bCs w:val="0"/>
          <w:sz w:val="32"/>
          <w:szCs w:val="32"/>
          <w:lang w:val="en-US" w:eastAsia="zh-CN"/>
        </w:rPr>
      </w:pPr>
      <w:r>
        <w:rPr>
          <w:rFonts w:hint="eastAsia" w:ascii="仿宋" w:hAnsi="仿宋" w:eastAsia="仿宋" w:cs="仿宋"/>
          <w:b/>
          <w:bCs w:val="0"/>
          <w:sz w:val="32"/>
          <w:szCs w:val="32"/>
          <w:lang w:val="en-US" w:eastAsia="zh-CN"/>
        </w:rPr>
        <w:t>四、评价结果和评价结论</w:t>
      </w:r>
    </w:p>
    <w:p w14:paraId="3B090E64">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年度整体绩效自评分为97分，评价等级为优等级，已达到预期绩效目标。</w:t>
      </w:r>
    </w:p>
    <w:p w14:paraId="6F46E04A">
      <w:pPr>
        <w:numPr>
          <w:ilvl w:val="0"/>
          <w:numId w:val="0"/>
        </w:numPr>
        <w:ind w:left="210" w:leftChars="0"/>
        <w:jc w:val="left"/>
        <w:rPr>
          <w:rFonts w:hint="eastAsia" w:ascii="仿宋" w:hAnsi="仿宋" w:eastAsia="仿宋" w:cs="仿宋"/>
          <w:b/>
          <w:bCs/>
          <w:sz w:val="32"/>
          <w:szCs w:val="32"/>
        </w:rPr>
      </w:pPr>
      <w:r>
        <w:rPr>
          <w:rFonts w:hint="eastAsia" w:ascii="仿宋" w:hAnsi="仿宋" w:eastAsia="仿宋" w:cs="仿宋"/>
          <w:b/>
          <w:bCs/>
          <w:sz w:val="32"/>
          <w:szCs w:val="32"/>
          <w:lang w:val="en-US" w:eastAsia="zh-CN"/>
        </w:rPr>
        <w:t>五、</w:t>
      </w:r>
      <w:r>
        <w:rPr>
          <w:rFonts w:hint="eastAsia" w:ascii="仿宋" w:hAnsi="仿宋" w:eastAsia="仿宋" w:cs="仿宋"/>
          <w:b/>
          <w:bCs/>
          <w:sz w:val="32"/>
          <w:szCs w:val="32"/>
        </w:rPr>
        <w:t>存在问题及原因</w:t>
      </w:r>
    </w:p>
    <w:p w14:paraId="08F5E1F1">
      <w:pPr>
        <w:jc w:val="left"/>
        <w:rPr>
          <w:rFonts w:hint="eastAsia" w:ascii="仿宋" w:hAnsi="仿宋" w:eastAsia="仿宋" w:cs="仿宋"/>
          <w:sz w:val="32"/>
          <w:szCs w:val="32"/>
        </w:rPr>
      </w:pPr>
      <w:r>
        <w:rPr>
          <w:rFonts w:hint="eastAsia" w:ascii="仿宋" w:hAnsi="仿宋" w:eastAsia="仿宋" w:cs="仿宋"/>
          <w:sz w:val="32"/>
          <w:szCs w:val="32"/>
        </w:rPr>
        <w:t>一是绩效目标设置科学性有待提高。部分绩效指标设置不够全面,绩效指标设置的科学性、准确性有待提升。二是预算系统内绩效指标与实际项目支出绩效指标匹配性不足。预算系统在预算申报结束后关闭。导致后期工作出现项目调整，不能同步在系统中变更，造成自评时预算系统内数据与实际评价数据有差异。三是部分全年实际值未填写准确数据。部分资金使用处室(部门)对绩效目标完成值的填写认识不到位，只是按照年初绩效目标填报相关数据。四是个别绩效目标未能按预期完成。个别绩效指标由于机构改革职能调整和项目的特殊性，造成绩效目标未能按预期完成。</w:t>
      </w:r>
    </w:p>
    <w:p w14:paraId="77DCE289">
      <w:pPr>
        <w:numPr>
          <w:ilvl w:val="0"/>
          <w:numId w:val="0"/>
        </w:numPr>
        <w:ind w:left="210" w:leftChars="0"/>
        <w:jc w:val="left"/>
        <w:rPr>
          <w:rFonts w:hint="eastAsia" w:ascii="仿宋" w:hAnsi="仿宋" w:eastAsia="仿宋" w:cs="仿宋"/>
          <w:b/>
          <w:bCs/>
          <w:sz w:val="32"/>
          <w:szCs w:val="32"/>
        </w:rPr>
      </w:pPr>
      <w:r>
        <w:rPr>
          <w:rFonts w:hint="eastAsia" w:ascii="仿宋" w:hAnsi="仿宋" w:eastAsia="仿宋" w:cs="仿宋"/>
          <w:b/>
          <w:bCs/>
          <w:sz w:val="32"/>
          <w:szCs w:val="32"/>
          <w:lang w:val="en-US" w:eastAsia="zh-CN"/>
        </w:rPr>
        <w:t>六、</w:t>
      </w:r>
      <w:r>
        <w:rPr>
          <w:rFonts w:hint="eastAsia" w:ascii="仿宋" w:hAnsi="仿宋" w:eastAsia="仿宋" w:cs="仿宋"/>
          <w:b/>
          <w:bCs/>
          <w:sz w:val="32"/>
          <w:szCs w:val="32"/>
        </w:rPr>
        <w:t>下一步工作措施</w:t>
      </w:r>
    </w:p>
    <w:p w14:paraId="6079D382">
      <w:pPr>
        <w:rPr>
          <w:rFonts w:hint="eastAsia" w:ascii="仿宋" w:hAnsi="仿宋" w:eastAsia="仿宋" w:cs="仿宋"/>
          <w:sz w:val="32"/>
          <w:szCs w:val="32"/>
        </w:rPr>
      </w:pPr>
      <w:r>
        <w:rPr>
          <w:rFonts w:hint="eastAsia" w:ascii="仿宋" w:hAnsi="仿宋" w:eastAsia="仿宋" w:cs="仿宋"/>
          <w:sz w:val="32"/>
          <w:szCs w:val="32"/>
        </w:rPr>
        <w:t xml:space="preserve">   一是多措并举，提高绩效管理水平。我局意识到绩效管理的重要性，通过设立预算绩效管理领导小组，指定专人负责项目绩效管理。同时，邀请第三方机构开展内部绩效管理培训，在加强学习的同时积极参加省财政厅组织的绩效管理培训等系列举措，绩效管理认识及能力水平得以进一步提高。二是加强预算编制，加快资金执行效率。我局在编制202</w:t>
      </w:r>
      <w:r>
        <w:rPr>
          <w:rFonts w:hint="eastAsia" w:ascii="仿宋" w:hAnsi="仿宋" w:eastAsia="仿宋" w:cs="仿宋"/>
          <w:sz w:val="32"/>
          <w:szCs w:val="32"/>
          <w:lang w:val="en-US" w:eastAsia="zh-CN"/>
        </w:rPr>
        <w:t>4</w:t>
      </w:r>
      <w:r>
        <w:rPr>
          <w:rFonts w:hint="eastAsia" w:ascii="仿宋" w:hAnsi="仿宋" w:eastAsia="仿宋" w:cs="仿宋"/>
          <w:sz w:val="32"/>
          <w:szCs w:val="32"/>
        </w:rPr>
        <w:t>年度项目支出预算时，充分借鉴以往经验，进一步完善、细化预算科目，强化预算编制的准确性、科学性;在202</w:t>
      </w:r>
      <w:r>
        <w:rPr>
          <w:rFonts w:hint="eastAsia" w:ascii="仿宋" w:hAnsi="仿宋" w:eastAsia="仿宋" w:cs="仿宋"/>
          <w:sz w:val="32"/>
          <w:szCs w:val="32"/>
          <w:lang w:val="en-US" w:eastAsia="zh-CN"/>
        </w:rPr>
        <w:t>4</w:t>
      </w:r>
      <w:r>
        <w:rPr>
          <w:rFonts w:hint="eastAsia" w:ascii="仿宋" w:hAnsi="仿宋" w:eastAsia="仿宋" w:cs="仿宋"/>
          <w:sz w:val="32"/>
          <w:szCs w:val="32"/>
        </w:rPr>
        <w:t>年预算执行过程中，加强财务日常管理，督促各资金使用部门加快项目实施进度，切实提高资金使用效率，并在日常工作中注意收集项目绩效管理相关资料。</w:t>
      </w:r>
    </w:p>
    <w:p w14:paraId="26BB4671">
      <w:pPr>
        <w:pStyle w:val="2"/>
        <w:rPr>
          <w:rFonts w:hint="eastAsia" w:ascii="仿宋_GB2312" w:hAnsi="仿宋_GB2312" w:eastAsia="仿宋_GB2312"/>
          <w:kern w:val="0"/>
          <w:sz w:val="32"/>
          <w:szCs w:val="32"/>
        </w:rPr>
      </w:pPr>
    </w:p>
    <w:p w14:paraId="3A0EAA38">
      <w:pPr>
        <w:pStyle w:val="2"/>
        <w:rPr>
          <w:rFonts w:hint="eastAsia" w:ascii="仿宋_GB2312" w:hAnsi="仿宋_GB2312" w:eastAsia="仿宋_GB2312"/>
          <w:kern w:val="0"/>
          <w:sz w:val="32"/>
          <w:szCs w:val="32"/>
        </w:rPr>
      </w:pPr>
    </w:p>
    <w:p w14:paraId="772B1C7D">
      <w:pPr>
        <w:pStyle w:val="2"/>
        <w:rPr>
          <w:rFonts w:hint="eastAsia" w:ascii="仿宋_GB2312" w:hAnsi="仿宋_GB2312" w:eastAsia="仿宋_GB2312"/>
          <w:kern w:val="0"/>
          <w:sz w:val="32"/>
          <w:szCs w:val="32"/>
        </w:rPr>
      </w:pPr>
    </w:p>
    <w:p w14:paraId="6B01E522">
      <w:pPr>
        <w:pStyle w:val="2"/>
        <w:rPr>
          <w:rFonts w:hint="eastAsia" w:ascii="仿宋_GB2312" w:hAnsi="仿宋_GB2312" w:eastAsia="仿宋_GB2312"/>
          <w:kern w:val="0"/>
          <w:sz w:val="32"/>
          <w:szCs w:val="32"/>
        </w:rPr>
      </w:pPr>
    </w:p>
    <w:p w14:paraId="4D32998A">
      <w:pPr>
        <w:pStyle w:val="2"/>
        <w:rPr>
          <w:rFonts w:hint="eastAsia" w:ascii="仿宋_GB2312" w:hAnsi="仿宋_GB2312" w:eastAsia="仿宋_GB2312"/>
          <w:kern w:val="0"/>
          <w:sz w:val="32"/>
          <w:szCs w:val="32"/>
        </w:rPr>
      </w:pPr>
    </w:p>
    <w:p w14:paraId="13976C8F">
      <w:pPr>
        <w:pStyle w:val="2"/>
        <w:rPr>
          <w:rFonts w:hint="eastAsia" w:ascii="仿宋_GB2312" w:hAnsi="仿宋_GB2312" w:eastAsia="仿宋_GB2312"/>
          <w:kern w:val="0"/>
          <w:sz w:val="32"/>
          <w:szCs w:val="32"/>
        </w:rPr>
      </w:pPr>
    </w:p>
    <w:p w14:paraId="649890A6">
      <w:pPr>
        <w:pStyle w:val="2"/>
        <w:rPr>
          <w:rFonts w:hint="eastAsia" w:ascii="仿宋_GB2312" w:hAnsi="仿宋_GB2312" w:eastAsia="仿宋_GB2312"/>
          <w:kern w:val="0"/>
          <w:sz w:val="32"/>
          <w:szCs w:val="32"/>
        </w:rPr>
      </w:pPr>
    </w:p>
    <w:p w14:paraId="09AB5765">
      <w:pPr>
        <w:pStyle w:val="2"/>
        <w:rPr>
          <w:rFonts w:hint="eastAsia" w:ascii="仿宋_GB2312" w:hAnsi="仿宋_GB2312" w:eastAsia="仿宋_GB2312"/>
          <w:kern w:val="0"/>
          <w:sz w:val="32"/>
          <w:szCs w:val="32"/>
        </w:rPr>
      </w:pPr>
    </w:p>
    <w:p w14:paraId="3628A3D3">
      <w:pPr>
        <w:pStyle w:val="2"/>
        <w:rPr>
          <w:rFonts w:hint="eastAsia" w:ascii="仿宋_GB2312" w:hAnsi="仿宋_GB2312" w:eastAsia="仿宋_GB2312"/>
          <w:kern w:val="0"/>
          <w:sz w:val="32"/>
          <w:szCs w:val="32"/>
        </w:rPr>
      </w:pPr>
    </w:p>
    <w:p w14:paraId="026E4703">
      <w:pPr>
        <w:pStyle w:val="2"/>
        <w:rPr>
          <w:rFonts w:hint="eastAsia" w:ascii="仿宋_GB2312" w:hAnsi="仿宋_GB2312" w:eastAsia="仿宋_GB2312"/>
          <w:kern w:val="0"/>
          <w:sz w:val="32"/>
          <w:szCs w:val="32"/>
        </w:rPr>
      </w:pPr>
    </w:p>
    <w:p w14:paraId="117B1B26">
      <w:pPr>
        <w:pStyle w:val="2"/>
        <w:rPr>
          <w:rFonts w:hint="eastAsia" w:ascii="仿宋_GB2312" w:hAnsi="仿宋_GB2312" w:eastAsia="仿宋_GB2312"/>
          <w:kern w:val="0"/>
          <w:sz w:val="32"/>
          <w:szCs w:val="32"/>
        </w:rPr>
      </w:pPr>
    </w:p>
    <w:p w14:paraId="79F06907">
      <w:pPr>
        <w:pStyle w:val="2"/>
        <w:rPr>
          <w:rFonts w:hint="eastAsia" w:ascii="仿宋_GB2312" w:hAnsi="仿宋_GB2312" w:eastAsia="仿宋_GB2312"/>
          <w:kern w:val="0"/>
          <w:sz w:val="32"/>
          <w:szCs w:val="32"/>
        </w:rPr>
      </w:pPr>
    </w:p>
    <w:p w14:paraId="09DC1493">
      <w:pPr>
        <w:pStyle w:val="2"/>
        <w:rPr>
          <w:rFonts w:hint="eastAsia" w:ascii="仿宋_GB2312" w:hAnsi="仿宋_GB2312" w:eastAsia="仿宋_GB2312"/>
          <w:kern w:val="0"/>
          <w:sz w:val="32"/>
          <w:szCs w:val="32"/>
        </w:rPr>
      </w:pPr>
    </w:p>
    <w:p w14:paraId="789B2AAC">
      <w:pPr>
        <w:pStyle w:val="2"/>
        <w:rPr>
          <w:rFonts w:hint="eastAsia" w:ascii="仿宋_GB2312" w:hAnsi="仿宋_GB2312" w:eastAsia="仿宋_GB2312"/>
          <w:kern w:val="0"/>
          <w:sz w:val="32"/>
          <w:szCs w:val="32"/>
        </w:rPr>
      </w:pPr>
    </w:p>
    <w:p w14:paraId="52420021">
      <w:pPr>
        <w:pStyle w:val="2"/>
        <w:rPr>
          <w:rFonts w:hint="eastAsia" w:ascii="仿宋_GB2312" w:hAnsi="仿宋_GB2312" w:eastAsia="仿宋_GB2312"/>
          <w:kern w:val="0"/>
          <w:sz w:val="32"/>
          <w:szCs w:val="32"/>
        </w:rPr>
      </w:pPr>
    </w:p>
    <w:p w14:paraId="262AA1AD">
      <w:pPr>
        <w:pStyle w:val="2"/>
        <w:rPr>
          <w:rFonts w:hint="eastAsia" w:ascii="仿宋_GB2312" w:hAnsi="仿宋_GB2312" w:eastAsia="仿宋_GB2312"/>
          <w:kern w:val="0"/>
          <w:sz w:val="32"/>
          <w:szCs w:val="32"/>
        </w:rPr>
      </w:pPr>
    </w:p>
    <w:p w14:paraId="32021564">
      <w:pPr>
        <w:pStyle w:val="2"/>
        <w:rPr>
          <w:rFonts w:hint="eastAsia" w:ascii="仿宋_GB2312" w:hAnsi="仿宋_GB2312" w:eastAsia="仿宋_GB2312"/>
          <w:kern w:val="0"/>
          <w:sz w:val="32"/>
          <w:szCs w:val="32"/>
        </w:rPr>
      </w:pPr>
    </w:p>
    <w:p w14:paraId="3401E6BD">
      <w:pPr>
        <w:keepNext w:val="0"/>
        <w:keepLines w:val="0"/>
        <w:pageBreakBefore w:val="0"/>
        <w:kinsoku/>
        <w:wordWrap/>
        <w:overflowPunct/>
        <w:topLinePunct w:val="0"/>
        <w:bidi w:val="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3</w:t>
      </w:r>
      <w:r>
        <w:rPr>
          <w:rFonts w:hint="eastAsia" w:ascii="方正小标宋简体" w:hAnsi="方正小标宋简体" w:eastAsia="方正小标宋简体" w:cs="方正小标宋简体"/>
          <w:sz w:val="44"/>
          <w:szCs w:val="44"/>
        </w:rPr>
        <w:t>年度项目支出绩效自评总报告</w:t>
      </w:r>
    </w:p>
    <w:p w14:paraId="35B99434">
      <w:pPr>
        <w:bidi w:val="0"/>
        <w:jc w:val="left"/>
        <w:rPr>
          <w:rFonts w:hint="eastAsia" w:ascii="楷体" w:hAnsi="楷体" w:eastAsia="楷体" w:cs="楷体"/>
          <w:b/>
          <w:bCs/>
          <w:sz w:val="32"/>
          <w:szCs w:val="32"/>
        </w:rPr>
      </w:pPr>
      <w:r>
        <w:rPr>
          <w:rFonts w:hint="eastAsia" w:ascii="楷体" w:hAnsi="楷体" w:eastAsia="楷体" w:cs="楷体"/>
          <w:b/>
          <w:bCs/>
          <w:sz w:val="32"/>
          <w:szCs w:val="32"/>
        </w:rPr>
        <w:t>一、预算绩效运行监控工作组织开展状况</w:t>
      </w:r>
    </w:p>
    <w:p w14:paraId="37D95FEA">
      <w:pPr>
        <w:bidi w:val="0"/>
        <w:jc w:val="left"/>
        <w:rPr>
          <w:rFonts w:hint="eastAsia" w:ascii="仿宋" w:hAnsi="仿宋" w:eastAsia="仿宋" w:cs="仿宋"/>
          <w:b/>
          <w:bCs/>
          <w:sz w:val="32"/>
          <w:szCs w:val="32"/>
        </w:rPr>
      </w:pPr>
      <w:r>
        <w:rPr>
          <w:rFonts w:hint="eastAsia" w:ascii="仿宋" w:hAnsi="仿宋" w:eastAsia="仿宋" w:cs="仿宋"/>
          <w:b/>
          <w:bCs/>
          <w:sz w:val="32"/>
          <w:szCs w:val="32"/>
        </w:rPr>
        <w:t>1、年度总体目标</w:t>
      </w:r>
    </w:p>
    <w:p w14:paraId="0C33701D">
      <w:pPr>
        <w:bidi w:val="0"/>
        <w:jc w:val="left"/>
        <w:rPr>
          <w:rFonts w:hint="eastAsia" w:ascii="仿宋" w:hAnsi="仿宋" w:eastAsia="仿宋" w:cs="仿宋"/>
          <w:sz w:val="32"/>
          <w:szCs w:val="32"/>
        </w:rPr>
      </w:pPr>
      <w:r>
        <w:rPr>
          <w:rFonts w:hint="eastAsia" w:ascii="仿宋" w:hAnsi="仿宋" w:eastAsia="仿宋" w:cs="仿宋"/>
          <w:sz w:val="32"/>
          <w:szCs w:val="32"/>
        </w:rPr>
        <w:t>今年，青云谱区</w:t>
      </w:r>
      <w:r>
        <w:rPr>
          <w:rFonts w:hint="eastAsia" w:ascii="仿宋" w:hAnsi="仿宋" w:eastAsia="仿宋" w:cs="仿宋"/>
          <w:sz w:val="32"/>
          <w:szCs w:val="32"/>
          <w:lang w:val="en-US" w:eastAsia="zh-CN"/>
        </w:rPr>
        <w:t>住建</w:t>
      </w:r>
      <w:r>
        <w:rPr>
          <w:rFonts w:hint="eastAsia" w:ascii="仿宋" w:hAnsi="仿宋" w:eastAsia="仿宋" w:cs="仿宋"/>
          <w:sz w:val="32"/>
          <w:szCs w:val="32"/>
        </w:rPr>
        <w:t>局在</w:t>
      </w:r>
      <w:r>
        <w:rPr>
          <w:rFonts w:hint="eastAsia" w:ascii="仿宋" w:hAnsi="仿宋" w:eastAsia="仿宋" w:cs="仿宋"/>
          <w:sz w:val="32"/>
          <w:szCs w:val="32"/>
          <w:lang w:val="en-US" w:eastAsia="zh-CN"/>
        </w:rPr>
        <w:t>区委区政府</w:t>
      </w:r>
      <w:r>
        <w:rPr>
          <w:rFonts w:hint="eastAsia" w:ascii="仿宋" w:hAnsi="仿宋" w:eastAsia="仿宋" w:cs="仿宋"/>
          <w:sz w:val="32"/>
          <w:szCs w:val="32"/>
        </w:rPr>
        <w:t>的正确</w:t>
      </w:r>
      <w:r>
        <w:rPr>
          <w:rFonts w:hint="eastAsia" w:ascii="仿宋" w:hAnsi="仿宋" w:eastAsia="仿宋" w:cs="仿宋"/>
          <w:sz w:val="32"/>
          <w:szCs w:val="32"/>
          <w:lang w:val="en-US" w:eastAsia="zh-CN"/>
        </w:rPr>
        <w:t>领</w:t>
      </w:r>
      <w:r>
        <w:rPr>
          <w:rFonts w:hint="eastAsia" w:ascii="仿宋" w:hAnsi="仿宋" w:eastAsia="仿宋" w:cs="仿宋"/>
          <w:sz w:val="32"/>
          <w:szCs w:val="32"/>
        </w:rPr>
        <w:t>导下，紧紧围绕“干净整齐、畅通有序、文明礼让、和谐宜居”目标，想群众之所盼，急群众之所需，做群众之所愿，</w:t>
      </w:r>
      <w:r>
        <w:rPr>
          <w:rFonts w:hint="eastAsia" w:ascii="仿宋" w:hAnsi="仿宋" w:eastAsia="仿宋" w:cs="仿宋"/>
          <w:sz w:val="32"/>
          <w:szCs w:val="32"/>
          <w:lang w:val="en-US" w:eastAsia="zh-CN"/>
        </w:rPr>
        <w:t>重点加快围绕城市更新项目建设，</w:t>
      </w:r>
      <w:r>
        <w:rPr>
          <w:rFonts w:hint="eastAsia" w:ascii="仿宋" w:hAnsi="仿宋" w:eastAsia="仿宋" w:cs="仿宋"/>
          <w:sz w:val="32"/>
          <w:szCs w:val="32"/>
        </w:rPr>
        <w:t>不断刷新城市面貌，提高提升群众幸福感。</w:t>
      </w:r>
    </w:p>
    <w:p w14:paraId="7A24F120">
      <w:pPr>
        <w:bidi w:val="0"/>
        <w:jc w:val="left"/>
        <w:rPr>
          <w:rFonts w:hint="eastAsia" w:ascii="仿宋" w:hAnsi="仿宋" w:eastAsia="仿宋" w:cs="仿宋"/>
          <w:b/>
          <w:bCs/>
          <w:sz w:val="32"/>
          <w:szCs w:val="32"/>
        </w:rPr>
      </w:pPr>
      <w:r>
        <w:rPr>
          <w:rFonts w:hint="eastAsia" w:ascii="楷体" w:hAnsi="楷体" w:eastAsia="楷体" w:cs="楷体"/>
          <w:b/>
          <w:bCs/>
          <w:sz w:val="32"/>
          <w:szCs w:val="32"/>
          <w:lang w:val="en-US" w:eastAsia="zh-CN"/>
        </w:rPr>
        <w:t>二、2023</w:t>
      </w:r>
      <w:r>
        <w:rPr>
          <w:rFonts w:hint="eastAsia" w:ascii="楷体" w:hAnsi="楷体" w:eastAsia="楷体" w:cs="楷体"/>
          <w:b/>
          <w:bCs/>
          <w:sz w:val="32"/>
          <w:szCs w:val="32"/>
        </w:rPr>
        <w:t>年度工作任务</w:t>
      </w:r>
    </w:p>
    <w:p w14:paraId="2C2C71A1">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223" w:leftChars="0" w:firstLine="643" w:firstLineChars="0"/>
        <w:jc w:val="left"/>
        <w:textAlignment w:val="auto"/>
        <w:rPr>
          <w:rFonts w:hint="eastAsia" w:ascii="楷体" w:hAnsi="楷体" w:eastAsia="楷体" w:cs="楷体"/>
          <w:b/>
          <w:bCs/>
          <w:i w:val="0"/>
          <w:iCs w:val="0"/>
          <w:caps w:val="0"/>
          <w:color w:val="333333"/>
          <w:spacing w:val="0"/>
          <w:sz w:val="32"/>
          <w:szCs w:val="32"/>
          <w:shd w:val="clear" w:color="auto" w:fill="FFFFFF"/>
          <w:lang w:val="en-US" w:eastAsia="zh-CN"/>
        </w:rPr>
      </w:pPr>
      <w:r>
        <w:rPr>
          <w:rFonts w:hint="eastAsia" w:ascii="楷体" w:hAnsi="楷体" w:eastAsia="楷体" w:cs="楷体"/>
          <w:b/>
          <w:bCs/>
          <w:i w:val="0"/>
          <w:iCs w:val="0"/>
          <w:caps w:val="0"/>
          <w:color w:val="333333"/>
          <w:spacing w:val="0"/>
          <w:sz w:val="32"/>
          <w:szCs w:val="32"/>
          <w:shd w:val="clear" w:color="auto" w:fill="FFFFFF"/>
        </w:rPr>
        <w:t>致力打造品质之城</w:t>
      </w:r>
      <w:r>
        <w:rPr>
          <w:rFonts w:hint="eastAsia" w:ascii="楷体" w:hAnsi="楷体" w:eastAsia="楷体" w:cs="楷体"/>
          <w:b/>
          <w:bCs/>
          <w:i w:val="0"/>
          <w:iCs w:val="0"/>
          <w:caps w:val="0"/>
          <w:color w:val="333333"/>
          <w:spacing w:val="0"/>
          <w:sz w:val="32"/>
          <w:szCs w:val="32"/>
          <w:shd w:val="clear" w:color="auto" w:fill="FFFFFF"/>
          <w:lang w:eastAsia="zh-CN"/>
        </w:rPr>
        <w:t>，</w:t>
      </w:r>
      <w:r>
        <w:rPr>
          <w:rFonts w:hint="eastAsia" w:ascii="楷体" w:hAnsi="楷体" w:eastAsia="楷体" w:cs="楷体"/>
          <w:b/>
          <w:bCs/>
          <w:i w:val="0"/>
          <w:iCs w:val="0"/>
          <w:caps w:val="0"/>
          <w:color w:val="333333"/>
          <w:spacing w:val="0"/>
          <w:sz w:val="32"/>
          <w:szCs w:val="32"/>
          <w:shd w:val="clear" w:color="auto" w:fill="FFFFFF"/>
        </w:rPr>
        <w:t>绘就城市建设新篇章</w:t>
      </w:r>
    </w:p>
    <w:p w14:paraId="1988813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i w:val="0"/>
          <w:iCs w:val="0"/>
          <w:caps w:val="0"/>
          <w:color w:val="333333"/>
          <w:spacing w:val="0"/>
          <w:sz w:val="32"/>
          <w:szCs w:val="32"/>
          <w:shd w:val="clear" w:color="auto" w:fill="FFFFFF"/>
          <w:lang w:val="en-US" w:eastAsia="zh-CN"/>
        </w:rPr>
      </w:pPr>
      <w:r>
        <w:rPr>
          <w:rFonts w:hint="eastAsia" w:ascii="仿宋_GB2312" w:hAnsi="仿宋_GB2312" w:eastAsia="仿宋_GB2312" w:cs="仿宋_GB2312"/>
          <w:b/>
          <w:bCs/>
          <w:i w:val="0"/>
          <w:iCs w:val="0"/>
          <w:caps w:val="0"/>
          <w:color w:val="333333"/>
          <w:spacing w:val="0"/>
          <w:sz w:val="32"/>
          <w:szCs w:val="32"/>
          <w:shd w:val="clear" w:color="auto" w:fill="FFFFFF"/>
          <w:lang w:val="en-US" w:eastAsia="zh-CN"/>
        </w:rPr>
        <w:t>1.不断加强路网建设。</w:t>
      </w:r>
      <w:r>
        <w:rPr>
          <w:rFonts w:hint="eastAsia" w:ascii="仿宋_GB2312" w:hAnsi="黑体" w:eastAsia="仿宋_GB2312"/>
          <w:sz w:val="32"/>
          <w:szCs w:val="32"/>
          <w:lang w:val="en-US" w:eastAsia="zh-CN"/>
        </w:rPr>
        <w:t>一是续建项目。三期、四期工程，已开工建设</w:t>
      </w:r>
      <w:r>
        <w:rPr>
          <w:rFonts w:hint="eastAsia" w:ascii="仿宋_GB2312" w:hAnsi="黑体" w:eastAsia="仿宋_GB2312"/>
          <w:color w:val="auto"/>
          <w:sz w:val="32"/>
          <w:szCs w:val="32"/>
          <w:lang w:val="en-US" w:eastAsia="zh-CN"/>
        </w:rPr>
        <w:t>6.5公里，已完工通车3.6公里</w:t>
      </w:r>
      <w:r>
        <w:rPr>
          <w:rFonts w:hint="eastAsia" w:ascii="仿宋_GB2312" w:hAnsi="黑体" w:eastAsia="仿宋_GB2312"/>
          <w:sz w:val="32"/>
          <w:szCs w:val="32"/>
          <w:lang w:val="en-US" w:eastAsia="zh-CN"/>
        </w:rPr>
        <w:t>。</w:t>
      </w:r>
      <w:r>
        <w:rPr>
          <w:rFonts w:hint="eastAsia" w:ascii="仿宋_GB2312" w:eastAsia="仿宋_GB2312"/>
          <w:sz w:val="32"/>
          <w:szCs w:val="32"/>
          <w:highlight w:val="none"/>
          <w:lang w:eastAsia="zh-CN"/>
        </w:rPr>
        <w:t>目前，城南路、塔南路已完工通车。二是新建项目。新开工安置房周边道路排水工程：正在实施上海南路安置房项目、楞上安置房项目、城南安置房项目、万溪安置房项目、昌南安置房项目、西后巷安置房项目、南莲路安置房项目周边道路，其中四条道路已通车，已完成总工程量60%。三是打通断头路工程。结合道路建设，全力推进“打通断头路 畅通微循环”攻坚专项行动，完善建成区道路路网，目前和宝二路已</w:t>
      </w:r>
      <w:r>
        <w:rPr>
          <w:rFonts w:hint="eastAsia" w:ascii="仿宋_GB2312" w:eastAsia="仿宋_GB2312"/>
          <w:sz w:val="32"/>
          <w:szCs w:val="32"/>
          <w:highlight w:val="none"/>
          <w:lang w:val="en-US" w:eastAsia="zh-CN"/>
        </w:rPr>
        <w:t>完工</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警民南一路及江联南路</w:t>
      </w:r>
      <w:r>
        <w:rPr>
          <w:rFonts w:hint="eastAsia" w:ascii="仿宋_GB2312" w:eastAsia="仿宋_GB2312"/>
          <w:sz w:val="32"/>
          <w:szCs w:val="32"/>
          <w:highlight w:val="none"/>
          <w:lang w:eastAsia="zh-CN"/>
        </w:rPr>
        <w:t>预计</w:t>
      </w:r>
      <w:r>
        <w:rPr>
          <w:rFonts w:hint="eastAsia" w:ascii="仿宋_GB2312" w:eastAsia="仿宋_GB2312"/>
          <w:sz w:val="32"/>
          <w:szCs w:val="32"/>
          <w:highlight w:val="none"/>
          <w:lang w:val="en-US" w:eastAsia="zh-CN"/>
        </w:rPr>
        <w:t>12上</w:t>
      </w:r>
      <w:r>
        <w:rPr>
          <w:rFonts w:hint="eastAsia" w:ascii="仿宋_GB2312" w:eastAsia="仿宋_GB2312"/>
          <w:sz w:val="32"/>
          <w:szCs w:val="32"/>
          <w:highlight w:val="none"/>
          <w:lang w:eastAsia="zh-CN"/>
        </w:rPr>
        <w:t>旬挂网招标，上述路网建设项目共投入建设资金</w:t>
      </w:r>
      <w:r>
        <w:rPr>
          <w:rFonts w:hint="eastAsia" w:ascii="仿宋_GB2312" w:eastAsia="仿宋_GB2312"/>
          <w:sz w:val="32"/>
          <w:szCs w:val="32"/>
          <w:highlight w:val="none"/>
          <w:lang w:val="en-US" w:eastAsia="zh-CN"/>
        </w:rPr>
        <w:t>18920.05万元</w:t>
      </w:r>
      <w:r>
        <w:rPr>
          <w:rFonts w:hint="eastAsia" w:ascii="仿宋_GB2312" w:eastAsia="仿宋_GB2312"/>
          <w:sz w:val="32"/>
          <w:szCs w:val="32"/>
          <w:highlight w:val="none"/>
          <w:lang w:eastAsia="zh-CN"/>
        </w:rPr>
        <w:t>。</w:t>
      </w:r>
    </w:p>
    <w:p w14:paraId="256D5A4B">
      <w:pPr>
        <w:keepNext w:val="0"/>
        <w:keepLines w:val="0"/>
        <w:pageBreakBefore w:val="0"/>
        <w:kinsoku/>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2.推进海绵城市建设。</w:t>
      </w:r>
      <w:r>
        <w:rPr>
          <w:rFonts w:hint="eastAsia" w:ascii="仿宋_GB2312" w:eastAsia="仿宋_GB2312" w:cs="仿宋_GB2312"/>
          <w:b w:val="0"/>
          <w:bCs/>
          <w:sz w:val="32"/>
          <w:szCs w:val="32"/>
          <w:lang w:bidi="ar"/>
        </w:rPr>
        <w:t>目前已完成2022年三店、洪都街道老旧小区改造项目</w:t>
      </w:r>
      <w:r>
        <w:rPr>
          <w:rFonts w:hint="eastAsia" w:ascii="仿宋_GB2312" w:eastAsia="仿宋_GB2312" w:cs="仿宋_GB2312"/>
          <w:b w:val="0"/>
          <w:bCs/>
          <w:sz w:val="32"/>
          <w:szCs w:val="32"/>
          <w:lang w:eastAsia="zh-CN" w:bidi="ar"/>
        </w:rPr>
        <w:t>等</w:t>
      </w:r>
      <w:r>
        <w:rPr>
          <w:rFonts w:hint="eastAsia" w:ascii="仿宋_GB2312" w:eastAsia="仿宋_GB2312" w:cs="仿宋_GB2312"/>
          <w:b w:val="0"/>
          <w:bCs/>
          <w:sz w:val="32"/>
          <w:szCs w:val="32"/>
          <w:lang w:bidi="ar"/>
        </w:rPr>
        <w:t>5个建设项目，剩余洪都新城规划道路建设路网三、四期、水环境治理、旧改安置房22条周边道路排水工程4个项目</w:t>
      </w:r>
      <w:r>
        <w:rPr>
          <w:rFonts w:hint="eastAsia" w:ascii="仿宋_GB2312" w:eastAsia="仿宋_GB2312" w:cs="仿宋_GB2312"/>
          <w:b w:val="0"/>
          <w:bCs/>
          <w:sz w:val="32"/>
          <w:szCs w:val="32"/>
          <w:lang w:eastAsia="zh-CN" w:bidi="ar"/>
        </w:rPr>
        <w:t>于</w:t>
      </w:r>
      <w:r>
        <w:rPr>
          <w:rFonts w:hint="eastAsia" w:ascii="仿宋_GB2312" w:eastAsia="仿宋_GB2312" w:cs="仿宋_GB2312"/>
          <w:b w:val="0"/>
          <w:bCs/>
          <w:sz w:val="32"/>
          <w:szCs w:val="32"/>
          <w:lang w:bidi="ar"/>
        </w:rPr>
        <w:t>2024年底全面完工</w:t>
      </w:r>
      <w:r>
        <w:rPr>
          <w:rFonts w:hint="eastAsia" w:ascii="仿宋_GB2312" w:eastAsia="仿宋_GB2312" w:cs="仿宋_GB2312"/>
          <w:b w:val="0"/>
          <w:bCs/>
          <w:sz w:val="32"/>
          <w:szCs w:val="32"/>
          <w:lang w:eastAsia="zh-CN" w:bidi="ar"/>
        </w:rPr>
        <w:t>，投入海绵建设中央补助资金</w:t>
      </w:r>
      <w:r>
        <w:rPr>
          <w:rFonts w:hint="eastAsia" w:ascii="仿宋_GB2312" w:eastAsia="仿宋_GB2312" w:cs="仿宋_GB2312"/>
          <w:b w:val="0"/>
          <w:bCs/>
          <w:sz w:val="32"/>
          <w:szCs w:val="32"/>
          <w:lang w:val="en-US" w:eastAsia="zh-CN" w:bidi="ar"/>
        </w:rPr>
        <w:t>1994.34万元</w:t>
      </w:r>
      <w:r>
        <w:rPr>
          <w:rFonts w:hint="eastAsia" w:ascii="仿宋_GB2312" w:eastAsia="仿宋_GB2312" w:cs="仿宋_GB2312"/>
          <w:b w:val="0"/>
          <w:bCs/>
          <w:sz w:val="32"/>
          <w:szCs w:val="32"/>
          <w:lang w:eastAsia="zh-CN" w:bidi="ar"/>
        </w:rPr>
        <w:t>。</w:t>
      </w:r>
    </w:p>
    <w:p w14:paraId="5DBBFBCE">
      <w:pPr>
        <w:keepNext w:val="0"/>
        <w:keepLines w:val="0"/>
        <w:pageBreakBefore w:val="0"/>
        <w:kinsoku/>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3.开展城市水环境治理。</w:t>
      </w:r>
      <w:r>
        <w:rPr>
          <w:rFonts w:hint="eastAsia" w:ascii="仿宋_GB2312" w:eastAsia="仿宋_GB2312"/>
          <w:color w:val="000000"/>
          <w:sz w:val="32"/>
          <w:szCs w:val="32"/>
          <w:lang w:val="en-US" w:eastAsia="zh-CN"/>
        </w:rPr>
        <w:t>按照下达考核任务要求，我区2023年底前需完成261个排水单元整治。年初，按照“项目建设推进治理、相关部门牵头督促”的改造思路，区水办向各属地、各牵头单位共下达了282个排水单元考核任务（在年度考核任务的基础上自我加压，增加21个排水单元整治任务），共投入资金15309.80万元。</w:t>
      </w:r>
    </w:p>
    <w:p w14:paraId="7E21D1EE">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223" w:leftChars="0" w:firstLine="643" w:firstLineChars="0"/>
        <w:jc w:val="left"/>
        <w:textAlignment w:val="auto"/>
        <w:rPr>
          <w:rFonts w:hint="eastAsia" w:ascii="楷体" w:hAnsi="楷体" w:eastAsia="楷体" w:cs="楷体"/>
          <w:b/>
          <w:bCs/>
          <w:i w:val="0"/>
          <w:iCs w:val="0"/>
          <w:caps w:val="0"/>
          <w:color w:val="333333"/>
          <w:spacing w:val="0"/>
          <w:sz w:val="32"/>
          <w:szCs w:val="32"/>
          <w:shd w:val="clear" w:color="auto" w:fill="FFFFFF"/>
          <w:lang w:val="en-US" w:eastAsia="zh-CN"/>
        </w:rPr>
      </w:pPr>
      <w:r>
        <w:rPr>
          <w:rFonts w:hint="eastAsia" w:ascii="楷体" w:hAnsi="楷体" w:eastAsia="楷体" w:cs="楷体"/>
          <w:b/>
          <w:bCs/>
          <w:i w:val="0"/>
          <w:iCs w:val="0"/>
          <w:caps w:val="0"/>
          <w:color w:val="333333"/>
          <w:spacing w:val="0"/>
          <w:sz w:val="32"/>
          <w:szCs w:val="32"/>
          <w:shd w:val="clear" w:color="auto" w:fill="FFFFFF"/>
        </w:rPr>
        <w:t>致力践行惠民之举</w:t>
      </w:r>
      <w:r>
        <w:rPr>
          <w:rFonts w:hint="eastAsia" w:ascii="楷体" w:hAnsi="楷体" w:eastAsia="楷体" w:cs="楷体"/>
          <w:b/>
          <w:bCs/>
          <w:i w:val="0"/>
          <w:iCs w:val="0"/>
          <w:caps w:val="0"/>
          <w:color w:val="333333"/>
          <w:spacing w:val="0"/>
          <w:sz w:val="32"/>
          <w:szCs w:val="32"/>
          <w:shd w:val="clear" w:color="auto" w:fill="FFFFFF"/>
          <w:lang w:eastAsia="zh-CN"/>
        </w:rPr>
        <w:t>，</w:t>
      </w:r>
      <w:r>
        <w:rPr>
          <w:rFonts w:hint="eastAsia" w:ascii="楷体" w:hAnsi="楷体" w:eastAsia="楷体" w:cs="楷体"/>
          <w:b/>
          <w:bCs/>
          <w:i w:val="0"/>
          <w:iCs w:val="0"/>
          <w:caps w:val="0"/>
          <w:color w:val="333333"/>
          <w:spacing w:val="0"/>
          <w:sz w:val="32"/>
          <w:szCs w:val="32"/>
          <w:shd w:val="clear" w:color="auto" w:fill="FFFFFF"/>
        </w:rPr>
        <w:t>构建民生保障新格局</w:t>
      </w:r>
    </w:p>
    <w:p w14:paraId="12AF4D69">
      <w:pPr>
        <w:spacing w:line="560" w:lineRule="exact"/>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i w:val="0"/>
          <w:iCs w:val="0"/>
          <w:caps w:val="0"/>
          <w:color w:val="333333"/>
          <w:spacing w:val="0"/>
          <w:sz w:val="32"/>
          <w:szCs w:val="32"/>
          <w:shd w:val="clear" w:color="auto" w:fill="FFFFFF"/>
          <w:lang w:val="en-US" w:eastAsia="zh-CN"/>
        </w:rPr>
        <w:t>1.扎实推进老旧小区改造。</w:t>
      </w:r>
      <w:r>
        <w:rPr>
          <w:rFonts w:hint="eastAsia" w:ascii="仿宋_GB2312" w:hAnsi="仿宋_GB2312" w:eastAsia="仿宋_GB2312" w:cs="仿宋_GB2312"/>
          <w:sz w:val="32"/>
          <w:szCs w:val="32"/>
          <w:lang w:val="en-US" w:eastAsia="zh-CN"/>
        </w:rPr>
        <w:t>2023年，我区全面启动了25个老旧小区改造，涉及改造户数近7000户，按照标准以基础类改造为主，共投入资金约1.7亿元。目前，已完成15个老旧小区改造，力争在今年春节前全面完工，届时改造后将惠及居民近2.3万。</w:t>
      </w:r>
    </w:p>
    <w:p w14:paraId="2E089E34">
      <w:pPr>
        <w:keepNext w:val="0"/>
        <w:keepLines w:val="0"/>
        <w:pageBreakBefore w:val="0"/>
        <w:kinsoku/>
        <w:overflowPunct w:val="0"/>
        <w:topLinePunct w:val="0"/>
        <w:autoSpaceDE/>
        <w:autoSpaceDN/>
        <w:bidi w:val="0"/>
        <w:adjustRightInd/>
        <w:snapToGrid/>
        <w:spacing w:line="560" w:lineRule="exact"/>
        <w:ind w:firstLine="643" w:firstLineChars="200"/>
        <w:textAlignment w:val="baseline"/>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
          <w:bCs/>
          <w:i w:val="0"/>
          <w:iCs w:val="0"/>
          <w:caps w:val="0"/>
          <w:color w:val="333333"/>
          <w:spacing w:val="0"/>
          <w:sz w:val="32"/>
          <w:szCs w:val="32"/>
          <w:shd w:val="clear" w:color="auto" w:fill="FFFFFF"/>
          <w:lang w:val="en-US" w:eastAsia="zh-CN"/>
        </w:rPr>
        <w:t>2.完善保障性住房体系。</w:t>
      </w:r>
      <w:r>
        <w:rPr>
          <w:rFonts w:hint="eastAsia" w:ascii="仿宋_GB2312" w:hAnsi="仿宋_GB2312" w:eastAsia="仿宋_GB2312" w:cs="仿宋_GB2312"/>
          <w:bCs/>
          <w:sz w:val="32"/>
          <w:szCs w:val="32"/>
          <w:lang w:eastAsia="zh-CN"/>
        </w:rPr>
        <w:t>一是</w:t>
      </w:r>
      <w:r>
        <w:rPr>
          <w:rFonts w:hint="eastAsia" w:ascii="仿宋_GB2312" w:hAnsi="仿宋_GB2312" w:eastAsia="仿宋_GB2312" w:cs="仿宋_GB2312"/>
          <w:bCs/>
          <w:sz w:val="32"/>
          <w:szCs w:val="32"/>
        </w:rPr>
        <w:t>2023年我区向</w:t>
      </w:r>
      <w:r>
        <w:rPr>
          <w:rFonts w:hint="eastAsia" w:ascii="仿宋_GB2312" w:hAnsi="仿宋_GB2312" w:eastAsia="仿宋_GB2312" w:cs="仿宋_GB2312"/>
          <w:bCs/>
          <w:sz w:val="32"/>
          <w:szCs w:val="32"/>
          <w:lang w:val="en-US" w:eastAsia="zh-CN"/>
        </w:rPr>
        <w:t>3994</w:t>
      </w:r>
      <w:r>
        <w:rPr>
          <w:rFonts w:hint="eastAsia" w:ascii="仿宋_GB2312" w:hAnsi="仿宋_GB2312" w:eastAsia="仿宋_GB2312" w:cs="仿宋_GB2312"/>
          <w:bCs/>
          <w:sz w:val="32"/>
          <w:szCs w:val="32"/>
        </w:rPr>
        <w:t>户</w:t>
      </w:r>
      <w:r>
        <w:rPr>
          <w:rFonts w:hint="eastAsia" w:ascii="仿宋_GB2312" w:hAnsi="仿宋_GB2312" w:eastAsia="仿宋_GB2312" w:cs="仿宋_GB2312"/>
          <w:bCs/>
          <w:sz w:val="32"/>
          <w:szCs w:val="32"/>
          <w:lang w:eastAsia="zh-CN"/>
        </w:rPr>
        <w:t>低保及</w:t>
      </w:r>
      <w:r>
        <w:rPr>
          <w:rFonts w:hint="eastAsia" w:ascii="仿宋_GB2312" w:hAnsi="仿宋_GB2312" w:eastAsia="仿宋_GB2312" w:cs="仿宋_GB2312"/>
          <w:bCs/>
          <w:sz w:val="32"/>
          <w:szCs w:val="32"/>
        </w:rPr>
        <w:t>低收入家庭发放住房保障补贴</w:t>
      </w:r>
      <w:r>
        <w:rPr>
          <w:rFonts w:hint="eastAsia" w:ascii="仿宋_GB2312" w:hAnsi="仿宋_GB2312" w:eastAsia="仿宋_GB2312" w:cs="仿宋_GB2312"/>
          <w:bCs/>
          <w:sz w:val="32"/>
          <w:szCs w:val="32"/>
          <w:lang w:val="en-US" w:eastAsia="zh-CN"/>
        </w:rPr>
        <w:t>1501.31万</w:t>
      </w:r>
      <w:r>
        <w:rPr>
          <w:rFonts w:hint="eastAsia" w:ascii="仿宋_GB2312" w:hAnsi="仿宋_GB2312" w:eastAsia="仿宋_GB2312" w:cs="仿宋_GB2312"/>
          <w:bCs/>
          <w:sz w:val="32"/>
          <w:szCs w:val="32"/>
        </w:rPr>
        <w:t>元。办理公租房低收入家庭解除限购户数204户</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完成动态审核及异议复核1950户</w:t>
      </w:r>
      <w:r>
        <w:rPr>
          <w:rFonts w:hint="eastAsia" w:ascii="仿宋_GB2312" w:hAnsi="仿宋_GB2312" w:eastAsia="仿宋_GB2312" w:cs="仿宋_GB2312"/>
          <w:bCs/>
          <w:sz w:val="32"/>
          <w:szCs w:val="32"/>
          <w:lang w:eastAsia="zh-CN"/>
        </w:rPr>
        <w:t>。二是</w:t>
      </w:r>
      <w:r>
        <w:rPr>
          <w:rFonts w:hint="eastAsia" w:ascii="仿宋_GB2312" w:hAnsi="仿宋_GB2312" w:eastAsia="仿宋_GB2312" w:cs="仿宋_GB2312"/>
          <w:bCs/>
          <w:sz w:val="32"/>
          <w:szCs w:val="32"/>
        </w:rPr>
        <w:t>根据我区民政部门脱贫解困领导小组反馈名单，至2023年符合住房保障条件的家庭中享受公租房实物配租家庭614户，享受租赁补贴家庭208户。</w:t>
      </w:r>
      <w:r>
        <w:rPr>
          <w:rFonts w:hint="eastAsia" w:ascii="仿宋_GB2312" w:hAnsi="仿宋_GB2312" w:eastAsia="仿宋_GB2312" w:cs="仿宋_GB2312"/>
          <w:bCs/>
          <w:sz w:val="32"/>
          <w:szCs w:val="32"/>
          <w:lang w:eastAsia="zh-CN"/>
        </w:rPr>
        <w:t>三是</w:t>
      </w:r>
      <w:r>
        <w:rPr>
          <w:rFonts w:hint="eastAsia" w:ascii="仿宋_GB2312" w:hAnsi="仿宋_GB2312" w:eastAsia="仿宋_GB2312" w:cs="仿宋_GB2312"/>
          <w:bCs/>
          <w:sz w:val="32"/>
          <w:szCs w:val="32"/>
        </w:rPr>
        <w:t>我区公共租赁住房已保障3060户住房困难家庭。其中保障低保户和二级以上残疾（含二级残疾）617户,低收入家庭为2443户。</w:t>
      </w:r>
      <w:r>
        <w:rPr>
          <w:rFonts w:hint="eastAsia" w:ascii="仿宋_GB2312" w:hAnsi="仿宋_GB2312" w:eastAsia="仿宋_GB2312" w:cs="仿宋_GB2312"/>
          <w:bCs/>
          <w:sz w:val="32"/>
          <w:szCs w:val="32"/>
          <w:lang w:eastAsia="zh-CN"/>
        </w:rPr>
        <w:t>四是</w:t>
      </w:r>
      <w:r>
        <w:rPr>
          <w:rFonts w:hint="eastAsia" w:ascii="仿宋_GB2312" w:hAnsi="仿宋_GB2312" w:eastAsia="仿宋_GB2312" w:cs="仿宋_GB2312"/>
          <w:bCs/>
          <w:sz w:val="32"/>
          <w:szCs w:val="32"/>
        </w:rPr>
        <w:t>2023年市级下达我区保障性租赁住房计划任务为600套，目前，我区的保障性租赁住房项目为洪都集团单身青年公寓，共计632套，总建筑面积24594.7平方米，超额完成上级部门下达的任务。</w:t>
      </w:r>
    </w:p>
    <w:p w14:paraId="141AF885">
      <w:pPr>
        <w:keepNext w:val="0"/>
        <w:keepLines w:val="0"/>
        <w:pageBreakBefore w:val="0"/>
        <w:numPr>
          <w:ilvl w:val="0"/>
          <w:numId w:val="0"/>
        </w:numPr>
        <w:kinsoku/>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val="0"/>
          <w:bCs/>
          <w:sz w:val="32"/>
          <w:szCs w:val="32"/>
          <w:lang w:val="en-US" w:eastAsia="zh-CN"/>
        </w:rPr>
      </w:pPr>
      <w:r>
        <w:rPr>
          <w:rFonts w:hint="eastAsia" w:ascii="仿宋_GB2312" w:hAnsi="仿宋_GB2312" w:eastAsia="仿宋_GB2312" w:cs="仿宋_GB2312"/>
          <w:b/>
          <w:bCs/>
          <w:sz w:val="32"/>
          <w:szCs w:val="32"/>
          <w:lang w:val="en-US" w:eastAsia="zh-CN"/>
        </w:rPr>
        <w:t>3.加强物业小区管理。</w:t>
      </w:r>
      <w:r>
        <w:rPr>
          <w:rFonts w:hint="eastAsia" w:ascii="仿宋_GB2312" w:hAnsi="仿宋_GB2312" w:eastAsia="仿宋_GB2312" w:cs="仿宋_GB2312"/>
          <w:bCs/>
          <w:sz w:val="32"/>
          <w:szCs w:val="32"/>
          <w:lang w:eastAsia="zh-CN"/>
        </w:rPr>
        <w:t>一是</w:t>
      </w:r>
      <w:r>
        <w:rPr>
          <w:rFonts w:hint="eastAsia" w:ascii="仿宋_GB2312" w:hAnsi="仿宋_GB2312" w:eastAsia="仿宋_GB2312" w:cs="仿宋_GB2312"/>
          <w:bCs/>
          <w:sz w:val="32"/>
          <w:szCs w:val="32"/>
        </w:rPr>
        <w:t>建立党建引领下的社区居民委员会、业主委员会、物业服务企业协调运行机制，充分调动居民参与积极性，形成社区治理合力，最大程度把党的政治优势、组织优势转化为社区治理优势。目前，我区成立小区业主委员会48个</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二是建立健全市、区、街道三级“星级”物业服务考评体系，根据考评结果定期发布物业服务质量“红黑名单”，对物业服务企业及其从业人员信用行为实行守信联合激励、失信联合惩戒。并将考核结果纳入南昌市物业服务企业信用信息管理系统，综合评价、按分授星、分类监管，着力提高物业服务管理质量。三是设立物业服务信息监督公示栏，如实公布并及时更新物业项目负责人的基本情况、联系方式以及物业服务投诉电话、物业服务内容和标准、收费项目和标准等信息。同时加大对物业行业监管力度，积极化解物业矛盾纠纷，努力解决群众急难愁盼问题，督促提高物业服务水平。</w:t>
      </w:r>
    </w:p>
    <w:p w14:paraId="765A86D2">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223" w:leftChars="0" w:firstLine="643" w:firstLineChars="0"/>
        <w:jc w:val="left"/>
        <w:textAlignment w:val="auto"/>
        <w:rPr>
          <w:rFonts w:hint="eastAsia" w:ascii="楷体" w:hAnsi="楷体" w:eastAsia="楷体" w:cs="楷体"/>
          <w:b/>
          <w:bCs/>
          <w:i w:val="0"/>
          <w:iCs w:val="0"/>
          <w:caps w:val="0"/>
          <w:color w:val="333333"/>
          <w:spacing w:val="0"/>
          <w:sz w:val="32"/>
          <w:szCs w:val="32"/>
          <w:shd w:val="clear" w:color="auto" w:fill="FFFFFF"/>
        </w:rPr>
      </w:pPr>
      <w:r>
        <w:rPr>
          <w:rFonts w:hint="eastAsia" w:ascii="楷体" w:hAnsi="楷体" w:eastAsia="楷体" w:cs="楷体"/>
          <w:b/>
          <w:bCs/>
          <w:i w:val="0"/>
          <w:iCs w:val="0"/>
          <w:caps w:val="0"/>
          <w:color w:val="333333"/>
          <w:spacing w:val="0"/>
          <w:sz w:val="32"/>
          <w:szCs w:val="32"/>
          <w:shd w:val="clear" w:color="auto" w:fill="FFFFFF"/>
        </w:rPr>
        <w:t>致力</w:t>
      </w:r>
      <w:r>
        <w:rPr>
          <w:rFonts w:hint="eastAsia" w:ascii="楷体" w:hAnsi="楷体" w:eastAsia="楷体" w:cs="楷体"/>
          <w:b/>
          <w:bCs/>
          <w:i w:val="0"/>
          <w:iCs w:val="0"/>
          <w:caps w:val="0"/>
          <w:color w:val="333333"/>
          <w:spacing w:val="0"/>
          <w:sz w:val="32"/>
          <w:szCs w:val="32"/>
          <w:shd w:val="clear" w:color="auto" w:fill="FFFFFF"/>
          <w:lang w:eastAsia="zh-CN"/>
        </w:rPr>
        <w:t>压实工作</w:t>
      </w:r>
      <w:r>
        <w:rPr>
          <w:rFonts w:hint="eastAsia" w:ascii="楷体" w:hAnsi="楷体" w:eastAsia="楷体" w:cs="楷体"/>
          <w:b/>
          <w:bCs/>
          <w:i w:val="0"/>
          <w:iCs w:val="0"/>
          <w:caps w:val="0"/>
          <w:color w:val="333333"/>
          <w:spacing w:val="0"/>
          <w:sz w:val="32"/>
          <w:szCs w:val="32"/>
          <w:shd w:val="clear" w:color="auto" w:fill="FFFFFF"/>
        </w:rPr>
        <w:t>之责</w:t>
      </w:r>
      <w:r>
        <w:rPr>
          <w:rFonts w:hint="eastAsia" w:ascii="楷体" w:hAnsi="楷体" w:eastAsia="楷体" w:cs="楷体"/>
          <w:b/>
          <w:bCs/>
          <w:i w:val="0"/>
          <w:iCs w:val="0"/>
          <w:caps w:val="0"/>
          <w:color w:val="333333"/>
          <w:spacing w:val="0"/>
          <w:sz w:val="32"/>
          <w:szCs w:val="32"/>
          <w:shd w:val="clear" w:color="auto" w:fill="FFFFFF"/>
          <w:lang w:eastAsia="zh-CN"/>
        </w:rPr>
        <w:t>，</w:t>
      </w:r>
      <w:r>
        <w:rPr>
          <w:rFonts w:hint="eastAsia" w:ascii="楷体" w:hAnsi="楷体" w:eastAsia="楷体" w:cs="楷体"/>
          <w:b/>
          <w:bCs/>
          <w:i w:val="0"/>
          <w:iCs w:val="0"/>
          <w:caps w:val="0"/>
          <w:color w:val="333333"/>
          <w:spacing w:val="0"/>
          <w:sz w:val="32"/>
          <w:szCs w:val="32"/>
          <w:shd w:val="clear" w:color="auto" w:fill="FFFFFF"/>
          <w:lang w:val="en-US" w:eastAsia="zh-CN"/>
        </w:rPr>
        <w:t>促进行业管理新台阶</w:t>
      </w:r>
    </w:p>
    <w:p w14:paraId="2E6B75E0">
      <w:pPr>
        <w:ind w:firstLine="643"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1.</w:t>
      </w:r>
      <w:r>
        <w:rPr>
          <w:rFonts w:hint="eastAsia" w:ascii="仿宋" w:hAnsi="仿宋" w:eastAsia="仿宋" w:cs="仿宋"/>
          <w:b/>
          <w:bCs/>
          <w:sz w:val="32"/>
          <w:szCs w:val="32"/>
        </w:rPr>
        <w:t>既有住宅加装电梯工作</w:t>
      </w:r>
      <w:r>
        <w:rPr>
          <w:rFonts w:hint="eastAsia" w:ascii="仿宋" w:hAnsi="仿宋" w:eastAsia="仿宋" w:cs="仿宋"/>
          <w:b/>
          <w:bCs/>
          <w:sz w:val="32"/>
          <w:szCs w:val="32"/>
          <w:lang w:eastAsia="zh-CN"/>
        </w:rPr>
        <w:t>。</w:t>
      </w:r>
      <w:r>
        <w:rPr>
          <w:rFonts w:hint="eastAsia" w:ascii="仿宋_GB2312" w:hAnsi="仿宋_GB2312" w:eastAsia="仿宋_GB2312" w:cs="仿宋_GB2312"/>
          <w:color w:val="000000"/>
          <w:sz w:val="32"/>
          <w:szCs w:val="32"/>
          <w:lang w:val="en-US" w:eastAsia="zh-CN"/>
        </w:rPr>
        <w:t>根据市住建局下达《关于下达20</w:t>
      </w:r>
      <w:r>
        <w:rPr>
          <w:rFonts w:hint="eastAsia" w:ascii="仿宋_GB2312" w:hAnsi="仿宋_GB2312" w:eastAsia="仿宋_GB2312" w:cs="仿宋_GB2312"/>
          <w:color w:val="auto"/>
          <w:sz w:val="32"/>
          <w:szCs w:val="32"/>
          <w:lang w:val="en-US" w:eastAsia="zh-CN"/>
        </w:rPr>
        <w:t>23年南昌市既有住宅加装电梯指导性任务的通知》其中青云谱区2023年任务数是17台。截至目前青云谱区已完成9台（去年超额完成7台计算今年），目前已有15台正在施工。其中908医院宿舍13台处于基坑街段，徐坊街道2台居民自筹电梯，1台井道主体阶段，1台准备开工阶段，预计今年年底内全部建设完工。</w:t>
      </w:r>
    </w:p>
    <w:p w14:paraId="1A2205C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2.加强河湖管理保护。</w:t>
      </w:r>
      <w:r>
        <w:rPr>
          <w:rFonts w:hint="eastAsia" w:ascii="仿宋_GB2312" w:hAnsi="仿宋_GB2312" w:eastAsia="仿宋_GB2312" w:cs="仿宋_GB2312"/>
          <w:sz w:val="32"/>
          <w:szCs w:val="32"/>
          <w:lang w:val="en-US" w:eastAsia="zh-CN"/>
        </w:rPr>
        <w:t>一是</w:t>
      </w:r>
      <w:r>
        <w:rPr>
          <w:rFonts w:hint="eastAsia" w:ascii="仿宋_GB2312" w:hAnsi="仿宋_GB2312" w:eastAsia="仿宋_GB2312" w:cs="仿宋_GB2312"/>
          <w:i w:val="0"/>
          <w:caps w:val="0"/>
          <w:color w:val="333333"/>
          <w:spacing w:val="0"/>
          <w:sz w:val="32"/>
          <w:szCs w:val="32"/>
          <w:shd w:val="clear" w:color="auto" w:fill="FFFFFF"/>
          <w:lang w:val="en-US" w:eastAsia="zh-CN"/>
        </w:rPr>
        <w:t>督促三级河长加强日常巡查，</w:t>
      </w:r>
      <w:r>
        <w:rPr>
          <w:rFonts w:hint="eastAsia" w:ascii="仿宋_GB2312" w:hAnsi="仿宋_GB2312" w:eastAsia="仿宋_GB2312" w:cs="仿宋_GB2312"/>
          <w:sz w:val="32"/>
          <w:szCs w:val="32"/>
        </w:rPr>
        <w:t>对河面、湖面、河湖岸</w:t>
      </w:r>
      <w:r>
        <w:rPr>
          <w:rFonts w:hint="eastAsia" w:ascii="仿宋_GB2312" w:hAnsi="仿宋_GB2312" w:eastAsia="仿宋_GB2312" w:cs="仿宋_GB2312"/>
          <w:sz w:val="32"/>
          <w:szCs w:val="32"/>
          <w:lang w:val="en-US" w:eastAsia="zh-CN"/>
        </w:rPr>
        <w:t>线</w:t>
      </w:r>
      <w:r>
        <w:rPr>
          <w:rFonts w:hint="eastAsia" w:ascii="仿宋_GB2312" w:hAnsi="仿宋_GB2312" w:eastAsia="仿宋_GB2312" w:cs="仿宋_GB2312"/>
          <w:sz w:val="32"/>
          <w:szCs w:val="32"/>
        </w:rPr>
        <w:t>进行地毯式巡查，</w:t>
      </w:r>
      <w:r>
        <w:rPr>
          <w:rFonts w:hint="eastAsia" w:ascii="仿宋_GB2312" w:hAnsi="仿宋_GB2312" w:eastAsia="仿宋_GB2312" w:cs="仿宋_GB2312"/>
          <w:sz w:val="32"/>
          <w:szCs w:val="32"/>
          <w:lang w:val="en-US" w:eastAsia="zh-CN"/>
        </w:rPr>
        <w:t>做好</w:t>
      </w:r>
      <w:r>
        <w:rPr>
          <w:rFonts w:hint="eastAsia" w:ascii="仿宋_GB2312" w:hAnsi="仿宋_GB2312" w:eastAsia="仿宋_GB2312" w:cs="仿宋_GB2312"/>
          <w:sz w:val="32"/>
          <w:szCs w:val="32"/>
        </w:rPr>
        <w:t>巡查记录</w:t>
      </w:r>
      <w:r>
        <w:rPr>
          <w:rFonts w:hint="eastAsia" w:ascii="仿宋_GB2312" w:hAnsi="仿宋_GB2312" w:eastAsia="仿宋_GB2312" w:cs="仿宋_GB2312"/>
          <w:sz w:val="32"/>
          <w:szCs w:val="32"/>
          <w:lang w:eastAsia="zh-CN"/>
        </w:rPr>
        <w:t>、台账</w:t>
      </w:r>
      <w:r>
        <w:rPr>
          <w:rFonts w:hint="eastAsia" w:ascii="仿宋_GB2312" w:hAnsi="仿宋_GB2312" w:eastAsia="仿宋_GB2312" w:cs="仿宋_GB2312"/>
          <w:sz w:val="32"/>
          <w:szCs w:val="32"/>
          <w:lang w:val="en-US" w:eastAsia="zh-CN"/>
        </w:rPr>
        <w:t>等工作</w:t>
      </w:r>
      <w:r>
        <w:rPr>
          <w:rFonts w:hint="eastAsia" w:ascii="仿宋_GB2312" w:hAnsi="仿宋_GB2312" w:eastAsia="仿宋_GB2312" w:cs="仿宋_GB2312"/>
          <w:sz w:val="32"/>
          <w:szCs w:val="32"/>
          <w:lang w:eastAsia="zh-CN"/>
        </w:rPr>
        <w:t>。截至目前</w:t>
      </w:r>
      <w:r>
        <w:rPr>
          <w:rFonts w:hint="eastAsia" w:ascii="仿宋_GB2312" w:hAnsi="仿宋_GB2312" w:eastAsia="仿宋_GB2312" w:cs="仿宋_GB2312"/>
          <w:sz w:val="32"/>
          <w:szCs w:val="32"/>
        </w:rPr>
        <w:t>三级河湖长</w:t>
      </w:r>
      <w:r>
        <w:rPr>
          <w:rFonts w:hint="eastAsia" w:ascii="仿宋_GB2312" w:hAnsi="仿宋_GB2312" w:eastAsia="仿宋_GB2312" w:cs="仿宋_GB2312"/>
          <w:color w:val="000000"/>
          <w:sz w:val="32"/>
          <w:szCs w:val="32"/>
        </w:rPr>
        <w:t>共</w:t>
      </w:r>
      <w:r>
        <w:rPr>
          <w:rFonts w:hint="eastAsia" w:ascii="仿宋_GB2312" w:hAnsi="仿宋_GB2312" w:eastAsia="仿宋_GB2312" w:cs="仿宋_GB2312"/>
          <w:sz w:val="32"/>
          <w:szCs w:val="32"/>
        </w:rPr>
        <w:t>巡</w:t>
      </w:r>
      <w:r>
        <w:rPr>
          <w:rFonts w:hint="eastAsia" w:ascii="仿宋_GB2312" w:hAnsi="仿宋_GB2312" w:eastAsia="仿宋_GB2312" w:cs="仿宋_GB2312"/>
          <w:color w:val="000000"/>
          <w:sz w:val="32"/>
          <w:szCs w:val="32"/>
        </w:rPr>
        <w:t>河</w:t>
      </w:r>
      <w:r>
        <w:rPr>
          <w:rFonts w:hint="eastAsia" w:ascii="仿宋_GB2312" w:hAnsi="仿宋_GB2312" w:eastAsia="仿宋_GB2312" w:cs="仿宋_GB2312"/>
          <w:color w:val="000000"/>
          <w:sz w:val="32"/>
          <w:szCs w:val="32"/>
          <w:lang w:val="en-US" w:eastAsia="zh-CN"/>
        </w:rPr>
        <w:t>1567</w:t>
      </w:r>
      <w:r>
        <w:rPr>
          <w:rFonts w:hint="eastAsia" w:ascii="仿宋_GB2312" w:hAnsi="仿宋_GB2312" w:eastAsia="仿宋_GB2312" w:cs="仿宋_GB2312"/>
          <w:color w:val="000000"/>
          <w:sz w:val="32"/>
          <w:szCs w:val="32"/>
        </w:rPr>
        <w:t>次。</w:t>
      </w:r>
      <w:r>
        <w:rPr>
          <w:rFonts w:hint="eastAsia" w:ascii="仿宋_GB2312" w:hAnsi="仿宋_GB2312" w:eastAsia="仿宋_GB2312" w:cs="仿宋_GB2312"/>
          <w:color w:val="000000"/>
          <w:sz w:val="32"/>
          <w:szCs w:val="32"/>
          <w:lang w:eastAsia="zh-CN"/>
        </w:rPr>
        <w:t>二是</w:t>
      </w:r>
      <w:r>
        <w:rPr>
          <w:rFonts w:hint="eastAsia" w:ascii="仿宋_GB2312" w:hAnsi="仿宋_GB2312" w:eastAsia="仿宋_GB2312" w:cs="仿宋_GB2312"/>
          <w:b w:val="0"/>
          <w:bCs w:val="0"/>
          <w:kern w:val="0"/>
          <w:sz w:val="32"/>
          <w:szCs w:val="32"/>
          <w:lang w:val="en-US" w:eastAsia="zh-CN" w:bidi="ar"/>
        </w:rPr>
        <w:t>对青云谱区9处水域开展河湖专项整治行动，深入现场走访涉及“四乱”点的流域，详细了解实际情况，打击“四乱”行为，努力实现“河畅、水清、岸绿、景美、人和”的河湖环境。三是</w:t>
      </w:r>
      <w:r>
        <w:rPr>
          <w:rFonts w:hint="eastAsia" w:ascii="仿宋_GB2312" w:hAnsi="仿宋_GB2312" w:eastAsia="仿宋_GB2312" w:cs="仿宋_GB2312"/>
          <w:b w:val="0"/>
          <w:bCs w:val="0"/>
          <w:color w:val="000000"/>
          <w:sz w:val="32"/>
          <w:szCs w:val="32"/>
          <w:lang w:val="en-US" w:eastAsia="zh-CN"/>
        </w:rPr>
        <w:t>对五干渠东西岸护坡，东岸绿化、游步道、护栏、路灯等进行提升改造，改造长度960米，工程范围约2.7ha。大幅度提升了周边生态环境。四是组织街道、社区开展了3次河湖长制大型宣传活动，</w:t>
      </w:r>
      <w:r>
        <w:rPr>
          <w:rFonts w:hint="eastAsia" w:ascii="仿宋_GB2312" w:hAnsi="仿宋_GB2312" w:eastAsia="仿宋_GB2312" w:cs="仿宋_GB2312"/>
          <w:color w:val="000000"/>
          <w:sz w:val="32"/>
          <w:szCs w:val="32"/>
          <w:lang w:eastAsia="zh-CN"/>
        </w:rPr>
        <w:t>发</w:t>
      </w:r>
      <w:r>
        <w:rPr>
          <w:rFonts w:hint="eastAsia" w:ascii="仿宋_GB2312" w:hAnsi="仿宋_GB2312" w:eastAsia="仿宋_GB2312" w:cs="仿宋_GB2312"/>
          <w:color w:val="000000"/>
          <w:sz w:val="32"/>
          <w:szCs w:val="32"/>
          <w:lang w:val="en-US" w:eastAsia="zh-CN"/>
        </w:rPr>
        <w:t>放</w:t>
      </w:r>
      <w:r>
        <w:rPr>
          <w:rFonts w:hint="eastAsia" w:ascii="仿宋_GB2312" w:hAnsi="仿宋_GB2312" w:eastAsia="仿宋_GB2312" w:cs="仿宋_GB2312"/>
          <w:b w:val="0"/>
          <w:i w:val="0"/>
          <w:caps w:val="0"/>
          <w:color w:val="333333"/>
          <w:spacing w:val="0"/>
          <w:sz w:val="32"/>
          <w:szCs w:val="32"/>
          <w:shd w:val="clear" w:color="auto" w:fill="FFFFFF"/>
        </w:rPr>
        <w:t>《江西省实施河长制湖长制条例</w:t>
      </w:r>
      <w:r>
        <w:rPr>
          <w:rFonts w:hint="eastAsia" w:ascii="仿宋_GB2312" w:hAnsi="仿宋_GB2312" w:eastAsia="仿宋_GB2312" w:cs="仿宋_GB2312"/>
          <w:b w:val="0"/>
          <w:i w:val="0"/>
          <w:caps w:val="0"/>
          <w:color w:val="000000"/>
          <w:spacing w:val="0"/>
          <w:sz w:val="32"/>
          <w:szCs w:val="32"/>
          <w:shd w:val="clear" w:color="auto" w:fill="FFFFFF"/>
        </w:rPr>
        <w:t>》读本</w:t>
      </w:r>
      <w:r>
        <w:rPr>
          <w:rFonts w:hint="eastAsia" w:ascii="仿宋_GB2312" w:hAnsi="仿宋_GB2312" w:eastAsia="仿宋_GB2312" w:cs="仿宋_GB2312"/>
          <w:b w:val="0"/>
          <w:i w:val="0"/>
          <w:caps w:val="0"/>
          <w:color w:val="000000"/>
          <w:spacing w:val="0"/>
          <w:sz w:val="32"/>
          <w:szCs w:val="32"/>
          <w:shd w:val="clear" w:color="auto" w:fill="FFFFFF"/>
          <w:lang w:val="en-US" w:eastAsia="zh-CN"/>
        </w:rPr>
        <w:t>500余册</w:t>
      </w:r>
      <w:r>
        <w:rPr>
          <w:rFonts w:hint="eastAsia" w:ascii="仿宋_GB2312" w:hAnsi="仿宋_GB2312" w:eastAsia="仿宋_GB2312" w:cs="仿宋_GB2312"/>
          <w:color w:val="000000"/>
          <w:sz w:val="32"/>
          <w:szCs w:val="32"/>
          <w:lang w:val="en-US" w:eastAsia="zh-CN"/>
        </w:rPr>
        <w:t>，有效提高了辖区内居民爱水护水意识。</w:t>
      </w:r>
    </w:p>
    <w:p w14:paraId="0F045202">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223" w:leftChars="0" w:firstLine="643" w:firstLineChars="0"/>
        <w:jc w:val="left"/>
        <w:textAlignment w:val="auto"/>
        <w:rPr>
          <w:rFonts w:hint="eastAsia" w:ascii="楷体" w:hAnsi="楷体" w:eastAsia="楷体" w:cs="楷体"/>
          <w:b/>
          <w:bCs/>
          <w:i w:val="0"/>
          <w:iCs w:val="0"/>
          <w:caps w:val="0"/>
          <w:color w:val="333333"/>
          <w:spacing w:val="0"/>
          <w:sz w:val="32"/>
          <w:szCs w:val="32"/>
          <w:shd w:val="clear" w:color="auto" w:fill="FFFFFF"/>
          <w:lang w:eastAsia="zh-CN"/>
        </w:rPr>
      </w:pPr>
      <w:r>
        <w:rPr>
          <w:rFonts w:hint="eastAsia" w:ascii="楷体" w:hAnsi="楷体" w:eastAsia="楷体" w:cs="楷体"/>
          <w:b/>
          <w:bCs/>
          <w:i w:val="0"/>
          <w:iCs w:val="0"/>
          <w:caps w:val="0"/>
          <w:color w:val="333333"/>
          <w:spacing w:val="0"/>
          <w:sz w:val="32"/>
          <w:szCs w:val="32"/>
          <w:shd w:val="clear" w:color="auto" w:fill="FFFFFF"/>
          <w:lang w:eastAsia="zh-CN"/>
        </w:rPr>
        <w:t>致力安全发展之路，提高风险管理新能力</w:t>
      </w:r>
    </w:p>
    <w:p w14:paraId="36F04CAD">
      <w:pPr>
        <w:keepNext w:val="0"/>
        <w:keepLines w:val="0"/>
        <w:pageBreakBefore w:val="0"/>
        <w:kinsoku/>
        <w:topLinePunct w:val="0"/>
        <w:autoSpaceDE/>
        <w:autoSpaceDN/>
        <w:bidi w:val="0"/>
        <w:adjustRightInd/>
        <w:snapToGrid/>
        <w:spacing w:line="560" w:lineRule="exact"/>
        <w:ind w:firstLine="643" w:firstLineChars="200"/>
        <w:rPr>
          <w:rFonts w:hint="eastAsia" w:ascii="仿宋" w:hAnsi="仿宋" w:eastAsia="仿宋" w:cs="仿宋"/>
          <w:color w:val="auto"/>
          <w:sz w:val="32"/>
          <w:szCs w:val="32"/>
        </w:rPr>
      </w:pPr>
      <w:r>
        <w:rPr>
          <w:rFonts w:hint="eastAsia" w:ascii="仿宋_GB2312" w:hAnsi="仿宋_GB2312" w:eastAsia="仿宋_GB2312" w:cs="仿宋_GB2312"/>
          <w:b/>
          <w:bCs/>
          <w:color w:val="auto"/>
          <w:sz w:val="32"/>
          <w:szCs w:val="32"/>
          <w:lang w:val="en-US" w:eastAsia="zh-CN"/>
        </w:rPr>
        <w:t>1.消除危房安全隐患。</w:t>
      </w:r>
      <w:r>
        <w:rPr>
          <w:rFonts w:hint="eastAsia" w:ascii="仿宋_GB2312" w:eastAsia="仿宋_GB2312" w:cs="Times New Roman"/>
          <w:color w:val="auto"/>
          <w:sz w:val="32"/>
          <w:szCs w:val="32"/>
          <w:highlight w:val="none"/>
          <w:lang w:val="en-US" w:eastAsia="zh-CN"/>
        </w:rPr>
        <w:t>坚决落实“人不进危房，危房不进人”、“经营不带险，带险不经营”要求，截至目前</w:t>
      </w:r>
      <w:r>
        <w:rPr>
          <w:rFonts w:hint="eastAsia" w:ascii="仿宋_GB2312" w:eastAsia="仿宋_GB2312"/>
          <w:color w:val="auto"/>
          <w:sz w:val="32"/>
          <w:szCs w:val="32"/>
        </w:rPr>
        <w:t>已完成84栋经营性自建房的安全整治，剩余2栋C级正在加固中，预计12月可以完成整治销号。</w:t>
      </w:r>
      <w:r>
        <w:rPr>
          <w:rFonts w:hint="eastAsia" w:ascii="仿宋_GB2312" w:eastAsia="仿宋_GB2312"/>
          <w:color w:val="auto"/>
          <w:sz w:val="32"/>
          <w:szCs w:val="32"/>
          <w:lang w:eastAsia="zh-CN"/>
        </w:rPr>
        <w:t>已完成</w:t>
      </w:r>
      <w:r>
        <w:rPr>
          <w:rFonts w:hint="eastAsia" w:ascii="仿宋_GB2312" w:eastAsia="仿宋_GB2312"/>
          <w:color w:val="auto"/>
          <w:sz w:val="32"/>
          <w:szCs w:val="32"/>
        </w:rPr>
        <w:t>C级危房维修加固164栋，整治完成率73.21%</w:t>
      </w:r>
      <w:r>
        <w:rPr>
          <w:rFonts w:hint="eastAsia" w:ascii="仿宋_GB2312" w:eastAsia="仿宋_GB2312"/>
          <w:color w:val="auto"/>
          <w:sz w:val="32"/>
          <w:szCs w:val="32"/>
          <w:lang w:eastAsia="zh-CN"/>
        </w:rPr>
        <w:t>；</w:t>
      </w:r>
      <w:r>
        <w:rPr>
          <w:rFonts w:hint="eastAsia" w:ascii="仿宋_GB2312" w:eastAsia="仿宋_GB2312"/>
          <w:color w:val="auto"/>
          <w:sz w:val="32"/>
          <w:szCs w:val="32"/>
        </w:rPr>
        <w:t>已完成D级危房整治43栋，整治完成率93.5%。剩余60栋C级、3栋D级力争在今年年底前完成加固。</w:t>
      </w:r>
    </w:p>
    <w:p w14:paraId="6C3410D0">
      <w:pPr>
        <w:bidi w:val="0"/>
        <w:jc w:val="left"/>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单位自评工作组织开展情况</w:t>
      </w:r>
    </w:p>
    <w:p w14:paraId="5593F1E0">
      <w:pPr>
        <w:bidi w:val="0"/>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为深入贯彻落实中共青云谱区委、青云谱区人民政府印发《青云谱区关于全面实施预算绩效管理的实施意见》的通知文件精神，增强部门预算绩效管理主体责任，提升部门履职效能，结合我区预算管理制度改革的需求，决定开展202</w:t>
      </w:r>
      <w:r>
        <w:rPr>
          <w:rFonts w:hint="eastAsia" w:ascii="仿宋" w:hAnsi="仿宋" w:eastAsia="仿宋" w:cs="仿宋"/>
          <w:sz w:val="32"/>
          <w:szCs w:val="32"/>
          <w:lang w:val="en-US" w:eastAsia="zh-CN"/>
        </w:rPr>
        <w:t>3</w:t>
      </w:r>
      <w:r>
        <w:rPr>
          <w:rFonts w:hint="eastAsia" w:ascii="仿宋" w:hAnsi="仿宋" w:eastAsia="仿宋" w:cs="仿宋"/>
          <w:sz w:val="32"/>
          <w:szCs w:val="32"/>
        </w:rPr>
        <w:t>年度区直部门整体支出绩效评价工作。</w:t>
      </w:r>
    </w:p>
    <w:p w14:paraId="34DAA2F4">
      <w:pPr>
        <w:bidi w:val="0"/>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2023年度</w:t>
      </w:r>
      <w:r>
        <w:rPr>
          <w:rFonts w:hint="eastAsia" w:ascii="仿宋" w:hAnsi="仿宋" w:eastAsia="仿宋" w:cs="仿宋"/>
          <w:sz w:val="32"/>
          <w:szCs w:val="32"/>
          <w:lang w:eastAsia="zh-CN"/>
        </w:rPr>
        <w:t>对本部门</w:t>
      </w:r>
      <w:r>
        <w:rPr>
          <w:rFonts w:hint="eastAsia" w:ascii="仿宋" w:hAnsi="仿宋" w:eastAsia="仿宋" w:cs="仿宋"/>
          <w:sz w:val="32"/>
          <w:szCs w:val="32"/>
          <w:lang w:val="en-US" w:eastAsia="zh-CN"/>
        </w:rPr>
        <w:t>17个项目开展项目绩效自评工作，重点对水环境治理雨污分流制项目、洪都新城建设项目、2023年青云谱区徐坊、三店街道老旧小区提升改造项目展开评价具体评价情况如下：</w:t>
      </w:r>
    </w:p>
    <w:p w14:paraId="522919CD">
      <w:pPr>
        <w:bidi w:val="0"/>
        <w:jc w:val="left"/>
        <w:rPr>
          <w:rFonts w:hint="eastAsia" w:ascii="仿宋" w:hAnsi="仿宋" w:eastAsia="仿宋" w:cs="仿宋"/>
          <w:sz w:val="32"/>
          <w:szCs w:val="32"/>
        </w:rPr>
      </w:pPr>
      <w:r>
        <w:rPr>
          <w:rFonts w:hint="eastAsia" w:ascii="仿宋" w:hAnsi="仿宋" w:eastAsia="仿宋" w:cs="仿宋"/>
          <w:sz w:val="32"/>
          <w:szCs w:val="32"/>
        </w:rPr>
        <w:t>一、</w:t>
      </w:r>
      <w:r>
        <w:rPr>
          <w:rFonts w:hint="eastAsia" w:ascii="仿宋" w:hAnsi="仿宋" w:eastAsia="仿宋" w:cs="仿宋"/>
          <w:sz w:val="32"/>
          <w:szCs w:val="32"/>
          <w:lang w:val="en-US" w:eastAsia="zh-CN"/>
        </w:rPr>
        <w:t>水环境治理雨污分流制</w:t>
      </w:r>
      <w:r>
        <w:rPr>
          <w:rFonts w:hint="eastAsia" w:ascii="仿宋" w:hAnsi="仿宋" w:eastAsia="仿宋" w:cs="仿宋"/>
          <w:sz w:val="32"/>
          <w:szCs w:val="32"/>
        </w:rPr>
        <w:t>项目基本情况</w:t>
      </w:r>
    </w:p>
    <w:p w14:paraId="6D03DE0F">
      <w:pPr>
        <w:bidi w:val="0"/>
        <w:jc w:val="left"/>
        <w:rPr>
          <w:rFonts w:hint="eastAsia" w:ascii="仿宋" w:hAnsi="仿宋" w:eastAsia="仿宋" w:cs="仿宋"/>
          <w:sz w:val="32"/>
          <w:szCs w:val="32"/>
        </w:rPr>
      </w:pPr>
      <w:r>
        <w:rPr>
          <w:rFonts w:hint="eastAsia" w:ascii="仿宋" w:hAnsi="仿宋" w:eastAsia="仿宋" w:cs="仿宋"/>
          <w:sz w:val="32"/>
          <w:szCs w:val="32"/>
        </w:rPr>
        <w:t>(一)项目概况</w:t>
      </w:r>
    </w:p>
    <w:p w14:paraId="005BDF9F">
      <w:pPr>
        <w:bidi w:val="0"/>
        <w:jc w:val="left"/>
        <w:rPr>
          <w:rFonts w:hint="eastAsia" w:ascii="仿宋" w:hAnsi="仿宋" w:eastAsia="仿宋" w:cs="仿宋"/>
          <w:sz w:val="32"/>
          <w:szCs w:val="32"/>
        </w:rPr>
      </w:pPr>
      <w:r>
        <w:rPr>
          <w:rFonts w:hint="eastAsia" w:ascii="仿宋" w:hAnsi="仿宋" w:eastAsia="仿宋" w:cs="仿宋"/>
          <w:sz w:val="32"/>
          <w:szCs w:val="32"/>
        </w:rPr>
        <w:t>1.项目背景</w:t>
      </w:r>
    </w:p>
    <w:p w14:paraId="0EAF1881">
      <w:pPr>
        <w:pStyle w:val="30"/>
        <w:keepNext w:val="0"/>
        <w:keepLines w:val="0"/>
        <w:pageBreakBefore w:val="0"/>
        <w:kinsoku/>
        <w:wordWrap/>
        <w:overflowPunct/>
        <w:topLinePunct w:val="0"/>
        <w:bidi w:val="0"/>
        <w:snapToGrid/>
        <w:spacing w:line="560" w:lineRule="exact"/>
        <w:ind w:firstLine="640" w:firstLineChars="200"/>
        <w:textAlignment w:val="auto"/>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根据中共南昌市委，南昌市人民政府《关于印发&lt;南昌市中央环保督察典型案例三年整治行动实施方案&gt;的通知》（洪发电〔2021〕6号）、中共青云谱区委，青云谱区人民政府《关于印发&lt;青云谱区中央环保督察典型案例三年整治行动实施方案&gt;的通知》（青发电〔2022〕1号）、2022年，《南昌市青云谱区人民政府区长办公会议记录摘要（4）》、2022年，《中共南昌市青云谱区委常委会会议纪要（十三届区委第21次）》文件精神，启动了青云谱区城市水环境治理（雨污分流制区域）工程项目建设。</w:t>
      </w:r>
    </w:p>
    <w:p w14:paraId="0B219BAB">
      <w:pPr>
        <w:bidi w:val="0"/>
        <w:jc w:val="left"/>
        <w:rPr>
          <w:rFonts w:hint="eastAsia" w:ascii="楷体" w:hAnsi="楷体" w:eastAsia="楷体" w:cs="楷体"/>
          <w:b/>
          <w:bCs/>
          <w:sz w:val="32"/>
          <w:szCs w:val="32"/>
        </w:rPr>
      </w:pPr>
      <w:r>
        <w:rPr>
          <w:rFonts w:hint="eastAsia" w:ascii="楷体" w:hAnsi="楷体" w:eastAsia="楷体" w:cs="楷体"/>
          <w:b/>
          <w:bCs/>
          <w:sz w:val="32"/>
          <w:szCs w:val="32"/>
        </w:rPr>
        <w:t>（二）.项目实施情况</w:t>
      </w:r>
    </w:p>
    <w:p w14:paraId="73F5556B">
      <w:pPr>
        <w:pStyle w:val="30"/>
        <w:keepNext w:val="0"/>
        <w:keepLines w:val="0"/>
        <w:pageBreakBefore w:val="0"/>
        <w:kinsoku/>
        <w:wordWrap/>
        <w:overflowPunct/>
        <w:topLinePunct w:val="0"/>
        <w:bidi w:val="0"/>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项目实施范围：新溪桥南路以南、昌南大道、南钢铁路以北、南莲路以东、青山湖区以西区域，面积约9.8平方公里，</w:t>
      </w:r>
      <w:r>
        <w:rPr>
          <w:rFonts w:hint="eastAsia" w:ascii="仿宋_GB2312" w:hAnsi="仿宋_GB2312" w:eastAsia="仿宋_GB2312" w:cs="仿宋_GB2312"/>
          <w:color w:val="000000"/>
          <w:sz w:val="32"/>
          <w:szCs w:val="32"/>
          <w:lang w:val="en-US" w:eastAsia="zh-CN"/>
        </w:rPr>
        <w:t>约</w:t>
      </w:r>
      <w:r>
        <w:rPr>
          <w:rFonts w:hint="eastAsia" w:ascii="仿宋_GB2312" w:hAnsi="仿宋_GB2312" w:eastAsia="仿宋_GB2312" w:cs="仿宋_GB2312"/>
          <w:color w:val="000000"/>
          <w:kern w:val="0"/>
          <w:sz w:val="32"/>
          <w:szCs w:val="32"/>
          <w:lang w:val="en-US" w:eastAsia="zh-CN" w:bidi="ar"/>
        </w:rPr>
        <w:t>占治理面积的26%，共划定排水单元178个。</w:t>
      </w:r>
      <w:r>
        <w:rPr>
          <w:rFonts w:hint="eastAsia" w:ascii="仿宋_GB2312" w:hAnsi="仿宋_GB2312" w:eastAsia="仿宋_GB2312" w:cs="仿宋_GB2312"/>
          <w:b w:val="0"/>
          <w:bCs w:val="0"/>
          <w:sz w:val="32"/>
          <w:szCs w:val="32"/>
          <w:lang w:val="en-US" w:eastAsia="zh-CN"/>
        </w:rPr>
        <w:t>纳入本工程项目，由政府出资（整治的排水单元49.5个，整治、修复排水管道的道路10条）。</w:t>
      </w:r>
      <w:r>
        <w:rPr>
          <w:rFonts w:hint="eastAsia" w:ascii="仿宋_GB2312" w:hAnsi="仿宋_GB2312" w:eastAsia="仿宋_GB2312" w:cs="仿宋_GB2312"/>
          <w:sz w:val="32"/>
          <w:szCs w:val="32"/>
          <w:lang w:val="en-US" w:eastAsia="zh-CN"/>
        </w:rPr>
        <w:t>其中：南莲社区冶建居民区（排水单元），为区人大民生实事项目。</w:t>
      </w:r>
      <w:r>
        <w:rPr>
          <w:rFonts w:hint="eastAsia" w:ascii="仿宋_GB2312" w:hAnsi="仿宋_GB2312" w:eastAsia="仿宋_GB2312" w:cs="仿宋_GB2312"/>
          <w:sz w:val="32"/>
          <w:szCs w:val="32"/>
          <w:lang w:eastAsia="zh-CN"/>
        </w:rPr>
        <w:t>南莲社区冶建居民区，</w:t>
      </w:r>
      <w:r>
        <w:rPr>
          <w:rFonts w:hint="eastAsia" w:ascii="仿宋_GB2312" w:hAnsi="仿宋_GB2312" w:eastAsia="仿宋_GB2312" w:cs="仿宋_GB2312"/>
          <w:sz w:val="32"/>
          <w:szCs w:val="32"/>
          <w:lang w:val="en-US" w:eastAsia="zh-CN"/>
        </w:rPr>
        <w:t>排水单元编号为</w:t>
      </w:r>
      <w:r>
        <w:rPr>
          <w:rFonts w:hint="eastAsia" w:ascii="仿宋_GB2312" w:hAnsi="仿宋_GB2312" w:eastAsia="仿宋_GB2312" w:cs="仿宋_GB2312"/>
          <w:sz w:val="32"/>
          <w:szCs w:val="32"/>
          <w:lang w:eastAsia="zh-CN"/>
        </w:rPr>
        <w:t>QYPQXHFL-648号。南毗深农于货批发市场，北临恒茂英伦国际，东接朱桥花园二期及测绘院小区、西至治建尚郡，占地面积约12.5ha。共有房屋50栋，其中平房23栋，大部分房屋为50年代末和60年代初建设。</w:t>
      </w:r>
    </w:p>
    <w:p w14:paraId="4A3FA25E">
      <w:pPr>
        <w:bidi w:val="0"/>
        <w:jc w:val="left"/>
        <w:rPr>
          <w:rFonts w:hint="eastAsia" w:ascii="楷体" w:hAnsi="楷体" w:eastAsia="楷体" w:cs="楷体"/>
          <w:b/>
          <w:bCs/>
          <w:sz w:val="32"/>
          <w:szCs w:val="32"/>
        </w:rPr>
      </w:pPr>
      <w:r>
        <w:rPr>
          <w:rFonts w:hint="eastAsia" w:ascii="楷体" w:hAnsi="楷体" w:eastAsia="楷体" w:cs="楷体"/>
          <w:b/>
          <w:bCs/>
          <w:sz w:val="32"/>
          <w:szCs w:val="32"/>
        </w:rPr>
        <w:t>（三）.经费来源和使用情况</w:t>
      </w:r>
    </w:p>
    <w:p w14:paraId="05630D21">
      <w:pPr>
        <w:bidi w:val="0"/>
        <w:jc w:val="left"/>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3</w:t>
      </w:r>
      <w:r>
        <w:rPr>
          <w:rFonts w:hint="eastAsia" w:ascii="仿宋" w:hAnsi="仿宋" w:eastAsia="仿宋" w:cs="仿宋"/>
          <w:sz w:val="32"/>
          <w:szCs w:val="32"/>
        </w:rPr>
        <w:t>年度该项目到位资金总额</w:t>
      </w:r>
      <w:r>
        <w:rPr>
          <w:rFonts w:hint="eastAsia" w:ascii="仿宋" w:hAnsi="仿宋" w:eastAsia="仿宋" w:cs="仿宋"/>
          <w:sz w:val="32"/>
          <w:szCs w:val="32"/>
          <w:lang w:val="en-US" w:eastAsia="zh-CN"/>
        </w:rPr>
        <w:t>15309.80</w:t>
      </w:r>
      <w:r>
        <w:rPr>
          <w:rFonts w:hint="eastAsia" w:ascii="仿宋" w:hAnsi="仿宋" w:eastAsia="仿宋" w:cs="仿宋"/>
          <w:sz w:val="32"/>
          <w:szCs w:val="32"/>
        </w:rPr>
        <w:t>万元，为</w:t>
      </w:r>
      <w:r>
        <w:rPr>
          <w:rFonts w:hint="eastAsia" w:ascii="仿宋" w:hAnsi="仿宋" w:eastAsia="仿宋" w:cs="仿宋"/>
          <w:sz w:val="32"/>
          <w:szCs w:val="32"/>
          <w:lang w:eastAsia="zh-CN"/>
        </w:rPr>
        <w:t>地方政府专项债资金和</w:t>
      </w:r>
      <w:r>
        <w:rPr>
          <w:rFonts w:hint="eastAsia" w:ascii="仿宋" w:hAnsi="仿宋" w:eastAsia="仿宋" w:cs="仿宋"/>
          <w:sz w:val="32"/>
          <w:szCs w:val="32"/>
        </w:rPr>
        <w:t>中央预算拨款，本年度项目计划拨付金额</w:t>
      </w:r>
      <w:r>
        <w:rPr>
          <w:rFonts w:hint="eastAsia" w:ascii="仿宋" w:hAnsi="仿宋" w:eastAsia="仿宋" w:cs="仿宋"/>
          <w:sz w:val="32"/>
          <w:szCs w:val="32"/>
          <w:lang w:val="en-US" w:eastAsia="zh-CN"/>
        </w:rPr>
        <w:t>15309.80</w:t>
      </w:r>
      <w:r>
        <w:rPr>
          <w:rFonts w:hint="eastAsia" w:ascii="仿宋" w:hAnsi="仿宋" w:eastAsia="仿宋" w:cs="仿宋"/>
          <w:sz w:val="32"/>
          <w:szCs w:val="32"/>
        </w:rPr>
        <w:t>万元，</w:t>
      </w:r>
      <w:r>
        <w:rPr>
          <w:rFonts w:hint="eastAsia" w:ascii="仿宋" w:hAnsi="仿宋" w:eastAsia="仿宋" w:cs="仿宋"/>
          <w:sz w:val="32"/>
          <w:szCs w:val="32"/>
          <w:lang w:eastAsia="zh-CN"/>
        </w:rPr>
        <w:t>实际支付</w:t>
      </w:r>
      <w:r>
        <w:rPr>
          <w:rFonts w:hint="eastAsia" w:ascii="仿宋" w:hAnsi="仿宋" w:eastAsia="仿宋" w:cs="仿宋"/>
          <w:sz w:val="32"/>
          <w:szCs w:val="32"/>
          <w:lang w:val="en-US" w:eastAsia="zh-CN"/>
        </w:rPr>
        <w:t>14600万元</w:t>
      </w:r>
      <w:r>
        <w:rPr>
          <w:rFonts w:hint="eastAsia" w:ascii="仿宋" w:hAnsi="仿宋" w:eastAsia="仿宋" w:cs="仿宋"/>
          <w:sz w:val="32"/>
          <w:szCs w:val="32"/>
        </w:rPr>
        <w:t>资金</w:t>
      </w:r>
      <w:r>
        <w:rPr>
          <w:rFonts w:hint="eastAsia" w:ascii="仿宋" w:hAnsi="仿宋" w:eastAsia="仿宋" w:cs="仿宋"/>
          <w:sz w:val="32"/>
          <w:szCs w:val="32"/>
          <w:lang w:eastAsia="zh-CN"/>
        </w:rPr>
        <w:t>使用</w:t>
      </w:r>
      <w:r>
        <w:rPr>
          <w:rFonts w:hint="eastAsia" w:ascii="仿宋" w:hAnsi="仿宋" w:eastAsia="仿宋" w:cs="仿宋"/>
          <w:sz w:val="32"/>
          <w:szCs w:val="32"/>
        </w:rPr>
        <w:t>率</w:t>
      </w:r>
      <w:r>
        <w:rPr>
          <w:rFonts w:hint="eastAsia" w:ascii="仿宋" w:hAnsi="仿宋" w:eastAsia="仿宋" w:cs="仿宋"/>
          <w:sz w:val="32"/>
          <w:szCs w:val="32"/>
          <w:lang w:val="en-US" w:eastAsia="zh-CN"/>
        </w:rPr>
        <w:t>94.86</w:t>
      </w:r>
      <w:r>
        <w:rPr>
          <w:rFonts w:hint="eastAsia" w:ascii="仿宋" w:hAnsi="仿宋" w:eastAsia="仿宋" w:cs="仿宋"/>
          <w:sz w:val="32"/>
          <w:szCs w:val="32"/>
        </w:rPr>
        <w:t>%。</w:t>
      </w:r>
    </w:p>
    <w:p w14:paraId="4E5582E9">
      <w:pPr>
        <w:bidi w:val="0"/>
        <w:jc w:val="left"/>
        <w:rPr>
          <w:rFonts w:hint="eastAsia" w:ascii="仿宋" w:hAnsi="仿宋" w:eastAsia="仿宋" w:cs="仿宋"/>
          <w:b/>
          <w:bCs/>
          <w:sz w:val="32"/>
          <w:szCs w:val="32"/>
        </w:rPr>
      </w:pPr>
      <w:r>
        <w:rPr>
          <w:rFonts w:hint="eastAsia" w:ascii="楷体" w:hAnsi="楷体" w:eastAsia="楷体" w:cs="楷体"/>
          <w:b/>
          <w:bCs/>
          <w:sz w:val="32"/>
          <w:szCs w:val="32"/>
        </w:rPr>
        <w:t>（</w:t>
      </w:r>
      <w:r>
        <w:rPr>
          <w:rFonts w:hint="eastAsia" w:ascii="楷体" w:hAnsi="楷体" w:eastAsia="楷体" w:cs="楷体"/>
          <w:b/>
          <w:bCs/>
          <w:sz w:val="32"/>
          <w:szCs w:val="32"/>
          <w:lang w:eastAsia="zh-CN"/>
        </w:rPr>
        <w:t>四</w:t>
      </w:r>
      <w:r>
        <w:rPr>
          <w:rFonts w:hint="eastAsia" w:ascii="楷体" w:hAnsi="楷体" w:eastAsia="楷体" w:cs="楷体"/>
          <w:b/>
          <w:bCs/>
          <w:sz w:val="32"/>
          <w:szCs w:val="32"/>
        </w:rPr>
        <w:t>）组织管理</w:t>
      </w:r>
    </w:p>
    <w:p w14:paraId="644054E7">
      <w:pPr>
        <w:bidi w:val="0"/>
        <w:jc w:val="left"/>
        <w:rPr>
          <w:rFonts w:hint="eastAsia" w:ascii="仿宋" w:hAnsi="仿宋" w:eastAsia="仿宋" w:cs="仿宋"/>
          <w:sz w:val="32"/>
          <w:szCs w:val="32"/>
        </w:rPr>
      </w:pPr>
      <w:r>
        <w:rPr>
          <w:rFonts w:hint="eastAsia" w:ascii="仿宋" w:hAnsi="仿宋" w:eastAsia="仿宋" w:cs="仿宋"/>
          <w:sz w:val="32"/>
          <w:szCs w:val="32"/>
        </w:rPr>
        <w:t>1.工作组成员</w:t>
      </w:r>
    </w:p>
    <w:p w14:paraId="4ADBD894">
      <w:pPr>
        <w:bidi w:val="0"/>
        <w:jc w:val="left"/>
        <w:rPr>
          <w:rFonts w:hint="eastAsia" w:ascii="仿宋" w:hAnsi="仿宋" w:eastAsia="仿宋" w:cs="仿宋"/>
          <w:sz w:val="32"/>
          <w:szCs w:val="32"/>
        </w:rPr>
      </w:pPr>
      <w:r>
        <w:rPr>
          <w:rFonts w:hint="eastAsia" w:ascii="仿宋" w:hAnsi="仿宋" w:eastAsia="仿宋" w:cs="仿宋"/>
          <w:sz w:val="32"/>
          <w:szCs w:val="32"/>
        </w:rPr>
        <w:t>组  长：刘小毛</w:t>
      </w:r>
    </w:p>
    <w:p w14:paraId="6D717F2C">
      <w:pPr>
        <w:bidi w:val="0"/>
        <w:jc w:val="left"/>
        <w:rPr>
          <w:rFonts w:hint="eastAsia" w:ascii="仿宋" w:hAnsi="仿宋" w:eastAsia="仿宋" w:cs="仿宋"/>
          <w:sz w:val="32"/>
          <w:szCs w:val="32"/>
        </w:rPr>
      </w:pPr>
      <w:r>
        <w:rPr>
          <w:rFonts w:hint="eastAsia" w:ascii="仿宋" w:hAnsi="仿宋" w:eastAsia="仿宋" w:cs="仿宋"/>
          <w:sz w:val="32"/>
          <w:szCs w:val="32"/>
        </w:rPr>
        <w:t>副组长：李国、徐敏、李龙辉</w:t>
      </w:r>
    </w:p>
    <w:p w14:paraId="7FAC930D">
      <w:pPr>
        <w:bidi w:val="0"/>
        <w:jc w:val="left"/>
        <w:rPr>
          <w:rFonts w:hint="eastAsia" w:ascii="仿宋" w:hAnsi="仿宋" w:eastAsia="仿宋" w:cs="仿宋"/>
          <w:sz w:val="32"/>
          <w:szCs w:val="32"/>
        </w:rPr>
      </w:pPr>
      <w:r>
        <w:rPr>
          <w:rFonts w:hint="eastAsia" w:ascii="仿宋" w:hAnsi="仿宋" w:eastAsia="仿宋" w:cs="仿宋"/>
          <w:sz w:val="32"/>
          <w:szCs w:val="32"/>
        </w:rPr>
        <w:t>成  员：罗伟、薛松、鄢惠明、姜伟、</w:t>
      </w:r>
      <w:r>
        <w:rPr>
          <w:rFonts w:hint="eastAsia" w:ascii="仿宋" w:hAnsi="仿宋" w:eastAsia="仿宋" w:cs="仿宋"/>
          <w:sz w:val="32"/>
          <w:szCs w:val="32"/>
          <w:lang w:eastAsia="zh-CN"/>
        </w:rPr>
        <w:t>李亭</w:t>
      </w:r>
      <w:r>
        <w:rPr>
          <w:rFonts w:hint="eastAsia" w:ascii="仿宋" w:hAnsi="仿宋" w:eastAsia="仿宋" w:cs="仿宋"/>
          <w:sz w:val="32"/>
          <w:szCs w:val="32"/>
        </w:rPr>
        <w:t>、季一飞、刘凡、黄磊</w:t>
      </w:r>
    </w:p>
    <w:p w14:paraId="31AD675E">
      <w:pPr>
        <w:bidi w:val="0"/>
        <w:jc w:val="left"/>
        <w:rPr>
          <w:rFonts w:hint="eastAsia" w:ascii="仿宋" w:hAnsi="仿宋" w:eastAsia="仿宋" w:cs="仿宋"/>
          <w:sz w:val="32"/>
          <w:szCs w:val="32"/>
        </w:rPr>
      </w:pPr>
      <w:r>
        <w:rPr>
          <w:rFonts w:hint="eastAsia" w:ascii="仿宋" w:hAnsi="仿宋" w:eastAsia="仿宋" w:cs="仿宋"/>
          <w:sz w:val="32"/>
          <w:szCs w:val="32"/>
        </w:rPr>
        <w:t>办公室设在</w:t>
      </w:r>
      <w:r>
        <w:rPr>
          <w:rFonts w:hint="eastAsia" w:ascii="仿宋" w:hAnsi="仿宋" w:eastAsia="仿宋" w:cs="仿宋"/>
          <w:sz w:val="32"/>
          <w:szCs w:val="32"/>
          <w:lang w:eastAsia="zh-CN"/>
        </w:rPr>
        <w:t>城建</w:t>
      </w:r>
      <w:r>
        <w:rPr>
          <w:rFonts w:hint="eastAsia" w:ascii="仿宋" w:hAnsi="仿宋" w:eastAsia="仿宋" w:cs="仿宋"/>
          <w:sz w:val="32"/>
          <w:szCs w:val="32"/>
        </w:rPr>
        <w:t>科</w:t>
      </w:r>
    </w:p>
    <w:p w14:paraId="536B31F0">
      <w:pPr>
        <w:bidi w:val="0"/>
        <w:jc w:val="left"/>
        <w:rPr>
          <w:rFonts w:hint="eastAsia" w:ascii="仿宋" w:hAnsi="仿宋" w:eastAsia="仿宋" w:cs="仿宋"/>
          <w:sz w:val="32"/>
          <w:szCs w:val="32"/>
        </w:rPr>
      </w:pPr>
      <w:r>
        <w:rPr>
          <w:rFonts w:hint="eastAsia" w:ascii="仿宋" w:hAnsi="仿宋" w:eastAsia="仿宋" w:cs="仿宋"/>
          <w:sz w:val="32"/>
          <w:szCs w:val="32"/>
        </w:rPr>
        <w:t>工作职责</w:t>
      </w:r>
    </w:p>
    <w:p w14:paraId="5574B1D4">
      <w:pPr>
        <w:bidi w:val="0"/>
        <w:jc w:val="left"/>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3</w:t>
      </w:r>
      <w:r>
        <w:rPr>
          <w:rFonts w:hint="eastAsia" w:ascii="仿宋" w:hAnsi="仿宋" w:eastAsia="仿宋" w:cs="仿宋"/>
          <w:sz w:val="32"/>
          <w:szCs w:val="32"/>
        </w:rPr>
        <w:t>年1月18日，成立项目绩效评价工作组，负责绩效自评工作，工作组的主要成员及职责如下：</w:t>
      </w:r>
    </w:p>
    <w:p w14:paraId="469B4B4C">
      <w:pPr>
        <w:bidi w:val="0"/>
        <w:jc w:val="left"/>
        <w:rPr>
          <w:rFonts w:hint="eastAsia" w:ascii="仿宋" w:hAnsi="仿宋" w:eastAsia="仿宋" w:cs="仿宋"/>
          <w:sz w:val="32"/>
          <w:szCs w:val="32"/>
        </w:rPr>
      </w:pPr>
      <w:r>
        <w:rPr>
          <w:rFonts w:hint="eastAsia" w:ascii="仿宋" w:hAnsi="仿宋" w:eastAsia="仿宋" w:cs="仿宋"/>
          <w:sz w:val="32"/>
          <w:szCs w:val="32"/>
        </w:rPr>
        <w:t>（1）组长职责：审批绩效自评方案，监督、检查、核实绩效自评结果；</w:t>
      </w:r>
    </w:p>
    <w:p w14:paraId="71EA78B6">
      <w:pPr>
        <w:bidi w:val="0"/>
        <w:jc w:val="left"/>
        <w:rPr>
          <w:rFonts w:hint="eastAsia" w:ascii="仿宋" w:hAnsi="仿宋" w:eastAsia="仿宋" w:cs="仿宋"/>
          <w:sz w:val="32"/>
          <w:szCs w:val="32"/>
        </w:rPr>
      </w:pPr>
      <w:r>
        <w:rPr>
          <w:rFonts w:hint="eastAsia" w:ascii="仿宋" w:hAnsi="仿宋" w:eastAsia="仿宋" w:cs="仿宋"/>
          <w:sz w:val="32"/>
          <w:szCs w:val="32"/>
        </w:rPr>
        <w:t>（2）副组长职责：审核修改拟定的绩效自评方案，并提交考评工作组会议讨论通过；监督、部署、确认绩效自评过程及反馈意见的处理。</w:t>
      </w:r>
    </w:p>
    <w:p w14:paraId="7BF09745">
      <w:pPr>
        <w:bidi w:val="0"/>
        <w:jc w:val="left"/>
        <w:rPr>
          <w:rFonts w:hint="eastAsia" w:ascii="仿宋" w:hAnsi="仿宋" w:eastAsia="仿宋" w:cs="仿宋"/>
          <w:sz w:val="32"/>
          <w:szCs w:val="32"/>
        </w:rPr>
      </w:pPr>
      <w:r>
        <w:rPr>
          <w:rFonts w:hint="eastAsia" w:ascii="仿宋" w:hAnsi="仿宋" w:eastAsia="仿宋" w:cs="仿宋"/>
          <w:sz w:val="32"/>
          <w:szCs w:val="32"/>
        </w:rPr>
        <w:t>（3）小组成员职责：起草和修改绩效考评方案报自评领导工作组会议讨论通过，实施执行绩效自评方案；牵头组织并实施年度绩效自评，根据组长、副组长指示，对考评结果进行复核，完成绩效自核工作组安排的其他工作。</w:t>
      </w:r>
    </w:p>
    <w:p w14:paraId="0B7169B2">
      <w:pPr>
        <w:pStyle w:val="31"/>
        <w:rPr>
          <w:rFonts w:hint="eastAsia" w:ascii="楷体" w:hAnsi="楷体" w:eastAsia="楷体" w:cs="楷体"/>
          <w:b/>
          <w:bCs/>
          <w:sz w:val="32"/>
          <w:szCs w:val="32"/>
        </w:rPr>
      </w:pPr>
      <w:r>
        <w:rPr>
          <w:rFonts w:hint="eastAsia" w:ascii="楷体" w:hAnsi="楷体" w:eastAsia="楷体" w:cs="楷体"/>
          <w:b/>
          <w:bCs/>
          <w:sz w:val="32"/>
          <w:szCs w:val="32"/>
        </w:rPr>
        <w:t>（</w:t>
      </w:r>
      <w:r>
        <w:rPr>
          <w:rFonts w:hint="eastAsia" w:ascii="楷体" w:hAnsi="楷体" w:eastAsia="楷体" w:cs="楷体"/>
          <w:b/>
          <w:bCs/>
          <w:sz w:val="32"/>
          <w:szCs w:val="32"/>
          <w:lang w:eastAsia="zh-CN"/>
        </w:rPr>
        <w:t>五</w:t>
      </w:r>
      <w:r>
        <w:rPr>
          <w:rFonts w:hint="eastAsia" w:ascii="楷体" w:hAnsi="楷体" w:eastAsia="楷体" w:cs="楷体"/>
          <w:b/>
          <w:bCs/>
          <w:sz w:val="32"/>
          <w:szCs w:val="32"/>
        </w:rPr>
        <w:t>）项目绩效目标</w:t>
      </w:r>
      <w:r>
        <w:rPr>
          <w:rFonts w:hint="eastAsia" w:ascii="楷体" w:hAnsi="楷体" w:eastAsia="楷体" w:cs="楷体"/>
          <w:highlight w:val="none"/>
        </w:rPr>
        <w:t>绩效评价原则、评价指标体系、评价方法、评价标准</w:t>
      </w:r>
      <w:r>
        <w:rPr>
          <w:rFonts w:hint="eastAsia" w:ascii="楷体" w:hAnsi="楷体" w:eastAsia="楷体" w:cs="楷体"/>
          <w:b/>
          <w:bCs/>
          <w:sz w:val="32"/>
          <w:szCs w:val="32"/>
        </w:rPr>
        <w:t>。</w:t>
      </w:r>
    </w:p>
    <w:p w14:paraId="585B9EAA">
      <w:pPr>
        <w:pStyle w:val="2"/>
        <w:rPr>
          <w:rFonts w:hint="eastAsia" w:eastAsia="仿宋"/>
          <w:b w:val="0"/>
          <w:bCs w:val="0"/>
          <w:lang w:eastAsia="zh-CN"/>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lang w:eastAsia="zh-CN"/>
        </w:rPr>
        <w:t>绩效目标</w:t>
      </w:r>
    </w:p>
    <w:p w14:paraId="33D1653C">
      <w:pPr>
        <w:bidi w:val="0"/>
        <w:jc w:val="left"/>
        <w:rPr>
          <w:rFonts w:hint="eastAsia" w:ascii="仿宋" w:hAnsi="仿宋" w:eastAsia="仿宋" w:cs="仿宋"/>
          <w:sz w:val="32"/>
          <w:szCs w:val="32"/>
        </w:rPr>
      </w:pPr>
      <w:r>
        <w:rPr>
          <w:rFonts w:hint="eastAsia" w:ascii="仿宋" w:hAnsi="仿宋" w:eastAsia="仿宋" w:cs="仿宋"/>
          <w:sz w:val="32"/>
          <w:szCs w:val="32"/>
        </w:rPr>
        <w:t>绩效目标1：完善城市功能，改善居民生活环境，提高人民群众生活质量，为群众生活场所和休闲娱乐提供了一个重要的保障，是改善人居环境的德政工程。</w:t>
      </w:r>
    </w:p>
    <w:p w14:paraId="29D9AC4E">
      <w:pPr>
        <w:bidi w:val="0"/>
        <w:jc w:val="left"/>
        <w:rPr>
          <w:rFonts w:hint="eastAsia" w:ascii="仿宋" w:hAnsi="仿宋" w:eastAsia="仿宋" w:cs="仿宋"/>
          <w:sz w:val="32"/>
          <w:szCs w:val="32"/>
          <w:lang w:val="en-US" w:eastAsia="zh-CN"/>
        </w:rPr>
      </w:pPr>
      <w:r>
        <w:rPr>
          <w:rFonts w:hint="eastAsia" w:ascii="仿宋" w:hAnsi="仿宋" w:eastAsia="仿宋" w:cs="仿宋"/>
          <w:sz w:val="32"/>
          <w:szCs w:val="32"/>
        </w:rPr>
        <w:t>绩效目标2：完成</w:t>
      </w:r>
      <w:r>
        <w:rPr>
          <w:rFonts w:hint="eastAsia" w:ascii="仿宋" w:hAnsi="仿宋" w:eastAsia="仿宋" w:cs="仿宋"/>
          <w:sz w:val="32"/>
          <w:szCs w:val="32"/>
          <w:lang w:val="en-US" w:eastAsia="zh-CN"/>
        </w:rPr>
        <w:t>9.8平方公里，161个排水单元改造。</w:t>
      </w:r>
    </w:p>
    <w:p w14:paraId="39DE3E9B">
      <w:pPr>
        <w:pStyle w:val="32"/>
        <w:pageBreakBefore w:val="0"/>
        <w:widowControl/>
        <w:kinsoku/>
        <w:wordWrap/>
        <w:overflowPunct/>
        <w:topLinePunct w:val="0"/>
        <w:autoSpaceDE/>
        <w:autoSpaceDN/>
        <w:bidi w:val="0"/>
        <w:spacing w:line="400" w:lineRule="exact"/>
        <w:ind w:left="0" w:leftChars="0" w:firstLine="0" w:firstLineChars="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2、评价原则</w:t>
      </w:r>
    </w:p>
    <w:p w14:paraId="2AFD2DED">
      <w:pPr>
        <w:pStyle w:val="32"/>
        <w:pageBreakBefore w:val="0"/>
        <w:widowControl/>
        <w:kinsoku/>
        <w:wordWrap/>
        <w:overflowPunct/>
        <w:topLinePunct w:val="0"/>
        <w:autoSpaceDE/>
        <w:autoSpaceDN/>
        <w:bidi w:val="0"/>
        <w:spacing w:line="400" w:lineRule="exact"/>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根据财政部财预十号文中《预算绩效评价共性指标体系框架》等文件精神，确定本次绩效评价指标的整体框架。针对项目构建一套指标体系，项目指标包括项目决策（项目立项、绩效目标、资金投入），项目过程（资金管理、组织实施），项目产出（产出数量、产出质量、产出时效、产出成本），项目效益（社会效益、可持续影响、服务对象满意度）。结合项目实施方案、可行性研究报告等内容，确定本次绩效评价指标体系的个性指标，设置项目绩效评分指标表，涵盖三级指标23个。指标数据来源于相关法规、政府文件、基础数据采集、问卷调查和访谈等。具体详见如表1所示。</w:t>
      </w:r>
    </w:p>
    <w:p w14:paraId="507417E3">
      <w:pPr>
        <w:pStyle w:val="32"/>
        <w:pageBreakBefore w:val="0"/>
        <w:widowControl/>
        <w:kinsoku/>
        <w:wordWrap/>
        <w:overflowPunct/>
        <w:topLinePunct w:val="0"/>
        <w:autoSpaceDE/>
        <w:autoSpaceDN/>
        <w:bidi w:val="0"/>
        <w:spacing w:line="400" w:lineRule="exact"/>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（1）项目决策：占权重20分，用于考核项目立项依据规范性、绩效目标编制合理性、预算资金编制分配合理性等情况。</w:t>
      </w:r>
    </w:p>
    <w:p w14:paraId="44311B26">
      <w:pPr>
        <w:pStyle w:val="32"/>
        <w:pageBreakBefore w:val="0"/>
        <w:widowControl/>
        <w:kinsoku/>
        <w:wordWrap/>
        <w:overflowPunct/>
        <w:topLinePunct w:val="0"/>
        <w:autoSpaceDE/>
        <w:autoSpaceDN/>
        <w:bidi w:val="0"/>
        <w:spacing w:line="400" w:lineRule="exact"/>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（2）项目过程：占权重20分，用于考核预算资金到位及执行使用的合规性、项目管理制度健全及有效性等情况。</w:t>
      </w:r>
    </w:p>
    <w:p w14:paraId="1219557D">
      <w:pPr>
        <w:pStyle w:val="32"/>
        <w:pageBreakBefore w:val="0"/>
        <w:widowControl/>
        <w:kinsoku/>
        <w:wordWrap/>
        <w:overflowPunct/>
        <w:topLinePunct w:val="0"/>
        <w:autoSpaceDE/>
        <w:autoSpaceDN/>
        <w:bidi w:val="0"/>
        <w:spacing w:line="400" w:lineRule="exact"/>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（3）项目产出：占权重30分，分为产出数量、产出质量、产出时效、产出成本四个方面，用于衡量实际工作成果。</w:t>
      </w:r>
    </w:p>
    <w:p w14:paraId="0CB4ECA0">
      <w:pPr>
        <w:pStyle w:val="32"/>
        <w:pageBreakBefore w:val="0"/>
        <w:widowControl/>
        <w:kinsoku/>
        <w:wordWrap/>
        <w:overflowPunct/>
        <w:topLinePunct w:val="0"/>
        <w:autoSpaceDE/>
        <w:autoSpaceDN/>
        <w:bidi w:val="0"/>
        <w:spacing w:line="400" w:lineRule="exact"/>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（4）项目效益：占权重30分，分为经济效益、社会效益、生态效益、满意度等方面，用于展现项目实施效果及群众对项目实施后的满意度情况。</w:t>
      </w:r>
      <w:bookmarkStart w:id="0" w:name="_Toc16570"/>
    </w:p>
    <w:p w14:paraId="40E2CFDA">
      <w:pPr>
        <w:pStyle w:val="2"/>
        <w:rPr>
          <w:rFonts w:hint="default"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3、</w:t>
      </w:r>
      <w:r>
        <w:rPr>
          <w:rFonts w:hint="eastAsia" w:ascii="仿宋_GB2312" w:hAnsi="仿宋_GB2312" w:eastAsia="仿宋_GB2312" w:cs="仿宋_GB2312"/>
          <w:sz w:val="32"/>
          <w:szCs w:val="32"/>
          <w:highlight w:val="none"/>
        </w:rPr>
        <w:t>评价指标体系</w:t>
      </w:r>
    </w:p>
    <w:p w14:paraId="28963B23">
      <w:pPr>
        <w:pStyle w:val="33"/>
        <w:bidi w:val="0"/>
        <w:spacing w:before="0" w:after="0" w:line="240" w:lineRule="auto"/>
        <w:ind w:firstLine="0" w:firstLineChars="0"/>
        <w:jc w:val="both"/>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表1  绩效评价指标体系</w:t>
      </w:r>
      <w:bookmarkEnd w:id="0"/>
    </w:p>
    <w:tbl>
      <w:tblPr>
        <w:tblStyle w:val="12"/>
        <w:tblW w:w="831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88"/>
        <w:gridCol w:w="1260"/>
        <w:gridCol w:w="1619"/>
        <w:gridCol w:w="4150"/>
      </w:tblGrid>
      <w:tr w14:paraId="3729D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288"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05C5C557">
            <w:pPr>
              <w:pStyle w:val="34"/>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一级指标</w:t>
            </w:r>
          </w:p>
        </w:tc>
        <w:tc>
          <w:tcPr>
            <w:tcW w:w="1260"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2DC3C45E">
            <w:pPr>
              <w:pStyle w:val="34"/>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二级指标</w:t>
            </w:r>
          </w:p>
        </w:tc>
        <w:tc>
          <w:tcPr>
            <w:tcW w:w="1619"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63690093">
            <w:pPr>
              <w:pStyle w:val="34"/>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三级指标</w:t>
            </w:r>
          </w:p>
        </w:tc>
        <w:tc>
          <w:tcPr>
            <w:tcW w:w="4150"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69F014E9">
            <w:pPr>
              <w:pStyle w:val="34"/>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评分标准</w:t>
            </w:r>
          </w:p>
        </w:tc>
      </w:tr>
      <w:tr w14:paraId="792C9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7" w:hRule="atLeast"/>
        </w:trPr>
        <w:tc>
          <w:tcPr>
            <w:tcW w:w="1288" w:type="dxa"/>
            <w:vMerge w:val="restart"/>
            <w:tcBorders>
              <w:top w:val="single" w:color="000000" w:sz="4" w:space="0"/>
              <w:left w:val="single" w:color="000000" w:sz="4" w:space="0"/>
              <w:bottom w:val="single" w:color="000000" w:sz="4" w:space="0"/>
              <w:right w:val="single" w:color="000000" w:sz="4" w:space="0"/>
            </w:tcBorders>
            <w:noWrap w:val="0"/>
            <w:vAlign w:val="center"/>
          </w:tcPr>
          <w:p w14:paraId="67ACD48D">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决策指标（20分）</w:t>
            </w:r>
          </w:p>
        </w:tc>
        <w:tc>
          <w:tcPr>
            <w:tcW w:w="1260" w:type="dxa"/>
            <w:vMerge w:val="restart"/>
            <w:tcBorders>
              <w:top w:val="single" w:color="000000" w:sz="4" w:space="0"/>
              <w:left w:val="single" w:color="000000" w:sz="4" w:space="0"/>
              <w:bottom w:val="single" w:color="000000" w:sz="4" w:space="0"/>
              <w:right w:val="single" w:color="000000" w:sz="4" w:space="0"/>
            </w:tcBorders>
            <w:noWrap w:val="0"/>
            <w:vAlign w:val="center"/>
          </w:tcPr>
          <w:p w14:paraId="48837DF1">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项目立项（6分）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143E92FC">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立项依据充分性（3分）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6CBBFAF9">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项目立项符合国家法律法规、国民经济和社会发展规划和相关政策；②符合行业发展规划和政策要求；③项目立项与部门职责相符，属于部门履职所需；④项目未与相关部门同类项目或相关部门项目重复。以上均符合得100%权重分，否则 每一项不符合扣除25%权重分，扣完为止。</w:t>
            </w:r>
          </w:p>
        </w:tc>
      </w:tr>
      <w:tr w14:paraId="24F56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2"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8167BA">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D99027">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6A7F6EF0">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立项程序规范性（3分）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5F28AC82">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项目按规定的程序申请设立；②审批文件、材料符合相关要求；③事前经过必要的可行性研究、专家论证、风险评估、绩效评估、集体决策。以上均符合得100%权重分，否则每一项不符合扣除100%权重分，扣完为止。</w:t>
            </w:r>
          </w:p>
        </w:tc>
      </w:tr>
      <w:tr w14:paraId="13C80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0"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B2ADBC">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restart"/>
            <w:tcBorders>
              <w:top w:val="single" w:color="000000" w:sz="4" w:space="0"/>
              <w:left w:val="single" w:color="000000" w:sz="4" w:space="0"/>
              <w:bottom w:val="single" w:color="000000" w:sz="4" w:space="0"/>
              <w:right w:val="single" w:color="000000" w:sz="4" w:space="0"/>
            </w:tcBorders>
            <w:noWrap w:val="0"/>
            <w:vAlign w:val="center"/>
          </w:tcPr>
          <w:p w14:paraId="0DBF29D1">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绩效目标（8分）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45D641BC">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绩效目标合理性（4分）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394E68E0">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项目设定有绩效目标；②项目绩效目标与实际工作内容具有相关性；③项目预期产出效益和效果符合正常的业绩水平；④项目绩效目标与预算确定的投资项目额或资金量相匹配。每项占20%、20%、20%、40%权重分；以上均符合得100%权重分，否则扣除相应权重分。</w:t>
            </w:r>
          </w:p>
        </w:tc>
      </w:tr>
      <w:tr w14:paraId="32EAC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19"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F0C304">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277366">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71DFCB8B">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绩效指标明确性（4分）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6D8546DA">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将项目绩效目标细化分解为具体的绩效指标；②绩效指标通过清晰可衡量的指标予以体现；③绩效指标与项目目标任务数或计划数相对应。每项占30%、30%、40%权重分，以上均符合得100%权重分，否则扣除相应权重分。</w:t>
            </w:r>
          </w:p>
        </w:tc>
      </w:tr>
      <w:tr w14:paraId="56577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2"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FD2CD5">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restart"/>
            <w:tcBorders>
              <w:top w:val="single" w:color="000000" w:sz="4" w:space="0"/>
              <w:left w:val="single" w:color="000000" w:sz="4" w:space="0"/>
              <w:bottom w:val="single" w:color="000000" w:sz="4" w:space="0"/>
              <w:right w:val="single" w:color="000000" w:sz="4" w:space="0"/>
            </w:tcBorders>
            <w:noWrap w:val="0"/>
            <w:vAlign w:val="center"/>
          </w:tcPr>
          <w:p w14:paraId="5E563339">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资金投入（10分）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34F724FC">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预算编制科学性（4分）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38B06D6C">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项目预算编制经过科学论证；②预算内容与项目内容匹配；③预算额度测算依据充分，按照标准编制；④预算确定的投资项目额或资金量与工作任务相匹配。每项占30%、30%、20%、20%权重分，以上均符合得100%权重分，否则扣除相应权重分。</w:t>
            </w:r>
          </w:p>
        </w:tc>
      </w:tr>
      <w:tr w14:paraId="1E77D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2"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D9893C">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EE927B">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66DC66B7">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资金分配合理性（2分）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11689DEE">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①项目资金分配依据充分；②资金分配额度合理，与项目实际相适应。以上均符合得100%权重分，否则扣除50%权重分，扣完为止。</w:t>
            </w:r>
          </w:p>
        </w:tc>
      </w:tr>
      <w:tr w14:paraId="1FB1C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4" w:hRule="atLeast"/>
        </w:trPr>
        <w:tc>
          <w:tcPr>
            <w:tcW w:w="1288" w:type="dxa"/>
            <w:vMerge w:val="restart"/>
            <w:tcBorders>
              <w:top w:val="single" w:color="000000" w:sz="4" w:space="0"/>
              <w:left w:val="single" w:color="000000" w:sz="4" w:space="0"/>
              <w:bottom w:val="single" w:color="000000" w:sz="4" w:space="0"/>
              <w:right w:val="single" w:color="000000" w:sz="4" w:space="0"/>
            </w:tcBorders>
            <w:noWrap w:val="0"/>
            <w:vAlign w:val="center"/>
          </w:tcPr>
          <w:p w14:paraId="2E8FBAF6">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过程指标（20分）</w:t>
            </w:r>
          </w:p>
        </w:tc>
        <w:tc>
          <w:tcPr>
            <w:tcW w:w="1260" w:type="dxa"/>
            <w:vMerge w:val="restart"/>
            <w:tcBorders>
              <w:top w:val="single" w:color="000000" w:sz="4" w:space="0"/>
              <w:left w:val="single" w:color="000000" w:sz="4" w:space="0"/>
              <w:bottom w:val="single" w:color="000000" w:sz="4" w:space="0"/>
              <w:right w:val="single" w:color="000000" w:sz="4" w:space="0"/>
            </w:tcBorders>
            <w:noWrap w:val="0"/>
            <w:vAlign w:val="center"/>
          </w:tcPr>
          <w:p w14:paraId="6F8D16F2">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资金管理（10分）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76AC1EA7">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资金到位率（2分）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2BC7A4E9">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①资金到位率=（实际到位资金/预算资金）*100%，资金到位率达100%，得2分，否则按实际资金到位率*指标权重得分。</w:t>
            </w:r>
          </w:p>
        </w:tc>
      </w:tr>
      <w:tr w14:paraId="22A65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2"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776BC3">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85D789">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767A8EA6">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预算执行率（3分）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624C107C">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①预算执行率＝（实际支出资金/实际到位资金）*100%，预算执行率≥95%，得2分，否则按实际预算执行率/95%*指标权重得分。</w:t>
            </w:r>
          </w:p>
        </w:tc>
      </w:tr>
      <w:tr w14:paraId="21B20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861C1E">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7D568D">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2FA11084">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资金使用合规性（5分）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37BCFB49">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资金使用符合国家财经法规和财务管理制度以及有关专项资金管理办法的规定；②资金拨付有完整的审批程序和手续；③资金使用符合项目预算批复或合同规定的用途；④不存在截留、挤占、挪用、虚列支出等情况。以上均符合得100%权重分，否则每发现1处不符合扣40%权重分，扣完为止。</w:t>
            </w:r>
          </w:p>
        </w:tc>
      </w:tr>
      <w:tr w14:paraId="68858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03AC3C">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restart"/>
            <w:tcBorders>
              <w:top w:val="single" w:color="000000" w:sz="4" w:space="0"/>
              <w:left w:val="single" w:color="000000" w:sz="4" w:space="0"/>
              <w:bottom w:val="single" w:color="000000" w:sz="4" w:space="0"/>
              <w:right w:val="single" w:color="000000" w:sz="4" w:space="0"/>
            </w:tcBorders>
            <w:noWrap w:val="0"/>
            <w:vAlign w:val="center"/>
          </w:tcPr>
          <w:p w14:paraId="6CA8A39D">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组织实施（10分）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579FB5ED">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管理制度健全性（4分）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4DC38469">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①制定或具有相应的财务管理制度；②制定或具有相应的业务管理制度；②财务和业务管理制度合法、合规、完整。每项分别占30%、30%、40%权重分，以上均符合得100%权重分，否则扣除相应权重分。</w:t>
            </w:r>
          </w:p>
        </w:tc>
      </w:tr>
      <w:tr w14:paraId="04A59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5"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491A53">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610C9C">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46A5F800">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制度执行有效性（6分）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623536B6">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遵守相关法律法规和相关管理规定；②项目调整及支出调整手续完备；③项目合同书、验收报告、技术鉴定等资料齐全并及时归档；④项目实施的人员条件、场地设备、信息支撑等落实到位。以上均符合得100%权重分，否则每发现1处不符合扣25%权重分，扣完为止。</w:t>
            </w:r>
          </w:p>
        </w:tc>
      </w:tr>
      <w:tr w14:paraId="0247A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9" w:hRule="atLeast"/>
        </w:trPr>
        <w:tc>
          <w:tcPr>
            <w:tcW w:w="1288" w:type="dxa"/>
            <w:vMerge w:val="restart"/>
            <w:tcBorders>
              <w:top w:val="single" w:color="000000" w:sz="4" w:space="0"/>
              <w:left w:val="single" w:color="000000" w:sz="4" w:space="0"/>
              <w:bottom w:val="single" w:color="000000" w:sz="4" w:space="0"/>
              <w:right w:val="single" w:color="000000" w:sz="4" w:space="0"/>
            </w:tcBorders>
            <w:noWrap w:val="0"/>
            <w:vAlign w:val="center"/>
          </w:tcPr>
          <w:p w14:paraId="688742AB">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产出指标（30分）</w:t>
            </w:r>
          </w:p>
        </w:tc>
        <w:tc>
          <w:tcPr>
            <w:tcW w:w="1260" w:type="dxa"/>
            <w:vMerge w:val="restart"/>
            <w:tcBorders>
              <w:top w:val="single" w:color="000000" w:sz="4" w:space="0"/>
              <w:left w:val="single" w:color="000000" w:sz="4" w:space="0"/>
              <w:bottom w:val="single" w:color="000000" w:sz="4" w:space="0"/>
              <w:right w:val="single" w:color="000000" w:sz="4" w:space="0"/>
            </w:tcBorders>
            <w:noWrap w:val="0"/>
            <w:vAlign w:val="center"/>
          </w:tcPr>
          <w:p w14:paraId="10DE1D10">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产出数量（12分）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1EC9D11C">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水环境治理项目3分）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12212501">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①依据《青云谱区水环境治理工程项目初步设计的复函》明确，水环境治理工程面积约9.8平方千米，服务面积达到相关要求得3分，否则不得分。</w:t>
            </w:r>
          </w:p>
        </w:tc>
      </w:tr>
      <w:tr w14:paraId="258AF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E85687">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9CA726">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11172419">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建设顶管井数量（3分）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1933AD6D">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①依据项目组织设计，项目需建设5座顶管井，其中顶管始发井3座，顶管接收井2座，建设顶管井达5座得3分，则不得分。</w:t>
            </w:r>
          </w:p>
        </w:tc>
      </w:tr>
      <w:tr w14:paraId="3F328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0"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43ED7F">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5D82C7">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0015FE12">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清理泥沙土方数量（3分）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7E8F7A6E">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①依据建设实际情况，清理建设区泥沙土方，清理完成得3分，发现有堆砌未清理不得分。</w:t>
            </w:r>
          </w:p>
        </w:tc>
      </w:tr>
      <w:tr w14:paraId="1D14E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9"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1A38A5">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C97CB0">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7372C963">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高压开关柜安装数量（3分）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4E9D4233">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①依据项目组织设计，项目需安装高压开关柜5台，均已安装完成得3分，否则按实际安装占比率×指标权重得分。</w:t>
            </w:r>
          </w:p>
        </w:tc>
      </w:tr>
      <w:tr w14:paraId="1DB47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5"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D27CFE">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restart"/>
            <w:tcBorders>
              <w:top w:val="single" w:color="000000" w:sz="4" w:space="0"/>
              <w:left w:val="single" w:color="000000" w:sz="4" w:space="0"/>
              <w:bottom w:val="single" w:color="000000" w:sz="4" w:space="0"/>
              <w:right w:val="single" w:color="000000" w:sz="4" w:space="0"/>
            </w:tcBorders>
            <w:noWrap w:val="0"/>
            <w:vAlign w:val="center"/>
          </w:tcPr>
          <w:p w14:paraId="42781E14">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产出质量（8分）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44D55798">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污水处理覆盖率（4分）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255C7C79">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①依据组织设计图，污水处理服务面积2.3平方千米覆盖率100%得满分，否则不得分。</w:t>
            </w:r>
          </w:p>
        </w:tc>
      </w:tr>
      <w:tr w14:paraId="16D37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2"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055862">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09E3A4">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37628794">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项目建设达标率（4分）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08F767F6">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①顶管井建设达相关标准100%得分，否则不得分；②高压开关柜符合相关规格100%得2分，否则不得分。</w:t>
            </w:r>
          </w:p>
        </w:tc>
      </w:tr>
      <w:tr w14:paraId="40E8D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0"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DA335F">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C7327F6">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产出时效（5分）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4614F53E">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项目建设开工及时率（5分）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660453B1">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①依据项目《合同协议书》，项目于2022年内开工建设得满分，未及时开工则不得分。</w:t>
            </w:r>
          </w:p>
        </w:tc>
      </w:tr>
      <w:tr w14:paraId="2EBEE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4"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84DA5C">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EB908E6">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产出成本（5分）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66E879CD">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项目成本控制率（5分）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6E78E358">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项目当年度预算，实际支出控制在预算范围内得满分，否则不得分。</w:t>
            </w:r>
          </w:p>
        </w:tc>
      </w:tr>
      <w:tr w14:paraId="31882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8" w:hRule="atLeast"/>
        </w:trPr>
        <w:tc>
          <w:tcPr>
            <w:tcW w:w="1288" w:type="dxa"/>
            <w:vMerge w:val="restart"/>
            <w:tcBorders>
              <w:top w:val="single" w:color="000000" w:sz="4" w:space="0"/>
              <w:left w:val="single" w:color="000000" w:sz="4" w:space="0"/>
              <w:bottom w:val="single" w:color="000000" w:sz="4" w:space="0"/>
              <w:right w:val="single" w:color="000000" w:sz="4" w:space="0"/>
            </w:tcBorders>
            <w:noWrap w:val="0"/>
            <w:vAlign w:val="center"/>
          </w:tcPr>
          <w:p w14:paraId="1904937E">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效益指标（30分）</w:t>
            </w:r>
          </w:p>
        </w:tc>
        <w:tc>
          <w:tcPr>
            <w:tcW w:w="1260" w:type="dxa"/>
            <w:vMerge w:val="restart"/>
            <w:tcBorders>
              <w:top w:val="single" w:color="000000" w:sz="4" w:space="0"/>
              <w:left w:val="single" w:color="000000" w:sz="4" w:space="0"/>
              <w:bottom w:val="single" w:color="000000" w:sz="4" w:space="0"/>
              <w:right w:val="single" w:color="000000" w:sz="4" w:space="0"/>
            </w:tcBorders>
            <w:noWrap w:val="0"/>
            <w:vAlign w:val="center"/>
          </w:tcPr>
          <w:p w14:paraId="5C6E566F">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社会效益（15分）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78420322">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提高群众生活质量（7分）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4E7CF9BD">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通过水环境治理项目改造，改善区域水环境，提高群众生活质量，增强人民群众幸福感得满分，否则酌情扣分。</w:t>
            </w:r>
          </w:p>
        </w:tc>
      </w:tr>
      <w:tr w14:paraId="7B461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4"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ECD227">
            <w:pPr>
              <w:pStyle w:val="34"/>
              <w:bidi w:val="0"/>
              <w:rPr>
                <w:rFonts w:hint="eastAsia" w:ascii="仿宋" w:hAnsi="仿宋" w:eastAsia="仿宋" w:cs="仿宋"/>
                <w:kern w:val="0"/>
                <w:sz w:val="28"/>
                <w:szCs w:val="2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A67720">
            <w:pPr>
              <w:pStyle w:val="34"/>
              <w:bidi w:val="0"/>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09B917E9">
            <w:pPr>
              <w:pStyle w:val="34"/>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改善区内污水处理现状（8分）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17EBAD65">
            <w:pPr>
              <w:pStyle w:val="34"/>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通过水环境治理项目改造，实现区域内下水管网雨污分流处理，有效改善辖区内污水情况得满分，否则酌情扣分。</w:t>
            </w:r>
          </w:p>
        </w:tc>
      </w:tr>
      <w:tr w14:paraId="2980C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5"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F3673F">
            <w:pPr>
              <w:pStyle w:val="34"/>
              <w:bidi w:val="0"/>
              <w:rPr>
                <w:rFonts w:hint="eastAsia" w:ascii="仿宋" w:hAnsi="仿宋" w:eastAsia="仿宋" w:cs="仿宋"/>
                <w:kern w:val="0"/>
                <w:sz w:val="28"/>
                <w:szCs w:val="28"/>
                <w:lang w:val="en-US" w:eastAsia="zh-CN" w:bidi="ar-SA"/>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01F372D">
            <w:pPr>
              <w:pStyle w:val="34"/>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生态效益（5分）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03C856F1">
            <w:pPr>
              <w:pStyle w:val="34"/>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降低水污染程度（5分）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7C2BA742">
            <w:pPr>
              <w:pStyle w:val="34"/>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通过实施污水处理，实现水资源重复利用，排放水域环境良好得满分，否则酌情扣分。</w:t>
            </w:r>
          </w:p>
        </w:tc>
      </w:tr>
      <w:tr w14:paraId="1EAF7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E49E20">
            <w:pPr>
              <w:pStyle w:val="34"/>
              <w:bidi w:val="0"/>
              <w:rPr>
                <w:rFonts w:hint="eastAsia" w:ascii="仿宋" w:hAnsi="仿宋" w:eastAsia="仿宋" w:cs="仿宋"/>
                <w:kern w:val="0"/>
                <w:sz w:val="28"/>
                <w:szCs w:val="28"/>
                <w:lang w:val="en-US" w:eastAsia="zh-CN" w:bidi="ar-SA"/>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CF7413A">
            <w:pPr>
              <w:pStyle w:val="34"/>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服务对象满意度（10分）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5AD0FD79">
            <w:pPr>
              <w:pStyle w:val="34"/>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周边居民满意度（10分）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2DC2AB8E">
            <w:pPr>
              <w:pStyle w:val="34"/>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周边居民满意度达到90%以上得满分，否则每下降1%扣5%权重分，扣完为止。</w:t>
            </w:r>
          </w:p>
        </w:tc>
      </w:tr>
    </w:tbl>
    <w:p w14:paraId="7940C99F">
      <w:pPr>
        <w:bidi w:val="0"/>
        <w:jc w:val="left"/>
        <w:rPr>
          <w:rFonts w:hint="eastAsia" w:ascii="仿宋" w:hAnsi="仿宋" w:eastAsia="仿宋" w:cs="仿宋"/>
          <w:kern w:val="0"/>
          <w:sz w:val="32"/>
          <w:szCs w:val="32"/>
          <w:lang w:val="en-US" w:eastAsia="zh-CN" w:bidi="ar-SA"/>
        </w:rPr>
      </w:pPr>
    </w:p>
    <w:p w14:paraId="49D1ADDF">
      <w:pPr>
        <w:bidi w:val="0"/>
        <w:jc w:val="left"/>
        <w:rPr>
          <w:rFonts w:hint="eastAsia" w:ascii="仿宋" w:hAnsi="仿宋" w:eastAsia="仿宋_GB2312" w:cs="仿宋"/>
          <w:kern w:val="0"/>
          <w:sz w:val="32"/>
          <w:szCs w:val="32"/>
          <w:lang w:val="en-US" w:eastAsia="zh-CN" w:bidi="ar-SA"/>
        </w:rPr>
      </w:pPr>
      <w:r>
        <w:rPr>
          <w:rFonts w:hint="eastAsia" w:ascii="仿宋" w:hAnsi="仿宋" w:eastAsia="仿宋" w:cs="仿宋"/>
          <w:kern w:val="0"/>
          <w:sz w:val="32"/>
          <w:szCs w:val="32"/>
          <w:lang w:val="en-US" w:eastAsia="zh-CN" w:bidi="ar-SA"/>
        </w:rPr>
        <w:t>4、</w:t>
      </w:r>
      <w:r>
        <w:rPr>
          <w:rFonts w:hint="eastAsia" w:ascii="仿宋_GB2312" w:hAnsi="仿宋_GB2312" w:eastAsia="仿宋_GB2312" w:cs="仿宋_GB2312"/>
          <w:sz w:val="32"/>
          <w:szCs w:val="32"/>
          <w:highlight w:val="none"/>
        </w:rPr>
        <w:t>评价方法</w:t>
      </w:r>
      <w:r>
        <w:rPr>
          <w:rFonts w:hint="eastAsia" w:ascii="仿宋_GB2312" w:hAnsi="仿宋_GB2312" w:eastAsia="仿宋_GB2312" w:cs="仿宋_GB2312"/>
          <w:sz w:val="32"/>
          <w:szCs w:val="32"/>
          <w:highlight w:val="none"/>
          <w:lang w:eastAsia="zh-CN"/>
        </w:rPr>
        <w:t>和评价标准</w:t>
      </w:r>
    </w:p>
    <w:p w14:paraId="0ACC0953">
      <w:pPr>
        <w:pStyle w:val="35"/>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（1）主要采用因素分析法和数据对比法。因素分析法评价项目实施的整体情况是否符合实际需要，数据对比法则反映的是项目运行的持续性和质量的可控性。</w:t>
      </w:r>
    </w:p>
    <w:p w14:paraId="14B6676E">
      <w:pPr>
        <w:pStyle w:val="35"/>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（2）本次绩效评价采取随机抽样的方式完成群众的满意度问卷调查。</w:t>
      </w:r>
    </w:p>
    <w:p w14:paraId="2F05D858">
      <w:pPr>
        <w:pStyle w:val="35"/>
        <w:bidi w:val="0"/>
        <w:rPr>
          <w:rFonts w:hint="eastAsia" w:ascii="仿宋" w:hAnsi="仿宋" w:eastAsia="仿宋" w:cs="仿宋"/>
          <w:kern w:val="0"/>
          <w:sz w:val="32"/>
          <w:szCs w:val="32"/>
          <w:lang w:val="en-US" w:eastAsia="zh-CN" w:bidi="ar-SA"/>
        </w:rPr>
      </w:pPr>
      <w:bookmarkStart w:id="1" w:name="_Toc26772"/>
      <w:bookmarkStart w:id="2" w:name="_Toc512441870"/>
      <w:r>
        <w:rPr>
          <w:rFonts w:hint="eastAsia" w:ascii="仿宋" w:hAnsi="仿宋" w:eastAsia="仿宋" w:cs="仿宋"/>
          <w:kern w:val="0"/>
          <w:sz w:val="32"/>
          <w:szCs w:val="32"/>
          <w:lang w:val="en-US" w:eastAsia="zh-CN" w:bidi="ar-SA"/>
        </w:rPr>
        <w:t>绩效评价标准是指财政支出绩效目标完成程度的衡量尺度。通过评价标准判断评价指标的合理与重要性程度，作为评价工作的基本准绳和标尺，决定了评价目标实现与否以及评价结果准确与否，并作为评价计分的依据。绩效指标评价标准主要有：</w:t>
      </w:r>
    </w:p>
    <w:p w14:paraId="5F3A60CB">
      <w:pPr>
        <w:pStyle w:val="35"/>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（1）计划标准</w:t>
      </w:r>
    </w:p>
    <w:p w14:paraId="74A0DA96">
      <w:pPr>
        <w:pStyle w:val="35"/>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以预先制定的规划、计划、目标、预算或定额等数据作为绩效评价标准。计划值作为评价指标的预计完成值，旨在通过与实际完成值进行比对，通过测算计划值完成比例，达成绩效评价目的。</w:t>
      </w:r>
    </w:p>
    <w:p w14:paraId="705EA221">
      <w:pPr>
        <w:pStyle w:val="35"/>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（2）行业标准</w:t>
      </w:r>
    </w:p>
    <w:p w14:paraId="7414C63D">
      <w:pPr>
        <w:pStyle w:val="35"/>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以某一具体行业许多个体或相关财政经费的相关指标数据为基准，充分挖掘数据中蕴含的信息，从而制定相适应的行业评价标准。行业标准的充分应用需要充足的样本数据库作支撑，具备一定的权威性、客观性与真实性，便于财政项目支出绩效评价情况纵向和横向分析与对比。</w:t>
      </w:r>
    </w:p>
    <w:p w14:paraId="065BAFB4">
      <w:pPr>
        <w:pStyle w:val="35"/>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（3）历史标准</w:t>
      </w:r>
    </w:p>
    <w:p w14:paraId="1375E3E1">
      <w:pPr>
        <w:pStyle w:val="35"/>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 xml:space="preserve">以绩效评价指标的历史数据作为样本，运用一定的统计学方法，计算出各类指标的平均历史水平。在运用历史标准进行评价时，要对其根据价格指数、统计口径或核算方法的变化对历史标准进行修订和完善。 </w:t>
      </w:r>
    </w:p>
    <w:p w14:paraId="44A36771">
      <w:pPr>
        <w:pStyle w:val="35"/>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（4）经验标准</w:t>
      </w:r>
    </w:p>
    <w:p w14:paraId="6F9E9671">
      <w:pPr>
        <w:pStyle w:val="35"/>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以长期从事财政经济活动领域的专家学者的参考意见为基础，通过严谨的分析与研究，结合其管理实践，确定相关指标标准。该项标准与行业标准存在优先选择的情况，即行业标准权威性不足或缺乏同行业标准时，采用经验标准。</w:t>
      </w:r>
      <w:bookmarkEnd w:id="1"/>
      <w:bookmarkEnd w:id="2"/>
    </w:p>
    <w:p w14:paraId="4747125C">
      <w:pPr>
        <w:bidi w:val="0"/>
        <w:jc w:val="left"/>
        <w:rPr>
          <w:rFonts w:hint="eastAsia" w:ascii="楷体" w:hAnsi="楷体" w:eastAsia="楷体" w:cs="楷体"/>
          <w:b/>
          <w:bCs/>
          <w:kern w:val="0"/>
          <w:sz w:val="32"/>
          <w:szCs w:val="32"/>
          <w:lang w:val="en-US" w:eastAsia="zh-CN" w:bidi="ar-SA"/>
        </w:rPr>
      </w:pPr>
      <w:r>
        <w:rPr>
          <w:rFonts w:hint="eastAsia" w:ascii="楷体" w:hAnsi="楷体" w:eastAsia="楷体" w:cs="楷体"/>
          <w:b/>
          <w:bCs/>
          <w:kern w:val="0"/>
          <w:sz w:val="32"/>
          <w:szCs w:val="32"/>
          <w:lang w:val="en-US" w:eastAsia="zh-CN" w:bidi="ar-SA"/>
        </w:rPr>
        <w:t>四、评估结论</w:t>
      </w:r>
    </w:p>
    <w:p w14:paraId="188BA98A">
      <w:pPr>
        <w:bidi w:val="0"/>
        <w:jc w:val="left"/>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（一）投入</w:t>
      </w:r>
    </w:p>
    <w:p w14:paraId="102E4440">
      <w:pPr>
        <w:bidi w:val="0"/>
        <w:jc w:val="left"/>
        <w:rPr>
          <w:rFonts w:hint="eastAsia" w:ascii="仿宋_GB2312" w:hAnsi="仿宋_GB2312" w:eastAsia="仿宋_GB2312" w:cs="仿宋_GB2312"/>
          <w:sz w:val="30"/>
          <w:szCs w:val="30"/>
        </w:rPr>
      </w:pPr>
      <w:r>
        <w:rPr>
          <w:rFonts w:hint="eastAsia" w:ascii="仿宋" w:hAnsi="仿宋" w:eastAsia="仿宋" w:cs="仿宋"/>
          <w:kern w:val="0"/>
          <w:sz w:val="32"/>
          <w:szCs w:val="32"/>
          <w:lang w:val="en-US" w:eastAsia="zh-CN" w:bidi="ar-SA"/>
        </w:rPr>
        <w:t>2023年度该项目到位资金总额15309.80万元，为地方政府专</w:t>
      </w:r>
      <w:r>
        <w:rPr>
          <w:rFonts w:hint="eastAsia" w:ascii="仿宋_GB2312" w:hAnsi="仿宋_GB2312" w:eastAsia="仿宋_GB2312" w:cs="仿宋_GB2312"/>
          <w:sz w:val="30"/>
          <w:szCs w:val="30"/>
          <w:lang w:eastAsia="zh-CN"/>
        </w:rPr>
        <w:t>项债及</w:t>
      </w:r>
      <w:r>
        <w:rPr>
          <w:rFonts w:hint="eastAsia" w:ascii="仿宋_GB2312" w:hAnsi="仿宋_GB2312" w:eastAsia="仿宋_GB2312" w:cs="仿宋_GB2312"/>
          <w:sz w:val="30"/>
          <w:szCs w:val="30"/>
        </w:rPr>
        <w:t>中央预算拨款，本年度项目计划拨付金额</w:t>
      </w:r>
      <w:r>
        <w:rPr>
          <w:rFonts w:hint="eastAsia" w:ascii="仿宋_GB2312" w:hAnsi="仿宋_GB2312" w:eastAsia="仿宋_GB2312" w:cs="仿宋_GB2312"/>
          <w:sz w:val="30"/>
          <w:szCs w:val="30"/>
          <w:lang w:val="en-US" w:eastAsia="zh-CN"/>
        </w:rPr>
        <w:t>14600</w:t>
      </w:r>
      <w:r>
        <w:rPr>
          <w:rFonts w:hint="eastAsia" w:ascii="仿宋_GB2312" w:hAnsi="仿宋_GB2312" w:eastAsia="仿宋_GB2312" w:cs="仿宋_GB2312"/>
          <w:sz w:val="30"/>
          <w:szCs w:val="30"/>
        </w:rPr>
        <w:t>万元，资金到位支付率</w:t>
      </w:r>
      <w:r>
        <w:rPr>
          <w:rFonts w:hint="eastAsia" w:ascii="仿宋_GB2312" w:hAnsi="仿宋_GB2312" w:eastAsia="仿宋_GB2312" w:cs="仿宋_GB2312"/>
          <w:sz w:val="30"/>
          <w:szCs w:val="30"/>
          <w:lang w:val="en-US" w:eastAsia="zh-CN"/>
        </w:rPr>
        <w:t>94.86</w:t>
      </w:r>
      <w:r>
        <w:rPr>
          <w:rFonts w:hint="eastAsia" w:ascii="仿宋_GB2312" w:hAnsi="仿宋_GB2312" w:eastAsia="仿宋_GB2312" w:cs="仿宋_GB2312"/>
          <w:sz w:val="30"/>
          <w:szCs w:val="30"/>
        </w:rPr>
        <w:t>%。</w:t>
      </w:r>
    </w:p>
    <w:p w14:paraId="73F356E9">
      <w:pPr>
        <w:bidi w:val="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（二）管理</w:t>
      </w:r>
    </w:p>
    <w:p w14:paraId="0C16BC4F">
      <w:pPr>
        <w:bidi w:val="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在项目的实施过程中，我部门严格按照项目立项审批内容，认真组织实施，强化施工组织管理，狠抓工程质量和施工安全，确保项目按期完工并交付使用。同时加强资金使用管理，确保专款专用，杜绝截留挪用建设资金，保证了项目顺利进行。</w:t>
      </w:r>
    </w:p>
    <w:p w14:paraId="64C85517">
      <w:pPr>
        <w:bidi w:val="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（三）产出</w:t>
      </w:r>
    </w:p>
    <w:p w14:paraId="3F4B4526">
      <w:pPr>
        <w:bidi w:val="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1.202</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年完工百分比100%。</w:t>
      </w:r>
    </w:p>
    <w:p w14:paraId="41D0CE41">
      <w:pPr>
        <w:bidi w:val="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2.强化</w:t>
      </w:r>
      <w:r>
        <w:rPr>
          <w:rFonts w:hint="eastAsia" w:ascii="仿宋_GB2312" w:hAnsi="仿宋_GB2312" w:eastAsia="仿宋_GB2312" w:cs="仿宋_GB2312"/>
          <w:sz w:val="30"/>
          <w:szCs w:val="30"/>
          <w:lang w:eastAsia="zh-CN"/>
        </w:rPr>
        <w:t>完善</w:t>
      </w:r>
      <w:r>
        <w:rPr>
          <w:rFonts w:hint="eastAsia" w:ascii="仿宋_GB2312" w:hAnsi="仿宋_GB2312" w:eastAsia="仿宋_GB2312" w:cs="仿宋_GB2312"/>
          <w:sz w:val="30"/>
          <w:szCs w:val="30"/>
        </w:rPr>
        <w:t>市政基础设施建设，完善公共服务设施。</w:t>
      </w:r>
    </w:p>
    <w:p w14:paraId="7A480C7C">
      <w:pPr>
        <w:bidi w:val="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3.大力保障重点项目及民生工程项目的顺利实施。</w:t>
      </w:r>
    </w:p>
    <w:p w14:paraId="7DFB0F91">
      <w:pPr>
        <w:bidi w:val="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（四）效果</w:t>
      </w:r>
    </w:p>
    <w:p w14:paraId="15A9CFC4">
      <w:pPr>
        <w:bidi w:val="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1.社会效益：上述项目解决了</w:t>
      </w:r>
      <w:r>
        <w:rPr>
          <w:rFonts w:hint="eastAsia" w:ascii="仿宋_GB2312" w:hAnsi="仿宋_GB2312" w:eastAsia="仿宋_GB2312" w:cs="仿宋_GB2312"/>
          <w:sz w:val="30"/>
          <w:szCs w:val="30"/>
          <w:lang w:eastAsia="zh-CN"/>
        </w:rPr>
        <w:t>辖区内市政基础设施排水功能提升</w:t>
      </w:r>
      <w:r>
        <w:rPr>
          <w:rFonts w:hint="eastAsia" w:ascii="仿宋_GB2312" w:hAnsi="仿宋_GB2312" w:eastAsia="仿宋_GB2312" w:cs="仿宋_GB2312"/>
          <w:sz w:val="30"/>
          <w:szCs w:val="30"/>
        </w:rPr>
        <w:t>，改善了居住环境。</w:t>
      </w:r>
    </w:p>
    <w:p w14:paraId="3BFDF941">
      <w:pPr>
        <w:bidi w:val="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2.可持续发展：为居民提供</w:t>
      </w:r>
      <w:r>
        <w:rPr>
          <w:rFonts w:hint="eastAsia" w:ascii="仿宋_GB2312" w:hAnsi="仿宋_GB2312" w:eastAsia="仿宋_GB2312" w:cs="仿宋_GB2312"/>
          <w:sz w:val="30"/>
          <w:szCs w:val="30"/>
          <w:lang w:eastAsia="zh-CN"/>
        </w:rPr>
        <w:t>出行</w:t>
      </w:r>
      <w:r>
        <w:rPr>
          <w:rFonts w:hint="eastAsia" w:ascii="仿宋_GB2312" w:hAnsi="仿宋_GB2312" w:eastAsia="仿宋_GB2312" w:cs="仿宋_GB2312"/>
          <w:sz w:val="30"/>
          <w:szCs w:val="30"/>
        </w:rPr>
        <w:t>安全，营造良好人民群众生活环境及社会氛围。</w:t>
      </w:r>
    </w:p>
    <w:p w14:paraId="35D95971">
      <w:pPr>
        <w:bidi w:val="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3.社会公众满意度：项目实施并投入使用，实现了</w:t>
      </w:r>
      <w:r>
        <w:rPr>
          <w:rFonts w:hint="eastAsia" w:ascii="仿宋_GB2312" w:hAnsi="仿宋_GB2312" w:eastAsia="仿宋_GB2312" w:cs="仿宋_GB2312"/>
          <w:sz w:val="30"/>
          <w:szCs w:val="30"/>
          <w:lang w:eastAsia="zh-CN"/>
        </w:rPr>
        <w:t>雨污水分流</w:t>
      </w:r>
      <w:r>
        <w:rPr>
          <w:rFonts w:hint="eastAsia" w:ascii="仿宋_GB2312" w:hAnsi="仿宋_GB2312" w:eastAsia="仿宋_GB2312" w:cs="仿宋_GB2312"/>
          <w:sz w:val="30"/>
          <w:szCs w:val="30"/>
        </w:rPr>
        <w:t>的目标，</w:t>
      </w:r>
      <w:r>
        <w:rPr>
          <w:rFonts w:hint="eastAsia" w:ascii="仿宋_GB2312" w:hAnsi="仿宋_GB2312" w:eastAsia="仿宋_GB2312" w:cs="仿宋_GB2312"/>
          <w:sz w:val="30"/>
          <w:szCs w:val="30"/>
          <w:lang w:eastAsia="zh-CN"/>
        </w:rPr>
        <w:t>保障了居民出行安全</w:t>
      </w:r>
      <w:r>
        <w:rPr>
          <w:rFonts w:hint="eastAsia" w:ascii="仿宋_GB2312" w:hAnsi="仿宋_GB2312" w:eastAsia="仿宋_GB2312" w:cs="仿宋_GB2312"/>
          <w:sz w:val="30"/>
          <w:szCs w:val="30"/>
        </w:rPr>
        <w:t>维护了社会稳定，得到了社会公众的一致好评，保障对象满意度达95%以上。</w:t>
      </w:r>
    </w:p>
    <w:p w14:paraId="42C685E7">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（五）评价结果和评价结论</w:t>
      </w:r>
    </w:p>
    <w:p w14:paraId="0F2CF843">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本项目自评分为</w:t>
      </w:r>
      <w:r>
        <w:rPr>
          <w:rFonts w:hint="eastAsia" w:ascii="仿宋_GB2312" w:hAnsi="仿宋_GB2312" w:eastAsia="仿宋_GB2312" w:cs="仿宋_GB2312"/>
          <w:color w:val="auto"/>
          <w:sz w:val="30"/>
          <w:szCs w:val="30"/>
          <w:lang w:val="en-US" w:eastAsia="zh-CN"/>
        </w:rPr>
        <w:t>97</w:t>
      </w:r>
      <w:r>
        <w:rPr>
          <w:rFonts w:hint="eastAsia" w:ascii="仿宋_GB2312" w:hAnsi="仿宋_GB2312" w:eastAsia="仿宋_GB2312" w:cs="仿宋_GB2312"/>
          <w:color w:val="auto"/>
          <w:sz w:val="30"/>
          <w:szCs w:val="30"/>
        </w:rPr>
        <w:t>分，评价等级为优等级，已达到预期绩效目标。</w:t>
      </w:r>
    </w:p>
    <w:p w14:paraId="719020AA">
      <w:pPr>
        <w:bidi w:val="0"/>
        <w:jc w:val="left"/>
        <w:rPr>
          <w:rFonts w:hint="eastAsia" w:ascii="楷体" w:hAnsi="楷体" w:eastAsia="楷体" w:cs="楷体"/>
          <w:b/>
          <w:bCs/>
          <w:color w:val="auto"/>
          <w:sz w:val="32"/>
          <w:szCs w:val="32"/>
        </w:rPr>
      </w:pPr>
      <w:r>
        <w:rPr>
          <w:rFonts w:hint="eastAsia" w:ascii="楷体" w:hAnsi="楷体" w:eastAsia="楷体" w:cs="楷体"/>
          <w:b/>
          <w:bCs/>
          <w:color w:val="auto"/>
          <w:sz w:val="32"/>
          <w:szCs w:val="32"/>
          <w:lang w:eastAsia="zh-CN"/>
        </w:rPr>
        <w:t>五</w:t>
      </w:r>
      <w:r>
        <w:rPr>
          <w:rFonts w:hint="eastAsia" w:ascii="楷体" w:hAnsi="楷体" w:eastAsia="楷体" w:cs="楷体"/>
          <w:b/>
          <w:bCs/>
          <w:color w:val="auto"/>
          <w:sz w:val="32"/>
          <w:szCs w:val="32"/>
        </w:rPr>
        <w:t>、经验总结、存在问题及意见或建议</w:t>
      </w:r>
    </w:p>
    <w:p w14:paraId="6E8CC5F1">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（一）经验总结</w:t>
      </w:r>
    </w:p>
    <w:p w14:paraId="399E94E2">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加快青云谱区建设，才能补缺基础设施短板、带动区域经济发展，能有效衔接大南昌都市圈发展的需要，同时是响应青云谱区</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十四五</w:t>
      </w:r>
      <w:r>
        <w:rPr>
          <w:rFonts w:hint="eastAsia" w:ascii="仿宋_GB2312" w:hAnsi="仿宋_GB2312" w:eastAsia="仿宋_GB2312" w:cs="仿宋_GB2312"/>
          <w:color w:val="auto"/>
          <w:sz w:val="30"/>
          <w:szCs w:val="30"/>
          <w:lang w:eastAsia="zh-CN"/>
        </w:rPr>
        <w:t>”</w:t>
      </w:r>
      <w:bookmarkStart w:id="3" w:name="_GoBack"/>
      <w:bookmarkEnd w:id="3"/>
      <w:r>
        <w:rPr>
          <w:rFonts w:hint="eastAsia" w:ascii="仿宋_GB2312" w:hAnsi="仿宋_GB2312" w:eastAsia="仿宋_GB2312" w:cs="仿宋_GB2312"/>
          <w:color w:val="auto"/>
          <w:sz w:val="30"/>
          <w:szCs w:val="30"/>
        </w:rPr>
        <w:t>规划发展的需要</w:t>
      </w:r>
    </w:p>
    <w:p w14:paraId="34C35435">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（二）存在问题</w:t>
      </w:r>
    </w:p>
    <w:p w14:paraId="44E69650">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1.部分项目需要区级财政进行资金配套，但由于我区财力较弱，配套资金不能及时到位。</w:t>
      </w:r>
    </w:p>
    <w:p w14:paraId="7496A83F">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2.专业人员欠缺。专职人员少，兼职人员接受技能培训不够；工作人员工作变更频繁。</w:t>
      </w:r>
    </w:p>
    <w:p w14:paraId="7BA93905">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（三）意见或建议</w:t>
      </w:r>
    </w:p>
    <w:p w14:paraId="3BC45349">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1.建议区财政加强资金统筹和调度，对于涉及民生项目应优先予以配套保障。</w:t>
      </w:r>
    </w:p>
    <w:p w14:paraId="5437F5FA">
      <w:pPr>
        <w:bidi w:val="0"/>
        <w:jc w:val="left"/>
        <w:rPr>
          <w:rFonts w:hint="eastAsia" w:ascii="仿宋" w:hAnsi="仿宋" w:eastAsia="仿宋" w:cs="仿宋"/>
          <w:color w:val="auto"/>
          <w:sz w:val="32"/>
          <w:szCs w:val="32"/>
        </w:rPr>
      </w:pPr>
      <w:r>
        <w:rPr>
          <w:rFonts w:hint="eastAsia" w:ascii="仿宋" w:hAnsi="仿宋" w:eastAsia="仿宋" w:cs="仿宋"/>
          <w:color w:val="auto"/>
          <w:sz w:val="32"/>
          <w:szCs w:val="32"/>
        </w:rPr>
        <w:t>2.增设培训。可以通过走出去引进来的法子，组织人员出门学习借鉴更高效的工作方法。</w:t>
      </w:r>
    </w:p>
    <w:p w14:paraId="3CA913D2">
      <w:pPr>
        <w:bidi w:val="0"/>
        <w:jc w:val="left"/>
        <w:rPr>
          <w:rFonts w:hint="eastAsia" w:ascii="楷体" w:hAnsi="楷体" w:eastAsia="楷体" w:cs="楷体"/>
          <w:b/>
          <w:bCs/>
          <w:color w:val="auto"/>
          <w:sz w:val="32"/>
          <w:szCs w:val="32"/>
        </w:rPr>
      </w:pPr>
      <w:r>
        <w:rPr>
          <w:rFonts w:hint="eastAsia" w:ascii="楷体" w:hAnsi="楷体" w:eastAsia="楷体" w:cs="楷体"/>
          <w:b/>
          <w:bCs/>
          <w:color w:val="auto"/>
          <w:sz w:val="32"/>
          <w:szCs w:val="32"/>
          <w:lang w:eastAsia="zh-CN"/>
        </w:rPr>
        <w:t>六</w:t>
      </w:r>
      <w:r>
        <w:rPr>
          <w:rFonts w:hint="eastAsia" w:ascii="楷体" w:hAnsi="楷体" w:eastAsia="楷体" w:cs="楷体"/>
          <w:b/>
          <w:bCs/>
          <w:color w:val="auto"/>
          <w:sz w:val="32"/>
          <w:szCs w:val="32"/>
        </w:rPr>
        <w:t>、其他需要说明的问题</w:t>
      </w:r>
    </w:p>
    <w:p w14:paraId="2B4187A5">
      <w:pPr>
        <w:bidi w:val="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无。</w:t>
      </w:r>
    </w:p>
    <w:p w14:paraId="7993762A">
      <w:pPr>
        <w:bidi w:val="0"/>
        <w:jc w:val="left"/>
        <w:rPr>
          <w:rFonts w:hint="eastAsia" w:ascii="楷体" w:hAnsi="楷体" w:eastAsia="楷体" w:cs="楷体"/>
          <w:b/>
          <w:bCs/>
          <w:color w:val="auto"/>
          <w:sz w:val="32"/>
          <w:szCs w:val="32"/>
        </w:rPr>
      </w:pPr>
      <w:r>
        <w:rPr>
          <w:rFonts w:hint="eastAsia" w:ascii="楷体" w:hAnsi="楷体" w:eastAsia="楷体" w:cs="楷体"/>
          <w:b/>
          <w:bCs/>
          <w:color w:val="auto"/>
          <w:sz w:val="32"/>
          <w:szCs w:val="32"/>
          <w:lang w:eastAsia="zh-CN"/>
        </w:rPr>
        <w:t>七</w:t>
      </w:r>
      <w:r>
        <w:rPr>
          <w:rFonts w:hint="eastAsia" w:ascii="楷体" w:hAnsi="楷体" w:eastAsia="楷体" w:cs="楷体"/>
          <w:b/>
          <w:bCs/>
          <w:color w:val="auto"/>
          <w:sz w:val="32"/>
          <w:szCs w:val="32"/>
        </w:rPr>
        <w:t>、综合评价结论</w:t>
      </w:r>
    </w:p>
    <w:p w14:paraId="45902DF3">
      <w:pPr>
        <w:bidi w:val="0"/>
        <w:jc w:val="left"/>
        <w:rPr>
          <w:rFonts w:hint="eastAsia" w:ascii="仿宋" w:hAnsi="仿宋" w:eastAsia="仿宋" w:cs="仿宋"/>
          <w:color w:val="auto"/>
          <w:sz w:val="32"/>
          <w:szCs w:val="32"/>
        </w:rPr>
      </w:pPr>
      <w:r>
        <w:rPr>
          <w:rFonts w:hint="eastAsia" w:ascii="仿宋" w:hAnsi="仿宋" w:eastAsia="仿宋" w:cs="仿宋"/>
          <w:color w:val="auto"/>
          <w:sz w:val="32"/>
          <w:szCs w:val="32"/>
        </w:rPr>
        <w:t>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年，我单位积极履行，强化管理，较好地完成了年度工作目标。通过加强预算收支管理，不断建立健全内部管理制度，梳理内部管理流程，部门</w:t>
      </w:r>
      <w:r>
        <w:rPr>
          <w:rFonts w:hint="eastAsia" w:ascii="仿宋" w:hAnsi="仿宋" w:eastAsia="仿宋" w:cs="仿宋"/>
          <w:color w:val="auto"/>
          <w:sz w:val="32"/>
          <w:szCs w:val="32"/>
          <w:lang w:eastAsia="zh-CN"/>
        </w:rPr>
        <w:t>项目</w:t>
      </w:r>
      <w:r>
        <w:rPr>
          <w:rFonts w:hint="eastAsia" w:ascii="仿宋" w:hAnsi="仿宋" w:eastAsia="仿宋" w:cs="仿宋"/>
          <w:color w:val="auto"/>
          <w:sz w:val="32"/>
          <w:szCs w:val="32"/>
        </w:rPr>
        <w:t>整体支出管理水平得到提升。根据部门</w:t>
      </w:r>
      <w:r>
        <w:rPr>
          <w:rFonts w:hint="eastAsia" w:ascii="仿宋" w:hAnsi="仿宋" w:eastAsia="仿宋" w:cs="仿宋"/>
          <w:color w:val="auto"/>
          <w:sz w:val="32"/>
          <w:szCs w:val="32"/>
          <w:lang w:eastAsia="zh-CN"/>
        </w:rPr>
        <w:t>项目</w:t>
      </w:r>
      <w:r>
        <w:rPr>
          <w:rFonts w:hint="eastAsia" w:ascii="仿宋" w:hAnsi="仿宋" w:eastAsia="仿宋" w:cs="仿宋"/>
          <w:color w:val="auto"/>
          <w:sz w:val="32"/>
          <w:szCs w:val="32"/>
        </w:rPr>
        <w:t>整体支出绩效评价指标体系，我单位202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年度评价得分为</w:t>
      </w:r>
      <w:r>
        <w:rPr>
          <w:rFonts w:hint="eastAsia" w:ascii="仿宋" w:hAnsi="仿宋" w:eastAsia="仿宋" w:cs="仿宋"/>
          <w:color w:val="auto"/>
          <w:sz w:val="32"/>
          <w:szCs w:val="32"/>
          <w:lang w:val="en-US" w:eastAsia="zh-CN"/>
        </w:rPr>
        <w:t>92.07</w:t>
      </w:r>
      <w:r>
        <w:rPr>
          <w:rFonts w:hint="eastAsia" w:ascii="仿宋" w:hAnsi="仿宋" w:eastAsia="仿宋" w:cs="仿宋"/>
          <w:color w:val="auto"/>
          <w:sz w:val="32"/>
          <w:szCs w:val="32"/>
        </w:rPr>
        <w:t>分。</w:t>
      </w:r>
    </w:p>
    <w:p w14:paraId="5CB76469">
      <w:pPr>
        <w:bidi w:val="0"/>
        <w:jc w:val="left"/>
        <w:rPr>
          <w:rFonts w:hint="eastAsia" w:ascii="楷体" w:hAnsi="楷体" w:eastAsia="楷体" w:cs="楷体"/>
          <w:b/>
          <w:bCs/>
          <w:color w:val="auto"/>
          <w:sz w:val="32"/>
          <w:szCs w:val="32"/>
        </w:rPr>
      </w:pPr>
      <w:r>
        <w:rPr>
          <w:rFonts w:hint="eastAsia" w:ascii="楷体" w:hAnsi="楷体" w:eastAsia="楷体" w:cs="楷体"/>
          <w:b/>
          <w:bCs/>
          <w:color w:val="auto"/>
          <w:sz w:val="32"/>
          <w:szCs w:val="32"/>
          <w:lang w:eastAsia="zh-CN"/>
        </w:rPr>
        <w:t>八</w:t>
      </w:r>
      <w:r>
        <w:rPr>
          <w:rFonts w:hint="eastAsia" w:ascii="楷体" w:hAnsi="楷体" w:eastAsia="楷体" w:cs="楷体"/>
          <w:b/>
          <w:bCs/>
          <w:color w:val="auto"/>
          <w:sz w:val="32"/>
          <w:szCs w:val="32"/>
        </w:rPr>
        <w:t>、绩效目标完成情况总体分析</w:t>
      </w:r>
    </w:p>
    <w:p w14:paraId="588B241E">
      <w:pPr>
        <w:bidi w:val="0"/>
        <w:jc w:val="left"/>
        <w:rPr>
          <w:rFonts w:hint="eastAsia" w:ascii="仿宋" w:hAnsi="仿宋" w:eastAsia="仿宋" w:cs="仿宋"/>
          <w:color w:val="auto"/>
          <w:sz w:val="32"/>
          <w:szCs w:val="32"/>
        </w:rPr>
      </w:pPr>
      <w:r>
        <w:rPr>
          <w:rFonts w:hint="eastAsia" w:ascii="仿宋" w:hAnsi="仿宋" w:eastAsia="仿宋" w:cs="仿宋"/>
          <w:color w:val="auto"/>
          <w:sz w:val="32"/>
          <w:szCs w:val="32"/>
        </w:rPr>
        <w:t>（一）、预算绩效运行监控工作组织开展状况</w:t>
      </w:r>
    </w:p>
    <w:p w14:paraId="2D4C7C41">
      <w:pPr>
        <w:bidi w:val="0"/>
        <w:jc w:val="left"/>
        <w:rPr>
          <w:rFonts w:hint="eastAsia" w:ascii="仿宋" w:hAnsi="仿宋" w:eastAsia="仿宋" w:cs="仿宋"/>
          <w:color w:val="auto"/>
          <w:sz w:val="32"/>
          <w:szCs w:val="32"/>
        </w:rPr>
      </w:pPr>
      <w:r>
        <w:rPr>
          <w:rFonts w:hint="eastAsia" w:ascii="仿宋" w:hAnsi="仿宋" w:eastAsia="仿宋" w:cs="仿宋"/>
          <w:color w:val="auto"/>
          <w:sz w:val="32"/>
          <w:szCs w:val="32"/>
        </w:rPr>
        <w:t>我单位的资金状况：监控范围为202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年度部门整体支出。截止202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w:t>
      </w:r>
      <w:r>
        <w:rPr>
          <w:rFonts w:hint="eastAsia" w:ascii="仿宋" w:hAnsi="仿宋" w:eastAsia="仿宋" w:cs="仿宋"/>
          <w:color w:val="auto"/>
          <w:sz w:val="32"/>
          <w:szCs w:val="32"/>
          <w:lang w:val="en-US" w:eastAsia="zh-CN"/>
        </w:rPr>
        <w:t>12</w:t>
      </w:r>
      <w:r>
        <w:rPr>
          <w:rFonts w:hint="eastAsia" w:ascii="仿宋" w:hAnsi="仿宋" w:eastAsia="仿宋" w:cs="仿宋"/>
          <w:color w:val="auto"/>
          <w:sz w:val="32"/>
          <w:szCs w:val="32"/>
        </w:rPr>
        <w:t>月3</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日，本部门</w:t>
      </w:r>
      <w:r>
        <w:rPr>
          <w:rFonts w:hint="eastAsia" w:ascii="仿宋" w:hAnsi="仿宋" w:eastAsia="仿宋" w:cs="仿宋"/>
          <w:color w:val="auto"/>
          <w:sz w:val="32"/>
          <w:szCs w:val="32"/>
          <w:lang w:eastAsia="zh-CN"/>
        </w:rPr>
        <w:t>项目</w:t>
      </w:r>
      <w:r>
        <w:rPr>
          <w:rFonts w:hint="eastAsia" w:ascii="仿宋" w:hAnsi="仿宋" w:eastAsia="仿宋" w:cs="仿宋"/>
          <w:color w:val="auto"/>
          <w:sz w:val="32"/>
          <w:szCs w:val="32"/>
        </w:rPr>
        <w:t>支出预算已支付</w:t>
      </w:r>
      <w:r>
        <w:rPr>
          <w:rFonts w:hint="eastAsia" w:ascii="仿宋" w:hAnsi="仿宋" w:eastAsia="仿宋" w:cs="仿宋"/>
          <w:color w:val="auto"/>
          <w:sz w:val="32"/>
          <w:szCs w:val="32"/>
          <w:lang w:val="en-US" w:eastAsia="zh-CN"/>
        </w:rPr>
        <w:t>52078.87</w:t>
      </w:r>
      <w:r>
        <w:rPr>
          <w:rFonts w:hint="eastAsia" w:ascii="仿宋" w:hAnsi="仿宋" w:eastAsia="仿宋" w:cs="仿宋"/>
          <w:color w:val="auto"/>
          <w:sz w:val="32"/>
          <w:szCs w:val="32"/>
        </w:rPr>
        <w:t>万元。</w:t>
      </w:r>
    </w:p>
    <w:p w14:paraId="2F456E5A">
      <w:pPr>
        <w:bidi w:val="0"/>
        <w:jc w:val="left"/>
        <w:rPr>
          <w:rFonts w:hint="eastAsia" w:ascii="仿宋" w:hAnsi="仿宋" w:eastAsia="仿宋" w:cs="仿宋"/>
          <w:color w:val="auto"/>
          <w:sz w:val="32"/>
          <w:szCs w:val="32"/>
        </w:rPr>
      </w:pPr>
      <w:r>
        <w:rPr>
          <w:rFonts w:hint="eastAsia" w:ascii="仿宋" w:hAnsi="仿宋" w:eastAsia="仿宋" w:cs="仿宋"/>
          <w:color w:val="auto"/>
          <w:sz w:val="32"/>
          <w:szCs w:val="32"/>
        </w:rPr>
        <w:t>（二）、预算绩效运行监控结果及分析</w:t>
      </w:r>
    </w:p>
    <w:p w14:paraId="41074040">
      <w:pPr>
        <w:bidi w:val="0"/>
        <w:jc w:val="left"/>
        <w:rPr>
          <w:rFonts w:hint="eastAsia" w:ascii="仿宋" w:hAnsi="仿宋" w:eastAsia="仿宋" w:cs="仿宋"/>
          <w:color w:val="auto"/>
          <w:sz w:val="32"/>
          <w:szCs w:val="32"/>
        </w:rPr>
      </w:pPr>
      <w:r>
        <w:rPr>
          <w:rFonts w:hint="eastAsia" w:ascii="仿宋" w:hAnsi="仿宋" w:eastAsia="仿宋" w:cs="仿宋"/>
          <w:color w:val="auto"/>
          <w:sz w:val="32"/>
          <w:szCs w:val="32"/>
        </w:rPr>
        <w:t>1.工作未开展的项目有0个。</w:t>
      </w:r>
    </w:p>
    <w:p w14:paraId="2F8BB03B">
      <w:pPr>
        <w:bidi w:val="0"/>
        <w:jc w:val="left"/>
        <w:rPr>
          <w:rFonts w:hint="eastAsia" w:ascii="仿宋" w:hAnsi="仿宋" w:eastAsia="仿宋" w:cs="仿宋"/>
          <w:color w:val="auto"/>
          <w:sz w:val="32"/>
          <w:szCs w:val="32"/>
        </w:rPr>
      </w:pPr>
      <w:r>
        <w:rPr>
          <w:rFonts w:hint="eastAsia" w:ascii="仿宋" w:hAnsi="仿宋" w:eastAsia="仿宋" w:cs="仿宋"/>
          <w:color w:val="auto"/>
          <w:sz w:val="32"/>
          <w:szCs w:val="32"/>
        </w:rPr>
        <w:t>2.偏差缘由分析：重点监控专项资金绩效运行的整体质量较好，资金绩效正在释放。项目实施进度影响资金使用进度。单个受监项目的共性指标不明确，对应不同的问题偏差。具体状况详见各项监控分析。</w:t>
      </w:r>
    </w:p>
    <w:p w14:paraId="5B37CF3B">
      <w:pPr>
        <w:bidi w:val="0"/>
        <w:jc w:val="left"/>
        <w:rPr>
          <w:rFonts w:hint="eastAsia" w:ascii="仿宋" w:hAnsi="仿宋" w:eastAsia="仿宋" w:cs="仿宋"/>
          <w:color w:val="auto"/>
          <w:sz w:val="32"/>
          <w:szCs w:val="32"/>
        </w:rPr>
      </w:pPr>
      <w:r>
        <w:rPr>
          <w:rFonts w:hint="eastAsia" w:ascii="仿宋" w:hAnsi="仿宋" w:eastAsia="仿宋" w:cs="仿宋"/>
          <w:color w:val="auto"/>
          <w:sz w:val="32"/>
          <w:szCs w:val="32"/>
        </w:rPr>
        <w:t>4.监控过程中实行的整改措施及整改结果。绩效运行状况</w:t>
      </w:r>
    </w:p>
    <w:p w14:paraId="5E2BB08C">
      <w:pPr>
        <w:bidi w:val="0"/>
        <w:jc w:val="left"/>
        <w:rPr>
          <w:rFonts w:hint="eastAsia" w:ascii="仿宋" w:hAnsi="仿宋" w:eastAsia="仿宋" w:cs="仿宋"/>
          <w:color w:val="auto"/>
          <w:sz w:val="32"/>
          <w:szCs w:val="32"/>
        </w:rPr>
      </w:pPr>
      <w:r>
        <w:rPr>
          <w:rFonts w:hint="eastAsia" w:ascii="仿宋" w:hAnsi="仿宋" w:eastAsia="仿宋" w:cs="仿宋"/>
          <w:color w:val="auto"/>
          <w:sz w:val="32"/>
          <w:szCs w:val="32"/>
        </w:rPr>
        <w:t>较为客观、真实，其评价结果可作为财政预算执行精细化、加快资金拨付进度及综合绩效考评的参考依据。</w:t>
      </w:r>
    </w:p>
    <w:p w14:paraId="4A81B88D">
      <w:pPr>
        <w:bidi w:val="0"/>
        <w:jc w:val="left"/>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（三）</w:t>
      </w:r>
      <w:r>
        <w:rPr>
          <w:rFonts w:hint="eastAsia" w:ascii="仿宋" w:hAnsi="仿宋" w:eastAsia="仿宋" w:cs="仿宋"/>
          <w:color w:val="auto"/>
          <w:sz w:val="32"/>
          <w:szCs w:val="32"/>
        </w:rPr>
        <w:t>偏离绩效目标的原因和改进措施</w:t>
      </w:r>
    </w:p>
    <w:p w14:paraId="0CAFFD8E">
      <w:pPr>
        <w:bidi w:val="0"/>
        <w:jc w:val="left"/>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存在问题及原因</w:t>
      </w:r>
    </w:p>
    <w:p w14:paraId="1A73ECF5">
      <w:pPr>
        <w:bidi w:val="0"/>
        <w:ind w:firstLine="640" w:firstLineChars="200"/>
        <w:jc w:val="left"/>
        <w:rPr>
          <w:rFonts w:hint="eastAsia" w:ascii="仿宋" w:hAnsi="仿宋" w:eastAsia="仿宋" w:cs="仿宋"/>
          <w:color w:val="auto"/>
          <w:sz w:val="32"/>
          <w:szCs w:val="32"/>
        </w:rPr>
      </w:pPr>
      <w:r>
        <w:rPr>
          <w:rFonts w:hint="eastAsia" w:ascii="仿宋" w:hAnsi="仿宋" w:eastAsia="仿宋" w:cs="仿宋"/>
          <w:color w:val="auto"/>
          <w:sz w:val="32"/>
          <w:szCs w:val="32"/>
        </w:rPr>
        <w:t>一是绩效目标设置科学性有待提高。部分绩效指标设置不够全面,绩效指标设置的科学性、准确性有待提升。二是预算系统内绩效指标与实际项目支出绩效指标匹配性不足。预算系统在预算申报结束后关闭。导致后期工作出现项目调整，不能同步在系统中变更，造成自评时预算系统内数据与实际评价数据有差异。三是部分全年实际值未填写准确数据。部分资金使用处室(部门)对绩效目标完成值的填写认识不到位，只是按照年初绩效目标填报相关数据。四是个别绩效目标未能按预期完成。个别绩效指标由于机构改革职能调整和项目的特殊性，造成绩效目标未能按预期完成。</w:t>
      </w:r>
    </w:p>
    <w:p w14:paraId="317EA1F6">
      <w:pPr>
        <w:bidi w:val="0"/>
        <w:jc w:val="left"/>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下一步工作措施</w:t>
      </w:r>
    </w:p>
    <w:p w14:paraId="4813650A">
      <w:pPr>
        <w:bidi w:val="0"/>
        <w:ind w:firstLine="640" w:firstLineChars="200"/>
        <w:jc w:val="left"/>
        <w:rPr>
          <w:rFonts w:hint="eastAsia" w:ascii="仿宋" w:hAnsi="仿宋" w:eastAsia="仿宋" w:cs="仿宋"/>
          <w:color w:val="auto"/>
          <w:sz w:val="32"/>
          <w:szCs w:val="32"/>
        </w:rPr>
      </w:pPr>
      <w:r>
        <w:rPr>
          <w:rFonts w:hint="eastAsia" w:ascii="仿宋" w:hAnsi="仿宋" w:eastAsia="仿宋" w:cs="仿宋"/>
          <w:color w:val="auto"/>
          <w:sz w:val="32"/>
          <w:szCs w:val="32"/>
        </w:rPr>
        <w:t xml:space="preserve">一是多措并举，提高绩效管理水平。我局意识到绩效管理的重要性，通过设立预算绩效管理领导小组，指定专人负责项目绩效管理。同时，邀请第三方机构开展内部绩效管理培训，在加强学习的同时积极参加省财政厅组织的绩效管理培训等系列举措，绩效管理认识及能力水平得以进一步提高。  </w:t>
      </w:r>
    </w:p>
    <w:p w14:paraId="18D9C31F">
      <w:pPr>
        <w:bidi w:val="0"/>
        <w:ind w:firstLine="640" w:firstLineChars="200"/>
        <w:jc w:val="left"/>
        <w:rPr>
          <w:rFonts w:hint="eastAsia" w:ascii="仿宋" w:hAnsi="仿宋" w:eastAsia="仿宋" w:cs="仿宋"/>
          <w:color w:val="auto"/>
          <w:sz w:val="32"/>
          <w:szCs w:val="32"/>
        </w:rPr>
      </w:pPr>
      <w:r>
        <w:rPr>
          <w:rFonts w:hint="eastAsia" w:ascii="仿宋" w:hAnsi="仿宋" w:eastAsia="仿宋" w:cs="仿宋"/>
          <w:color w:val="auto"/>
          <w:sz w:val="32"/>
          <w:szCs w:val="32"/>
        </w:rPr>
        <w:t>二是加强预算编制，加快资金执行效率。我局在编制202</w:t>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年度项目支出预算时，充分借鉴以往经验，进一步完善、细化预算科目，强化预算编制的准确性、科学性;在202</w:t>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年预算执行过程中，加强财务日常管理，督促各资金使用部门加快项目实施进度，切实提高资金使用效率，并在日常工作中注意收集项目绩效管理相关资料。</w:t>
      </w:r>
    </w:p>
    <w:p w14:paraId="21836198">
      <w:pPr>
        <w:bidi w:val="0"/>
        <w:ind w:firstLine="640" w:firstLineChars="200"/>
        <w:jc w:val="left"/>
        <w:rPr>
          <w:rFonts w:hint="eastAsia" w:ascii="仿宋" w:hAnsi="仿宋" w:eastAsia="仿宋" w:cs="仿宋"/>
          <w:color w:val="auto"/>
          <w:sz w:val="32"/>
          <w:szCs w:val="32"/>
        </w:rPr>
      </w:pPr>
      <w:r>
        <w:rPr>
          <w:rFonts w:hint="eastAsia" w:ascii="仿宋" w:hAnsi="仿宋" w:eastAsia="仿宋" w:cs="仿宋"/>
          <w:color w:val="auto"/>
          <w:sz w:val="32"/>
          <w:szCs w:val="32"/>
        </w:rPr>
        <w:t>绩效自评结果拟应用和公开情况</w:t>
      </w:r>
    </w:p>
    <w:p w14:paraId="2061537B">
      <w:pPr>
        <w:bidi w:val="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本部门整体绩效评价结果拟通过青云谱区人民政府政务公开栏中公开。</w:t>
      </w:r>
    </w:p>
    <w:p w14:paraId="427F8B51">
      <w:pPr>
        <w:bidi w:val="0"/>
        <w:jc w:val="left"/>
        <w:rPr>
          <w:rFonts w:hint="eastAsia" w:ascii="仿宋" w:hAnsi="仿宋" w:eastAsia="仿宋" w:cs="仿宋"/>
          <w:color w:val="auto"/>
          <w:sz w:val="32"/>
          <w:szCs w:val="32"/>
        </w:rPr>
      </w:pPr>
    </w:p>
    <w:p w14:paraId="73DB1B52">
      <w:pPr>
        <w:pStyle w:val="2"/>
        <w:rPr>
          <w:rFonts w:hint="eastAsia" w:ascii="仿宋_GB2312" w:hAnsi="仿宋_GB2312" w:eastAsia="仿宋_GB2312"/>
          <w:kern w:val="0"/>
          <w:sz w:val="32"/>
          <w:szCs w:val="32"/>
        </w:rPr>
      </w:pPr>
    </w:p>
    <w:p w14:paraId="1C47DF4C">
      <w:pPr>
        <w:pStyle w:val="2"/>
        <w:rPr>
          <w:rFonts w:hint="eastAsia" w:ascii="仿宋_GB2312" w:hAnsi="仿宋_GB2312" w:eastAsia="仿宋_GB2312"/>
          <w:kern w:val="0"/>
          <w:sz w:val="32"/>
          <w:szCs w:val="32"/>
        </w:rPr>
      </w:pPr>
    </w:p>
    <w:p w14:paraId="1E56B6B5">
      <w:pPr>
        <w:pStyle w:val="2"/>
        <w:rPr>
          <w:rFonts w:hint="eastAsia" w:ascii="仿宋_GB2312" w:hAnsi="仿宋_GB2312" w:eastAsia="仿宋_GB2312"/>
          <w:kern w:val="0"/>
          <w:sz w:val="32"/>
          <w:szCs w:val="32"/>
        </w:rPr>
      </w:pPr>
    </w:p>
    <w:p w14:paraId="61033B00">
      <w:pPr>
        <w:pStyle w:val="2"/>
        <w:rPr>
          <w:rFonts w:hint="eastAsia" w:ascii="仿宋_GB2312" w:hAnsi="仿宋_GB2312" w:eastAsia="仿宋_GB2312"/>
          <w:kern w:val="0"/>
          <w:sz w:val="32"/>
          <w:szCs w:val="32"/>
        </w:rPr>
      </w:pPr>
    </w:p>
    <w:p w14:paraId="2F8DB3E2">
      <w:pPr>
        <w:pStyle w:val="2"/>
        <w:rPr>
          <w:rFonts w:hint="eastAsia" w:ascii="仿宋_GB2312" w:hAnsi="仿宋_GB2312" w:eastAsia="仿宋_GB2312"/>
          <w:kern w:val="0"/>
          <w:sz w:val="32"/>
          <w:szCs w:val="32"/>
        </w:rPr>
      </w:pPr>
    </w:p>
    <w:p w14:paraId="7DE76C88">
      <w:pPr>
        <w:pStyle w:val="2"/>
        <w:rPr>
          <w:rFonts w:hint="eastAsia" w:ascii="仿宋_GB2312" w:hAnsi="仿宋_GB2312" w:eastAsia="仿宋_GB2312"/>
          <w:kern w:val="0"/>
          <w:sz w:val="32"/>
          <w:szCs w:val="32"/>
        </w:rPr>
      </w:pPr>
    </w:p>
    <w:p w14:paraId="7BF4E9AB">
      <w:pPr>
        <w:pStyle w:val="2"/>
        <w:rPr>
          <w:rFonts w:hint="eastAsia" w:ascii="仿宋_GB2312" w:hAnsi="仿宋_GB2312" w:eastAsia="仿宋_GB2312"/>
          <w:kern w:val="0"/>
          <w:sz w:val="32"/>
          <w:szCs w:val="32"/>
        </w:rPr>
      </w:pPr>
    </w:p>
    <w:p w14:paraId="7CA4B594">
      <w:pPr>
        <w:pStyle w:val="2"/>
        <w:rPr>
          <w:rFonts w:hint="eastAsia" w:ascii="仿宋_GB2312" w:hAnsi="仿宋_GB2312" w:eastAsia="仿宋_GB2312"/>
          <w:kern w:val="0"/>
          <w:sz w:val="32"/>
          <w:szCs w:val="32"/>
        </w:rPr>
      </w:pPr>
    </w:p>
    <w:p w14:paraId="38726583">
      <w:pPr>
        <w:pStyle w:val="2"/>
        <w:rPr>
          <w:rFonts w:hint="eastAsia" w:ascii="仿宋_GB2312" w:hAnsi="仿宋_GB2312" w:eastAsia="仿宋_GB2312"/>
          <w:kern w:val="0"/>
          <w:sz w:val="32"/>
          <w:szCs w:val="32"/>
        </w:rPr>
      </w:pPr>
    </w:p>
    <w:p w14:paraId="3EF64825">
      <w:pPr>
        <w:pStyle w:val="2"/>
        <w:rPr>
          <w:rFonts w:hint="eastAsia" w:ascii="仿宋_GB2312" w:hAnsi="仿宋_GB2312" w:eastAsia="仿宋_GB2312"/>
          <w:kern w:val="0"/>
          <w:sz w:val="32"/>
          <w:szCs w:val="32"/>
        </w:rPr>
      </w:pPr>
    </w:p>
    <w:p w14:paraId="0525FAFA">
      <w:pPr>
        <w:pStyle w:val="2"/>
        <w:rPr>
          <w:rFonts w:hint="eastAsia" w:ascii="仿宋_GB2312" w:hAnsi="仿宋_GB2312" w:eastAsia="仿宋_GB2312"/>
          <w:kern w:val="0"/>
          <w:sz w:val="32"/>
          <w:szCs w:val="32"/>
        </w:rPr>
      </w:pPr>
    </w:p>
    <w:p w14:paraId="02404575">
      <w:pPr>
        <w:spacing w:line="536" w:lineRule="exact"/>
        <w:jc w:val="center"/>
        <w:rPr>
          <w:rFonts w:hint="eastAsia" w:ascii="方正小标宋简体" w:hAnsi="方正小标宋简体" w:eastAsia="方正小标宋简体" w:cs="方正小标宋简体"/>
          <w:bCs/>
          <w:color w:val="auto"/>
          <w:sz w:val="44"/>
          <w:szCs w:val="44"/>
        </w:rPr>
      </w:pPr>
      <w:r>
        <w:rPr>
          <w:rFonts w:hint="eastAsia" w:ascii="方正小标宋简体" w:hAnsi="方正小标宋简体" w:eastAsia="方正小标宋简体" w:cs="方正小标宋简体"/>
          <w:bCs/>
          <w:color w:val="auto"/>
          <w:sz w:val="44"/>
          <w:szCs w:val="44"/>
        </w:rPr>
        <w:t>青</w:t>
      </w:r>
      <w:r>
        <w:rPr>
          <w:rFonts w:hint="eastAsia" w:ascii="方正小标宋简体" w:hAnsi="方正小标宋简体" w:eastAsia="方正小标宋简体" w:cs="方正小标宋简体"/>
          <w:bCs/>
          <w:color w:val="auto"/>
          <w:sz w:val="44"/>
          <w:szCs w:val="44"/>
          <w:lang w:eastAsia="zh-CN"/>
        </w:rPr>
        <w:t>云谱</w:t>
      </w:r>
      <w:r>
        <w:rPr>
          <w:rFonts w:hint="eastAsia" w:ascii="方正小标宋简体" w:hAnsi="方正小标宋简体" w:eastAsia="方正小标宋简体" w:cs="方正小标宋简体"/>
          <w:bCs/>
          <w:color w:val="auto"/>
          <w:sz w:val="44"/>
          <w:szCs w:val="44"/>
        </w:rPr>
        <w:t>区</w:t>
      </w:r>
      <w:r>
        <w:rPr>
          <w:rFonts w:hint="eastAsia" w:ascii="方正小标宋简体" w:hAnsi="方正小标宋简体" w:eastAsia="方正小标宋简体" w:cs="方正小标宋简体"/>
          <w:bCs/>
          <w:color w:val="auto"/>
          <w:sz w:val="44"/>
          <w:szCs w:val="44"/>
          <w:lang w:eastAsia="zh-CN"/>
        </w:rPr>
        <w:t>洪都新城建设项目</w:t>
      </w:r>
      <w:r>
        <w:rPr>
          <w:rFonts w:hint="eastAsia" w:ascii="方正小标宋简体" w:hAnsi="方正小标宋简体" w:eastAsia="方正小标宋简体" w:cs="方正小标宋简体"/>
          <w:bCs/>
          <w:color w:val="auto"/>
          <w:sz w:val="44"/>
          <w:szCs w:val="44"/>
          <w:lang w:val="en-US" w:eastAsia="zh-CN"/>
        </w:rPr>
        <w:t>2023</w:t>
      </w:r>
      <w:r>
        <w:rPr>
          <w:rFonts w:hint="eastAsia" w:ascii="方正小标宋简体" w:hAnsi="方正小标宋简体" w:eastAsia="方正小标宋简体" w:cs="方正小标宋简体"/>
          <w:bCs/>
          <w:color w:val="auto"/>
          <w:sz w:val="44"/>
          <w:szCs w:val="44"/>
        </w:rPr>
        <w:t>年度绩效自评报告</w:t>
      </w:r>
    </w:p>
    <w:p w14:paraId="3CA18940">
      <w:pPr>
        <w:spacing w:line="536" w:lineRule="exact"/>
        <w:jc w:val="center"/>
        <w:rPr>
          <w:rFonts w:hint="eastAsia" w:ascii="方正小标宋简体" w:hAnsi="方正小标宋简体" w:eastAsia="方正小标宋简体" w:cs="方正小标宋简体"/>
          <w:bCs/>
          <w:color w:val="auto"/>
          <w:sz w:val="44"/>
          <w:szCs w:val="44"/>
        </w:rPr>
      </w:pPr>
    </w:p>
    <w:p w14:paraId="54EE5F8E">
      <w:pPr>
        <w:autoSpaceDE w:val="0"/>
        <w:autoSpaceDN w:val="0"/>
        <w:adjustRightInd w:val="0"/>
        <w:spacing w:beforeLines="0" w:afterLines="0" w:line="560" w:lineRule="exact"/>
        <w:ind w:firstLine="640" w:firstLineChars="200"/>
        <w:jc w:val="left"/>
        <w:rPr>
          <w:rFonts w:hint="eastAsia" w:ascii="黑体" w:hAnsi="宋体" w:eastAsia="黑体"/>
          <w:color w:val="auto"/>
          <w:kern w:val="0"/>
          <w:sz w:val="21"/>
        </w:rPr>
      </w:pPr>
      <w:r>
        <w:rPr>
          <w:rFonts w:hint="eastAsia" w:ascii="黑体" w:hAnsi="宋体" w:eastAsia="黑体"/>
          <w:color w:val="auto"/>
          <w:kern w:val="0"/>
          <w:sz w:val="32"/>
        </w:rPr>
        <w:t>一、基本情况</w:t>
      </w:r>
    </w:p>
    <w:p w14:paraId="3318390F">
      <w:pPr>
        <w:pStyle w:val="36"/>
        <w:numPr>
          <w:ilvl w:val="0"/>
          <w:numId w:val="7"/>
        </w:numPr>
        <w:spacing w:line="540" w:lineRule="exact"/>
        <w:ind w:firstLineChars="0"/>
        <w:rPr>
          <w:rFonts w:ascii="仿宋_GB2312" w:hAnsi="黑体" w:eastAsia="仿宋_GB2312"/>
          <w:color w:val="auto"/>
          <w:sz w:val="32"/>
          <w:szCs w:val="32"/>
        </w:rPr>
      </w:pPr>
      <w:r>
        <w:rPr>
          <w:rFonts w:hint="eastAsia" w:ascii="仿宋_GB2312" w:hAnsi="黑体" w:eastAsia="仿宋_GB2312"/>
          <w:color w:val="auto"/>
          <w:sz w:val="32"/>
          <w:szCs w:val="32"/>
        </w:rPr>
        <w:t>立项背景及依据</w:t>
      </w:r>
    </w:p>
    <w:p w14:paraId="725EF00E">
      <w:pPr>
        <w:pStyle w:val="37"/>
        <w:rPr>
          <w:rFonts w:hint="eastAsia"/>
          <w:color w:val="000000"/>
          <w:kern w:val="2"/>
          <w:sz w:val="28"/>
          <w:szCs w:val="22"/>
          <w:lang w:val="en-US" w:eastAsia="zh-CN"/>
        </w:rPr>
      </w:pPr>
      <w:r>
        <w:rPr>
          <w:rFonts w:hint="eastAsia"/>
          <w:color w:val="000000"/>
          <w:kern w:val="2"/>
          <w:sz w:val="28"/>
          <w:szCs w:val="22"/>
          <w:lang w:val="en-US" w:eastAsia="zh-CN"/>
        </w:rPr>
        <w:t>青云谱区城市交通基础设施方面，还远远不能满足现代化建设的要求，存在着交通基础设施老化、落后，路网结构单一的严重现象，交通供需之间的矛盾越来越突出。</w:t>
      </w:r>
    </w:p>
    <w:p w14:paraId="4F4F4EBA">
      <w:pPr>
        <w:pStyle w:val="37"/>
        <w:rPr>
          <w:rFonts w:hint="eastAsia"/>
          <w:color w:val="000000"/>
          <w:kern w:val="2"/>
          <w:sz w:val="28"/>
          <w:szCs w:val="22"/>
          <w:lang w:val="en-US" w:eastAsia="zh-CN"/>
        </w:rPr>
      </w:pPr>
      <w:r>
        <w:rPr>
          <w:rFonts w:hint="eastAsia"/>
          <w:color w:val="000000"/>
          <w:kern w:val="2"/>
          <w:sz w:val="28"/>
          <w:szCs w:val="22"/>
          <w:lang w:val="en-US" w:eastAsia="zh-CN"/>
        </w:rPr>
        <w:t>项目建设是完善当地基础配套设施，满足区域交通运输需求，促进区域社会经济全面协调可持续发展的需要</w:t>
      </w:r>
    </w:p>
    <w:p w14:paraId="6AAF7148">
      <w:pPr>
        <w:pStyle w:val="37"/>
        <w:rPr>
          <w:rFonts w:hint="eastAsia"/>
          <w:color w:val="000000"/>
          <w:kern w:val="2"/>
          <w:sz w:val="28"/>
          <w:szCs w:val="22"/>
          <w:lang w:val="en-US" w:eastAsia="zh-CN"/>
        </w:rPr>
      </w:pPr>
      <w:r>
        <w:rPr>
          <w:rFonts w:hint="eastAsia"/>
          <w:color w:val="000000"/>
          <w:kern w:val="2"/>
          <w:sz w:val="28"/>
          <w:szCs w:val="22"/>
          <w:lang w:val="en-US" w:eastAsia="zh-CN"/>
        </w:rPr>
        <w:t>随着城市经济的增长，各企业的引进，物流运输量的加大以及人口、居民家用车辆的增多等导致区域内的交通压力大大增加，项目建设将优化和完善区域道路网结构，为重大项目的顺利签约奠定扎实的基础。同时，项目的实施，大大缩短了南昌市青云谱区各区域的交通距离，减少了区域点与点之间通行距离，节约了车辆行驶时间，与当今社会的环保节约的发展相符。本项目的建设是完善当地基础配套设施，满足区域交通运输需求，促进区域社会经济全面协调可持续发展的需要。</w:t>
      </w:r>
    </w:p>
    <w:p w14:paraId="39912016">
      <w:pPr>
        <w:pStyle w:val="36"/>
        <w:numPr>
          <w:ilvl w:val="0"/>
          <w:numId w:val="0"/>
        </w:numPr>
        <w:spacing w:line="540" w:lineRule="exact"/>
        <w:ind w:firstLine="560" w:firstLineChars="200"/>
        <w:rPr>
          <w:rFonts w:ascii="仿宋_GB2312" w:hAnsi="黑体" w:eastAsia="仿宋_GB2312"/>
          <w:color w:val="FF0000"/>
          <w:sz w:val="32"/>
          <w:szCs w:val="32"/>
        </w:rPr>
      </w:pPr>
      <w:r>
        <w:rPr>
          <w:rFonts w:hint="eastAsia" w:ascii="仿宋" w:hAnsi="仿宋" w:eastAsia="仿宋" w:cs="仿宋"/>
          <w:color w:val="000000"/>
          <w:kern w:val="2"/>
          <w:sz w:val="28"/>
          <w:szCs w:val="22"/>
          <w:lang w:val="en-US" w:eastAsia="zh-CN"/>
        </w:rPr>
        <w:t>青云谱区城市休闲基础设施方面，</w:t>
      </w:r>
      <w:r>
        <w:rPr>
          <w:rFonts w:hint="eastAsia" w:ascii="仿宋" w:hAnsi="仿宋" w:eastAsia="仿宋" w:cs="仿宋"/>
          <w:sz w:val="32"/>
          <w:szCs w:val="32"/>
          <w:lang w:val="en-US" w:eastAsia="zh-CN"/>
        </w:rPr>
        <w:t>为了推动区域发展，</w:t>
      </w:r>
      <w:r>
        <w:rPr>
          <w:rFonts w:hint="eastAsia" w:ascii="仿宋" w:hAnsi="仿宋" w:eastAsia="仿宋" w:cs="仿宋"/>
          <w:b w:val="0"/>
          <w:bCs w:val="0"/>
          <w:kern w:val="2"/>
          <w:sz w:val="32"/>
          <w:szCs w:val="32"/>
          <w:lang w:val="en-US" w:eastAsia="zh-CN" w:bidi="ar-SA"/>
        </w:rPr>
        <w:t>丰富青云谱区的旅游景点，进一步促进南昌的城市旅游业的发展。产生社会效益本项目通过对城市休闲，娱乐以及文化更新的探索建设，解决城市的功能问题，并在此基础上建成一个令人流连忘返的公共空间，而以不去基地原有的自然特征与历史痕迹。将进一步扩大景观开放空间，提供市民社区生活圈，为市民休闲、健身提供了更大的空间场所，以独特的景观品质吸引一定的市内外游客观光体验。</w:t>
      </w:r>
    </w:p>
    <w:p w14:paraId="3B53611C">
      <w:pPr>
        <w:numPr>
          <w:ilvl w:val="0"/>
          <w:numId w:val="7"/>
        </w:numPr>
        <w:autoSpaceDE w:val="0"/>
        <w:autoSpaceDN w:val="0"/>
        <w:adjustRightInd w:val="0"/>
        <w:spacing w:beforeLines="0" w:afterLines="0" w:line="560" w:lineRule="exact"/>
        <w:ind w:left="1080" w:leftChars="0" w:hanging="1080" w:firstLineChars="0"/>
        <w:jc w:val="left"/>
        <w:rPr>
          <w:rFonts w:hint="eastAsia" w:ascii="仿宋_GB2312" w:hAnsi="Times New Roman" w:eastAsia="仿宋_GB2312"/>
          <w:color w:val="auto"/>
          <w:kern w:val="0"/>
          <w:sz w:val="32"/>
        </w:rPr>
      </w:pPr>
      <w:r>
        <w:rPr>
          <w:rFonts w:hint="eastAsia" w:ascii="仿宋_GB2312" w:hAnsi="Times New Roman" w:eastAsia="仿宋_GB2312"/>
          <w:color w:val="auto"/>
          <w:kern w:val="0"/>
          <w:sz w:val="32"/>
        </w:rPr>
        <w:t>项目绩效目标。包括总体目标和阶段性目标。</w:t>
      </w:r>
    </w:p>
    <w:p w14:paraId="562A79A4">
      <w:pPr>
        <w:widowControl w:val="0"/>
        <w:adjustRightInd/>
        <w:snapToGrid/>
        <w:spacing w:after="0"/>
        <w:ind w:firstLine="640"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themeColor="text1"/>
          <w:sz w:val="32"/>
          <w:szCs w:val="32"/>
          <w:u w:val="none" w:color="auto"/>
          <w:lang w:val="en-US" w:eastAsia="zh-CN"/>
          <w14:textFill>
            <w14:solidFill>
              <w14:schemeClr w14:val="tx1"/>
            </w14:solidFill>
          </w14:textFill>
        </w:rPr>
        <w:t>新建28条道路建设，</w:t>
      </w:r>
      <w:r>
        <w:rPr>
          <w:rFonts w:hint="eastAsia" w:ascii="仿宋" w:hAnsi="仿宋" w:eastAsia="仿宋" w:cs="仿宋"/>
          <w:sz w:val="32"/>
          <w:szCs w:val="32"/>
          <w:highlight w:val="none"/>
          <w:lang w:val="en-US" w:eastAsia="zh-CN"/>
        </w:rPr>
        <w:t>建设总长度约30公里。</w:t>
      </w:r>
      <w:r>
        <w:rPr>
          <w:rFonts w:hint="eastAsia" w:ascii="仿宋_GB2312" w:hAnsi="仿宋_GB2312" w:eastAsia="仿宋_GB2312" w:cs="仿宋_GB2312"/>
          <w:color w:val="000000"/>
          <w:sz w:val="32"/>
          <w:szCs w:val="32"/>
        </w:rPr>
        <w:t>工程建设内容包含道路工程、交通工程、排水工程、照明工程、市政管线工程、绿化工程等。</w:t>
      </w:r>
    </w:p>
    <w:p w14:paraId="15EBE81A">
      <w:pPr>
        <w:spacing w:line="550" w:lineRule="exact"/>
        <w:ind w:firstLine="640" w:firstLineChars="200"/>
        <w:rPr>
          <w:rFonts w:hint="eastAsia" w:ascii="仿宋_GB2312" w:hAnsi="Times New Roman" w:eastAsia="仿宋_GB2312"/>
          <w:color w:val="FF0000"/>
          <w:kern w:val="0"/>
          <w:sz w:val="32"/>
        </w:rPr>
      </w:pPr>
      <w:r>
        <w:rPr>
          <w:rFonts w:hint="eastAsia" w:ascii="仿宋_GB2312" w:hAnsi="仿宋_GB2312" w:eastAsia="仿宋_GB2312" w:cs="仿宋_GB2312"/>
          <w:sz w:val="32"/>
          <w:szCs w:val="32"/>
          <w:lang w:val="en-US" w:eastAsia="zh-CN"/>
        </w:rPr>
        <w:t>新建</w:t>
      </w:r>
      <w:r>
        <w:rPr>
          <w:rFonts w:hint="eastAsia" w:ascii="仿宋_GB2312" w:hAnsi="仿宋_GB2312" w:eastAsia="仿宋_GB2312" w:cs="仿宋_GB2312"/>
          <w:sz w:val="32"/>
          <w:szCs w:val="32"/>
        </w:rPr>
        <w:t>洪都航空文化园</w:t>
      </w:r>
      <w:r>
        <w:rPr>
          <w:rFonts w:hint="eastAsia" w:ascii="仿宋_GB2312" w:hAnsi="仿宋_GB2312" w:eastAsia="仿宋_GB2312" w:cs="仿宋_GB2312"/>
          <w:sz w:val="32"/>
          <w:szCs w:val="32"/>
          <w:lang w:val="en-US" w:eastAsia="zh-CN"/>
        </w:rPr>
        <w:t>公司</w:t>
      </w:r>
      <w:r>
        <w:rPr>
          <w:rFonts w:hint="eastAsia" w:ascii="仿宋_GB2312" w:hAnsi="仿宋_GB2312" w:eastAsia="仿宋_GB2312" w:cs="仿宋_GB2312"/>
          <w:sz w:val="32"/>
          <w:szCs w:val="32"/>
        </w:rPr>
        <w:t>项目，总占地面积</w:t>
      </w:r>
      <w:r>
        <w:rPr>
          <w:rFonts w:ascii="仿宋_GB2312" w:hAnsi="仿宋_GB2312" w:eastAsia="仿宋_GB2312" w:cs="仿宋_GB2312"/>
          <w:sz w:val="32"/>
          <w:szCs w:val="32"/>
        </w:rPr>
        <w:t>216144.58</w:t>
      </w:r>
      <w:r>
        <w:rPr>
          <w:rFonts w:hint="eastAsia" w:ascii="仿宋_GB2312" w:hAnsi="仿宋_GB2312" w:eastAsia="仿宋_GB2312" w:cs="仿宋_GB2312"/>
          <w:sz w:val="32"/>
          <w:szCs w:val="32"/>
        </w:rPr>
        <w:t>㎡（约3</w:t>
      </w:r>
      <w:r>
        <w:rPr>
          <w:rFonts w:ascii="仿宋_GB2312" w:hAnsi="仿宋_GB2312" w:eastAsia="仿宋_GB2312" w:cs="仿宋_GB2312"/>
          <w:sz w:val="32"/>
          <w:szCs w:val="32"/>
        </w:rPr>
        <w:t>24.54</w:t>
      </w:r>
      <w:r>
        <w:rPr>
          <w:rFonts w:hint="eastAsia" w:ascii="仿宋_GB2312" w:hAnsi="仿宋_GB2312" w:eastAsia="仿宋_GB2312" w:cs="仿宋_GB2312"/>
          <w:sz w:val="32"/>
          <w:szCs w:val="32"/>
        </w:rPr>
        <w:t>亩），其中：绿化面积</w:t>
      </w:r>
      <w:r>
        <w:rPr>
          <w:rFonts w:ascii="仿宋_GB2312" w:hAnsi="仿宋_GB2312" w:eastAsia="仿宋_GB2312" w:cs="仿宋_GB2312"/>
          <w:sz w:val="32"/>
          <w:szCs w:val="32"/>
        </w:rPr>
        <w:t>136519.05</w:t>
      </w:r>
      <w:r>
        <w:rPr>
          <w:rFonts w:hint="eastAsia" w:ascii="仿宋_GB2312" w:hAnsi="仿宋_GB2312" w:eastAsia="仿宋_GB2312" w:cs="仿宋_GB2312"/>
          <w:sz w:val="32"/>
          <w:szCs w:val="32"/>
        </w:rPr>
        <w:t>m²，硬质景观面积</w:t>
      </w:r>
      <w:r>
        <w:rPr>
          <w:rFonts w:ascii="仿宋_GB2312" w:hAnsi="仿宋_GB2312" w:eastAsia="仿宋_GB2312" w:cs="仿宋_GB2312"/>
          <w:sz w:val="32"/>
          <w:szCs w:val="32"/>
        </w:rPr>
        <w:t>71218.6</w:t>
      </w:r>
      <w:r>
        <w:rPr>
          <w:rFonts w:hint="eastAsia" w:ascii="仿宋_GB2312" w:hAnsi="仿宋_GB2312" w:eastAsia="仿宋_GB2312" w:cs="仿宋_GB2312"/>
          <w:sz w:val="32"/>
          <w:szCs w:val="32"/>
        </w:rPr>
        <w:t xml:space="preserve"> ㎡（含园路、停车场、广场铺装），建筑占地面积</w:t>
      </w:r>
      <w:r>
        <w:rPr>
          <w:rFonts w:ascii="仿宋_GB2312" w:hAnsi="仿宋_GB2312" w:eastAsia="仿宋_GB2312" w:cs="仿宋_GB2312"/>
          <w:sz w:val="32"/>
          <w:szCs w:val="32"/>
        </w:rPr>
        <w:t>8406.93</w:t>
      </w:r>
      <w:r>
        <w:rPr>
          <w:rFonts w:hint="eastAsia" w:ascii="仿宋_GB2312" w:hAnsi="仿宋_GB2312" w:eastAsia="仿宋_GB2312" w:cs="仿宋_GB2312"/>
          <w:sz w:val="32"/>
          <w:szCs w:val="32"/>
        </w:rPr>
        <w:t>㎡。主要建设内容包含有景观绿化工程、构筑物、景观配套建筑、雕塑、景观小品、园路等。</w:t>
      </w:r>
    </w:p>
    <w:p w14:paraId="3C01DAB0">
      <w:pPr>
        <w:autoSpaceDE w:val="0"/>
        <w:autoSpaceDN w:val="0"/>
        <w:adjustRightInd w:val="0"/>
        <w:spacing w:beforeLines="0" w:afterLines="0" w:line="560" w:lineRule="exact"/>
        <w:ind w:firstLine="640" w:firstLineChars="200"/>
        <w:jc w:val="left"/>
        <w:rPr>
          <w:rFonts w:hint="eastAsia" w:ascii="仿宋_GB2312" w:eastAsia="仿宋_GB2312"/>
          <w:color w:val="auto"/>
          <w:kern w:val="0"/>
          <w:sz w:val="21"/>
        </w:rPr>
      </w:pPr>
      <w:r>
        <w:rPr>
          <w:rFonts w:hint="eastAsia" w:ascii="黑体" w:hAnsi="宋体" w:eastAsia="黑体"/>
          <w:color w:val="auto"/>
          <w:kern w:val="0"/>
          <w:sz w:val="32"/>
        </w:rPr>
        <w:t>二、绩效评价工作开展情况</w:t>
      </w:r>
    </w:p>
    <w:p w14:paraId="7E4A3C6F">
      <w:pPr>
        <w:autoSpaceDE w:val="0"/>
        <w:autoSpaceDN w:val="0"/>
        <w:adjustRightInd w:val="0"/>
        <w:spacing w:beforeLines="0" w:afterLines="0" w:line="560" w:lineRule="exact"/>
        <w:ind w:firstLine="640" w:firstLineChars="200"/>
        <w:jc w:val="left"/>
        <w:rPr>
          <w:rFonts w:hint="eastAsia" w:ascii="仿宋_GB2312" w:hAnsi="Times New Roman" w:eastAsia="仿宋_GB2312"/>
          <w:color w:val="auto"/>
          <w:kern w:val="0"/>
          <w:sz w:val="32"/>
        </w:rPr>
      </w:pPr>
      <w:r>
        <w:rPr>
          <w:rFonts w:hint="eastAsia" w:ascii="仿宋_GB2312" w:hAnsi="Times New Roman" w:eastAsia="仿宋_GB2312"/>
          <w:color w:val="auto"/>
          <w:kern w:val="0"/>
          <w:sz w:val="32"/>
        </w:rPr>
        <w:t>（一）绩效评价目的、对象和范围。</w:t>
      </w:r>
    </w:p>
    <w:p w14:paraId="1A080789">
      <w:pPr>
        <w:widowControl w:val="0"/>
        <w:adjustRightInd/>
        <w:snapToGrid/>
        <w:spacing w:after="0"/>
        <w:ind w:firstLine="640"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auto"/>
          <w:sz w:val="32"/>
          <w:szCs w:val="32"/>
          <w:u w:val="none" w:color="auto"/>
          <w:lang w:val="en-US" w:eastAsia="zh-CN"/>
        </w:rPr>
        <w:t>道路建设</w:t>
      </w:r>
      <w:r>
        <w:rPr>
          <w:rFonts w:hint="eastAsia" w:ascii="仿宋_GB2312" w:hAnsi="仿宋_GB2312" w:eastAsia="仿宋_GB2312" w:cs="仿宋_GB2312"/>
          <w:color w:val="auto"/>
          <w:sz w:val="32"/>
          <w:szCs w:val="32"/>
        </w:rPr>
        <w:t>内容包含道路工程、交通工程、</w:t>
      </w:r>
      <w:r>
        <w:rPr>
          <w:rFonts w:hint="eastAsia" w:ascii="仿宋_GB2312" w:hAnsi="仿宋_GB2312" w:eastAsia="仿宋_GB2312" w:cs="仿宋_GB2312"/>
          <w:color w:val="000000"/>
          <w:sz w:val="32"/>
          <w:szCs w:val="32"/>
        </w:rPr>
        <w:t>排水工程、照明工程、市政管线工程、绿化工程等。</w:t>
      </w:r>
    </w:p>
    <w:p w14:paraId="6D9FE90D">
      <w:pPr>
        <w:pStyle w:val="29"/>
        <w:ind w:firstLine="640" w:firstLineChars="200"/>
        <w:rPr>
          <w:rFonts w:hint="eastAsia"/>
        </w:rPr>
      </w:pPr>
      <w:r>
        <w:rPr>
          <w:rFonts w:hint="eastAsia" w:ascii="仿宋_GB2312" w:hAnsi="仿宋_GB2312" w:eastAsia="仿宋_GB2312" w:cs="仿宋_GB2312"/>
          <w:sz w:val="32"/>
          <w:szCs w:val="32"/>
          <w:lang w:val="en-US" w:eastAsia="zh-CN"/>
        </w:rPr>
        <w:t>公园建设</w:t>
      </w:r>
      <w:r>
        <w:rPr>
          <w:rFonts w:hint="eastAsia" w:ascii="仿宋_GB2312" w:hAnsi="仿宋_GB2312" w:eastAsia="仿宋_GB2312" w:cs="仿宋_GB2312"/>
          <w:sz w:val="32"/>
          <w:szCs w:val="32"/>
        </w:rPr>
        <w:t>主要建设内容包含有景观绿化工程、构筑物、景观配套建筑、雕塑、景观小品、园路等。</w:t>
      </w:r>
    </w:p>
    <w:p w14:paraId="1587F8F5">
      <w:pPr>
        <w:numPr>
          <w:ilvl w:val="0"/>
          <w:numId w:val="7"/>
        </w:numPr>
        <w:autoSpaceDE w:val="0"/>
        <w:autoSpaceDN w:val="0"/>
        <w:adjustRightInd w:val="0"/>
        <w:spacing w:beforeLines="0" w:afterLines="0" w:line="560" w:lineRule="exact"/>
        <w:ind w:left="1080" w:leftChars="0" w:hanging="1080" w:firstLineChars="0"/>
        <w:jc w:val="left"/>
        <w:rPr>
          <w:rFonts w:hint="eastAsia" w:ascii="仿宋_GB2312" w:hAnsi="Times New Roman" w:eastAsia="仿宋_GB2312"/>
          <w:kern w:val="0"/>
          <w:sz w:val="32"/>
        </w:rPr>
      </w:pPr>
      <w:r>
        <w:rPr>
          <w:rFonts w:hint="eastAsia" w:ascii="仿宋_GB2312" w:hAnsi="Times New Roman" w:eastAsia="仿宋_GB2312"/>
          <w:kern w:val="0"/>
          <w:sz w:val="32"/>
        </w:rPr>
        <w:t>绩效评价原则、评价指标体系、评价方法、评价标准等。</w:t>
      </w:r>
    </w:p>
    <w:p w14:paraId="61545038">
      <w:pPr>
        <w:pStyle w:val="32"/>
        <w:pageBreakBefore w:val="0"/>
        <w:widowControl/>
        <w:kinsoku/>
        <w:wordWrap/>
        <w:overflowPunct/>
        <w:topLinePunct w:val="0"/>
        <w:autoSpaceDE/>
        <w:autoSpaceDN/>
        <w:bidi w:val="0"/>
        <w:spacing w:line="400" w:lineRule="exact"/>
        <w:ind w:left="0" w:leftChars="0" w:firstLine="0" w:firstLineChars="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2、评价原则</w:t>
      </w:r>
    </w:p>
    <w:p w14:paraId="4C93EC9F">
      <w:pPr>
        <w:pStyle w:val="32"/>
        <w:pageBreakBefore w:val="0"/>
        <w:widowControl/>
        <w:kinsoku/>
        <w:wordWrap/>
        <w:overflowPunct/>
        <w:topLinePunct w:val="0"/>
        <w:autoSpaceDE/>
        <w:autoSpaceDN/>
        <w:bidi w:val="0"/>
        <w:spacing w:line="400" w:lineRule="exact"/>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根据财政部财预十号文中《预算绩效评价共性指标体系框架》等文件精神，确定本次绩效评价指标的整体框架。针对项目构建一套指标体系，项目指标包括项目决策（项目立项、绩效目标、资金投入），项目过程（资金管理、组织实施），项目产出（产出数量、产出质量、产出时效、产出成本），项目效益（社会效益、可持续影响、服务对象满意度）。结合项目实施方案、可行性研究报告等内容，确定本次绩效评价指标体系的个性指标，设置项目绩效评分指标表，涵盖三级指标23个。指标数据来源于相关法规、政府文件、基础数据采集、问卷调查和访谈等。具体详见如表1所示。</w:t>
      </w:r>
    </w:p>
    <w:p w14:paraId="125935E2">
      <w:pPr>
        <w:pStyle w:val="32"/>
        <w:pageBreakBefore w:val="0"/>
        <w:widowControl/>
        <w:kinsoku/>
        <w:wordWrap/>
        <w:overflowPunct/>
        <w:topLinePunct w:val="0"/>
        <w:autoSpaceDE/>
        <w:autoSpaceDN/>
        <w:bidi w:val="0"/>
        <w:spacing w:line="400" w:lineRule="exact"/>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（1）项目决策：占权重20分，用于考核项目立项依据规范性、绩效目标编制合理性、预算资金编制分配合理性等情况。</w:t>
      </w:r>
    </w:p>
    <w:p w14:paraId="6442F7F9">
      <w:pPr>
        <w:pStyle w:val="32"/>
        <w:pageBreakBefore w:val="0"/>
        <w:widowControl/>
        <w:kinsoku/>
        <w:wordWrap/>
        <w:overflowPunct/>
        <w:topLinePunct w:val="0"/>
        <w:autoSpaceDE/>
        <w:autoSpaceDN/>
        <w:bidi w:val="0"/>
        <w:spacing w:line="400" w:lineRule="exact"/>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（2）项目过程：占权重20分，用于考核预算资金到位及执行使用的合规性、项目管理制度健全及有效性等情况。</w:t>
      </w:r>
    </w:p>
    <w:p w14:paraId="114CC3CE">
      <w:pPr>
        <w:pStyle w:val="32"/>
        <w:pageBreakBefore w:val="0"/>
        <w:widowControl/>
        <w:kinsoku/>
        <w:wordWrap/>
        <w:overflowPunct/>
        <w:topLinePunct w:val="0"/>
        <w:autoSpaceDE/>
        <w:autoSpaceDN/>
        <w:bidi w:val="0"/>
        <w:spacing w:line="400" w:lineRule="exact"/>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（3）项目产出：占权重30分，分为产出数量、产出质量、产出时效、产出成本四个方面，用于衡量实际工作成果。</w:t>
      </w:r>
    </w:p>
    <w:p w14:paraId="50C25521">
      <w:pPr>
        <w:pStyle w:val="32"/>
        <w:pageBreakBefore w:val="0"/>
        <w:widowControl/>
        <w:kinsoku/>
        <w:wordWrap/>
        <w:overflowPunct/>
        <w:topLinePunct w:val="0"/>
        <w:autoSpaceDE/>
        <w:autoSpaceDN/>
        <w:bidi w:val="0"/>
        <w:spacing w:line="400" w:lineRule="exact"/>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（4）项目效益：占权重30分，分为经济效益、社会效益、生态效益、满意度等方面，用于展现项目实施效果及群众对项目实施后的满意度情况。</w:t>
      </w:r>
    </w:p>
    <w:p w14:paraId="0414598F">
      <w:pPr>
        <w:pStyle w:val="2"/>
        <w:rPr>
          <w:rFonts w:hint="default"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3、</w:t>
      </w:r>
      <w:r>
        <w:rPr>
          <w:rFonts w:hint="eastAsia" w:ascii="仿宋_GB2312" w:hAnsi="仿宋_GB2312" w:eastAsia="仿宋_GB2312" w:cs="仿宋_GB2312"/>
          <w:sz w:val="32"/>
          <w:szCs w:val="32"/>
          <w:highlight w:val="none"/>
        </w:rPr>
        <w:t>评价指标体系</w:t>
      </w:r>
    </w:p>
    <w:p w14:paraId="4B55EB53">
      <w:pPr>
        <w:pStyle w:val="33"/>
        <w:bidi w:val="0"/>
        <w:spacing w:before="0" w:after="0" w:line="240" w:lineRule="auto"/>
        <w:ind w:firstLine="0" w:firstLineChars="0"/>
        <w:jc w:val="both"/>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表1  绩效评价指标体系</w:t>
      </w:r>
    </w:p>
    <w:tbl>
      <w:tblPr>
        <w:tblStyle w:val="12"/>
        <w:tblW w:w="8779" w:type="dxa"/>
        <w:tblInd w:w="-36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59"/>
        <w:gridCol w:w="1551"/>
        <w:gridCol w:w="1619"/>
        <w:gridCol w:w="4150"/>
      </w:tblGrid>
      <w:tr w14:paraId="7D265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459"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35DE2E56">
            <w:pPr>
              <w:pStyle w:val="34"/>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一级指标</w:t>
            </w:r>
          </w:p>
        </w:tc>
        <w:tc>
          <w:tcPr>
            <w:tcW w:w="1551"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73BC5A03">
            <w:pPr>
              <w:pStyle w:val="34"/>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二级指标</w:t>
            </w:r>
          </w:p>
        </w:tc>
        <w:tc>
          <w:tcPr>
            <w:tcW w:w="1619"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49AE3C9E">
            <w:pPr>
              <w:pStyle w:val="34"/>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三级指标</w:t>
            </w:r>
          </w:p>
        </w:tc>
        <w:tc>
          <w:tcPr>
            <w:tcW w:w="4150"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7E91D8C7">
            <w:pPr>
              <w:pStyle w:val="34"/>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评分标准</w:t>
            </w:r>
          </w:p>
        </w:tc>
      </w:tr>
      <w:tr w14:paraId="268D5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7" w:hRule="atLeast"/>
        </w:trPr>
        <w:tc>
          <w:tcPr>
            <w:tcW w:w="1459" w:type="dxa"/>
            <w:vMerge w:val="restart"/>
            <w:tcBorders>
              <w:top w:val="single" w:color="000000" w:sz="4" w:space="0"/>
              <w:left w:val="single" w:color="000000" w:sz="4" w:space="0"/>
              <w:bottom w:val="single" w:color="000000" w:sz="4" w:space="0"/>
              <w:right w:val="single" w:color="000000" w:sz="4" w:space="0"/>
            </w:tcBorders>
            <w:noWrap w:val="0"/>
            <w:vAlign w:val="center"/>
          </w:tcPr>
          <w:p w14:paraId="56784BBE">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决策指标（20分）</w:t>
            </w:r>
          </w:p>
        </w:tc>
        <w:tc>
          <w:tcPr>
            <w:tcW w:w="1551" w:type="dxa"/>
            <w:vMerge w:val="restart"/>
            <w:tcBorders>
              <w:top w:val="single" w:color="000000" w:sz="4" w:space="0"/>
              <w:left w:val="single" w:color="000000" w:sz="4" w:space="0"/>
              <w:bottom w:val="single" w:color="000000" w:sz="4" w:space="0"/>
              <w:right w:val="single" w:color="000000" w:sz="4" w:space="0"/>
            </w:tcBorders>
            <w:noWrap w:val="0"/>
            <w:vAlign w:val="center"/>
          </w:tcPr>
          <w:p w14:paraId="08564E35">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项目立项（6分）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34C66FA2">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立项依据充分性（3分）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4F5D3DDE">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项目立项符合国家法律法规、国民经济和社会发展规划和相关政策；②符合行业发展规划和政策要求；③项目立项与部门职责相符，属于部门履职所需；④项目未与相关部门同类项目或相关部门项目重复。以上均符合得100%权重分，否则 每一项不符合扣除25%权重分，扣完为止。</w:t>
            </w:r>
          </w:p>
        </w:tc>
      </w:tr>
      <w:tr w14:paraId="62B32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2"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635205">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72C14E">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1C94D4BE">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立项程序规范性（3分）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4F5AADC6">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项目按规定的程序申请设立；②审批文件、材料符合相关要求；③事前经过必要的可行性研究、专家论证、风险评估、绩效评估、集体决策。以上均符合得100%权重分，否则每一项不符合扣除100%权重分，扣完为止。</w:t>
            </w:r>
          </w:p>
        </w:tc>
      </w:tr>
      <w:tr w14:paraId="6C86E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0"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2FD03A">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restart"/>
            <w:tcBorders>
              <w:top w:val="single" w:color="000000" w:sz="4" w:space="0"/>
              <w:left w:val="single" w:color="000000" w:sz="4" w:space="0"/>
              <w:bottom w:val="single" w:color="000000" w:sz="4" w:space="0"/>
              <w:right w:val="single" w:color="000000" w:sz="4" w:space="0"/>
            </w:tcBorders>
            <w:noWrap w:val="0"/>
            <w:vAlign w:val="center"/>
          </w:tcPr>
          <w:p w14:paraId="2E52A0B7">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绩效目标（8分）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450434A3">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绩效目标合理性（4分）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3BB78A5D">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项目设定有绩效目标；②项目绩效目标与实际工作内容具有相关性；③项目预期产出效益和效果符合正常的业绩水平；④项目绩效目标与预算确定的投资项目额或资金量相匹配。每项占20%、20%、20%、40%权重分；以上均符合得100%权重分，否则扣除相应权重分。</w:t>
            </w:r>
          </w:p>
        </w:tc>
      </w:tr>
      <w:tr w14:paraId="05DA9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19"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3AC84A">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84132D">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58ED8EB2">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绩效指标明确性（4分）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6497D906">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将项目绩效目标细化分解为具体的绩效指标；②绩效指标通过清晰可衡量的指标予以体现；③绩效指标与项目目标任务数或计划数相对应。每项占30%、30%、40%权重分，以上均符合得100%权重分，否则扣除相应权重分。</w:t>
            </w:r>
          </w:p>
        </w:tc>
      </w:tr>
      <w:tr w14:paraId="5BFFE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2"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794AD7">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BE0CD1">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资金投入（10分）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2A1F323B">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预算编制科学性（4分）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114CA39E">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项目预算编制经过科学论证；②预算内容与项目内容匹配；③预算额度测算依据充分，按照标准编制；④预算确定的投资项目额或资金量与工作任务相匹配。每项占30%、30%、20%、20%权重分，以上均符合得100%权重分，否则扣除相应权重分。</w:t>
            </w:r>
          </w:p>
        </w:tc>
      </w:tr>
      <w:tr w14:paraId="53213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2"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2421B7">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3895D5">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04811C8D">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资金分配合理性（2分）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402EC7A2">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①项目资金分配依据充分；②资金分配额度合理，与项目实际相适应。以上均符合得100%权重分，否则扣除50%权重分，扣完为止。</w:t>
            </w:r>
          </w:p>
        </w:tc>
      </w:tr>
      <w:tr w14:paraId="40246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4" w:hRule="atLeast"/>
        </w:trPr>
        <w:tc>
          <w:tcPr>
            <w:tcW w:w="1459" w:type="dxa"/>
            <w:vMerge w:val="restart"/>
            <w:tcBorders>
              <w:top w:val="single" w:color="000000" w:sz="4" w:space="0"/>
              <w:left w:val="single" w:color="000000" w:sz="4" w:space="0"/>
              <w:bottom w:val="single" w:color="000000" w:sz="4" w:space="0"/>
              <w:right w:val="single" w:color="000000" w:sz="4" w:space="0"/>
            </w:tcBorders>
            <w:noWrap w:val="0"/>
            <w:vAlign w:val="center"/>
          </w:tcPr>
          <w:p w14:paraId="6B441E57">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过程指标（20分）</w:t>
            </w:r>
          </w:p>
        </w:tc>
        <w:tc>
          <w:tcPr>
            <w:tcW w:w="1551" w:type="dxa"/>
            <w:vMerge w:val="restart"/>
            <w:tcBorders>
              <w:top w:val="single" w:color="000000" w:sz="4" w:space="0"/>
              <w:left w:val="single" w:color="000000" w:sz="4" w:space="0"/>
              <w:bottom w:val="single" w:color="000000" w:sz="4" w:space="0"/>
              <w:right w:val="single" w:color="000000" w:sz="4" w:space="0"/>
            </w:tcBorders>
            <w:noWrap w:val="0"/>
            <w:vAlign w:val="center"/>
          </w:tcPr>
          <w:p w14:paraId="58F3DB3D">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资金管理（10分）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03620E29">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资金到位率（2分）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2C884458">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①资金到位率=（实际到位资金/预算资金）*100%，资金到位率达100%，得2分，否则按实际资金到位率*指标权重得分。</w:t>
            </w:r>
          </w:p>
        </w:tc>
      </w:tr>
      <w:tr w14:paraId="18117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2"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C32D1E">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C8C16B">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6EA5CF04">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预算执行率（3分）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18C3E347">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①预算执行率＝（实际支出资金/实际到位资金）*100%，预算执行率≥95%，得2分，否则按实际预算执行率/95%*指标权重得分。</w:t>
            </w:r>
          </w:p>
        </w:tc>
      </w:tr>
      <w:tr w14:paraId="5A9BF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1195C9">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F8A1A7">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22526D9F">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资金使用合规性（5分）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03C53EBE">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资金使用符合国家财经法规和财务管理制度以及有关专项资金管理办法的规定；②资金拨付有完整的审批程序和手续；③资金使用符合项目预算批复或合同规定的用途；④不存在截留、挤占、挪用、虚列支出等情况。以上均符合得100%权重分，否则每发现1处不符合扣40%权重分，扣完为止。</w:t>
            </w:r>
          </w:p>
        </w:tc>
      </w:tr>
      <w:tr w14:paraId="49015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7F11CE">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8E58E7">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组织实施（10分）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15CAA512">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管理制度健全性（4分）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60BA2CB3">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①制定或具有相应的财务管理制度；②制定或具有相应的业务管理制度；②财务和业务管理制度合法、合规、完整。每项分别占30%、30%、40%权重分，以上均符合得100%权重分，否则扣除相应权重分。</w:t>
            </w:r>
          </w:p>
        </w:tc>
      </w:tr>
      <w:tr w14:paraId="32B3D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5"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756136">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2C9132">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617F243E">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制度执行有效性（6分）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5EE0B3FE">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遵守相关法律法规和相关管理规定；②项目调整及支出调整手续完备；③项目合同书、验收报告、技术鉴定等资料齐全并及时归档；④项目实施的人员条件、场地设备、信息支撑等落实到位。以上均符合得100%权重分，否则每发现1处不符合扣25%权重分，扣完为止。</w:t>
            </w:r>
          </w:p>
        </w:tc>
      </w:tr>
      <w:tr w14:paraId="38AC3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9" w:hRule="atLeast"/>
        </w:trPr>
        <w:tc>
          <w:tcPr>
            <w:tcW w:w="1459" w:type="dxa"/>
            <w:vMerge w:val="restart"/>
            <w:tcBorders>
              <w:top w:val="single" w:color="000000" w:sz="4" w:space="0"/>
              <w:left w:val="single" w:color="000000" w:sz="4" w:space="0"/>
              <w:bottom w:val="single" w:color="000000" w:sz="4" w:space="0"/>
              <w:right w:val="single" w:color="000000" w:sz="4" w:space="0"/>
            </w:tcBorders>
            <w:noWrap w:val="0"/>
            <w:vAlign w:val="center"/>
          </w:tcPr>
          <w:p w14:paraId="7965EBA9">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产出指标（30分）</w:t>
            </w:r>
          </w:p>
        </w:tc>
        <w:tc>
          <w:tcPr>
            <w:tcW w:w="1551" w:type="dxa"/>
            <w:vMerge w:val="restart"/>
            <w:tcBorders>
              <w:top w:val="single" w:color="000000" w:sz="4" w:space="0"/>
              <w:left w:val="single" w:color="000000" w:sz="4" w:space="0"/>
              <w:bottom w:val="single" w:color="000000" w:sz="4" w:space="0"/>
              <w:right w:val="single" w:color="000000" w:sz="4" w:space="0"/>
            </w:tcBorders>
            <w:noWrap w:val="0"/>
            <w:vAlign w:val="center"/>
          </w:tcPr>
          <w:p w14:paraId="04043911">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产出数量（12分）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517D309B">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洪都新城路网建设项目3分）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1DBF3052">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①依据《青云谱区洪都新城路网项目初步设计的复函》明确，水环境治理工程面积约9.8平方千米，服务面积达到相关要求得3分，否则不得分。</w:t>
            </w:r>
          </w:p>
        </w:tc>
      </w:tr>
      <w:tr w14:paraId="7DD0E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C0B7BD">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F30B89">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31D076EA">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建设顶管井数量（3分）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41314B5D">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①依据项目组织设计，项目需建设5座顶管井，其中顶管始发井3座，顶管接收井2座，建设顶管井达5座得3分，则不得分。</w:t>
            </w:r>
          </w:p>
        </w:tc>
      </w:tr>
      <w:tr w14:paraId="43E11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0"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D1D589">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153B7C">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622B06DB">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清理泥沙土方数量（3分）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3AFA5685">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①依据建设实际情况，清理建设区泥沙土方，清理完成得3分，发现有堆砌未清理不得分。</w:t>
            </w:r>
          </w:p>
        </w:tc>
      </w:tr>
      <w:tr w14:paraId="7A3C6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9"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8A35DE">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9D95E1">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150C94BD">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高压开关柜安装数量（3分）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151E9905">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①依据项目组织设计，项目需安装高压开关柜5台，均已安装完成得3分，否则按实际安装占比率×指标权重得分。</w:t>
            </w:r>
          </w:p>
        </w:tc>
      </w:tr>
      <w:tr w14:paraId="4EB7C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5"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9D367B">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25E39A">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产出质量（8分）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1B4B6177">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污水处理覆盖率（4分）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2CAFB868">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①依据组织设计图，污水处理服务面积2.3平方千米覆盖率100%得满分，否则不得分。</w:t>
            </w:r>
          </w:p>
        </w:tc>
      </w:tr>
      <w:tr w14:paraId="770AE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2"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0B4348">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5A4947">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624E9D01">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项目建设达标率（4分）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469E6FD0">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①顶管井建设达相关标准100%得分，否则不得分；②高压开关柜符合相关规格100%得2分，否则不得分。</w:t>
            </w:r>
          </w:p>
        </w:tc>
      </w:tr>
      <w:tr w14:paraId="7F54F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0"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F0BC6D">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3D862E28">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产出时效（5分）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4B104019">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项目建设开工及时率（5分）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4603E794">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①依据项目《合同协议书》，项目于2022年内开工建设得满分，未及时开工则不得分。</w:t>
            </w:r>
          </w:p>
        </w:tc>
      </w:tr>
      <w:tr w14:paraId="78038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4"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7BC539">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5CB21B16">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产出成本（5分）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26763F92">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项目成本控制率（5分）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570FBD0F">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项目当年度预算，实际支出控制在预算范围内得满分，否则不得分。</w:t>
            </w:r>
          </w:p>
        </w:tc>
      </w:tr>
      <w:tr w14:paraId="28CB8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8" w:hRule="atLeast"/>
        </w:trPr>
        <w:tc>
          <w:tcPr>
            <w:tcW w:w="1459" w:type="dxa"/>
            <w:vMerge w:val="restart"/>
            <w:tcBorders>
              <w:top w:val="single" w:color="000000" w:sz="4" w:space="0"/>
              <w:left w:val="single" w:color="000000" w:sz="4" w:space="0"/>
              <w:bottom w:val="single" w:color="000000" w:sz="4" w:space="0"/>
              <w:right w:val="single" w:color="000000" w:sz="4" w:space="0"/>
            </w:tcBorders>
            <w:noWrap w:val="0"/>
            <w:vAlign w:val="center"/>
          </w:tcPr>
          <w:p w14:paraId="564B96FC">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效益指标（30分）</w:t>
            </w:r>
          </w:p>
        </w:tc>
        <w:tc>
          <w:tcPr>
            <w:tcW w:w="1551" w:type="dxa"/>
            <w:vMerge w:val="restart"/>
            <w:tcBorders>
              <w:top w:val="single" w:color="000000" w:sz="4" w:space="0"/>
              <w:left w:val="single" w:color="000000" w:sz="4" w:space="0"/>
              <w:bottom w:val="single" w:color="000000" w:sz="4" w:space="0"/>
              <w:right w:val="single" w:color="000000" w:sz="4" w:space="0"/>
            </w:tcBorders>
            <w:noWrap w:val="0"/>
            <w:vAlign w:val="center"/>
          </w:tcPr>
          <w:p w14:paraId="41EF68C7">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社会效益（15分）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2BD94E07">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提高群众生活质量（7分）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7EA39AAA">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通过老旧小区项目改造，改善区域水环境，提高群众生活质量，增强人民群众幸福感得满分，否则酌情扣分。</w:t>
            </w:r>
          </w:p>
        </w:tc>
      </w:tr>
      <w:tr w14:paraId="11BC5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4"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D5D2B0">
            <w:pPr>
              <w:pStyle w:val="34"/>
              <w:bidi w:val="0"/>
              <w:rPr>
                <w:rFonts w:hint="eastAsia" w:ascii="仿宋" w:hAnsi="仿宋" w:eastAsia="仿宋" w:cs="仿宋"/>
                <w:kern w:val="0"/>
                <w:sz w:val="28"/>
                <w:szCs w:val="28"/>
                <w:lang w:val="en-US" w:eastAsia="zh-CN" w:bidi="ar-SA"/>
              </w:rPr>
            </w:pPr>
          </w:p>
        </w:tc>
        <w:tc>
          <w:tcPr>
            <w:tcW w:w="15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201B2C">
            <w:pPr>
              <w:pStyle w:val="34"/>
              <w:bidi w:val="0"/>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72118BFC">
            <w:pPr>
              <w:pStyle w:val="34"/>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改善区内污水处理现状（8分）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3C8D77FF">
            <w:pPr>
              <w:pStyle w:val="34"/>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通过洪都新城路网项目改造，实现区域内下水管网雨污分流处理，有效改善辖区内污水情况得满分，否则酌情扣分。</w:t>
            </w:r>
          </w:p>
        </w:tc>
      </w:tr>
      <w:tr w14:paraId="2EEBE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5"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782F12">
            <w:pPr>
              <w:pStyle w:val="34"/>
              <w:bidi w:val="0"/>
              <w:rPr>
                <w:rFonts w:hint="eastAsia" w:ascii="仿宋" w:hAnsi="仿宋" w:eastAsia="仿宋" w:cs="仿宋"/>
                <w:kern w:val="0"/>
                <w:sz w:val="28"/>
                <w:szCs w:val="28"/>
                <w:lang w:val="en-US" w:eastAsia="zh-CN" w:bidi="ar-SA"/>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66B4D93E">
            <w:pPr>
              <w:pStyle w:val="34"/>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生态效益（5分）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35E2D592">
            <w:pPr>
              <w:pStyle w:val="34"/>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降低水污染程度（5分）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47196BA2">
            <w:pPr>
              <w:pStyle w:val="34"/>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通过实施污水处理，实现水资源重复利用，排放水域环境良好得满分，否则酌情扣分。</w:t>
            </w:r>
          </w:p>
        </w:tc>
      </w:tr>
      <w:tr w14:paraId="6E61B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6"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0CDC9E">
            <w:pPr>
              <w:pStyle w:val="34"/>
              <w:bidi w:val="0"/>
              <w:rPr>
                <w:rFonts w:hint="eastAsia" w:ascii="仿宋" w:hAnsi="仿宋" w:eastAsia="仿宋" w:cs="仿宋"/>
                <w:kern w:val="0"/>
                <w:sz w:val="28"/>
                <w:szCs w:val="28"/>
                <w:lang w:val="en-US" w:eastAsia="zh-CN" w:bidi="ar-SA"/>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55A53D27">
            <w:pPr>
              <w:pStyle w:val="34"/>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服务对象满意度（10分）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57C50CC1">
            <w:pPr>
              <w:pStyle w:val="34"/>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周边居民满意度（10分）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77208D30">
            <w:pPr>
              <w:pStyle w:val="34"/>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周边居民满意度达到90%以上得满分，否则每下降1%扣5%权重分，扣完为止。</w:t>
            </w:r>
          </w:p>
        </w:tc>
      </w:tr>
    </w:tbl>
    <w:p w14:paraId="36088D83">
      <w:pPr>
        <w:bidi w:val="0"/>
        <w:jc w:val="left"/>
        <w:rPr>
          <w:rFonts w:hint="eastAsia" w:ascii="仿宋" w:hAnsi="仿宋" w:eastAsia="仿宋_GB2312" w:cs="仿宋"/>
          <w:kern w:val="0"/>
          <w:sz w:val="32"/>
          <w:szCs w:val="32"/>
          <w:lang w:val="en-US" w:eastAsia="zh-CN" w:bidi="ar-SA"/>
        </w:rPr>
      </w:pPr>
      <w:r>
        <w:rPr>
          <w:rFonts w:hint="eastAsia" w:ascii="仿宋" w:hAnsi="仿宋" w:eastAsia="仿宋" w:cs="仿宋"/>
          <w:kern w:val="0"/>
          <w:sz w:val="32"/>
          <w:szCs w:val="32"/>
          <w:lang w:val="en-US" w:eastAsia="zh-CN" w:bidi="ar-SA"/>
        </w:rPr>
        <w:t>4、</w:t>
      </w:r>
      <w:r>
        <w:rPr>
          <w:rFonts w:hint="eastAsia" w:ascii="仿宋_GB2312" w:hAnsi="仿宋_GB2312" w:eastAsia="仿宋_GB2312" w:cs="仿宋_GB2312"/>
          <w:sz w:val="32"/>
          <w:szCs w:val="32"/>
          <w:highlight w:val="none"/>
        </w:rPr>
        <w:t>评价方法</w:t>
      </w:r>
      <w:r>
        <w:rPr>
          <w:rFonts w:hint="eastAsia" w:ascii="仿宋_GB2312" w:hAnsi="仿宋_GB2312" w:eastAsia="仿宋_GB2312" w:cs="仿宋_GB2312"/>
          <w:sz w:val="32"/>
          <w:szCs w:val="32"/>
          <w:highlight w:val="none"/>
          <w:lang w:eastAsia="zh-CN"/>
        </w:rPr>
        <w:t>和评价标准</w:t>
      </w:r>
    </w:p>
    <w:p w14:paraId="3B7F30EB">
      <w:pPr>
        <w:pStyle w:val="35"/>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（1）主要采用因素分析法和数据对比法。因素分析法评价项目实施的整体情况是否符合实际需要，数据对比法则反映的是项目运行的持续性和质量的可控性。</w:t>
      </w:r>
    </w:p>
    <w:p w14:paraId="5EEED382">
      <w:pPr>
        <w:pStyle w:val="35"/>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（2）本次绩效评价采取随机抽样的方式完成群众的满意度问卷调查。</w:t>
      </w:r>
    </w:p>
    <w:p w14:paraId="4EC04A71">
      <w:pPr>
        <w:pStyle w:val="35"/>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绩效评价标准是指财政支出绩效目标完成程度的衡量尺度。通过评价标准判断评价指标的合理与重要性程度，作为评价工作的基本准绳和标尺，决定了评价目标实现与否以及评价结果准确与否，并作为评价计分的依据。绩效指标评价标准主要有：</w:t>
      </w:r>
    </w:p>
    <w:p w14:paraId="3C8CB154">
      <w:pPr>
        <w:pStyle w:val="35"/>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（1）计划标准</w:t>
      </w:r>
    </w:p>
    <w:p w14:paraId="2966E4A6">
      <w:pPr>
        <w:pStyle w:val="35"/>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以预先制定的规划、计划、目标、预算或定额等数据作为绩效评价标准。计划值作为评价指标的预计完成值，旨在通过与实际完成值进行比对，通过测算计划值完成比例，达成绩效评价目的。</w:t>
      </w:r>
    </w:p>
    <w:p w14:paraId="7D56E91D">
      <w:pPr>
        <w:pStyle w:val="35"/>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（2）行业标准</w:t>
      </w:r>
    </w:p>
    <w:p w14:paraId="7B06A94C">
      <w:pPr>
        <w:pStyle w:val="35"/>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以某一具体行业许多个体或相关财政经费的相关指标数据为基准，充分挖掘数据中蕴含的信息，从而制定相适应的行业评价标准。行业标准的充分应用需要充足的样本数据库作支撑，具备一定的权威性、客观性与真实性，便于财政项目支出绩效评价情况纵向和横向分析与对比。</w:t>
      </w:r>
    </w:p>
    <w:p w14:paraId="6DFA691E">
      <w:pPr>
        <w:pStyle w:val="35"/>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（3）历史标准</w:t>
      </w:r>
    </w:p>
    <w:p w14:paraId="05C9CE44">
      <w:pPr>
        <w:pStyle w:val="35"/>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 xml:space="preserve">以绩效评价指标的历史数据作为样本，运用一定的统计学方法，计算出各类指标的平均历史水平。在运用历史标准进行评价时，要对其根据价格指数、统计口径或核算方法的变化对历史标准进行修订和完善。 </w:t>
      </w:r>
    </w:p>
    <w:p w14:paraId="2F9C6875">
      <w:pPr>
        <w:pStyle w:val="35"/>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（4）经验标准</w:t>
      </w:r>
    </w:p>
    <w:p w14:paraId="3AEE10FC">
      <w:pPr>
        <w:pStyle w:val="35"/>
        <w:bidi w:val="0"/>
        <w:rPr>
          <w:rFonts w:hint="eastAsia"/>
        </w:rPr>
      </w:pPr>
      <w:r>
        <w:rPr>
          <w:rFonts w:hint="eastAsia" w:ascii="仿宋" w:hAnsi="仿宋" w:eastAsia="仿宋" w:cs="仿宋"/>
          <w:kern w:val="0"/>
          <w:sz w:val="32"/>
          <w:szCs w:val="32"/>
          <w:lang w:val="en-US" w:eastAsia="zh-CN" w:bidi="ar-SA"/>
        </w:rPr>
        <w:t>以长期从事财政经济活动领域的专家学者的参考意见为基础，通过严谨的分析与研究，结合其管理实践，确定相关指标标准。该项标准与行业标准存在优先选择的情况，即行业标准权威性不足或缺乏同行业标准时，采用经验标准。</w:t>
      </w:r>
    </w:p>
    <w:p w14:paraId="73889DB7">
      <w:pPr>
        <w:numPr>
          <w:ilvl w:val="0"/>
          <w:numId w:val="7"/>
        </w:numPr>
        <w:autoSpaceDE w:val="0"/>
        <w:autoSpaceDN w:val="0"/>
        <w:adjustRightInd w:val="0"/>
        <w:spacing w:beforeLines="0" w:afterLines="0" w:line="560" w:lineRule="exact"/>
        <w:ind w:left="1080" w:leftChars="0" w:hanging="1080" w:firstLineChars="0"/>
        <w:jc w:val="left"/>
        <w:rPr>
          <w:rFonts w:hint="eastAsia" w:ascii="仿宋_GB2312" w:hAnsi="Times New Roman" w:eastAsia="仿宋_GB2312"/>
          <w:kern w:val="0"/>
          <w:sz w:val="32"/>
        </w:rPr>
      </w:pPr>
      <w:r>
        <w:rPr>
          <w:rFonts w:hint="eastAsia" w:ascii="仿宋_GB2312" w:hAnsi="Times New Roman" w:eastAsia="仿宋_GB2312"/>
          <w:kern w:val="0"/>
          <w:sz w:val="32"/>
        </w:rPr>
        <w:t>绩效评价工作过程。</w:t>
      </w:r>
    </w:p>
    <w:p w14:paraId="7714F993">
      <w:pPr>
        <w:bidi w:val="0"/>
        <w:jc w:val="left"/>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（一）投入</w:t>
      </w:r>
    </w:p>
    <w:p w14:paraId="7E49B623">
      <w:pPr>
        <w:bidi w:val="0"/>
        <w:jc w:val="left"/>
        <w:rPr>
          <w:rFonts w:hint="eastAsia" w:ascii="仿宋_GB2312" w:hAnsi="仿宋_GB2312" w:eastAsia="仿宋_GB2312" w:cs="仿宋_GB2312"/>
          <w:sz w:val="30"/>
          <w:szCs w:val="30"/>
        </w:rPr>
      </w:pPr>
      <w:r>
        <w:rPr>
          <w:rFonts w:hint="eastAsia" w:ascii="仿宋" w:hAnsi="仿宋" w:eastAsia="仿宋" w:cs="仿宋"/>
          <w:kern w:val="0"/>
          <w:sz w:val="32"/>
          <w:szCs w:val="32"/>
          <w:lang w:val="en-US" w:eastAsia="zh-CN" w:bidi="ar-SA"/>
        </w:rPr>
        <w:t>2023年度该项目到位资金总额18720.10万元，为市财政拨入洪都新城建设补助</w:t>
      </w:r>
      <w:r>
        <w:rPr>
          <w:rFonts w:hint="eastAsia" w:ascii="仿宋_GB2312" w:hAnsi="仿宋_GB2312" w:eastAsia="仿宋_GB2312" w:cs="仿宋_GB2312"/>
          <w:sz w:val="30"/>
          <w:szCs w:val="30"/>
        </w:rPr>
        <w:t>拨款，本年度项目计划拨付金额</w:t>
      </w:r>
      <w:r>
        <w:rPr>
          <w:rFonts w:hint="eastAsia" w:ascii="仿宋_GB2312" w:hAnsi="仿宋_GB2312" w:eastAsia="仿宋_GB2312" w:cs="仿宋_GB2312"/>
          <w:sz w:val="30"/>
          <w:szCs w:val="30"/>
          <w:lang w:val="en-US" w:eastAsia="zh-CN"/>
        </w:rPr>
        <w:t>18720.10</w:t>
      </w:r>
      <w:r>
        <w:rPr>
          <w:rFonts w:hint="eastAsia" w:ascii="仿宋_GB2312" w:hAnsi="仿宋_GB2312" w:eastAsia="仿宋_GB2312" w:cs="仿宋_GB2312"/>
          <w:sz w:val="30"/>
          <w:szCs w:val="30"/>
        </w:rPr>
        <w:t>万元，资金到位支付率</w:t>
      </w:r>
      <w:r>
        <w:rPr>
          <w:rFonts w:hint="eastAsia" w:ascii="仿宋_GB2312" w:hAnsi="仿宋_GB2312" w:eastAsia="仿宋_GB2312" w:cs="仿宋_GB2312"/>
          <w:sz w:val="30"/>
          <w:szCs w:val="30"/>
          <w:lang w:val="en-US" w:eastAsia="zh-CN"/>
        </w:rPr>
        <w:t>100</w:t>
      </w:r>
      <w:r>
        <w:rPr>
          <w:rFonts w:hint="eastAsia" w:ascii="仿宋_GB2312" w:hAnsi="仿宋_GB2312" w:eastAsia="仿宋_GB2312" w:cs="仿宋_GB2312"/>
          <w:sz w:val="30"/>
          <w:szCs w:val="30"/>
        </w:rPr>
        <w:t>%。</w:t>
      </w:r>
    </w:p>
    <w:p w14:paraId="1F1C07CB">
      <w:pPr>
        <w:bidi w:val="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（二）管理</w:t>
      </w:r>
    </w:p>
    <w:p w14:paraId="01A10C91">
      <w:pPr>
        <w:bidi w:val="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在项目的实施过程中，我部门严格按照项目立项审批内容，认真组织实施，强化施工组织管理，狠抓工程质量和施工安全，确保项目按期完工并交付使用。同时加强资金使用管理，确保专款专用，杜绝截留挪用建设资金，保证了项目顺利进行。</w:t>
      </w:r>
    </w:p>
    <w:p w14:paraId="73EC4B9B">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（三）产出</w:t>
      </w:r>
    </w:p>
    <w:p w14:paraId="2FDCD9A6">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1.202</w:t>
      </w:r>
      <w:r>
        <w:rPr>
          <w:rFonts w:hint="eastAsia" w:ascii="仿宋_GB2312" w:hAnsi="仿宋_GB2312" w:eastAsia="仿宋_GB2312" w:cs="仿宋_GB2312"/>
          <w:color w:val="auto"/>
          <w:sz w:val="30"/>
          <w:szCs w:val="30"/>
          <w:lang w:val="en-US" w:eastAsia="zh-CN"/>
        </w:rPr>
        <w:t>3</w:t>
      </w:r>
      <w:r>
        <w:rPr>
          <w:rFonts w:hint="eastAsia" w:ascii="仿宋_GB2312" w:hAnsi="仿宋_GB2312" w:eastAsia="仿宋_GB2312" w:cs="仿宋_GB2312"/>
          <w:color w:val="auto"/>
          <w:sz w:val="30"/>
          <w:szCs w:val="30"/>
        </w:rPr>
        <w:t>年完工百分比100%。</w:t>
      </w:r>
    </w:p>
    <w:p w14:paraId="097AAB24">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2.强化</w:t>
      </w:r>
      <w:r>
        <w:rPr>
          <w:rFonts w:hint="eastAsia" w:ascii="仿宋_GB2312" w:hAnsi="仿宋_GB2312" w:eastAsia="仿宋_GB2312" w:cs="仿宋_GB2312"/>
          <w:color w:val="auto"/>
          <w:sz w:val="30"/>
          <w:szCs w:val="30"/>
          <w:lang w:eastAsia="zh-CN"/>
        </w:rPr>
        <w:t>完善</w:t>
      </w:r>
      <w:r>
        <w:rPr>
          <w:rFonts w:hint="eastAsia" w:ascii="仿宋_GB2312" w:hAnsi="仿宋_GB2312" w:eastAsia="仿宋_GB2312" w:cs="仿宋_GB2312"/>
          <w:color w:val="auto"/>
          <w:sz w:val="30"/>
          <w:szCs w:val="30"/>
        </w:rPr>
        <w:t>市政基础设施建设，完善公共服务设施。</w:t>
      </w:r>
    </w:p>
    <w:p w14:paraId="5F93DA5B">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3.大力保障重点项目及民生工程项目的顺利实施。</w:t>
      </w:r>
    </w:p>
    <w:p w14:paraId="20B0876D">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（四）效果</w:t>
      </w:r>
    </w:p>
    <w:p w14:paraId="5A436C17">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1.社会效益：上述项目解决了</w:t>
      </w:r>
      <w:r>
        <w:rPr>
          <w:rFonts w:hint="eastAsia" w:ascii="仿宋_GB2312" w:hAnsi="仿宋_GB2312" w:eastAsia="仿宋_GB2312" w:cs="仿宋_GB2312"/>
          <w:color w:val="auto"/>
          <w:sz w:val="30"/>
          <w:szCs w:val="30"/>
          <w:lang w:eastAsia="zh-CN"/>
        </w:rPr>
        <w:t>辖区内市政基础设施交通、排水功能提升</w:t>
      </w:r>
      <w:r>
        <w:rPr>
          <w:rFonts w:hint="eastAsia" w:ascii="仿宋_GB2312" w:hAnsi="仿宋_GB2312" w:eastAsia="仿宋_GB2312" w:cs="仿宋_GB2312"/>
          <w:color w:val="auto"/>
          <w:sz w:val="30"/>
          <w:szCs w:val="30"/>
        </w:rPr>
        <w:t>，改善了居住环境。</w:t>
      </w:r>
    </w:p>
    <w:p w14:paraId="3B7F9555">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2.可持续发展：为居民提供</w:t>
      </w:r>
      <w:r>
        <w:rPr>
          <w:rFonts w:hint="eastAsia" w:ascii="仿宋_GB2312" w:hAnsi="仿宋_GB2312" w:eastAsia="仿宋_GB2312" w:cs="仿宋_GB2312"/>
          <w:color w:val="auto"/>
          <w:sz w:val="30"/>
          <w:szCs w:val="30"/>
          <w:lang w:eastAsia="zh-CN"/>
        </w:rPr>
        <w:t>出行</w:t>
      </w:r>
      <w:r>
        <w:rPr>
          <w:rFonts w:hint="eastAsia" w:ascii="仿宋_GB2312" w:hAnsi="仿宋_GB2312" w:eastAsia="仿宋_GB2312" w:cs="仿宋_GB2312"/>
          <w:color w:val="auto"/>
          <w:sz w:val="30"/>
          <w:szCs w:val="30"/>
        </w:rPr>
        <w:t>安全，营造良好人民群众生活环境及社会氛围。</w:t>
      </w:r>
    </w:p>
    <w:p w14:paraId="7933E792">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3.社会公众满意度：项目实施并投入使用，实现了</w:t>
      </w:r>
      <w:r>
        <w:rPr>
          <w:rFonts w:hint="eastAsia" w:ascii="仿宋_GB2312" w:hAnsi="仿宋_GB2312" w:eastAsia="仿宋_GB2312" w:cs="仿宋_GB2312"/>
          <w:color w:val="auto"/>
          <w:sz w:val="30"/>
          <w:szCs w:val="30"/>
          <w:lang w:eastAsia="zh-CN"/>
        </w:rPr>
        <w:t>城市道路交通便利</w:t>
      </w:r>
      <w:r>
        <w:rPr>
          <w:rFonts w:hint="eastAsia" w:ascii="仿宋_GB2312" w:hAnsi="仿宋_GB2312" w:eastAsia="仿宋_GB2312" w:cs="仿宋_GB2312"/>
          <w:color w:val="auto"/>
          <w:sz w:val="30"/>
          <w:szCs w:val="30"/>
        </w:rPr>
        <w:t>的目标，</w:t>
      </w:r>
      <w:r>
        <w:rPr>
          <w:rFonts w:hint="eastAsia" w:ascii="仿宋_GB2312" w:hAnsi="仿宋_GB2312" w:eastAsia="仿宋_GB2312" w:cs="仿宋_GB2312"/>
          <w:color w:val="auto"/>
          <w:sz w:val="30"/>
          <w:szCs w:val="30"/>
          <w:lang w:eastAsia="zh-CN"/>
        </w:rPr>
        <w:t>保障了居民出行安全</w:t>
      </w:r>
      <w:r>
        <w:rPr>
          <w:rFonts w:hint="eastAsia" w:ascii="仿宋_GB2312" w:hAnsi="仿宋_GB2312" w:eastAsia="仿宋_GB2312" w:cs="仿宋_GB2312"/>
          <w:color w:val="auto"/>
          <w:sz w:val="30"/>
          <w:szCs w:val="30"/>
        </w:rPr>
        <w:t>维护了社会稳定，得到了社会公众的一致好评，保障对象满意度达95%以上。</w:t>
      </w:r>
    </w:p>
    <w:p w14:paraId="252B1715">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（五）评价结果和评价结论</w:t>
      </w:r>
    </w:p>
    <w:p w14:paraId="1CB04255">
      <w:pPr>
        <w:bidi w:val="0"/>
        <w:jc w:val="left"/>
        <w:rPr>
          <w:rFonts w:hint="eastAsia"/>
        </w:rPr>
      </w:pPr>
      <w:r>
        <w:rPr>
          <w:rFonts w:hint="eastAsia" w:ascii="仿宋_GB2312" w:hAnsi="仿宋_GB2312" w:eastAsia="仿宋_GB2312" w:cs="仿宋_GB2312"/>
          <w:color w:val="auto"/>
          <w:sz w:val="30"/>
          <w:szCs w:val="30"/>
        </w:rPr>
        <w:t>本项目自评分为</w:t>
      </w:r>
      <w:r>
        <w:rPr>
          <w:rFonts w:hint="eastAsia" w:ascii="仿宋_GB2312" w:hAnsi="仿宋_GB2312" w:eastAsia="仿宋_GB2312" w:cs="仿宋_GB2312"/>
          <w:color w:val="auto"/>
          <w:sz w:val="30"/>
          <w:szCs w:val="30"/>
          <w:lang w:val="en-US" w:eastAsia="zh-CN"/>
        </w:rPr>
        <w:t>100</w:t>
      </w:r>
      <w:r>
        <w:rPr>
          <w:rFonts w:hint="eastAsia" w:ascii="仿宋_GB2312" w:hAnsi="仿宋_GB2312" w:eastAsia="仿宋_GB2312" w:cs="仿宋_GB2312"/>
          <w:color w:val="auto"/>
          <w:sz w:val="30"/>
          <w:szCs w:val="30"/>
        </w:rPr>
        <w:t>分，评价等级为优等级，已达到预期绩效目标。</w:t>
      </w:r>
    </w:p>
    <w:p w14:paraId="0F18BBF4">
      <w:pPr>
        <w:numPr>
          <w:ilvl w:val="0"/>
          <w:numId w:val="8"/>
        </w:numPr>
        <w:autoSpaceDE w:val="0"/>
        <w:autoSpaceDN w:val="0"/>
        <w:adjustRightInd w:val="0"/>
        <w:spacing w:beforeLines="0" w:afterLines="0" w:line="560" w:lineRule="exact"/>
        <w:ind w:firstLine="640" w:firstLineChars="200"/>
        <w:jc w:val="left"/>
        <w:rPr>
          <w:rFonts w:hint="eastAsia" w:ascii="黑体" w:hAnsi="宋体" w:eastAsia="黑体"/>
          <w:kern w:val="0"/>
          <w:sz w:val="32"/>
        </w:rPr>
      </w:pPr>
      <w:r>
        <w:rPr>
          <w:rFonts w:hint="eastAsia" w:ascii="黑体" w:hAnsi="宋体" w:eastAsia="黑体"/>
          <w:kern w:val="0"/>
          <w:sz w:val="32"/>
        </w:rPr>
        <w:t>综合评价情况及评价结论（附项目支出部门评价表）</w:t>
      </w:r>
    </w:p>
    <w:p w14:paraId="5C583BFC">
      <w:pPr>
        <w:bidi w:val="0"/>
        <w:ind w:firstLine="640" w:firstLineChars="200"/>
        <w:jc w:val="left"/>
        <w:rPr>
          <w:rFonts w:hint="eastAsia"/>
        </w:rPr>
      </w:pPr>
      <w:r>
        <w:rPr>
          <w:rFonts w:hint="eastAsia" w:ascii="仿宋" w:hAnsi="仿宋" w:eastAsia="仿宋" w:cs="仿宋"/>
          <w:color w:val="auto"/>
          <w:sz w:val="32"/>
          <w:szCs w:val="32"/>
        </w:rPr>
        <w:t>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年，我单位积极履行，强化管理，较好地完成了年度工作目标。通过加强预算收支管理，不断建立健全内部管理制度，梳理内部管理流程，部门</w:t>
      </w:r>
      <w:r>
        <w:rPr>
          <w:rFonts w:hint="eastAsia" w:ascii="仿宋" w:hAnsi="仿宋" w:eastAsia="仿宋" w:cs="仿宋"/>
          <w:color w:val="auto"/>
          <w:sz w:val="32"/>
          <w:szCs w:val="32"/>
          <w:lang w:eastAsia="zh-CN"/>
        </w:rPr>
        <w:t>项目</w:t>
      </w:r>
      <w:r>
        <w:rPr>
          <w:rFonts w:hint="eastAsia" w:ascii="仿宋" w:hAnsi="仿宋" w:eastAsia="仿宋" w:cs="仿宋"/>
          <w:color w:val="auto"/>
          <w:sz w:val="32"/>
          <w:szCs w:val="32"/>
        </w:rPr>
        <w:t>整体支出管理水平得到提升。根据部门</w:t>
      </w:r>
      <w:r>
        <w:rPr>
          <w:rFonts w:hint="eastAsia" w:ascii="仿宋" w:hAnsi="仿宋" w:eastAsia="仿宋" w:cs="仿宋"/>
          <w:color w:val="auto"/>
          <w:sz w:val="32"/>
          <w:szCs w:val="32"/>
          <w:lang w:eastAsia="zh-CN"/>
        </w:rPr>
        <w:t>项目</w:t>
      </w:r>
      <w:r>
        <w:rPr>
          <w:rFonts w:hint="eastAsia" w:ascii="仿宋" w:hAnsi="仿宋" w:eastAsia="仿宋" w:cs="仿宋"/>
          <w:color w:val="auto"/>
          <w:sz w:val="32"/>
          <w:szCs w:val="32"/>
        </w:rPr>
        <w:t>整体支出绩效评价指标体系，我单位202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年度评价得分为</w:t>
      </w:r>
      <w:r>
        <w:rPr>
          <w:rFonts w:hint="eastAsia" w:ascii="仿宋" w:hAnsi="仿宋" w:eastAsia="仿宋" w:cs="仿宋"/>
          <w:color w:val="auto"/>
          <w:sz w:val="32"/>
          <w:szCs w:val="32"/>
          <w:lang w:val="en-US" w:eastAsia="zh-CN"/>
        </w:rPr>
        <w:t>92.07</w:t>
      </w:r>
      <w:r>
        <w:rPr>
          <w:rFonts w:hint="eastAsia" w:ascii="仿宋" w:hAnsi="仿宋" w:eastAsia="仿宋" w:cs="仿宋"/>
          <w:color w:val="auto"/>
          <w:sz w:val="32"/>
          <w:szCs w:val="32"/>
        </w:rPr>
        <w:t>分。</w:t>
      </w:r>
    </w:p>
    <w:p w14:paraId="5545DD46">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四、绩效评价指标分析</w:t>
      </w:r>
    </w:p>
    <w:p w14:paraId="10D05C33">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（一）项目决策情况。</w:t>
      </w:r>
    </w:p>
    <w:p w14:paraId="7F548C35">
      <w:pPr>
        <w:numPr>
          <w:ilvl w:val="0"/>
          <w:numId w:val="0"/>
        </w:numPr>
        <w:bidi w:val="0"/>
        <w:ind w:firstLine="640" w:firstLineChars="200"/>
        <w:rPr>
          <w:rFonts w:hint="eastAsia"/>
        </w:rPr>
      </w:pPr>
      <w:r>
        <w:rPr>
          <w:rFonts w:hint="eastAsia" w:ascii="仿宋" w:hAnsi="仿宋" w:eastAsia="仿宋" w:cs="仿宋"/>
          <w:color w:val="auto"/>
          <w:sz w:val="32"/>
          <w:szCs w:val="32"/>
          <w:lang w:val="en-US" w:eastAsia="zh-CN"/>
        </w:rPr>
        <w:t>在区委、区政府的坚强领导下，青云谱区住建局</w:t>
      </w:r>
      <w:r>
        <w:rPr>
          <w:rFonts w:hint="eastAsia" w:ascii="仿宋" w:hAnsi="仿宋" w:eastAsia="仿宋" w:cs="仿宋"/>
          <w:color w:val="auto"/>
          <w:spacing w:val="0"/>
          <w:kern w:val="0"/>
          <w:sz w:val="32"/>
          <w:szCs w:val="32"/>
          <w:lang w:val="en-US" w:eastAsia="zh-CN" w:bidi="ar-SA"/>
        </w:rPr>
        <w:t>按照“区级统抓、部门牵头”的工作思路</w:t>
      </w:r>
      <w:r>
        <w:rPr>
          <w:rFonts w:hint="eastAsia" w:ascii="仿宋" w:hAnsi="仿宋" w:eastAsia="仿宋" w:cs="仿宋"/>
          <w:color w:val="auto"/>
          <w:sz w:val="32"/>
          <w:szCs w:val="32"/>
          <w:lang w:val="en-US" w:eastAsia="zh-CN"/>
        </w:rPr>
        <w:t>，强力推进青云谱区洪都新城路网建设工作，改造范围对洪都新城周边道路、排水、管网、车位改造升级等，完成年度目标任务。通过开展洪都新城建设提升改造，居民出行得到进一步改善，安全水平有效提高，</w:t>
      </w:r>
      <w:r>
        <w:rPr>
          <w:rFonts w:hint="eastAsia" w:ascii="仿宋" w:hAnsi="仿宋" w:eastAsia="仿宋" w:cs="仿宋"/>
          <w:color w:val="auto"/>
          <w:spacing w:val="0"/>
          <w:kern w:val="0"/>
          <w:sz w:val="32"/>
          <w:szCs w:val="32"/>
          <w:lang w:val="en-US" w:eastAsia="zh-CN" w:bidi="ar-SA"/>
        </w:rPr>
        <w:t>实现了改造用心、居民舒心、后期省心，得到了辖区居民的普遍满意。</w:t>
      </w:r>
    </w:p>
    <w:p w14:paraId="74B1B9DB">
      <w:pPr>
        <w:numPr>
          <w:ilvl w:val="0"/>
          <w:numId w:val="9"/>
        </w:num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项目过程情况。</w:t>
      </w:r>
    </w:p>
    <w:p w14:paraId="63AB13F6">
      <w:pPr>
        <w:pStyle w:val="2"/>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按照招标设计规范，结合</w:t>
      </w:r>
      <w:r>
        <w:rPr>
          <w:rFonts w:hint="eastAsia" w:ascii="仿宋" w:hAnsi="仿宋" w:eastAsia="仿宋" w:cs="仿宋"/>
          <w:sz w:val="32"/>
          <w:szCs w:val="32"/>
          <w:lang w:eastAsia="zh-CN"/>
        </w:rPr>
        <w:t>城市市政基础设施配套</w:t>
      </w:r>
      <w:r>
        <w:rPr>
          <w:rFonts w:hint="eastAsia" w:ascii="仿宋" w:hAnsi="仿宋" w:eastAsia="仿宋" w:cs="仿宋"/>
          <w:sz w:val="32"/>
          <w:szCs w:val="32"/>
        </w:rPr>
        <w:t>及群众需求设计，对进展情况及时监督管理，</w:t>
      </w:r>
      <w:r>
        <w:rPr>
          <w:rFonts w:hint="eastAsia" w:ascii="仿宋_GB2312" w:eastAsia="仿宋_GB2312"/>
          <w:sz w:val="32"/>
          <w:szCs w:val="32"/>
          <w:highlight w:val="none"/>
          <w:lang w:val="en-US" w:eastAsia="zh-CN"/>
        </w:rPr>
        <w:t>全</w:t>
      </w:r>
      <w:r>
        <w:rPr>
          <w:rFonts w:hint="eastAsia" w:ascii="仿宋_GB2312" w:eastAsia="仿宋_GB2312"/>
          <w:sz w:val="32"/>
          <w:szCs w:val="32"/>
          <w:highlight w:val="none"/>
          <w:lang w:eastAsia="zh-CN"/>
        </w:rPr>
        <w:t>力推进“打通断头路畅通微循环”攻坚专项行动，</w:t>
      </w:r>
      <w:r>
        <w:rPr>
          <w:rFonts w:hint="eastAsia" w:ascii="仿宋" w:hAnsi="仿宋" w:eastAsia="仿宋" w:cs="仿宋"/>
          <w:sz w:val="32"/>
          <w:szCs w:val="32"/>
          <w:lang w:val="en-US" w:eastAsia="zh-CN"/>
        </w:rPr>
        <w:t>继续实施路网一期、路网二期、路网三期、路网四期项目，加快推进新开工的安置房周边道路排水工程。</w:t>
      </w:r>
    </w:p>
    <w:p w14:paraId="1DFA638F">
      <w:pPr>
        <w:autoSpaceDE w:val="0"/>
        <w:autoSpaceDN w:val="0"/>
        <w:adjustRightInd w:val="0"/>
        <w:spacing w:beforeLines="0" w:afterLines="0" w:line="560" w:lineRule="exact"/>
        <w:ind w:firstLine="640" w:firstLineChars="200"/>
        <w:jc w:val="left"/>
        <w:rPr>
          <w:rFonts w:hint="eastAsia" w:ascii="仿宋" w:hAnsi="仿宋" w:eastAsia="仿宋" w:cs="仿宋"/>
          <w:color w:val="auto"/>
          <w:kern w:val="0"/>
          <w:sz w:val="32"/>
        </w:rPr>
      </w:pPr>
      <w:r>
        <w:rPr>
          <w:rFonts w:hint="eastAsia" w:ascii="仿宋" w:hAnsi="仿宋" w:eastAsia="仿宋" w:cs="仿宋"/>
          <w:color w:val="auto"/>
          <w:kern w:val="0"/>
          <w:sz w:val="32"/>
        </w:rPr>
        <w:t>（三）项目产出情况。</w:t>
      </w:r>
    </w:p>
    <w:p w14:paraId="253D1CAF">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1.产出指标</w:t>
      </w:r>
    </w:p>
    <w:p w14:paraId="23E82A12">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（1）数量指标：已完成洪都新城路网一期、二期、三期、四期、洪都航空文化等项目规划建设项目工程进度，全年实际完成值100%。</w:t>
      </w:r>
    </w:p>
    <w:p w14:paraId="1D721EE4">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（2）质量指标：验收合格率。指标值：100%，2023年对洪都新城路网建设项目完成情况：工程建设全程都经监理、跟踪评审单位审核，项目验收合格率100%。</w:t>
      </w:r>
    </w:p>
    <w:p w14:paraId="2F0CC925">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（3）时效指标：项目开工率。指标值：100%，2023年洪都新城路网建设项目完成情况：该项目于2023年度全部开工，项目开工率100%。</w:t>
      </w:r>
    </w:p>
    <w:p w14:paraId="0E0DE95A">
      <w:pPr>
        <w:numPr>
          <w:ilvl w:val="0"/>
          <w:numId w:val="0"/>
        </w:numPr>
        <w:bidi w:val="0"/>
        <w:ind w:firstLine="640" w:firstLineChars="200"/>
        <w:rPr>
          <w:rFonts w:hint="eastAsia" w:ascii="仿宋" w:hAnsi="仿宋" w:eastAsia="仿宋" w:cs="仿宋"/>
          <w:color w:val="auto"/>
        </w:rPr>
      </w:pPr>
      <w:r>
        <w:rPr>
          <w:rFonts w:hint="eastAsia" w:ascii="仿宋" w:hAnsi="仿宋" w:eastAsia="仿宋" w:cs="仿宋"/>
          <w:color w:val="auto"/>
          <w:sz w:val="32"/>
          <w:szCs w:val="32"/>
          <w:lang w:val="en-US" w:eastAsia="zh-CN"/>
        </w:rPr>
        <w:t>（4）成本指标：控制在预算范围内指标值：≥98%，完成情况：未超预算。</w:t>
      </w:r>
    </w:p>
    <w:p w14:paraId="01FA8FAD">
      <w:pPr>
        <w:autoSpaceDE w:val="0"/>
        <w:autoSpaceDN w:val="0"/>
        <w:adjustRightInd w:val="0"/>
        <w:spacing w:beforeLines="0" w:afterLines="0" w:line="560" w:lineRule="exact"/>
        <w:ind w:firstLine="640" w:firstLineChars="200"/>
        <w:jc w:val="left"/>
        <w:rPr>
          <w:rFonts w:hint="eastAsia" w:ascii="仿宋" w:hAnsi="仿宋" w:eastAsia="仿宋" w:cs="仿宋"/>
          <w:color w:val="auto"/>
          <w:kern w:val="0"/>
          <w:sz w:val="32"/>
        </w:rPr>
      </w:pPr>
      <w:r>
        <w:rPr>
          <w:rFonts w:hint="eastAsia" w:ascii="仿宋" w:hAnsi="仿宋" w:eastAsia="仿宋" w:cs="仿宋"/>
          <w:color w:val="auto"/>
          <w:kern w:val="0"/>
          <w:sz w:val="32"/>
        </w:rPr>
        <w:t>（四）项目效益情况。</w:t>
      </w:r>
    </w:p>
    <w:p w14:paraId="2374C0BF">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2.效益指标</w:t>
      </w:r>
    </w:p>
    <w:p w14:paraId="69B15C60">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（1）经济效益：改善旧城区居民的生活质量和水准。指标值：合格，洪都新城路网建设完成情况：随着涉及路网建设项目的开工建设，有效的改善了辖区居民的出行便利、居住环境和生活水平，合格。</w:t>
      </w:r>
    </w:p>
    <w:p w14:paraId="230A6C12">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（2）社会效益：提高群众获得感、幸福感。指标值：有效提高，洪都新城路网建设完成情况：按规范做好了安全防护工作及安全文明施工等措施，获群众好评。</w:t>
      </w:r>
    </w:p>
    <w:p w14:paraId="5BA64676">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（3）生态效益：改善建筑工地扬尘污染，指标值：合格，洪都新城路网建设项目完成情况：及时进行雾炮喷撒及降尘措施，获得群众肯定。</w:t>
      </w:r>
    </w:p>
    <w:p w14:paraId="2D4B87F8">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（4）可持续影响：重大安全责任事故发生率，指标值：0%，洪都新城路网建设重大项目安全责任事故发生0起，发生率0%，都以全优的工程形象展示给公众。</w:t>
      </w:r>
    </w:p>
    <w:p w14:paraId="00D2F285">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3.服务满意度指标完成情况分析</w:t>
      </w:r>
    </w:p>
    <w:p w14:paraId="73ECB8E7">
      <w:pPr>
        <w:numPr>
          <w:ilvl w:val="0"/>
          <w:numId w:val="0"/>
        </w:numPr>
        <w:bidi w:val="0"/>
        <w:ind w:firstLine="640" w:firstLineChars="200"/>
        <w:rPr>
          <w:rFonts w:hint="eastAsia" w:ascii="仿宋" w:hAnsi="仿宋" w:eastAsia="仿宋" w:cs="仿宋"/>
          <w:color w:val="auto"/>
        </w:rPr>
      </w:pPr>
      <w:r>
        <w:rPr>
          <w:rFonts w:hint="eastAsia" w:ascii="仿宋" w:hAnsi="仿宋" w:eastAsia="仿宋" w:cs="仿宋"/>
          <w:color w:val="auto"/>
          <w:sz w:val="32"/>
          <w:szCs w:val="32"/>
          <w:lang w:val="en-US" w:eastAsia="zh-CN"/>
        </w:rPr>
        <w:t>老旧小区居民满意度指标，居民满意度。指标值：≥96%，洪都新城路网建设项目完成情况：居民对项目进度及质量予以肯定。</w:t>
      </w:r>
    </w:p>
    <w:p w14:paraId="3EC675BE">
      <w:pPr>
        <w:numPr>
          <w:ilvl w:val="0"/>
          <w:numId w:val="0"/>
        </w:numPr>
        <w:autoSpaceDE w:val="0"/>
        <w:autoSpaceDN w:val="0"/>
        <w:adjustRightInd w:val="0"/>
        <w:spacing w:beforeLines="0" w:afterLines="0" w:line="560" w:lineRule="exact"/>
        <w:ind w:leftChars="200"/>
        <w:jc w:val="left"/>
        <w:rPr>
          <w:rFonts w:hint="eastAsia" w:ascii="仿宋" w:hAnsi="仿宋" w:eastAsia="仿宋" w:cs="仿宋"/>
          <w:color w:val="auto"/>
          <w:kern w:val="0"/>
          <w:sz w:val="32"/>
        </w:rPr>
      </w:pPr>
      <w:r>
        <w:rPr>
          <w:rFonts w:hint="eastAsia" w:ascii="仿宋" w:hAnsi="仿宋" w:eastAsia="仿宋" w:cs="仿宋"/>
          <w:color w:val="auto"/>
          <w:kern w:val="0"/>
          <w:sz w:val="32"/>
          <w:lang w:eastAsia="zh-CN"/>
        </w:rPr>
        <w:t>五、</w:t>
      </w:r>
      <w:r>
        <w:rPr>
          <w:rFonts w:hint="eastAsia" w:ascii="仿宋" w:hAnsi="仿宋" w:eastAsia="仿宋" w:cs="仿宋"/>
          <w:color w:val="auto"/>
          <w:kern w:val="0"/>
          <w:sz w:val="32"/>
        </w:rPr>
        <w:t>主要经验及做法、存在的问题及原因分析</w:t>
      </w:r>
    </w:p>
    <w:p w14:paraId="5F38FCB8">
      <w:pPr>
        <w:pStyle w:val="2"/>
        <w:numPr>
          <w:ilvl w:val="0"/>
          <w:numId w:val="0"/>
        </w:numPr>
        <w:ind w:leftChars="200"/>
        <w:rPr>
          <w:rFonts w:hint="eastAsia" w:ascii="仿宋" w:hAnsi="仿宋" w:eastAsia="仿宋" w:cs="仿宋"/>
          <w:color w:val="auto"/>
        </w:rPr>
      </w:pPr>
      <w:r>
        <w:rPr>
          <w:rFonts w:hint="eastAsia" w:ascii="仿宋" w:hAnsi="仿宋" w:eastAsia="仿宋" w:cs="仿宋"/>
          <w:b w:val="0"/>
          <w:bCs w:val="0"/>
          <w:color w:val="auto"/>
          <w:kern w:val="2"/>
          <w:sz w:val="32"/>
          <w:szCs w:val="32"/>
          <w:lang w:val="en-US" w:eastAsia="zh-CN" w:bidi="ar-SA"/>
        </w:rPr>
        <w:t>项目实施未偏离绩效目标。</w:t>
      </w:r>
    </w:p>
    <w:p w14:paraId="10E9D82F">
      <w:pPr>
        <w:autoSpaceDE w:val="0"/>
        <w:autoSpaceDN w:val="0"/>
        <w:adjustRightInd w:val="0"/>
        <w:spacing w:beforeLines="0" w:afterLines="0" w:line="560" w:lineRule="exact"/>
        <w:ind w:firstLine="320" w:firstLineChars="100"/>
        <w:jc w:val="left"/>
        <w:rPr>
          <w:rFonts w:hint="eastAsia" w:ascii="仿宋" w:hAnsi="仿宋" w:eastAsia="仿宋" w:cs="仿宋"/>
          <w:color w:val="auto"/>
          <w:kern w:val="0"/>
          <w:sz w:val="32"/>
        </w:rPr>
      </w:pPr>
      <w:r>
        <w:rPr>
          <w:rFonts w:hint="eastAsia" w:ascii="仿宋" w:hAnsi="仿宋" w:eastAsia="仿宋" w:cs="仿宋"/>
          <w:color w:val="auto"/>
          <w:kern w:val="0"/>
          <w:sz w:val="32"/>
          <w:lang w:eastAsia="zh-CN"/>
        </w:rPr>
        <w:t>六</w:t>
      </w:r>
      <w:r>
        <w:rPr>
          <w:rFonts w:hint="eastAsia" w:ascii="仿宋" w:hAnsi="仿宋" w:eastAsia="仿宋" w:cs="仿宋"/>
          <w:color w:val="auto"/>
          <w:kern w:val="0"/>
          <w:sz w:val="32"/>
        </w:rPr>
        <w:t>、有关建议</w:t>
      </w:r>
    </w:p>
    <w:p w14:paraId="51D09674">
      <w:pPr>
        <w:pStyle w:val="2"/>
        <w:ind w:firstLine="1920" w:firstLineChars="600"/>
        <w:rPr>
          <w:rFonts w:hint="eastAsia" w:ascii="仿宋" w:hAnsi="仿宋" w:eastAsia="仿宋" w:cs="仿宋"/>
          <w:color w:val="auto"/>
          <w:lang w:eastAsia="zh-CN"/>
        </w:rPr>
      </w:pPr>
      <w:r>
        <w:rPr>
          <w:rFonts w:hint="eastAsia" w:ascii="仿宋" w:hAnsi="仿宋" w:eastAsia="仿宋" w:cs="仿宋"/>
          <w:color w:val="auto"/>
          <w:kern w:val="0"/>
          <w:sz w:val="32"/>
          <w:lang w:eastAsia="zh-CN"/>
        </w:rPr>
        <w:t>无</w:t>
      </w:r>
    </w:p>
    <w:p w14:paraId="76375D84">
      <w:pPr>
        <w:autoSpaceDE w:val="0"/>
        <w:autoSpaceDN w:val="0"/>
        <w:adjustRightInd w:val="0"/>
        <w:spacing w:beforeLines="0" w:afterLines="0" w:line="560" w:lineRule="exact"/>
        <w:ind w:firstLine="640" w:firstLineChars="200"/>
        <w:jc w:val="left"/>
        <w:rPr>
          <w:rFonts w:hint="eastAsia" w:ascii="仿宋" w:hAnsi="仿宋" w:eastAsia="仿宋" w:cs="仿宋"/>
          <w:color w:val="auto"/>
          <w:kern w:val="0"/>
          <w:sz w:val="21"/>
        </w:rPr>
      </w:pPr>
      <w:r>
        <w:rPr>
          <w:rFonts w:hint="eastAsia" w:ascii="仿宋" w:hAnsi="仿宋" w:eastAsia="仿宋" w:cs="仿宋"/>
          <w:color w:val="auto"/>
          <w:kern w:val="0"/>
          <w:sz w:val="32"/>
          <w:lang w:eastAsia="zh-CN"/>
        </w:rPr>
        <w:t>七</w:t>
      </w:r>
      <w:r>
        <w:rPr>
          <w:rFonts w:hint="eastAsia" w:ascii="仿宋" w:hAnsi="仿宋" w:eastAsia="仿宋" w:cs="仿宋"/>
          <w:color w:val="auto"/>
          <w:kern w:val="0"/>
          <w:sz w:val="32"/>
        </w:rPr>
        <w:t>、其他需要说明的问题</w:t>
      </w:r>
    </w:p>
    <w:p w14:paraId="0D1DEB4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3" w:lineRule="atLeast"/>
        <w:ind w:right="0" w:firstLine="640" w:firstLineChars="200"/>
        <w:jc w:val="both"/>
        <w:rPr>
          <w:rFonts w:hint="eastAsia" w:ascii="仿宋" w:hAnsi="仿宋" w:eastAsia="仿宋" w:cs="仿宋"/>
          <w:color w:val="auto"/>
          <w:sz w:val="32"/>
          <w:szCs w:val="32"/>
        </w:rPr>
      </w:pPr>
      <w:r>
        <w:rPr>
          <w:rFonts w:hint="eastAsia" w:ascii="仿宋" w:hAnsi="仿宋" w:eastAsia="仿宋" w:cs="仿宋"/>
          <w:b w:val="0"/>
          <w:bCs w:val="0"/>
          <w:color w:val="auto"/>
          <w:kern w:val="2"/>
          <w:sz w:val="32"/>
          <w:szCs w:val="32"/>
          <w:lang w:val="en-US" w:eastAsia="zh-CN" w:bidi="ar-SA"/>
        </w:rPr>
        <w:t>我局将自评结果作为完善政策和改进管理的重要依据，同时加强评价结果的应用，对有效支出安排预算、低效支出压减预算、无效支出进行问责，切实提高部门预算绩效管理水平。将绩效自评结果作为下年度预算配置、预算执行和预算管理的重要参照依据，不断细化绩效评价指标，提高资金使用效益。绩效评价报告及相关表格将按规定在门户网站进行公开。</w:t>
      </w:r>
    </w:p>
    <w:p w14:paraId="01E3C87F">
      <w:pPr>
        <w:pStyle w:val="2"/>
        <w:rPr>
          <w:rFonts w:hint="eastAsia" w:ascii="仿宋_GB2312" w:hAnsi="仿宋_GB2312" w:eastAsia="仿宋_GB2312"/>
          <w:kern w:val="0"/>
          <w:sz w:val="32"/>
          <w:szCs w:val="32"/>
        </w:rPr>
      </w:pPr>
    </w:p>
    <w:p w14:paraId="2C181C3C">
      <w:pPr>
        <w:pStyle w:val="2"/>
        <w:rPr>
          <w:rFonts w:hint="eastAsia" w:ascii="仿宋_GB2312" w:hAnsi="仿宋_GB2312" w:eastAsia="仿宋_GB2312"/>
          <w:kern w:val="0"/>
          <w:sz w:val="32"/>
          <w:szCs w:val="32"/>
        </w:rPr>
      </w:pPr>
    </w:p>
    <w:p w14:paraId="1E671883">
      <w:pPr>
        <w:pStyle w:val="2"/>
        <w:rPr>
          <w:rFonts w:hint="eastAsia" w:ascii="仿宋_GB2312" w:hAnsi="仿宋_GB2312" w:eastAsia="仿宋_GB2312"/>
          <w:kern w:val="0"/>
          <w:sz w:val="32"/>
          <w:szCs w:val="32"/>
        </w:rPr>
      </w:pPr>
    </w:p>
    <w:p w14:paraId="19B1A196">
      <w:pPr>
        <w:pStyle w:val="2"/>
        <w:rPr>
          <w:rFonts w:hint="eastAsia" w:ascii="仿宋_GB2312" w:hAnsi="仿宋_GB2312" w:eastAsia="仿宋_GB2312"/>
          <w:kern w:val="0"/>
          <w:sz w:val="32"/>
          <w:szCs w:val="32"/>
        </w:rPr>
      </w:pPr>
    </w:p>
    <w:p w14:paraId="3B4D21F8">
      <w:pPr>
        <w:pStyle w:val="2"/>
        <w:rPr>
          <w:rFonts w:hint="eastAsia" w:ascii="仿宋_GB2312" w:hAnsi="仿宋_GB2312" w:eastAsia="仿宋_GB2312"/>
          <w:kern w:val="0"/>
          <w:sz w:val="32"/>
          <w:szCs w:val="32"/>
        </w:rPr>
      </w:pPr>
    </w:p>
    <w:p w14:paraId="4F1C693F">
      <w:pPr>
        <w:pStyle w:val="2"/>
        <w:rPr>
          <w:rFonts w:hint="eastAsia" w:ascii="仿宋_GB2312" w:hAnsi="仿宋_GB2312" w:eastAsia="仿宋_GB2312"/>
          <w:kern w:val="0"/>
          <w:sz w:val="32"/>
          <w:szCs w:val="32"/>
        </w:rPr>
      </w:pPr>
    </w:p>
    <w:p w14:paraId="7CC996B7">
      <w:pPr>
        <w:pStyle w:val="2"/>
        <w:rPr>
          <w:rFonts w:hint="eastAsia" w:ascii="仿宋_GB2312" w:hAnsi="仿宋_GB2312" w:eastAsia="仿宋_GB2312"/>
          <w:kern w:val="0"/>
          <w:sz w:val="32"/>
          <w:szCs w:val="32"/>
        </w:rPr>
      </w:pPr>
    </w:p>
    <w:p w14:paraId="423161B0">
      <w:pPr>
        <w:pStyle w:val="2"/>
        <w:rPr>
          <w:rFonts w:hint="eastAsia" w:ascii="仿宋_GB2312" w:hAnsi="仿宋_GB2312" w:eastAsia="仿宋_GB2312"/>
          <w:kern w:val="0"/>
          <w:sz w:val="32"/>
          <w:szCs w:val="32"/>
        </w:rPr>
      </w:pPr>
    </w:p>
    <w:p w14:paraId="0758C6F2">
      <w:pPr>
        <w:pStyle w:val="2"/>
        <w:rPr>
          <w:rFonts w:hint="eastAsia" w:ascii="仿宋_GB2312" w:hAnsi="仿宋_GB2312" w:eastAsia="仿宋_GB2312"/>
          <w:kern w:val="0"/>
          <w:sz w:val="32"/>
          <w:szCs w:val="32"/>
        </w:rPr>
      </w:pPr>
    </w:p>
    <w:p w14:paraId="32FE432B">
      <w:pPr>
        <w:pStyle w:val="2"/>
        <w:rPr>
          <w:rFonts w:hint="eastAsia" w:ascii="仿宋_GB2312" w:hAnsi="仿宋_GB2312" w:eastAsia="仿宋_GB2312"/>
          <w:kern w:val="0"/>
          <w:sz w:val="32"/>
          <w:szCs w:val="32"/>
        </w:rPr>
      </w:pPr>
    </w:p>
    <w:p w14:paraId="662CAA72">
      <w:pPr>
        <w:pStyle w:val="2"/>
        <w:rPr>
          <w:rFonts w:hint="eastAsia" w:ascii="仿宋_GB2312" w:hAnsi="仿宋_GB2312" w:eastAsia="仿宋_GB2312"/>
          <w:kern w:val="0"/>
          <w:sz w:val="32"/>
          <w:szCs w:val="32"/>
        </w:rPr>
      </w:pPr>
    </w:p>
    <w:p w14:paraId="07E66573">
      <w:pPr>
        <w:pStyle w:val="2"/>
        <w:rPr>
          <w:rFonts w:hint="eastAsia" w:ascii="仿宋_GB2312" w:hAnsi="仿宋_GB2312" w:eastAsia="仿宋_GB2312"/>
          <w:kern w:val="0"/>
          <w:sz w:val="32"/>
          <w:szCs w:val="32"/>
        </w:rPr>
      </w:pPr>
    </w:p>
    <w:p w14:paraId="17EAB787">
      <w:pPr>
        <w:pStyle w:val="2"/>
        <w:rPr>
          <w:rFonts w:hint="eastAsia" w:ascii="仿宋_GB2312" w:hAnsi="仿宋_GB2312" w:eastAsia="仿宋_GB2312"/>
          <w:kern w:val="0"/>
          <w:sz w:val="32"/>
          <w:szCs w:val="32"/>
        </w:rPr>
      </w:pPr>
    </w:p>
    <w:p w14:paraId="2F5334D2">
      <w:pPr>
        <w:spacing w:line="536" w:lineRule="exact"/>
        <w:jc w:val="center"/>
        <w:rPr>
          <w:rFonts w:hint="eastAsia" w:ascii="方正小标宋简体" w:hAnsi="方正小标宋简体" w:eastAsia="方正小标宋简体" w:cs="方正小标宋简体"/>
          <w:bCs/>
          <w:color w:val="auto"/>
          <w:sz w:val="44"/>
          <w:szCs w:val="44"/>
        </w:rPr>
      </w:pPr>
      <w:r>
        <w:rPr>
          <w:rFonts w:hint="eastAsia" w:ascii="方正小标宋简体" w:hAnsi="方正小标宋简体" w:eastAsia="方正小标宋简体" w:cs="方正小标宋简体"/>
          <w:bCs/>
          <w:color w:val="auto"/>
          <w:sz w:val="44"/>
          <w:szCs w:val="44"/>
          <w:lang w:val="en-US" w:eastAsia="zh-CN"/>
        </w:rPr>
        <w:t>2023</w:t>
      </w:r>
      <w:r>
        <w:rPr>
          <w:rFonts w:hint="eastAsia" w:ascii="方正小标宋简体" w:hAnsi="方正小标宋简体" w:eastAsia="方正小标宋简体" w:cs="方正小标宋简体"/>
          <w:bCs/>
          <w:color w:val="auto"/>
          <w:sz w:val="44"/>
          <w:szCs w:val="44"/>
        </w:rPr>
        <w:t>青</w:t>
      </w:r>
      <w:r>
        <w:rPr>
          <w:rFonts w:hint="eastAsia" w:ascii="方正小标宋简体" w:hAnsi="方正小标宋简体" w:eastAsia="方正小标宋简体" w:cs="方正小标宋简体"/>
          <w:bCs/>
          <w:color w:val="auto"/>
          <w:sz w:val="44"/>
          <w:szCs w:val="44"/>
          <w:lang w:eastAsia="zh-CN"/>
        </w:rPr>
        <w:t>云谱</w:t>
      </w:r>
      <w:r>
        <w:rPr>
          <w:rFonts w:hint="eastAsia" w:ascii="方正小标宋简体" w:hAnsi="方正小标宋简体" w:eastAsia="方正小标宋简体" w:cs="方正小标宋简体"/>
          <w:bCs/>
          <w:color w:val="auto"/>
          <w:sz w:val="44"/>
          <w:szCs w:val="44"/>
        </w:rPr>
        <w:t>区</w:t>
      </w:r>
      <w:r>
        <w:rPr>
          <w:rFonts w:hint="eastAsia" w:ascii="方正小标宋简体" w:hAnsi="方正小标宋简体" w:eastAsia="方正小标宋简体" w:cs="方正小标宋简体"/>
          <w:bCs/>
          <w:color w:val="auto"/>
          <w:sz w:val="44"/>
          <w:szCs w:val="44"/>
          <w:lang w:eastAsia="zh-CN"/>
        </w:rPr>
        <w:t>徐坊、三店老旧小区提升改造项目</w:t>
      </w:r>
      <w:r>
        <w:rPr>
          <w:rFonts w:hint="eastAsia" w:ascii="方正小标宋简体" w:hAnsi="方正小标宋简体" w:eastAsia="方正小标宋简体" w:cs="方正小标宋简体"/>
          <w:bCs/>
          <w:color w:val="auto"/>
          <w:sz w:val="44"/>
          <w:szCs w:val="44"/>
        </w:rPr>
        <w:t>绩效</w:t>
      </w:r>
      <w:r>
        <w:rPr>
          <w:rFonts w:hint="eastAsia" w:ascii="方正小标宋简体" w:hAnsi="方正小标宋简体" w:eastAsia="方正小标宋简体" w:cs="方正小标宋简体"/>
          <w:bCs/>
          <w:color w:val="auto"/>
          <w:sz w:val="44"/>
          <w:szCs w:val="44"/>
          <w:lang w:val="en-US" w:eastAsia="zh-CN"/>
        </w:rPr>
        <w:t>评估</w:t>
      </w:r>
      <w:r>
        <w:rPr>
          <w:rFonts w:hint="eastAsia" w:ascii="方正小标宋简体" w:hAnsi="方正小标宋简体" w:eastAsia="方正小标宋简体" w:cs="方正小标宋简体"/>
          <w:bCs/>
          <w:color w:val="auto"/>
          <w:sz w:val="44"/>
          <w:szCs w:val="44"/>
        </w:rPr>
        <w:t>报告</w:t>
      </w:r>
    </w:p>
    <w:p w14:paraId="79E3C9B4">
      <w:pPr>
        <w:spacing w:line="536" w:lineRule="exact"/>
        <w:jc w:val="center"/>
        <w:rPr>
          <w:rFonts w:hint="eastAsia" w:ascii="方正小标宋简体" w:hAnsi="方正小标宋简体" w:eastAsia="方正小标宋简体" w:cs="方正小标宋简体"/>
          <w:bCs/>
          <w:color w:val="auto"/>
          <w:sz w:val="44"/>
          <w:szCs w:val="44"/>
        </w:rPr>
      </w:pPr>
    </w:p>
    <w:p w14:paraId="42A0E030">
      <w:pPr>
        <w:autoSpaceDE w:val="0"/>
        <w:autoSpaceDN w:val="0"/>
        <w:adjustRightInd w:val="0"/>
        <w:spacing w:beforeLines="0" w:afterLines="0" w:line="560" w:lineRule="exact"/>
        <w:ind w:firstLine="640" w:firstLineChars="200"/>
        <w:jc w:val="left"/>
        <w:rPr>
          <w:rFonts w:hint="eastAsia" w:ascii="黑体" w:hAnsi="宋体" w:eastAsia="黑体"/>
          <w:color w:val="auto"/>
          <w:kern w:val="0"/>
          <w:sz w:val="21"/>
        </w:rPr>
      </w:pPr>
      <w:r>
        <w:rPr>
          <w:rFonts w:hint="eastAsia" w:ascii="黑体" w:hAnsi="宋体" w:eastAsia="黑体"/>
          <w:color w:val="auto"/>
          <w:kern w:val="0"/>
          <w:sz w:val="32"/>
        </w:rPr>
        <w:t>一、基本情况</w:t>
      </w:r>
    </w:p>
    <w:p w14:paraId="2A56C019">
      <w:pPr>
        <w:pStyle w:val="36"/>
        <w:numPr>
          <w:ilvl w:val="0"/>
          <w:numId w:val="7"/>
        </w:numPr>
        <w:spacing w:line="540" w:lineRule="exact"/>
        <w:ind w:firstLineChars="0"/>
        <w:rPr>
          <w:rFonts w:ascii="仿宋_GB2312" w:hAnsi="黑体" w:eastAsia="仿宋_GB2312"/>
          <w:color w:val="auto"/>
          <w:sz w:val="32"/>
          <w:szCs w:val="32"/>
        </w:rPr>
      </w:pPr>
      <w:r>
        <w:rPr>
          <w:rFonts w:hint="eastAsia" w:ascii="仿宋_GB2312" w:hAnsi="黑体" w:eastAsia="仿宋_GB2312"/>
          <w:color w:val="auto"/>
          <w:sz w:val="32"/>
          <w:szCs w:val="32"/>
        </w:rPr>
        <w:t>立项背景及依据</w:t>
      </w:r>
    </w:p>
    <w:p w14:paraId="63B13238">
      <w:pPr>
        <w:tabs>
          <w:tab w:val="left" w:pos="757"/>
        </w:tabs>
        <w:spacing w:line="360" w:lineRule="auto"/>
        <w:ind w:firstLine="600" w:firstLineChars="200"/>
        <w:rPr>
          <w:rFonts w:hint="eastAsia" w:ascii="仿宋" w:hAnsi="仿宋" w:eastAsia="仿宋" w:cs="仿宋"/>
          <w:color w:val="auto"/>
          <w:sz w:val="30"/>
          <w:szCs w:val="30"/>
        </w:rPr>
      </w:pPr>
      <w:r>
        <w:rPr>
          <w:rFonts w:hint="eastAsia" w:ascii="仿宋" w:hAnsi="仿宋" w:eastAsia="仿宋" w:cs="仿宋"/>
          <w:color w:val="auto"/>
          <w:sz w:val="30"/>
          <w:szCs w:val="30"/>
        </w:rPr>
        <w:t>为认真贯彻落实省财政厅《关于开展202</w:t>
      </w:r>
      <w:r>
        <w:rPr>
          <w:rFonts w:hint="eastAsia" w:ascii="仿宋" w:hAnsi="仿宋" w:eastAsia="仿宋" w:cs="仿宋"/>
          <w:color w:val="auto"/>
          <w:sz w:val="30"/>
          <w:szCs w:val="30"/>
          <w:lang w:val="en-US" w:eastAsia="zh-CN"/>
        </w:rPr>
        <w:t>3</w:t>
      </w:r>
      <w:r>
        <w:rPr>
          <w:rFonts w:hint="eastAsia" w:ascii="仿宋" w:hAnsi="仿宋" w:eastAsia="仿宋" w:cs="仿宋"/>
          <w:color w:val="auto"/>
          <w:sz w:val="30"/>
          <w:szCs w:val="30"/>
          <w:lang w:eastAsia="zh-CN"/>
        </w:rPr>
        <w:t>年城市燃气管道老化更新改造和保障性安居工程奖励</w:t>
      </w:r>
      <w:r>
        <w:rPr>
          <w:rFonts w:hint="eastAsia" w:ascii="仿宋" w:hAnsi="仿宋" w:eastAsia="仿宋" w:cs="仿宋"/>
          <w:color w:val="auto"/>
          <w:sz w:val="30"/>
          <w:szCs w:val="30"/>
        </w:rPr>
        <w:t>》，南昌市青云谱区住房和城乡建设局认真开展</w:t>
      </w:r>
      <w:r>
        <w:rPr>
          <w:rFonts w:hint="eastAsia" w:ascii="仿宋" w:hAnsi="仿宋" w:eastAsia="仿宋" w:cs="仿宋"/>
          <w:color w:val="auto"/>
          <w:sz w:val="30"/>
          <w:szCs w:val="30"/>
          <w:lang w:val="en-US" w:eastAsia="zh-CN"/>
        </w:rPr>
        <w:t>2023年度老旧小区改造</w:t>
      </w:r>
      <w:r>
        <w:rPr>
          <w:rFonts w:hint="eastAsia" w:ascii="仿宋" w:hAnsi="仿宋" w:eastAsia="仿宋" w:cs="仿宋"/>
          <w:color w:val="auto"/>
          <w:sz w:val="30"/>
          <w:szCs w:val="30"/>
        </w:rPr>
        <w:t>资金绩效自评工作。</w:t>
      </w:r>
    </w:p>
    <w:p w14:paraId="541B9014">
      <w:pPr>
        <w:numPr>
          <w:ilvl w:val="0"/>
          <w:numId w:val="7"/>
        </w:numPr>
        <w:autoSpaceDE w:val="0"/>
        <w:autoSpaceDN w:val="0"/>
        <w:adjustRightInd w:val="0"/>
        <w:spacing w:beforeLines="0" w:afterLines="0" w:line="560" w:lineRule="exact"/>
        <w:ind w:left="1080" w:leftChars="0" w:hanging="1080" w:firstLineChars="0"/>
        <w:jc w:val="left"/>
        <w:rPr>
          <w:rFonts w:hint="eastAsia" w:ascii="仿宋_GB2312" w:hAnsi="Times New Roman" w:eastAsia="仿宋_GB2312"/>
          <w:color w:val="auto"/>
          <w:kern w:val="0"/>
          <w:sz w:val="32"/>
        </w:rPr>
      </w:pPr>
      <w:r>
        <w:rPr>
          <w:rFonts w:hint="eastAsia" w:ascii="仿宋_GB2312" w:hAnsi="Times New Roman" w:eastAsia="仿宋_GB2312"/>
          <w:color w:val="auto"/>
          <w:kern w:val="0"/>
          <w:sz w:val="32"/>
        </w:rPr>
        <w:t>项目绩效目标。包括总体目标和阶段性目标。</w:t>
      </w:r>
    </w:p>
    <w:p w14:paraId="7409FD26">
      <w:pPr>
        <w:pStyle w:val="2"/>
        <w:rPr>
          <w:color w:val="auto"/>
        </w:rPr>
      </w:pPr>
      <w:r>
        <w:rPr>
          <w:rFonts w:hint="eastAsia"/>
          <w:color w:val="auto"/>
          <w:lang w:val="en-US" w:eastAsia="zh-CN"/>
        </w:rPr>
        <w:t xml:space="preserve"> </w:t>
      </w:r>
      <w:r>
        <w:rPr>
          <w:rFonts w:hint="eastAsia" w:ascii="仿宋" w:hAnsi="仿宋" w:eastAsia="仿宋" w:cs="仿宋"/>
          <w:b w:val="0"/>
          <w:bCs w:val="0"/>
          <w:color w:val="auto"/>
          <w:sz w:val="32"/>
          <w:szCs w:val="32"/>
        </w:rPr>
        <w:t>本项目改造范围总建筑面积约19.33万平方米，改造59栋，总户数2522户，总人口约8000人。包括徐坊街道二进社区、国乐社区、新丰社区、塔子桥社区、谷市街社区，以及三家店街道祥和社区、老街社区等老旧社区内市政改造建筑改造、室外环境工程、智能化改造等提升改造。</w:t>
      </w:r>
    </w:p>
    <w:p w14:paraId="30A9C7A0">
      <w:pPr>
        <w:autoSpaceDE w:val="0"/>
        <w:autoSpaceDN w:val="0"/>
        <w:adjustRightInd w:val="0"/>
        <w:spacing w:beforeLines="0" w:afterLines="0" w:line="560" w:lineRule="exact"/>
        <w:ind w:firstLine="640" w:firstLineChars="200"/>
        <w:jc w:val="left"/>
        <w:rPr>
          <w:rFonts w:hint="eastAsia" w:ascii="仿宋_GB2312" w:eastAsia="仿宋_GB2312"/>
          <w:color w:val="auto"/>
          <w:kern w:val="0"/>
          <w:sz w:val="21"/>
        </w:rPr>
      </w:pPr>
      <w:r>
        <w:rPr>
          <w:rFonts w:hint="eastAsia" w:ascii="黑体" w:hAnsi="宋体" w:eastAsia="黑体"/>
          <w:color w:val="auto"/>
          <w:kern w:val="0"/>
          <w:sz w:val="32"/>
        </w:rPr>
        <w:t>二、绩效评价工作开展情况</w:t>
      </w:r>
    </w:p>
    <w:p w14:paraId="1DC56190">
      <w:pPr>
        <w:autoSpaceDE w:val="0"/>
        <w:autoSpaceDN w:val="0"/>
        <w:adjustRightInd w:val="0"/>
        <w:spacing w:beforeLines="0" w:afterLines="0" w:line="560" w:lineRule="exact"/>
        <w:ind w:firstLine="640" w:firstLineChars="200"/>
        <w:jc w:val="left"/>
        <w:rPr>
          <w:rFonts w:hint="eastAsia" w:ascii="仿宋_GB2312" w:hAnsi="Times New Roman" w:eastAsia="仿宋_GB2312"/>
          <w:color w:val="auto"/>
          <w:kern w:val="0"/>
          <w:sz w:val="32"/>
        </w:rPr>
      </w:pPr>
      <w:r>
        <w:rPr>
          <w:rFonts w:hint="eastAsia" w:ascii="仿宋_GB2312" w:hAnsi="Times New Roman" w:eastAsia="仿宋_GB2312"/>
          <w:color w:val="auto"/>
          <w:kern w:val="0"/>
          <w:sz w:val="32"/>
        </w:rPr>
        <w:t>（一）绩效评价目的、对象和范围。</w:t>
      </w:r>
    </w:p>
    <w:p w14:paraId="0978336E">
      <w:pPr>
        <w:pStyle w:val="30"/>
        <w:spacing w:line="560" w:lineRule="exact"/>
        <w:ind w:firstLine="600" w:firstLineChars="200"/>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老旧小区改造配套基础设施建设，主要包括小区内水电路气、绿化、照明、围墙、垃圾收储等基础设施以及小区内部配套的养老抚幼、无障碍、便民等公共服务设施的建设和改造。</w:t>
      </w:r>
    </w:p>
    <w:p w14:paraId="47E7DF21">
      <w:pPr>
        <w:pStyle w:val="30"/>
        <w:spacing w:line="560" w:lineRule="exact"/>
        <w:ind w:firstLine="600" w:firstLineChars="200"/>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江西省住建厅、省发改委、省财政厅联合发布《关于推进全省城镇老旧小区改造工作的指导意见》，明确江西省将全面推进老旧小区改造提升工作，并将改造纳入保障性安居工程，重点解决严重影响居住安全和居住功能等群众反映强烈的问题，改善群众居住条件，提升其获得感、幸福感、安全感。</w:t>
      </w:r>
    </w:p>
    <w:p w14:paraId="4C9D0AB1">
      <w:pPr>
        <w:pStyle w:val="30"/>
        <w:spacing w:line="560" w:lineRule="exact"/>
        <w:ind w:firstLine="600" w:firstLineChars="200"/>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按照“省级筹划、市级统筹、县（市、区）级组织、居民参与”的工作机制，改造包括小区面貌改观、房屋功能改善、基础设施改造及居住环境改优四方面。各地要优先安排群众改造意愿强烈，各类基础设施缺失或失养严重，特别是水、电、路、气等必要基础设施亟须更新的老旧小区，防止形象工程、政绩工程。</w:t>
      </w:r>
    </w:p>
    <w:p w14:paraId="57BBAA35">
      <w:pPr>
        <w:pStyle w:val="30"/>
        <w:spacing w:line="560" w:lineRule="exact"/>
        <w:ind w:firstLine="600" w:firstLineChars="200"/>
        <w:rPr>
          <w:rFonts w:hint="eastAsia"/>
          <w:color w:val="auto"/>
        </w:rPr>
      </w:pPr>
      <w:r>
        <w:rPr>
          <w:rFonts w:hint="eastAsia" w:ascii="仿宋" w:hAnsi="仿宋" w:eastAsia="仿宋" w:cs="仿宋"/>
          <w:color w:val="auto"/>
          <w:kern w:val="2"/>
          <w:sz w:val="30"/>
          <w:szCs w:val="30"/>
        </w:rPr>
        <w:t>此次青云谱区</w:t>
      </w:r>
      <w:r>
        <w:rPr>
          <w:rFonts w:hint="eastAsia" w:ascii="仿宋" w:hAnsi="仿宋" w:eastAsia="仿宋" w:cs="仿宋"/>
          <w:color w:val="auto"/>
          <w:kern w:val="2"/>
          <w:sz w:val="30"/>
          <w:szCs w:val="30"/>
          <w:lang w:eastAsia="zh-CN"/>
        </w:rPr>
        <w:t>徐坊、三店</w:t>
      </w:r>
      <w:r>
        <w:rPr>
          <w:rFonts w:hint="eastAsia" w:ascii="仿宋" w:hAnsi="仿宋" w:eastAsia="仿宋" w:cs="仿宋"/>
          <w:color w:val="auto"/>
          <w:kern w:val="2"/>
          <w:sz w:val="30"/>
          <w:szCs w:val="30"/>
        </w:rPr>
        <w:t>老旧小区提升改造项目的建设，为群众生活场所和休闲娱乐提供了一个重要的保障，是创优广大人民群众的生活环境，提高生活水平的有力阵地，是改善人居环境的德政工程，是实现又好又快转变的形势所需。社区整改是完善青云谱区功能，提高城区品位，树立青云谱区形象，改善人居环境的一项民心工程,在此背景下，提出本项目的建设。</w:t>
      </w:r>
    </w:p>
    <w:p w14:paraId="3FC8E1C8">
      <w:pPr>
        <w:numPr>
          <w:ilvl w:val="0"/>
          <w:numId w:val="7"/>
        </w:numPr>
        <w:autoSpaceDE w:val="0"/>
        <w:autoSpaceDN w:val="0"/>
        <w:adjustRightInd w:val="0"/>
        <w:spacing w:beforeLines="0" w:afterLines="0" w:line="560" w:lineRule="exact"/>
        <w:ind w:left="1080" w:leftChars="0" w:hanging="1080" w:firstLineChars="0"/>
        <w:jc w:val="left"/>
        <w:rPr>
          <w:rFonts w:hint="eastAsia" w:ascii="仿宋_GB2312" w:hAnsi="Times New Roman" w:eastAsia="仿宋_GB2312"/>
          <w:color w:val="auto"/>
          <w:kern w:val="0"/>
          <w:sz w:val="32"/>
        </w:rPr>
      </w:pPr>
      <w:r>
        <w:rPr>
          <w:rFonts w:hint="eastAsia" w:ascii="仿宋_GB2312" w:hAnsi="Times New Roman" w:eastAsia="仿宋_GB2312"/>
          <w:color w:val="auto"/>
          <w:kern w:val="0"/>
          <w:sz w:val="32"/>
        </w:rPr>
        <w:t>绩效评价原则、评价指标体系、评价方法、评价标准等。</w:t>
      </w:r>
    </w:p>
    <w:p w14:paraId="2A5900B3">
      <w:pPr>
        <w:pStyle w:val="32"/>
        <w:pageBreakBefore w:val="0"/>
        <w:widowControl/>
        <w:kinsoku/>
        <w:wordWrap/>
        <w:overflowPunct/>
        <w:topLinePunct w:val="0"/>
        <w:autoSpaceDE/>
        <w:autoSpaceDN/>
        <w:bidi w:val="0"/>
        <w:spacing w:line="400" w:lineRule="exact"/>
        <w:ind w:left="0" w:leftChars="0" w:firstLine="0" w:firstLineChars="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2、评价原则</w:t>
      </w:r>
    </w:p>
    <w:p w14:paraId="56ADB91B">
      <w:pPr>
        <w:pStyle w:val="32"/>
        <w:pageBreakBefore w:val="0"/>
        <w:widowControl/>
        <w:kinsoku/>
        <w:wordWrap/>
        <w:overflowPunct/>
        <w:topLinePunct w:val="0"/>
        <w:autoSpaceDE/>
        <w:autoSpaceDN/>
        <w:bidi w:val="0"/>
        <w:spacing w:line="400" w:lineRule="exact"/>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根据财政部财预十号文中《预算绩效评价共性指标体系框架》等文件精神，确定本次绩效评价指标的整体框架。针对项目构建一套指标体系，项目指标包括项目决策（项目立项、绩效目标、资金投入），项目过程（资金管理、组织实施），项目产出（产出数量、产出质量、产出时效、产出成本），项目效益（社会效益、可持续影响、服务对象满意度）。结合项目实施方案、可行性研究报告等内容，确定本次绩效评价指标体系的个性指标，设置项目绩效评分指标表，涵盖三级指标23个。指标数据来源于相关法规、政府文件、基础数据采集、问卷调查和访谈等。具体详见如表1所示。</w:t>
      </w:r>
    </w:p>
    <w:p w14:paraId="5E6E7404">
      <w:pPr>
        <w:pStyle w:val="32"/>
        <w:pageBreakBefore w:val="0"/>
        <w:widowControl/>
        <w:kinsoku/>
        <w:wordWrap/>
        <w:overflowPunct/>
        <w:topLinePunct w:val="0"/>
        <w:autoSpaceDE/>
        <w:autoSpaceDN/>
        <w:bidi w:val="0"/>
        <w:spacing w:line="400" w:lineRule="exact"/>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（1）项目决策：占权重20分，用于考核项目立项依据规范性、绩效目标编制合理性、预算资金编制分配合理性等情况。</w:t>
      </w:r>
    </w:p>
    <w:p w14:paraId="40918267">
      <w:pPr>
        <w:pStyle w:val="32"/>
        <w:pageBreakBefore w:val="0"/>
        <w:widowControl/>
        <w:kinsoku/>
        <w:wordWrap/>
        <w:overflowPunct/>
        <w:topLinePunct w:val="0"/>
        <w:autoSpaceDE/>
        <w:autoSpaceDN/>
        <w:bidi w:val="0"/>
        <w:spacing w:line="400" w:lineRule="exact"/>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（2）项目过程：占权重20分，用于考核预算资金到位及执行使用的合规性、项目管理制度健全及有效性等情况。</w:t>
      </w:r>
    </w:p>
    <w:p w14:paraId="67196AC2">
      <w:pPr>
        <w:pStyle w:val="32"/>
        <w:pageBreakBefore w:val="0"/>
        <w:widowControl/>
        <w:kinsoku/>
        <w:wordWrap/>
        <w:overflowPunct/>
        <w:topLinePunct w:val="0"/>
        <w:autoSpaceDE/>
        <w:autoSpaceDN/>
        <w:bidi w:val="0"/>
        <w:spacing w:line="400" w:lineRule="exact"/>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（3）项目产出：占权重30分，分为产出数量、产出质量、产出时效、产出成本四个方面，用于衡量实际工作成果。</w:t>
      </w:r>
    </w:p>
    <w:p w14:paraId="4C8244B2">
      <w:pPr>
        <w:pStyle w:val="32"/>
        <w:pageBreakBefore w:val="0"/>
        <w:widowControl/>
        <w:kinsoku/>
        <w:wordWrap/>
        <w:overflowPunct/>
        <w:topLinePunct w:val="0"/>
        <w:autoSpaceDE/>
        <w:autoSpaceDN/>
        <w:bidi w:val="0"/>
        <w:spacing w:line="400" w:lineRule="exact"/>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（4）项目效益：占权重30分，分为经济效益、社会效益、生态效益、满意度等方面，用于展现项目实施效果及群众对项目实施后的满意度情况。</w:t>
      </w:r>
    </w:p>
    <w:p w14:paraId="530F4536">
      <w:pPr>
        <w:pStyle w:val="2"/>
        <w:rPr>
          <w:rFonts w:hint="default"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3、</w:t>
      </w:r>
      <w:r>
        <w:rPr>
          <w:rFonts w:hint="eastAsia" w:ascii="仿宋_GB2312" w:hAnsi="仿宋_GB2312" w:eastAsia="仿宋_GB2312" w:cs="仿宋_GB2312"/>
          <w:color w:val="auto"/>
          <w:sz w:val="32"/>
          <w:szCs w:val="32"/>
          <w:highlight w:val="none"/>
        </w:rPr>
        <w:t>评价指标体系</w:t>
      </w:r>
    </w:p>
    <w:p w14:paraId="6C9DAD5A">
      <w:pPr>
        <w:pStyle w:val="33"/>
        <w:bidi w:val="0"/>
        <w:spacing w:before="0" w:after="0" w:line="240" w:lineRule="auto"/>
        <w:ind w:firstLine="0" w:firstLineChars="0"/>
        <w:jc w:val="both"/>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表1  绩效评价指标体系</w:t>
      </w:r>
    </w:p>
    <w:tbl>
      <w:tblPr>
        <w:tblStyle w:val="12"/>
        <w:tblW w:w="85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88"/>
        <w:gridCol w:w="1469"/>
        <w:gridCol w:w="1704"/>
        <w:gridCol w:w="4064"/>
      </w:tblGrid>
      <w:tr w14:paraId="5F3BA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288"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721F01E6">
            <w:pPr>
              <w:pStyle w:val="34"/>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一级指标</w:t>
            </w:r>
          </w:p>
        </w:tc>
        <w:tc>
          <w:tcPr>
            <w:tcW w:w="1469"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1F3C5E61">
            <w:pPr>
              <w:pStyle w:val="34"/>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二级指标</w:t>
            </w:r>
          </w:p>
        </w:tc>
        <w:tc>
          <w:tcPr>
            <w:tcW w:w="1704"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133BDC94">
            <w:pPr>
              <w:pStyle w:val="34"/>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三级指标</w:t>
            </w:r>
          </w:p>
        </w:tc>
        <w:tc>
          <w:tcPr>
            <w:tcW w:w="4064"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3AE4FCAE">
            <w:pPr>
              <w:pStyle w:val="34"/>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评分标准</w:t>
            </w:r>
          </w:p>
        </w:tc>
      </w:tr>
      <w:tr w14:paraId="3E153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7" w:hRule="atLeast"/>
        </w:trPr>
        <w:tc>
          <w:tcPr>
            <w:tcW w:w="1288" w:type="dxa"/>
            <w:vMerge w:val="restart"/>
            <w:tcBorders>
              <w:top w:val="single" w:color="000000" w:sz="4" w:space="0"/>
              <w:left w:val="single" w:color="000000" w:sz="4" w:space="0"/>
              <w:bottom w:val="single" w:color="000000" w:sz="4" w:space="0"/>
              <w:right w:val="single" w:color="000000" w:sz="4" w:space="0"/>
            </w:tcBorders>
            <w:noWrap w:val="0"/>
            <w:vAlign w:val="center"/>
          </w:tcPr>
          <w:p w14:paraId="46AA0D3C">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决策指标（20分）</w:t>
            </w:r>
          </w:p>
        </w:tc>
        <w:tc>
          <w:tcPr>
            <w:tcW w:w="1469" w:type="dxa"/>
            <w:vMerge w:val="restart"/>
            <w:tcBorders>
              <w:top w:val="single" w:color="000000" w:sz="4" w:space="0"/>
              <w:left w:val="single" w:color="000000" w:sz="4" w:space="0"/>
              <w:bottom w:val="single" w:color="000000" w:sz="4" w:space="0"/>
              <w:right w:val="single" w:color="000000" w:sz="4" w:space="0"/>
            </w:tcBorders>
            <w:noWrap w:val="0"/>
            <w:vAlign w:val="center"/>
          </w:tcPr>
          <w:p w14:paraId="3821FE73">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项目立项（6分）</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40461E07">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立项依据充分性（3分）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39683035">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项目立项符合国家法律法规、国民经济和社会发展规划和相关政策；②符合行业发展规划和政策要求；③项目立项与部门职责相符，属于部门履职所需；④项目未与相关部门同类项目或相关部门项目重复。以上均符合得100%权重分，否则 每一项不符合扣除25%权重分，扣完为止。</w:t>
            </w:r>
          </w:p>
        </w:tc>
      </w:tr>
      <w:tr w14:paraId="4F14A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2"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5CFB19">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60F14A">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036ED8C3">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立项程序规范性（3分）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04A81F18">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项目按规定的程序申请设立；②审批文件、材料符合相关要求；③事前经过必要的可行性研究、专家论证、风险评估、绩效评估、集体决策。以上均符合得100%权重分，否则每一项不符合扣除100%权重分，扣完为止。</w:t>
            </w:r>
          </w:p>
        </w:tc>
      </w:tr>
      <w:tr w14:paraId="0D2B1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0"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06D9CC">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restart"/>
            <w:tcBorders>
              <w:top w:val="single" w:color="000000" w:sz="4" w:space="0"/>
              <w:left w:val="single" w:color="000000" w:sz="4" w:space="0"/>
              <w:bottom w:val="single" w:color="000000" w:sz="4" w:space="0"/>
              <w:right w:val="single" w:color="000000" w:sz="4" w:space="0"/>
            </w:tcBorders>
            <w:noWrap w:val="0"/>
            <w:vAlign w:val="center"/>
          </w:tcPr>
          <w:p w14:paraId="65928C47">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绩效目标（8分）</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17D631F4">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绩效目标合理性（4分）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5D8AE70A">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项目设定有绩效目标；②项目绩效目标与实际工作内容具有相关性；③项目预期产出效益和效果符合正常的业绩水平；④项目绩效目标与预算确定的投资项目额或资金量相匹配。每项占20%、20%、20%、40%权重分；以上均符合得100%权重分，否则扣除相应权重分。</w:t>
            </w:r>
          </w:p>
        </w:tc>
      </w:tr>
      <w:tr w14:paraId="78842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19"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D0B559">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53D66D">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1D0D9BAA">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绩效指标明确性（4分）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36A81E58">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将项目绩效目标细化分解为具体的绩效指标；②绩效指标通过清晰可衡量的指标予以体现；③绩效指标与项目目标任务数或计划数相对应。每项占30%、30%、40%权重分，以上均符合得100%权重分，否则扣除相应权重分。</w:t>
            </w:r>
          </w:p>
        </w:tc>
      </w:tr>
      <w:tr w14:paraId="268DF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2"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CDC0B3">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restart"/>
            <w:tcBorders>
              <w:top w:val="single" w:color="000000" w:sz="4" w:space="0"/>
              <w:left w:val="single" w:color="000000" w:sz="4" w:space="0"/>
              <w:bottom w:val="single" w:color="000000" w:sz="4" w:space="0"/>
              <w:right w:val="single" w:color="000000" w:sz="4" w:space="0"/>
            </w:tcBorders>
            <w:noWrap w:val="0"/>
            <w:vAlign w:val="center"/>
          </w:tcPr>
          <w:p w14:paraId="0970AFEC">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资金投入（10分）</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52FFA3DD">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预算编制科学性（4分）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6EBC1323">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项目预算编制经过科学论证；②预算内容与项目内容匹配；③预算额度测算依据充分，按照标准编制；④预算确定的投资项目额或资金量与工作任务相匹配。每项占30%、30%、20%、20%权重分，以上均符合得100%权重分，否则扣除相应权重分。</w:t>
            </w:r>
          </w:p>
        </w:tc>
      </w:tr>
      <w:tr w14:paraId="4C5F9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2"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565A83">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27D7B1">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3117E0E7">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资金分配合理性（2分）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2C34EEF5">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①项目资金分配依据充分；②资金分配额度合理，与项目实际相适应。以上均符合得100%权重分，否则扣除50%权重分，扣完为止。</w:t>
            </w:r>
          </w:p>
        </w:tc>
      </w:tr>
      <w:tr w14:paraId="43136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4" w:hRule="atLeast"/>
        </w:trPr>
        <w:tc>
          <w:tcPr>
            <w:tcW w:w="1288" w:type="dxa"/>
            <w:vMerge w:val="restart"/>
            <w:tcBorders>
              <w:top w:val="single" w:color="000000" w:sz="4" w:space="0"/>
              <w:left w:val="single" w:color="000000" w:sz="4" w:space="0"/>
              <w:bottom w:val="single" w:color="000000" w:sz="4" w:space="0"/>
              <w:right w:val="single" w:color="000000" w:sz="4" w:space="0"/>
            </w:tcBorders>
            <w:noWrap w:val="0"/>
            <w:vAlign w:val="center"/>
          </w:tcPr>
          <w:p w14:paraId="690DDAF6">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过程指标（20分）</w:t>
            </w:r>
          </w:p>
        </w:tc>
        <w:tc>
          <w:tcPr>
            <w:tcW w:w="1469" w:type="dxa"/>
            <w:vMerge w:val="restart"/>
            <w:tcBorders>
              <w:top w:val="single" w:color="000000" w:sz="4" w:space="0"/>
              <w:left w:val="single" w:color="000000" w:sz="4" w:space="0"/>
              <w:bottom w:val="single" w:color="000000" w:sz="4" w:space="0"/>
              <w:right w:val="single" w:color="000000" w:sz="4" w:space="0"/>
            </w:tcBorders>
            <w:noWrap w:val="0"/>
            <w:vAlign w:val="center"/>
          </w:tcPr>
          <w:p w14:paraId="3F5BC2D3">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资金管理（10分）</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4014BBAD">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资金到位率（2分）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2E435E83">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①资金到位率=（实际到位资金/预算资金）*100%，资金到位率达100%，得2分，否则按实际资金到位率*指标权重得分。</w:t>
            </w:r>
          </w:p>
        </w:tc>
      </w:tr>
      <w:tr w14:paraId="30C25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2"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B6995B">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BF6BBC">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430D541A">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预算执行率（3分）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4C538E86">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①预算执行率＝（实际支出资金/实际到位资金）*100%，预算执行率≥95%，得2分，否则按实际预算执行率/95%*指标权重得分。</w:t>
            </w:r>
          </w:p>
        </w:tc>
      </w:tr>
      <w:tr w14:paraId="55471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30D596">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84AC37">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42E9998B">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资金使用合规性（5分）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491BCFED">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资金使用符合国家财经法规和财务管理制度以及有关专项资金管理办法的规定；②资金拨付有完整的审批程序和手续；③资金使用符合项目预算批复或合同规定的用途；④不存在截留、挤占、挪用、虚列支出等情况。以上均符合得100%权重分，否则每发现1处不符合扣40%权重分，扣完为止。</w:t>
            </w:r>
          </w:p>
        </w:tc>
      </w:tr>
      <w:tr w14:paraId="70C5A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5F891F">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restart"/>
            <w:tcBorders>
              <w:top w:val="single" w:color="000000" w:sz="4" w:space="0"/>
              <w:left w:val="single" w:color="000000" w:sz="4" w:space="0"/>
              <w:bottom w:val="single" w:color="000000" w:sz="4" w:space="0"/>
              <w:right w:val="single" w:color="000000" w:sz="4" w:space="0"/>
            </w:tcBorders>
            <w:noWrap w:val="0"/>
            <w:vAlign w:val="center"/>
          </w:tcPr>
          <w:p w14:paraId="53B4B89B">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组织实施（10分）</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70C79303">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管理制度健全性（4分）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5E7214D4">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①制定或具有相应的财务管理制度；②制定或具有相应的业务管理制度；②财务和业务管理制度合法、合规、完整。每项分别占30%、30%、40%权重分，以上均符合得100%权重分，否则扣除相应权重分。</w:t>
            </w:r>
          </w:p>
        </w:tc>
      </w:tr>
      <w:tr w14:paraId="4B5AE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B78FDD">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9B45E4">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0EC85B5C">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制度执行有效性（6分）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657A9A4C">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遵守相关法律法规和相关管理规定；②项目调整及支出调整手续完备；③项目合同书、验收报告、技术鉴定等资料齐全并及时归档；④项目实施的人员条件、场地设备、信息支撑等落实到位。以上均符合得100%权重分，否则每发现1处不符合扣25%权重分，扣完为止。</w:t>
            </w:r>
          </w:p>
        </w:tc>
      </w:tr>
      <w:tr w14:paraId="6C1A0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9" w:hRule="atLeast"/>
        </w:trPr>
        <w:tc>
          <w:tcPr>
            <w:tcW w:w="1288" w:type="dxa"/>
            <w:vMerge w:val="restart"/>
            <w:tcBorders>
              <w:top w:val="single" w:color="000000" w:sz="4" w:space="0"/>
              <w:left w:val="single" w:color="000000" w:sz="4" w:space="0"/>
              <w:bottom w:val="single" w:color="000000" w:sz="4" w:space="0"/>
              <w:right w:val="single" w:color="000000" w:sz="4" w:space="0"/>
            </w:tcBorders>
            <w:noWrap w:val="0"/>
            <w:vAlign w:val="center"/>
          </w:tcPr>
          <w:p w14:paraId="0E460CA0">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产出指标（30分）</w:t>
            </w:r>
          </w:p>
        </w:tc>
        <w:tc>
          <w:tcPr>
            <w:tcW w:w="1469" w:type="dxa"/>
            <w:vMerge w:val="restart"/>
            <w:tcBorders>
              <w:top w:val="single" w:color="000000" w:sz="4" w:space="0"/>
              <w:left w:val="single" w:color="000000" w:sz="4" w:space="0"/>
              <w:bottom w:val="single" w:color="000000" w:sz="4" w:space="0"/>
              <w:right w:val="single" w:color="000000" w:sz="4" w:space="0"/>
            </w:tcBorders>
            <w:noWrap w:val="0"/>
            <w:vAlign w:val="center"/>
          </w:tcPr>
          <w:p w14:paraId="1AEFFDE0">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产出数量（12分）</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316C0AA4">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老旧小区项目3分）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6C20B82D">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①依据《青云谱区徐坊、三店老旧小区提升改造项目初步设计的复函》明确，水环境治理工程面积约9.8平方千米，服务面积达到相关要求得3分，否则不得分。</w:t>
            </w:r>
          </w:p>
        </w:tc>
      </w:tr>
      <w:tr w14:paraId="6C1B8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504D60">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CF5EB3">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319BBC0B">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建设顶管井数量（3分）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1325865E">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①依据项目组织设计，项目需建设5座顶管井，其中顶管始发井3座，顶管接收井2座，建设顶管井达5座得3分，则不得分。</w:t>
            </w:r>
          </w:p>
        </w:tc>
      </w:tr>
      <w:tr w14:paraId="2219E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0"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36766F">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5EC239">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1BEC519E">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清理泥沙土方数量（3分）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4DF51ACA">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①依据建设实际情况，清理建设区泥沙土方，清理完成得3分，发现有堆砌未清理不得分。</w:t>
            </w:r>
          </w:p>
        </w:tc>
      </w:tr>
      <w:tr w14:paraId="385D4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9"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73C25F">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2013E3">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53931681">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高压开关柜安装数量（3分）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3B6C22D6">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①依据项目组织设计，项目需安装高压开关柜5台，均已安装完成得3分，否则按实际安装占比率×指标权重得分。</w:t>
            </w:r>
          </w:p>
        </w:tc>
      </w:tr>
      <w:tr w14:paraId="3EF8C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5"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80D648">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restart"/>
            <w:tcBorders>
              <w:top w:val="single" w:color="000000" w:sz="4" w:space="0"/>
              <w:left w:val="single" w:color="000000" w:sz="4" w:space="0"/>
              <w:bottom w:val="single" w:color="000000" w:sz="4" w:space="0"/>
              <w:right w:val="single" w:color="000000" w:sz="4" w:space="0"/>
            </w:tcBorders>
            <w:noWrap w:val="0"/>
            <w:vAlign w:val="center"/>
          </w:tcPr>
          <w:p w14:paraId="3C8D9505">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产出质量（8分）</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086E04E9">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污水处理覆盖率（4分）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0D046D35">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①依据组织设计图，污水处理服务面积2.3平方千米覆盖率100%得满分，否则不得分。</w:t>
            </w:r>
          </w:p>
        </w:tc>
      </w:tr>
      <w:tr w14:paraId="32905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2"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25264E">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B61E2D">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06A5B4A8">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项目建设达标率（4分）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65D30633">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①顶管井建设达相关标准100%得分，否则不得分；②高压开关柜符合相关规格100%得2分，否则不得分。</w:t>
            </w:r>
          </w:p>
        </w:tc>
      </w:tr>
      <w:tr w14:paraId="508D5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0"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25FAB4">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tcBorders>
              <w:top w:val="single" w:color="000000" w:sz="4" w:space="0"/>
              <w:left w:val="single" w:color="000000" w:sz="4" w:space="0"/>
              <w:bottom w:val="single" w:color="000000" w:sz="4" w:space="0"/>
              <w:right w:val="single" w:color="000000" w:sz="4" w:space="0"/>
            </w:tcBorders>
            <w:noWrap w:val="0"/>
            <w:vAlign w:val="center"/>
          </w:tcPr>
          <w:p w14:paraId="095F27A1">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产出时效（5分）</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4895A8DC">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项目建设开工及时率（5分）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66A884B1">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①依据项目《合同协议书》，项目于2022年内开工建设得满分，未及时开工则不得分。</w:t>
            </w:r>
          </w:p>
        </w:tc>
      </w:tr>
      <w:tr w14:paraId="03481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4"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4DC647">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tcBorders>
              <w:top w:val="single" w:color="000000" w:sz="4" w:space="0"/>
              <w:left w:val="single" w:color="000000" w:sz="4" w:space="0"/>
              <w:bottom w:val="single" w:color="000000" w:sz="4" w:space="0"/>
              <w:right w:val="single" w:color="000000" w:sz="4" w:space="0"/>
            </w:tcBorders>
            <w:noWrap w:val="0"/>
            <w:vAlign w:val="center"/>
          </w:tcPr>
          <w:p w14:paraId="1E22FD7B">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产出成本（5分）</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39B28D95">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项目成本控制率（5分）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255BABC3">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项目当年度预算，实际支出控制在预算范围内得满分，否则不得分。</w:t>
            </w:r>
          </w:p>
        </w:tc>
      </w:tr>
      <w:tr w14:paraId="62D65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9" w:hRule="atLeast"/>
        </w:trPr>
        <w:tc>
          <w:tcPr>
            <w:tcW w:w="1288" w:type="dxa"/>
            <w:vMerge w:val="restart"/>
            <w:tcBorders>
              <w:top w:val="single" w:color="000000" w:sz="4" w:space="0"/>
              <w:left w:val="single" w:color="000000" w:sz="4" w:space="0"/>
              <w:bottom w:val="single" w:color="000000" w:sz="4" w:space="0"/>
              <w:right w:val="single" w:color="000000" w:sz="4" w:space="0"/>
            </w:tcBorders>
            <w:noWrap w:val="0"/>
            <w:vAlign w:val="center"/>
          </w:tcPr>
          <w:p w14:paraId="65EF7C14">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效益指标（30分）</w:t>
            </w:r>
          </w:p>
        </w:tc>
        <w:tc>
          <w:tcPr>
            <w:tcW w:w="1469" w:type="dxa"/>
            <w:vMerge w:val="restart"/>
            <w:tcBorders>
              <w:top w:val="single" w:color="000000" w:sz="4" w:space="0"/>
              <w:left w:val="single" w:color="000000" w:sz="4" w:space="0"/>
              <w:bottom w:val="single" w:color="000000" w:sz="4" w:space="0"/>
              <w:right w:val="single" w:color="000000" w:sz="4" w:space="0"/>
            </w:tcBorders>
            <w:noWrap w:val="0"/>
            <w:vAlign w:val="center"/>
          </w:tcPr>
          <w:p w14:paraId="1B09B144">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社会效益（15分）</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4FF479B6">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提高群众生活质量（7分）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3A67E13F">
            <w:pPr>
              <w:pStyle w:val="34"/>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通过老旧小区项目改造，改善区域水环境，提高群众生活质量，增强人民群众幸福感得满分，否则酌情扣分。</w:t>
            </w:r>
          </w:p>
        </w:tc>
      </w:tr>
      <w:tr w14:paraId="491AF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4"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2006A3">
            <w:pPr>
              <w:pStyle w:val="34"/>
              <w:bidi w:val="0"/>
              <w:rPr>
                <w:rFonts w:hint="eastAsia" w:ascii="仿宋" w:hAnsi="仿宋" w:eastAsia="仿宋" w:cs="仿宋"/>
                <w:color w:val="auto"/>
                <w:kern w:val="0"/>
                <w:sz w:val="28"/>
                <w:szCs w:val="28"/>
                <w:lang w:val="en-US" w:eastAsia="zh-CN" w:bidi="ar-SA"/>
              </w:rPr>
            </w:pPr>
          </w:p>
        </w:tc>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0DDA06">
            <w:pPr>
              <w:pStyle w:val="34"/>
              <w:bidi w:val="0"/>
              <w:rPr>
                <w:rFonts w:hint="eastAsia" w:ascii="仿宋" w:hAnsi="仿宋" w:eastAsia="仿宋" w:cs="仿宋"/>
                <w:color w:val="auto"/>
                <w:kern w:val="0"/>
                <w:sz w:val="28"/>
                <w:szCs w:val="28"/>
                <w:lang w:val="en-US" w:eastAsia="zh-CN" w:bidi="ar-SA"/>
              </w:rPr>
            </w:pP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29E17FD8">
            <w:pPr>
              <w:pStyle w:val="34"/>
              <w:bidi w:val="0"/>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改善区内污水处理现状（8分）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0BB2E119">
            <w:pPr>
              <w:pStyle w:val="34"/>
              <w:bidi w:val="0"/>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通过老旧小区项目改造，实现区域内下水管网雨污分流处理，有效改善辖区内污水情况得满分，否则酌情扣分。</w:t>
            </w:r>
          </w:p>
        </w:tc>
      </w:tr>
      <w:tr w14:paraId="3F71D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5"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681031">
            <w:pPr>
              <w:pStyle w:val="34"/>
              <w:bidi w:val="0"/>
              <w:rPr>
                <w:rFonts w:hint="eastAsia" w:ascii="仿宋" w:hAnsi="仿宋" w:eastAsia="仿宋" w:cs="仿宋"/>
                <w:color w:val="auto"/>
                <w:kern w:val="0"/>
                <w:sz w:val="28"/>
                <w:szCs w:val="28"/>
                <w:lang w:val="en-US" w:eastAsia="zh-CN" w:bidi="ar-SA"/>
              </w:rPr>
            </w:pPr>
          </w:p>
        </w:tc>
        <w:tc>
          <w:tcPr>
            <w:tcW w:w="1469" w:type="dxa"/>
            <w:tcBorders>
              <w:top w:val="single" w:color="000000" w:sz="4" w:space="0"/>
              <w:left w:val="single" w:color="000000" w:sz="4" w:space="0"/>
              <w:bottom w:val="single" w:color="000000" w:sz="4" w:space="0"/>
              <w:right w:val="single" w:color="000000" w:sz="4" w:space="0"/>
            </w:tcBorders>
            <w:noWrap w:val="0"/>
            <w:vAlign w:val="center"/>
          </w:tcPr>
          <w:p w14:paraId="61ACFEDA">
            <w:pPr>
              <w:pStyle w:val="34"/>
              <w:bidi w:val="0"/>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生态效益（5分）</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3DC043F1">
            <w:pPr>
              <w:pStyle w:val="34"/>
              <w:bidi w:val="0"/>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降低水污染程度（5分）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26497920">
            <w:pPr>
              <w:pStyle w:val="34"/>
              <w:bidi w:val="0"/>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通过实施污水处理，实现水资源重复利用，排放水域环境良好得满分，否则酌情扣分。</w:t>
            </w:r>
          </w:p>
        </w:tc>
      </w:tr>
      <w:tr w14:paraId="5289B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6"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7D0556">
            <w:pPr>
              <w:pStyle w:val="34"/>
              <w:bidi w:val="0"/>
              <w:rPr>
                <w:rFonts w:hint="eastAsia" w:ascii="仿宋" w:hAnsi="仿宋" w:eastAsia="仿宋" w:cs="仿宋"/>
                <w:color w:val="auto"/>
                <w:kern w:val="0"/>
                <w:sz w:val="28"/>
                <w:szCs w:val="28"/>
                <w:lang w:val="en-US" w:eastAsia="zh-CN" w:bidi="ar-SA"/>
              </w:rPr>
            </w:pPr>
          </w:p>
        </w:tc>
        <w:tc>
          <w:tcPr>
            <w:tcW w:w="1469" w:type="dxa"/>
            <w:tcBorders>
              <w:top w:val="single" w:color="000000" w:sz="4" w:space="0"/>
              <w:left w:val="single" w:color="000000" w:sz="4" w:space="0"/>
              <w:bottom w:val="single" w:color="000000" w:sz="4" w:space="0"/>
              <w:right w:val="single" w:color="000000" w:sz="4" w:space="0"/>
            </w:tcBorders>
            <w:noWrap w:val="0"/>
            <w:vAlign w:val="center"/>
          </w:tcPr>
          <w:p w14:paraId="4C9CAF32">
            <w:pPr>
              <w:pStyle w:val="34"/>
              <w:bidi w:val="0"/>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服务对象满意度（10分）</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76D4CFCD">
            <w:pPr>
              <w:pStyle w:val="34"/>
              <w:bidi w:val="0"/>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周边居民满意度（10分）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7BBBD8A1">
            <w:pPr>
              <w:pStyle w:val="34"/>
              <w:bidi w:val="0"/>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周边居民满意度达到90%以上得满分，否则每下降1%扣5%权重分，扣完为止。</w:t>
            </w:r>
          </w:p>
        </w:tc>
      </w:tr>
    </w:tbl>
    <w:p w14:paraId="54406E3B">
      <w:pPr>
        <w:bidi w:val="0"/>
        <w:jc w:val="left"/>
        <w:rPr>
          <w:rFonts w:hint="eastAsia" w:ascii="仿宋" w:hAnsi="仿宋" w:eastAsia="仿宋_GB2312"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4、</w:t>
      </w:r>
      <w:r>
        <w:rPr>
          <w:rFonts w:hint="eastAsia" w:ascii="仿宋_GB2312" w:hAnsi="仿宋_GB2312" w:eastAsia="仿宋_GB2312" w:cs="仿宋_GB2312"/>
          <w:color w:val="auto"/>
          <w:sz w:val="32"/>
          <w:szCs w:val="32"/>
          <w:highlight w:val="none"/>
        </w:rPr>
        <w:t>评价方法</w:t>
      </w:r>
      <w:r>
        <w:rPr>
          <w:rFonts w:hint="eastAsia" w:ascii="仿宋_GB2312" w:hAnsi="仿宋_GB2312" w:eastAsia="仿宋_GB2312" w:cs="仿宋_GB2312"/>
          <w:color w:val="auto"/>
          <w:sz w:val="32"/>
          <w:szCs w:val="32"/>
          <w:highlight w:val="none"/>
          <w:lang w:eastAsia="zh-CN"/>
        </w:rPr>
        <w:t>和评价标准</w:t>
      </w:r>
    </w:p>
    <w:p w14:paraId="12662490">
      <w:pPr>
        <w:pStyle w:val="35"/>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（1）主要采用因素分析法和数据对比法。因素分析法评价项目实施的整体情况是否符合实际需要，数据对比法则反映的是项目运行的持续性和质量的可控性。</w:t>
      </w:r>
    </w:p>
    <w:p w14:paraId="7D7FC447">
      <w:pPr>
        <w:pStyle w:val="35"/>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（2）本次绩效评价采取随机抽样的方式完成群众的满意度问卷调查。</w:t>
      </w:r>
    </w:p>
    <w:p w14:paraId="5B90DAB3">
      <w:pPr>
        <w:pStyle w:val="35"/>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绩效评价标准是指财政支出绩效目标完成程度的衡量尺度。通过评价标准判断评价指标的合理与重要性程度，作为评价工作的基本准绳和标尺，决定了评价目标实现与否以及评价结果准确与否，并作为评价计分的依据。绩效指标评价标准主要有：</w:t>
      </w:r>
    </w:p>
    <w:p w14:paraId="1EA0A250">
      <w:pPr>
        <w:pStyle w:val="35"/>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（1）计划标准</w:t>
      </w:r>
    </w:p>
    <w:p w14:paraId="31ABB03D">
      <w:pPr>
        <w:pStyle w:val="35"/>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以预先制定的规划、计划、目标、预算或定额等数据作为绩效评价标准。计划值作为评价指标的预计完成值，旨在通过与实际完成值进行比对，通过测算计划值完成比例，达成绩效评价目的。</w:t>
      </w:r>
    </w:p>
    <w:p w14:paraId="3E278B91">
      <w:pPr>
        <w:pStyle w:val="35"/>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（2）行业标准</w:t>
      </w:r>
    </w:p>
    <w:p w14:paraId="124D8741">
      <w:pPr>
        <w:pStyle w:val="35"/>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以某一具体行业许多个体或相关财政经费的相关指标数据为基准，充分挖掘数据中蕴含的信息，从而制定相适应的行业评价标准。行业标准的充分应用需要充足的样本数据库作支撑，具备一定的权威性、客观性与真实性，便于财政项目支出绩效评价情况纵向和横向分析与对比。</w:t>
      </w:r>
    </w:p>
    <w:p w14:paraId="6BEFE072">
      <w:pPr>
        <w:pStyle w:val="35"/>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（3）历史标准</w:t>
      </w:r>
    </w:p>
    <w:p w14:paraId="0B7709D2">
      <w:pPr>
        <w:pStyle w:val="35"/>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 xml:space="preserve">以绩效评价指标的历史数据作为样本，运用一定的统计学方法，计算出各类指标的平均历史水平。在运用历史标准进行评价时，要对其根据价格指数、统计口径或核算方法的变化对历史标准进行修订和完善。 </w:t>
      </w:r>
    </w:p>
    <w:p w14:paraId="56EB1000">
      <w:pPr>
        <w:pStyle w:val="35"/>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（4）经验标准</w:t>
      </w:r>
    </w:p>
    <w:p w14:paraId="3513258B">
      <w:pPr>
        <w:pStyle w:val="35"/>
        <w:bidi w:val="0"/>
        <w:rPr>
          <w:rFonts w:hint="eastAsia"/>
          <w:color w:val="auto"/>
        </w:rPr>
      </w:pPr>
      <w:r>
        <w:rPr>
          <w:rFonts w:hint="eastAsia" w:ascii="仿宋" w:hAnsi="仿宋" w:eastAsia="仿宋" w:cs="仿宋"/>
          <w:color w:val="auto"/>
          <w:kern w:val="0"/>
          <w:sz w:val="32"/>
          <w:szCs w:val="32"/>
          <w:lang w:val="en-US" w:eastAsia="zh-CN" w:bidi="ar-SA"/>
        </w:rPr>
        <w:t>以长期从事财政经济活动领域的专家学者的参考意见为基础，通过严谨的分析与研究，结合其管理实践，确定相关指标标准。该项标准与行业标准存在优先选择的情况，即行业标准权威性不足或缺乏同行业标准时，采用经验标准。</w:t>
      </w:r>
    </w:p>
    <w:p w14:paraId="551BC169">
      <w:pPr>
        <w:numPr>
          <w:ilvl w:val="0"/>
          <w:numId w:val="7"/>
        </w:numPr>
        <w:autoSpaceDE w:val="0"/>
        <w:autoSpaceDN w:val="0"/>
        <w:adjustRightInd w:val="0"/>
        <w:spacing w:beforeLines="0" w:afterLines="0" w:line="560" w:lineRule="exact"/>
        <w:ind w:left="1080" w:leftChars="0" w:hanging="1080" w:firstLineChars="0"/>
        <w:jc w:val="left"/>
        <w:rPr>
          <w:rFonts w:hint="eastAsia" w:ascii="仿宋_GB2312" w:hAnsi="Times New Roman" w:eastAsia="仿宋_GB2312"/>
          <w:color w:val="auto"/>
          <w:kern w:val="0"/>
          <w:sz w:val="32"/>
        </w:rPr>
      </w:pPr>
      <w:r>
        <w:rPr>
          <w:rFonts w:hint="eastAsia" w:ascii="仿宋_GB2312" w:hAnsi="Times New Roman" w:eastAsia="仿宋_GB2312"/>
          <w:color w:val="auto"/>
          <w:kern w:val="0"/>
          <w:sz w:val="32"/>
        </w:rPr>
        <w:t>绩效评价工作过程。</w:t>
      </w:r>
    </w:p>
    <w:p w14:paraId="169BE554">
      <w:pPr>
        <w:bidi w:val="0"/>
        <w:jc w:val="left"/>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（一）投入</w:t>
      </w:r>
    </w:p>
    <w:p w14:paraId="44571BA2">
      <w:pPr>
        <w:bidi w:val="0"/>
        <w:jc w:val="left"/>
        <w:rPr>
          <w:rFonts w:hint="eastAsia" w:ascii="仿宋_GB2312" w:hAnsi="仿宋_GB2312" w:eastAsia="仿宋_GB2312" w:cs="仿宋_GB2312"/>
          <w:color w:val="auto"/>
          <w:sz w:val="30"/>
          <w:szCs w:val="30"/>
        </w:rPr>
      </w:pPr>
      <w:r>
        <w:rPr>
          <w:rFonts w:hint="eastAsia" w:ascii="仿宋" w:hAnsi="仿宋" w:eastAsia="仿宋" w:cs="仿宋"/>
          <w:color w:val="auto"/>
          <w:kern w:val="0"/>
          <w:sz w:val="32"/>
          <w:szCs w:val="32"/>
          <w:lang w:val="en-US" w:eastAsia="zh-CN" w:bidi="ar-SA"/>
        </w:rPr>
        <w:t>2023年度该项目到位资金总额4700万元，为地方政府专</w:t>
      </w:r>
      <w:r>
        <w:rPr>
          <w:rFonts w:hint="eastAsia" w:ascii="仿宋_GB2312" w:hAnsi="仿宋_GB2312" w:eastAsia="仿宋_GB2312" w:cs="仿宋_GB2312"/>
          <w:color w:val="auto"/>
          <w:sz w:val="30"/>
          <w:szCs w:val="30"/>
          <w:lang w:eastAsia="zh-CN"/>
        </w:rPr>
        <w:t>项债及</w:t>
      </w:r>
      <w:r>
        <w:rPr>
          <w:rFonts w:hint="eastAsia" w:ascii="仿宋_GB2312" w:hAnsi="仿宋_GB2312" w:eastAsia="仿宋_GB2312" w:cs="仿宋_GB2312"/>
          <w:color w:val="auto"/>
          <w:sz w:val="30"/>
          <w:szCs w:val="30"/>
        </w:rPr>
        <w:t>中央预算拨款，本年度项目计划拨付金额</w:t>
      </w:r>
      <w:r>
        <w:rPr>
          <w:rFonts w:hint="eastAsia" w:ascii="仿宋_GB2312" w:hAnsi="仿宋_GB2312" w:eastAsia="仿宋_GB2312" w:cs="仿宋_GB2312"/>
          <w:color w:val="auto"/>
          <w:sz w:val="30"/>
          <w:szCs w:val="30"/>
          <w:lang w:val="en-US" w:eastAsia="zh-CN"/>
        </w:rPr>
        <w:t>4700</w:t>
      </w:r>
      <w:r>
        <w:rPr>
          <w:rFonts w:hint="eastAsia" w:ascii="仿宋_GB2312" w:hAnsi="仿宋_GB2312" w:eastAsia="仿宋_GB2312" w:cs="仿宋_GB2312"/>
          <w:color w:val="auto"/>
          <w:sz w:val="30"/>
          <w:szCs w:val="30"/>
        </w:rPr>
        <w:t>万元，资金到位支付率</w:t>
      </w:r>
      <w:r>
        <w:rPr>
          <w:rFonts w:hint="eastAsia" w:ascii="仿宋_GB2312" w:hAnsi="仿宋_GB2312" w:eastAsia="仿宋_GB2312" w:cs="仿宋_GB2312"/>
          <w:color w:val="auto"/>
          <w:sz w:val="30"/>
          <w:szCs w:val="30"/>
          <w:lang w:val="en-US" w:eastAsia="zh-CN"/>
        </w:rPr>
        <w:t>100</w:t>
      </w:r>
      <w:r>
        <w:rPr>
          <w:rFonts w:hint="eastAsia" w:ascii="仿宋_GB2312" w:hAnsi="仿宋_GB2312" w:eastAsia="仿宋_GB2312" w:cs="仿宋_GB2312"/>
          <w:color w:val="auto"/>
          <w:sz w:val="30"/>
          <w:szCs w:val="30"/>
        </w:rPr>
        <w:t>%。</w:t>
      </w:r>
    </w:p>
    <w:p w14:paraId="227AC5ED">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（二）管理</w:t>
      </w:r>
    </w:p>
    <w:p w14:paraId="4F213044">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在项目的实施过程中，我部门严格按照项目立项审批内容，认真组织实施，强化施工组织管理，狠抓工程质量和施工安全，确保项目按期完工并交付使用。同时加强资金使用管理，确保专款专用，杜绝截留挪用建设资金，保证了项目顺利进行。</w:t>
      </w:r>
    </w:p>
    <w:p w14:paraId="6E4A9606">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（三）产出</w:t>
      </w:r>
    </w:p>
    <w:p w14:paraId="6B773708">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1.202</w:t>
      </w:r>
      <w:r>
        <w:rPr>
          <w:rFonts w:hint="eastAsia" w:ascii="仿宋_GB2312" w:hAnsi="仿宋_GB2312" w:eastAsia="仿宋_GB2312" w:cs="仿宋_GB2312"/>
          <w:color w:val="auto"/>
          <w:sz w:val="30"/>
          <w:szCs w:val="30"/>
          <w:lang w:val="en-US" w:eastAsia="zh-CN"/>
        </w:rPr>
        <w:t>3</w:t>
      </w:r>
      <w:r>
        <w:rPr>
          <w:rFonts w:hint="eastAsia" w:ascii="仿宋_GB2312" w:hAnsi="仿宋_GB2312" w:eastAsia="仿宋_GB2312" w:cs="仿宋_GB2312"/>
          <w:color w:val="auto"/>
          <w:sz w:val="30"/>
          <w:szCs w:val="30"/>
        </w:rPr>
        <w:t>年完工百分比100%。</w:t>
      </w:r>
    </w:p>
    <w:p w14:paraId="20F048BF">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2.强化</w:t>
      </w:r>
      <w:r>
        <w:rPr>
          <w:rFonts w:hint="eastAsia" w:ascii="仿宋_GB2312" w:hAnsi="仿宋_GB2312" w:eastAsia="仿宋_GB2312" w:cs="仿宋_GB2312"/>
          <w:color w:val="auto"/>
          <w:sz w:val="30"/>
          <w:szCs w:val="30"/>
          <w:lang w:eastAsia="zh-CN"/>
        </w:rPr>
        <w:t>完善</w:t>
      </w:r>
      <w:r>
        <w:rPr>
          <w:rFonts w:hint="eastAsia" w:ascii="仿宋_GB2312" w:hAnsi="仿宋_GB2312" w:eastAsia="仿宋_GB2312" w:cs="仿宋_GB2312"/>
          <w:color w:val="auto"/>
          <w:sz w:val="30"/>
          <w:szCs w:val="30"/>
        </w:rPr>
        <w:t>市政基础设施建设，完善公共服务设施。</w:t>
      </w:r>
    </w:p>
    <w:p w14:paraId="37811DA1">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3.大力保障重点项目及民生工程项目的顺利实施。</w:t>
      </w:r>
    </w:p>
    <w:p w14:paraId="5160A586">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（四）效果</w:t>
      </w:r>
    </w:p>
    <w:p w14:paraId="041FC1F7">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1.社会效益：上述项目解决了</w:t>
      </w:r>
      <w:r>
        <w:rPr>
          <w:rFonts w:hint="eastAsia" w:ascii="仿宋_GB2312" w:hAnsi="仿宋_GB2312" w:eastAsia="仿宋_GB2312" w:cs="仿宋_GB2312"/>
          <w:color w:val="auto"/>
          <w:sz w:val="30"/>
          <w:szCs w:val="30"/>
          <w:lang w:eastAsia="zh-CN"/>
        </w:rPr>
        <w:t>辖区内市政基础设施排水功能提升</w:t>
      </w:r>
      <w:r>
        <w:rPr>
          <w:rFonts w:hint="eastAsia" w:ascii="仿宋_GB2312" w:hAnsi="仿宋_GB2312" w:eastAsia="仿宋_GB2312" w:cs="仿宋_GB2312"/>
          <w:color w:val="auto"/>
          <w:sz w:val="30"/>
          <w:szCs w:val="30"/>
        </w:rPr>
        <w:t>，改善了居住环境。</w:t>
      </w:r>
    </w:p>
    <w:p w14:paraId="62E75A33">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2.可持续发展：为居民提供</w:t>
      </w:r>
      <w:r>
        <w:rPr>
          <w:rFonts w:hint="eastAsia" w:ascii="仿宋_GB2312" w:hAnsi="仿宋_GB2312" w:eastAsia="仿宋_GB2312" w:cs="仿宋_GB2312"/>
          <w:color w:val="auto"/>
          <w:sz w:val="30"/>
          <w:szCs w:val="30"/>
          <w:lang w:eastAsia="zh-CN"/>
        </w:rPr>
        <w:t>出行</w:t>
      </w:r>
      <w:r>
        <w:rPr>
          <w:rFonts w:hint="eastAsia" w:ascii="仿宋_GB2312" w:hAnsi="仿宋_GB2312" w:eastAsia="仿宋_GB2312" w:cs="仿宋_GB2312"/>
          <w:color w:val="auto"/>
          <w:sz w:val="30"/>
          <w:szCs w:val="30"/>
        </w:rPr>
        <w:t>安全，营造良好人民群众生活环境及社会氛围。</w:t>
      </w:r>
    </w:p>
    <w:p w14:paraId="1A5415B0">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3.社会公众满意度：项目实施并投入使用，实现了</w:t>
      </w:r>
      <w:r>
        <w:rPr>
          <w:rFonts w:hint="eastAsia" w:ascii="仿宋_GB2312" w:hAnsi="仿宋_GB2312" w:eastAsia="仿宋_GB2312" w:cs="仿宋_GB2312"/>
          <w:color w:val="auto"/>
          <w:sz w:val="30"/>
          <w:szCs w:val="30"/>
          <w:lang w:eastAsia="zh-CN"/>
        </w:rPr>
        <w:t>雨污水分流</w:t>
      </w:r>
      <w:r>
        <w:rPr>
          <w:rFonts w:hint="eastAsia" w:ascii="仿宋_GB2312" w:hAnsi="仿宋_GB2312" w:eastAsia="仿宋_GB2312" w:cs="仿宋_GB2312"/>
          <w:color w:val="auto"/>
          <w:sz w:val="30"/>
          <w:szCs w:val="30"/>
        </w:rPr>
        <w:t>的目标，</w:t>
      </w:r>
      <w:r>
        <w:rPr>
          <w:rFonts w:hint="eastAsia" w:ascii="仿宋_GB2312" w:hAnsi="仿宋_GB2312" w:eastAsia="仿宋_GB2312" w:cs="仿宋_GB2312"/>
          <w:color w:val="auto"/>
          <w:sz w:val="30"/>
          <w:szCs w:val="30"/>
          <w:lang w:eastAsia="zh-CN"/>
        </w:rPr>
        <w:t>保障了居民出行安全</w:t>
      </w:r>
      <w:r>
        <w:rPr>
          <w:rFonts w:hint="eastAsia" w:ascii="仿宋_GB2312" w:hAnsi="仿宋_GB2312" w:eastAsia="仿宋_GB2312" w:cs="仿宋_GB2312"/>
          <w:color w:val="auto"/>
          <w:sz w:val="30"/>
          <w:szCs w:val="30"/>
        </w:rPr>
        <w:t>维护了社会稳定，得到了社会公众的一致好评，保障对象满意度达95%以上。</w:t>
      </w:r>
    </w:p>
    <w:p w14:paraId="6FFAC22F">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（五）评价结果和评价结论</w:t>
      </w:r>
    </w:p>
    <w:p w14:paraId="642E2F6B">
      <w:pPr>
        <w:bidi w:val="0"/>
        <w:jc w:val="left"/>
        <w:rPr>
          <w:rFonts w:hint="eastAsia"/>
          <w:color w:val="auto"/>
        </w:rPr>
      </w:pPr>
      <w:r>
        <w:rPr>
          <w:rFonts w:hint="eastAsia" w:ascii="仿宋_GB2312" w:hAnsi="仿宋_GB2312" w:eastAsia="仿宋_GB2312" w:cs="仿宋_GB2312"/>
          <w:color w:val="auto"/>
          <w:sz w:val="30"/>
          <w:szCs w:val="30"/>
        </w:rPr>
        <w:t>本项目自评分为</w:t>
      </w:r>
      <w:r>
        <w:rPr>
          <w:rFonts w:hint="eastAsia" w:ascii="仿宋_GB2312" w:hAnsi="仿宋_GB2312" w:eastAsia="仿宋_GB2312" w:cs="仿宋_GB2312"/>
          <w:color w:val="auto"/>
          <w:sz w:val="30"/>
          <w:szCs w:val="30"/>
          <w:lang w:val="en-US" w:eastAsia="zh-CN"/>
        </w:rPr>
        <w:t>100</w:t>
      </w:r>
      <w:r>
        <w:rPr>
          <w:rFonts w:hint="eastAsia" w:ascii="仿宋_GB2312" w:hAnsi="仿宋_GB2312" w:eastAsia="仿宋_GB2312" w:cs="仿宋_GB2312"/>
          <w:color w:val="auto"/>
          <w:sz w:val="30"/>
          <w:szCs w:val="30"/>
        </w:rPr>
        <w:t>分，评价等级为优等级，已达到预期绩效目标。</w:t>
      </w:r>
    </w:p>
    <w:p w14:paraId="57A1E49C">
      <w:pPr>
        <w:numPr>
          <w:ilvl w:val="0"/>
          <w:numId w:val="8"/>
        </w:numPr>
        <w:autoSpaceDE w:val="0"/>
        <w:autoSpaceDN w:val="0"/>
        <w:adjustRightInd w:val="0"/>
        <w:spacing w:beforeLines="0" w:afterLines="0" w:line="560" w:lineRule="exact"/>
        <w:ind w:firstLine="640" w:firstLineChars="200"/>
        <w:jc w:val="left"/>
        <w:rPr>
          <w:rFonts w:hint="eastAsia" w:ascii="黑体" w:hAnsi="宋体" w:eastAsia="黑体"/>
          <w:color w:val="auto"/>
          <w:kern w:val="0"/>
          <w:sz w:val="32"/>
        </w:rPr>
      </w:pPr>
      <w:r>
        <w:rPr>
          <w:rFonts w:hint="eastAsia" w:ascii="黑体" w:hAnsi="宋体" w:eastAsia="黑体"/>
          <w:color w:val="auto"/>
          <w:kern w:val="0"/>
          <w:sz w:val="32"/>
        </w:rPr>
        <w:t>综合评价情况及评价结论（附项目支出部门评价表）</w:t>
      </w:r>
    </w:p>
    <w:p w14:paraId="02ECB261">
      <w:pPr>
        <w:bidi w:val="0"/>
        <w:ind w:firstLine="640" w:firstLineChars="200"/>
        <w:jc w:val="left"/>
        <w:rPr>
          <w:rFonts w:hint="eastAsia"/>
          <w:color w:val="auto"/>
        </w:rPr>
      </w:pPr>
      <w:r>
        <w:rPr>
          <w:rFonts w:hint="eastAsia" w:ascii="仿宋" w:hAnsi="仿宋" w:eastAsia="仿宋" w:cs="仿宋"/>
          <w:color w:val="auto"/>
          <w:sz w:val="32"/>
          <w:szCs w:val="32"/>
        </w:rPr>
        <w:t>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年，我单位积极履行，强化管理，较好地完成了年度工作目标。通过加强预算收支管理，不断建立健全内部管理制度，梳理内部管理流程，部门</w:t>
      </w:r>
      <w:r>
        <w:rPr>
          <w:rFonts w:hint="eastAsia" w:ascii="仿宋" w:hAnsi="仿宋" w:eastAsia="仿宋" w:cs="仿宋"/>
          <w:color w:val="auto"/>
          <w:sz w:val="32"/>
          <w:szCs w:val="32"/>
          <w:lang w:eastAsia="zh-CN"/>
        </w:rPr>
        <w:t>项目</w:t>
      </w:r>
      <w:r>
        <w:rPr>
          <w:rFonts w:hint="eastAsia" w:ascii="仿宋" w:hAnsi="仿宋" w:eastAsia="仿宋" w:cs="仿宋"/>
          <w:color w:val="auto"/>
          <w:sz w:val="32"/>
          <w:szCs w:val="32"/>
        </w:rPr>
        <w:t>整体支出管理水平得到提升。根据部门</w:t>
      </w:r>
      <w:r>
        <w:rPr>
          <w:rFonts w:hint="eastAsia" w:ascii="仿宋" w:hAnsi="仿宋" w:eastAsia="仿宋" w:cs="仿宋"/>
          <w:color w:val="auto"/>
          <w:sz w:val="32"/>
          <w:szCs w:val="32"/>
          <w:lang w:eastAsia="zh-CN"/>
        </w:rPr>
        <w:t>项目</w:t>
      </w:r>
      <w:r>
        <w:rPr>
          <w:rFonts w:hint="eastAsia" w:ascii="仿宋" w:hAnsi="仿宋" w:eastAsia="仿宋" w:cs="仿宋"/>
          <w:color w:val="auto"/>
          <w:sz w:val="32"/>
          <w:szCs w:val="32"/>
        </w:rPr>
        <w:t>整体支出绩效评价指标体系，我单位202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年度评价得分为</w:t>
      </w:r>
      <w:r>
        <w:rPr>
          <w:rFonts w:hint="eastAsia" w:ascii="仿宋" w:hAnsi="仿宋" w:eastAsia="仿宋" w:cs="仿宋"/>
          <w:color w:val="auto"/>
          <w:sz w:val="32"/>
          <w:szCs w:val="32"/>
          <w:lang w:val="en-US" w:eastAsia="zh-CN"/>
        </w:rPr>
        <w:t>92.07</w:t>
      </w:r>
      <w:r>
        <w:rPr>
          <w:rFonts w:hint="eastAsia" w:ascii="仿宋" w:hAnsi="仿宋" w:eastAsia="仿宋" w:cs="仿宋"/>
          <w:color w:val="auto"/>
          <w:sz w:val="32"/>
          <w:szCs w:val="32"/>
        </w:rPr>
        <w:t>分。</w:t>
      </w:r>
    </w:p>
    <w:p w14:paraId="4609B537">
      <w:pPr>
        <w:autoSpaceDE w:val="0"/>
        <w:autoSpaceDN w:val="0"/>
        <w:adjustRightInd w:val="0"/>
        <w:spacing w:beforeLines="0" w:afterLines="0" w:line="560" w:lineRule="exact"/>
        <w:ind w:firstLine="640" w:firstLineChars="200"/>
        <w:jc w:val="left"/>
        <w:rPr>
          <w:rFonts w:hint="eastAsia" w:ascii="仿宋_GB2312" w:eastAsia="仿宋_GB2312"/>
          <w:color w:val="auto"/>
          <w:kern w:val="0"/>
          <w:sz w:val="21"/>
        </w:rPr>
      </w:pPr>
      <w:r>
        <w:rPr>
          <w:rFonts w:hint="eastAsia" w:ascii="黑体" w:hAnsi="宋体" w:eastAsia="黑体"/>
          <w:color w:val="auto"/>
          <w:kern w:val="0"/>
          <w:sz w:val="32"/>
        </w:rPr>
        <w:t>四、绩效评价指标分析</w:t>
      </w:r>
    </w:p>
    <w:p w14:paraId="505871FE">
      <w:pPr>
        <w:autoSpaceDE w:val="0"/>
        <w:autoSpaceDN w:val="0"/>
        <w:adjustRightInd w:val="0"/>
        <w:spacing w:beforeLines="0" w:afterLines="0" w:line="560" w:lineRule="exact"/>
        <w:ind w:firstLine="640" w:firstLineChars="200"/>
        <w:jc w:val="left"/>
        <w:rPr>
          <w:rFonts w:hint="eastAsia" w:ascii="仿宋_GB2312" w:hAnsi="Times New Roman" w:eastAsia="仿宋_GB2312"/>
          <w:color w:val="auto"/>
          <w:kern w:val="0"/>
          <w:sz w:val="32"/>
        </w:rPr>
      </w:pPr>
      <w:r>
        <w:rPr>
          <w:rFonts w:hint="eastAsia" w:ascii="仿宋_GB2312" w:hAnsi="Times New Roman" w:eastAsia="仿宋_GB2312"/>
          <w:color w:val="auto"/>
          <w:kern w:val="0"/>
          <w:sz w:val="32"/>
        </w:rPr>
        <w:t>（一）项目决策情况。</w:t>
      </w:r>
    </w:p>
    <w:p w14:paraId="676580BC">
      <w:pPr>
        <w:numPr>
          <w:ilvl w:val="0"/>
          <w:numId w:val="0"/>
        </w:numPr>
        <w:bidi w:val="0"/>
        <w:ind w:firstLine="640" w:firstLineChars="200"/>
        <w:rPr>
          <w:rFonts w:hint="eastAsia"/>
          <w:color w:val="auto"/>
        </w:rPr>
      </w:pPr>
      <w:r>
        <w:rPr>
          <w:rFonts w:hint="eastAsia" w:ascii="仿宋" w:hAnsi="仿宋" w:eastAsia="仿宋" w:cs="仿宋"/>
          <w:color w:val="auto"/>
          <w:sz w:val="32"/>
          <w:szCs w:val="32"/>
          <w:lang w:val="en-US" w:eastAsia="zh-CN"/>
        </w:rPr>
        <w:t>在区委、区政府的坚强领导下，青云谱区住建局</w:t>
      </w:r>
      <w:r>
        <w:rPr>
          <w:rFonts w:hint="eastAsia" w:ascii="仿宋" w:hAnsi="仿宋" w:eastAsia="仿宋" w:cs="仿宋"/>
          <w:color w:val="auto"/>
          <w:spacing w:val="0"/>
          <w:kern w:val="0"/>
          <w:sz w:val="32"/>
          <w:szCs w:val="32"/>
          <w:lang w:val="en-US" w:eastAsia="zh-CN" w:bidi="ar-SA"/>
        </w:rPr>
        <w:t>按照“区级统抓、部门牵头、社区参与”的工作思路</w:t>
      </w:r>
      <w:r>
        <w:rPr>
          <w:rFonts w:hint="eastAsia" w:ascii="仿宋" w:hAnsi="仿宋" w:eastAsia="仿宋" w:cs="仿宋"/>
          <w:color w:val="auto"/>
          <w:sz w:val="32"/>
          <w:szCs w:val="32"/>
          <w:lang w:val="en-US" w:eastAsia="zh-CN"/>
        </w:rPr>
        <w:t>，强力推进青云谱区老旧小区改造工作，改造范围对小区进行道路、排水、管网、局部楼道维修、车位改造升级等，完成年度目标任务。通过开展老旧小区改造，居民居住环境得到进一步改善，老旧小区房屋存在的各种安全隐患得到切实解决，安全水平有效提高，</w:t>
      </w:r>
      <w:r>
        <w:rPr>
          <w:rFonts w:hint="eastAsia" w:ascii="仿宋" w:hAnsi="仿宋" w:eastAsia="仿宋" w:cs="仿宋"/>
          <w:color w:val="auto"/>
          <w:spacing w:val="0"/>
          <w:kern w:val="0"/>
          <w:sz w:val="32"/>
          <w:szCs w:val="32"/>
          <w:lang w:val="en-US" w:eastAsia="zh-CN" w:bidi="ar-SA"/>
        </w:rPr>
        <w:t>实现了改造用心、居民舒心、后期省心，得到了小区居民的普遍满意。</w:t>
      </w:r>
    </w:p>
    <w:p w14:paraId="72C81DC4">
      <w:pPr>
        <w:numPr>
          <w:ilvl w:val="0"/>
          <w:numId w:val="9"/>
        </w:numPr>
        <w:autoSpaceDE w:val="0"/>
        <w:autoSpaceDN w:val="0"/>
        <w:adjustRightInd w:val="0"/>
        <w:spacing w:beforeLines="0" w:afterLines="0" w:line="560" w:lineRule="exact"/>
        <w:ind w:firstLine="640" w:firstLineChars="200"/>
        <w:jc w:val="left"/>
        <w:rPr>
          <w:rFonts w:hint="eastAsia" w:ascii="仿宋_GB2312" w:hAnsi="Times New Roman" w:eastAsia="仿宋_GB2312"/>
          <w:color w:val="auto"/>
          <w:kern w:val="0"/>
          <w:sz w:val="32"/>
        </w:rPr>
      </w:pPr>
      <w:r>
        <w:rPr>
          <w:rFonts w:hint="eastAsia" w:ascii="仿宋_GB2312" w:hAnsi="Times New Roman" w:eastAsia="仿宋_GB2312"/>
          <w:color w:val="auto"/>
          <w:kern w:val="0"/>
          <w:sz w:val="32"/>
        </w:rPr>
        <w:t>项目过程情况。</w:t>
      </w:r>
    </w:p>
    <w:p w14:paraId="06333314">
      <w:pPr>
        <w:pStyle w:val="2"/>
        <w:numPr>
          <w:ilvl w:val="0"/>
          <w:numId w:val="0"/>
        </w:num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按照招标设计规范，结合小区实际及群众需求设计，对进展情况及时监督管理，改造后引进专业物业公司实施小区管理；利用老旧小区整治改造管理信息系统，按时按要求将计划项目、项目内容其概况录入信息系统，实施更新项目推进信息，及时编报简报信息报送区民生办；公示监督电话，注重居民参与与全过程监督</w:t>
      </w:r>
    </w:p>
    <w:p w14:paraId="0A306F01">
      <w:pPr>
        <w:autoSpaceDE w:val="0"/>
        <w:autoSpaceDN w:val="0"/>
        <w:adjustRightInd w:val="0"/>
        <w:spacing w:beforeLines="0" w:afterLines="0" w:line="560" w:lineRule="exact"/>
        <w:ind w:firstLine="640" w:firstLineChars="200"/>
        <w:jc w:val="left"/>
        <w:rPr>
          <w:rFonts w:hint="eastAsia" w:ascii="仿宋_GB2312" w:hAnsi="Times New Roman" w:eastAsia="仿宋_GB2312"/>
          <w:color w:val="auto"/>
          <w:kern w:val="0"/>
          <w:sz w:val="32"/>
        </w:rPr>
      </w:pPr>
      <w:r>
        <w:rPr>
          <w:rFonts w:hint="eastAsia" w:ascii="仿宋_GB2312" w:hAnsi="Times New Roman" w:eastAsia="仿宋_GB2312"/>
          <w:color w:val="auto"/>
          <w:kern w:val="0"/>
          <w:sz w:val="32"/>
        </w:rPr>
        <w:t>（三）项目产出情况。</w:t>
      </w:r>
    </w:p>
    <w:p w14:paraId="67BBE2A2">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1.产出指标</w:t>
      </w:r>
    </w:p>
    <w:p w14:paraId="4EBBDDAD">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（1）数量指标：已完成2023年青云谱区徐坊、三店老旧小区改造项目改造面积：19.33万平方米，改造户数：2522户，改造楼栋数：59栋，全年实际完成值100%。</w:t>
      </w:r>
    </w:p>
    <w:p w14:paraId="490C485C">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（2）质量指标：验收合格率。指标值：100%，2023年青云谱区徐坊、三店街道老旧小区改造项目完成情况：工程建设全程都经监理、跟踪评审单位审核，项目验收合格率100%。</w:t>
      </w:r>
    </w:p>
    <w:p w14:paraId="3276A09C">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（3）时效指标：项目开工率。指标值：100%，2023年青云谱区徐坊、三店街道老旧小区改造项目完成情况：该项目于2023年6月开工，项目开工率100%。</w:t>
      </w:r>
    </w:p>
    <w:p w14:paraId="00C1CF15">
      <w:pPr>
        <w:numPr>
          <w:ilvl w:val="0"/>
          <w:numId w:val="0"/>
        </w:numPr>
        <w:bidi w:val="0"/>
        <w:ind w:firstLine="640" w:firstLineChars="200"/>
        <w:rPr>
          <w:rFonts w:hint="eastAsia"/>
          <w:color w:val="auto"/>
        </w:rPr>
      </w:pPr>
      <w:r>
        <w:rPr>
          <w:rFonts w:hint="eastAsia" w:ascii="仿宋" w:hAnsi="仿宋" w:eastAsia="仿宋" w:cs="仿宋"/>
          <w:color w:val="auto"/>
          <w:sz w:val="32"/>
          <w:szCs w:val="32"/>
          <w:lang w:val="en-US" w:eastAsia="zh-CN"/>
        </w:rPr>
        <w:t>（4）成本指标：控制在预算范围内指标值：≥98%，完成情况：未超预算。</w:t>
      </w:r>
    </w:p>
    <w:p w14:paraId="4296D185">
      <w:pPr>
        <w:autoSpaceDE w:val="0"/>
        <w:autoSpaceDN w:val="0"/>
        <w:adjustRightInd w:val="0"/>
        <w:spacing w:beforeLines="0" w:afterLines="0" w:line="560" w:lineRule="exact"/>
        <w:ind w:firstLine="640" w:firstLineChars="200"/>
        <w:jc w:val="left"/>
        <w:rPr>
          <w:rFonts w:hint="eastAsia" w:ascii="仿宋_GB2312" w:hAnsi="Times New Roman" w:eastAsia="仿宋_GB2312"/>
          <w:color w:val="auto"/>
          <w:kern w:val="0"/>
          <w:sz w:val="32"/>
        </w:rPr>
      </w:pPr>
      <w:r>
        <w:rPr>
          <w:rFonts w:hint="eastAsia" w:ascii="仿宋_GB2312" w:hAnsi="Times New Roman" w:eastAsia="仿宋_GB2312"/>
          <w:color w:val="auto"/>
          <w:kern w:val="0"/>
          <w:sz w:val="32"/>
        </w:rPr>
        <w:t>（四）项目效益情况。</w:t>
      </w:r>
    </w:p>
    <w:p w14:paraId="6FDA42F7">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2.效益指标</w:t>
      </w:r>
    </w:p>
    <w:p w14:paraId="24A8216F">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（1）经济效益：改善旧城区居民的生活质量和水准。指标值：合格，2023年青云谱区徐坊、三店街道老旧小区改造项目完成情况：随着该项目的开工建设，有效的改善了小区居民的居住环境和生活水平，合格。</w:t>
      </w:r>
    </w:p>
    <w:p w14:paraId="78778D56">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（2）社会效益：提高群众获得感、幸福感。指标值：有效提高，2023年青云谱区徐坊、三店街道老旧小区改造项目完成情况：按规范做好了安全防护工作及安全文明施工等措施，获群众好评。</w:t>
      </w:r>
    </w:p>
    <w:p w14:paraId="1C49BC6B">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（3）生态效益：改善建筑工地扬尘污染，指标值：合格，2023年青云谱区徐坊、三店街道老旧小区改造项目完成情况：及时进行雾炮喷撒及降尘措施，获得群众肯定。</w:t>
      </w:r>
    </w:p>
    <w:p w14:paraId="37AEF332">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（4）可持续影响：重大安全责任事故发生率，指标值：0%，2023年青云谱区徐坊、三店街道老旧小区改造重大项目安全责任事故发生0起，发生率0%，都以全优的工程形象展示给公众。</w:t>
      </w:r>
    </w:p>
    <w:p w14:paraId="3305921E">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3.服务满意度指标完成情况分析</w:t>
      </w:r>
    </w:p>
    <w:p w14:paraId="36B4B1D4">
      <w:pPr>
        <w:numPr>
          <w:ilvl w:val="0"/>
          <w:numId w:val="0"/>
        </w:numPr>
        <w:bidi w:val="0"/>
        <w:ind w:firstLine="640" w:firstLineChars="200"/>
        <w:rPr>
          <w:rFonts w:hint="eastAsia"/>
          <w:color w:val="auto"/>
        </w:rPr>
      </w:pPr>
      <w:r>
        <w:rPr>
          <w:rFonts w:hint="eastAsia" w:ascii="仿宋" w:hAnsi="仿宋" w:eastAsia="仿宋" w:cs="仿宋"/>
          <w:color w:val="auto"/>
          <w:sz w:val="32"/>
          <w:szCs w:val="32"/>
          <w:lang w:val="en-US" w:eastAsia="zh-CN"/>
        </w:rPr>
        <w:t>老旧小区居民满意度指标，居民满意度。指标值：≥96%，2023年青云谱区徐坊、三店街道老旧小区改造项目完成情况：居民对项目进度及质量予以肯定。</w:t>
      </w:r>
    </w:p>
    <w:p w14:paraId="236EB27B">
      <w:pPr>
        <w:numPr>
          <w:ilvl w:val="0"/>
          <w:numId w:val="0"/>
        </w:numPr>
        <w:autoSpaceDE w:val="0"/>
        <w:autoSpaceDN w:val="0"/>
        <w:adjustRightInd w:val="0"/>
        <w:spacing w:beforeLines="0" w:afterLines="0" w:line="560" w:lineRule="exact"/>
        <w:ind w:leftChars="200"/>
        <w:jc w:val="left"/>
        <w:rPr>
          <w:rFonts w:hint="eastAsia" w:ascii="黑体" w:hAnsi="宋体" w:eastAsia="黑体"/>
          <w:color w:val="auto"/>
          <w:kern w:val="0"/>
          <w:sz w:val="32"/>
        </w:rPr>
      </w:pPr>
      <w:r>
        <w:rPr>
          <w:rFonts w:hint="eastAsia" w:ascii="黑体" w:hAnsi="宋体" w:eastAsia="黑体"/>
          <w:color w:val="auto"/>
          <w:kern w:val="0"/>
          <w:sz w:val="32"/>
          <w:lang w:eastAsia="zh-CN"/>
        </w:rPr>
        <w:t>五、</w:t>
      </w:r>
      <w:r>
        <w:rPr>
          <w:rFonts w:hint="eastAsia" w:ascii="黑体" w:hAnsi="宋体" w:eastAsia="黑体"/>
          <w:color w:val="auto"/>
          <w:kern w:val="0"/>
          <w:sz w:val="32"/>
        </w:rPr>
        <w:t>主要经验及做法、存在的问题及原因分析</w:t>
      </w:r>
    </w:p>
    <w:p w14:paraId="32B49370">
      <w:pPr>
        <w:pStyle w:val="2"/>
        <w:numPr>
          <w:ilvl w:val="0"/>
          <w:numId w:val="0"/>
        </w:numPr>
        <w:ind w:leftChars="200"/>
        <w:rPr>
          <w:rFonts w:hint="eastAsia"/>
          <w:color w:val="auto"/>
        </w:rPr>
      </w:pPr>
      <w:r>
        <w:rPr>
          <w:rFonts w:hint="eastAsia" w:ascii="仿宋" w:hAnsi="仿宋" w:eastAsia="仿宋" w:cs="仿宋"/>
          <w:b w:val="0"/>
          <w:bCs w:val="0"/>
          <w:color w:val="auto"/>
          <w:kern w:val="2"/>
          <w:sz w:val="32"/>
          <w:szCs w:val="32"/>
          <w:lang w:val="en-US" w:eastAsia="zh-CN" w:bidi="ar-SA"/>
        </w:rPr>
        <w:t>项目实施未偏离绩效目标。</w:t>
      </w:r>
    </w:p>
    <w:p w14:paraId="3B7791F3">
      <w:pPr>
        <w:autoSpaceDE w:val="0"/>
        <w:autoSpaceDN w:val="0"/>
        <w:adjustRightInd w:val="0"/>
        <w:spacing w:beforeLines="0" w:afterLines="0" w:line="560" w:lineRule="exact"/>
        <w:ind w:firstLine="320" w:firstLineChars="100"/>
        <w:jc w:val="left"/>
        <w:rPr>
          <w:rFonts w:hint="eastAsia" w:ascii="黑体" w:hAnsi="宋体" w:eastAsia="黑体"/>
          <w:color w:val="auto"/>
          <w:kern w:val="0"/>
          <w:sz w:val="32"/>
        </w:rPr>
      </w:pPr>
      <w:r>
        <w:rPr>
          <w:rFonts w:hint="eastAsia" w:ascii="黑体" w:hAnsi="宋体" w:eastAsia="黑体"/>
          <w:color w:val="auto"/>
          <w:kern w:val="0"/>
          <w:sz w:val="32"/>
          <w:lang w:eastAsia="zh-CN"/>
        </w:rPr>
        <w:t>六</w:t>
      </w:r>
      <w:r>
        <w:rPr>
          <w:rFonts w:hint="eastAsia" w:ascii="黑体" w:hAnsi="宋体" w:eastAsia="黑体"/>
          <w:color w:val="auto"/>
          <w:kern w:val="0"/>
          <w:sz w:val="32"/>
        </w:rPr>
        <w:t>、有关建议</w:t>
      </w:r>
    </w:p>
    <w:p w14:paraId="78D3A949">
      <w:pPr>
        <w:pStyle w:val="2"/>
        <w:ind w:firstLine="1920" w:firstLineChars="600"/>
        <w:rPr>
          <w:rFonts w:hint="eastAsia" w:eastAsia="黑体"/>
          <w:color w:val="auto"/>
          <w:lang w:eastAsia="zh-CN"/>
        </w:rPr>
      </w:pPr>
      <w:r>
        <w:rPr>
          <w:rFonts w:hint="eastAsia" w:ascii="黑体" w:hAnsi="宋体" w:eastAsia="黑体"/>
          <w:color w:val="auto"/>
          <w:kern w:val="0"/>
          <w:sz w:val="32"/>
          <w:lang w:eastAsia="zh-CN"/>
        </w:rPr>
        <w:t>无</w:t>
      </w:r>
    </w:p>
    <w:p w14:paraId="73AF7162">
      <w:pPr>
        <w:autoSpaceDE w:val="0"/>
        <w:autoSpaceDN w:val="0"/>
        <w:adjustRightInd w:val="0"/>
        <w:spacing w:beforeLines="0" w:afterLines="0" w:line="560" w:lineRule="exact"/>
        <w:ind w:firstLine="640" w:firstLineChars="200"/>
        <w:jc w:val="left"/>
        <w:rPr>
          <w:rFonts w:hint="eastAsia" w:ascii="仿宋_GB2312" w:eastAsia="仿宋_GB2312"/>
          <w:color w:val="auto"/>
          <w:kern w:val="0"/>
          <w:sz w:val="21"/>
        </w:rPr>
      </w:pPr>
      <w:r>
        <w:rPr>
          <w:rFonts w:hint="eastAsia" w:ascii="黑体" w:hAnsi="宋体" w:eastAsia="黑体"/>
          <w:color w:val="auto"/>
          <w:kern w:val="0"/>
          <w:sz w:val="32"/>
          <w:lang w:eastAsia="zh-CN"/>
        </w:rPr>
        <w:t>七</w:t>
      </w:r>
      <w:r>
        <w:rPr>
          <w:rFonts w:hint="eastAsia" w:ascii="黑体" w:hAnsi="宋体" w:eastAsia="黑体"/>
          <w:color w:val="auto"/>
          <w:kern w:val="0"/>
          <w:sz w:val="32"/>
        </w:rPr>
        <w:t>、其他需要说明的问题</w:t>
      </w:r>
    </w:p>
    <w:p w14:paraId="312B393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3" w:lineRule="atLeast"/>
        <w:ind w:right="0" w:firstLine="640" w:firstLineChars="200"/>
        <w:jc w:val="both"/>
        <w:rPr>
          <w:color w:val="auto"/>
          <w:sz w:val="32"/>
          <w:szCs w:val="32"/>
        </w:rPr>
      </w:pPr>
      <w:r>
        <w:rPr>
          <w:rFonts w:hint="eastAsia" w:ascii="仿宋" w:hAnsi="仿宋" w:eastAsia="仿宋" w:cs="仿宋"/>
          <w:b w:val="0"/>
          <w:bCs w:val="0"/>
          <w:color w:val="auto"/>
          <w:kern w:val="2"/>
          <w:sz w:val="32"/>
          <w:szCs w:val="32"/>
          <w:lang w:val="en-US" w:eastAsia="zh-CN" w:bidi="ar-SA"/>
        </w:rPr>
        <w:t>我局将自评结果作为完善政策和改进管理的重要依据，同时加强评价结果的应用，对有效支出安排预算、低效支出压减预算、无效支出进行问责，切实提高部门预算绩效管理水平。将绩效自评结果作为下年度预算配置、预算执行和预算管理的重要参照依据，不断细化绩效评价指标，提高资金使用效益。绩效评价报告及相关表格将按规定在门户网站进行公开。</w:t>
      </w:r>
    </w:p>
    <w:p w14:paraId="192674A7">
      <w:pPr>
        <w:pStyle w:val="2"/>
        <w:rPr>
          <w:rFonts w:hint="eastAsia" w:ascii="仿宋_GB2312" w:hAnsi="仿宋_GB2312" w:eastAsia="仿宋_GB2312"/>
          <w:kern w:val="0"/>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decorative"/>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3CF7F">
    <w:pPr>
      <w:pStyle w:val="2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62E10E">
                          <w:pPr>
                            <w:pStyle w:val="21"/>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v:fill on="f" focussize="0,0"/>
              <v:stroke on="f"/>
              <v:imagedata o:title=""/>
              <o:lock v:ext="edit" aspectratio="f"/>
              <v:textbox inset="0mm,0mm,0mm,0mm" style="mso-fit-shape-to-text:t;">
                <w:txbxContent>
                  <w:p w14:paraId="0262E10E">
                    <w:pPr>
                      <w:pStyle w:val="21"/>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AFD603"/>
    <w:multiLevelType w:val="singleLevel"/>
    <w:tmpl w:val="B1AFD603"/>
    <w:lvl w:ilvl="0" w:tentative="0">
      <w:start w:val="3"/>
      <w:numFmt w:val="chineseCounting"/>
      <w:suff w:val="nothing"/>
      <w:lvlText w:val="%1、"/>
      <w:lvlJc w:val="left"/>
      <w:rPr>
        <w:rFonts w:hint="eastAsia"/>
      </w:rPr>
    </w:lvl>
  </w:abstractNum>
  <w:abstractNum w:abstractNumId="1">
    <w:nsid w:val="BFA05BC5"/>
    <w:multiLevelType w:val="singleLevel"/>
    <w:tmpl w:val="BFA05BC5"/>
    <w:lvl w:ilvl="0" w:tentative="0">
      <w:start w:val="5"/>
      <w:numFmt w:val="chineseCounting"/>
      <w:suff w:val="space"/>
      <w:lvlText w:val="第%1部分"/>
      <w:lvlJc w:val="left"/>
      <w:pPr>
        <w:ind w:left="77"/>
      </w:pPr>
      <w:rPr>
        <w:rFonts w:hint="eastAsia"/>
      </w:rPr>
    </w:lvl>
  </w:abstractNum>
  <w:abstractNum w:abstractNumId="2">
    <w:nsid w:val="DF836F41"/>
    <w:multiLevelType w:val="singleLevel"/>
    <w:tmpl w:val="DF836F41"/>
    <w:lvl w:ilvl="0" w:tentative="0">
      <w:start w:val="1"/>
      <w:numFmt w:val="chineseCounting"/>
      <w:suff w:val="nothing"/>
      <w:lvlText w:val="（%1）"/>
      <w:lvlJc w:val="left"/>
      <w:rPr>
        <w:rFonts w:hint="eastAsia"/>
      </w:rPr>
    </w:lvl>
  </w:abstractNum>
  <w:abstractNum w:abstractNumId="3">
    <w:nsid w:val="E3234A0F"/>
    <w:multiLevelType w:val="singleLevel"/>
    <w:tmpl w:val="E3234A0F"/>
    <w:lvl w:ilvl="0" w:tentative="0">
      <w:start w:val="2"/>
      <w:numFmt w:val="decimal"/>
      <w:suff w:val="nothing"/>
      <w:lvlText w:val="%1、"/>
      <w:lvlJc w:val="left"/>
    </w:lvl>
  </w:abstractNum>
  <w:abstractNum w:abstractNumId="4">
    <w:nsid w:val="F3F17E90"/>
    <w:multiLevelType w:val="singleLevel"/>
    <w:tmpl w:val="F3F17E90"/>
    <w:lvl w:ilvl="0" w:tentative="0">
      <w:start w:val="2"/>
      <w:numFmt w:val="chineseCounting"/>
      <w:suff w:val="nothing"/>
      <w:lvlText w:val="（%1）"/>
      <w:lvlJc w:val="left"/>
      <w:rPr>
        <w:rFonts w:hint="eastAsia"/>
      </w:rPr>
    </w:lvl>
  </w:abstractNum>
  <w:abstractNum w:abstractNumId="5">
    <w:nsid w:val="0000000D"/>
    <w:multiLevelType w:val="multilevel"/>
    <w:tmpl w:val="0000000D"/>
    <w:lvl w:ilvl="0" w:tentative="0">
      <w:start w:val="1"/>
      <w:numFmt w:val="japaneseCounting"/>
      <w:lvlText w:val="（%1）"/>
      <w:lvlJc w:val="left"/>
      <w:pPr>
        <w:ind w:left="1080" w:hanging="10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B4B6C02"/>
    <w:multiLevelType w:val="singleLevel"/>
    <w:tmpl w:val="2B4B6C02"/>
    <w:lvl w:ilvl="0" w:tentative="0">
      <w:start w:val="2"/>
      <w:numFmt w:val="decimal"/>
      <w:suff w:val="nothing"/>
      <w:lvlText w:val="%1．"/>
      <w:lvlJc w:val="left"/>
      <w:pPr>
        <w:ind w:left="-223"/>
      </w:pPr>
    </w:lvl>
  </w:abstractNum>
  <w:abstractNum w:abstractNumId="7">
    <w:nsid w:val="439F6B16"/>
    <w:multiLevelType w:val="singleLevel"/>
    <w:tmpl w:val="439F6B16"/>
    <w:lvl w:ilvl="0" w:tentative="0">
      <w:start w:val="1"/>
      <w:numFmt w:val="chineseCounting"/>
      <w:suff w:val="nothing"/>
      <w:lvlText w:val="%1、"/>
      <w:lvlJc w:val="left"/>
      <w:rPr>
        <w:rFonts w:hint="eastAsia"/>
      </w:rPr>
    </w:lvl>
  </w:abstractNum>
  <w:abstractNum w:abstractNumId="8">
    <w:nsid w:val="7D0BC5E5"/>
    <w:multiLevelType w:val="singleLevel"/>
    <w:tmpl w:val="7D0BC5E5"/>
    <w:lvl w:ilvl="0" w:tentative="0">
      <w:start w:val="5"/>
      <w:numFmt w:val="decimal"/>
      <w:suff w:val="nothing"/>
      <w:lvlText w:val="%1、"/>
      <w:lvlJc w:val="left"/>
    </w:lvl>
  </w:abstractNum>
  <w:num w:numId="1">
    <w:abstractNumId w:val="1"/>
  </w:num>
  <w:num w:numId="2">
    <w:abstractNumId w:val="7"/>
  </w:num>
  <w:num w:numId="3">
    <w:abstractNumId w:val="6"/>
  </w:num>
  <w:num w:numId="4">
    <w:abstractNumId w:val="3"/>
  </w:num>
  <w:num w:numId="5">
    <w:abstractNumId w:val="2"/>
  </w:num>
  <w:num w:numId="6">
    <w:abstractNumId w:val="8"/>
  </w:num>
  <w:num w:numId="7">
    <w:abstractNumId w:val="5"/>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NotTrackMoves/>
  <w:documentProtection w:enforcement="0"/>
  <w:defaultTabStop w:val="420"/>
  <w:drawingGridHorizontalSpacing w:val="105"/>
  <w:drawingGridVerticalSpacing w:val="156"/>
  <w:doNotShadeFormData w:val="1"/>
  <w:noPunctuationKerning w:val="1"/>
  <w:characterSpacingControl w:val="compressPunctuation"/>
  <w:noLineBreaksAfter w:lang="zh-CN" w:val="([{·‘“〈《「『【〔〖（．［｛￡￥"/>
  <w:noLineBreaksBefore w:lang="zh-CN" w:val="!),.:;?]}¨·ˇˉ―‖’”…∶、。〃々〉》」』】〕〗！＂＇），．：；？］｀｜｝～￠"/>
  <w:hdrShapeDefaults>
    <o:shapelayout v:ext="edit">
      <o:idmap v:ext="edit" data="3,4"/>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4NGQ2NjRhNjdmMDkzYTMyODllMmNlZjdmMTBiNzAifQ=="/>
  </w:docVars>
  <w:rsids>
    <w:rsidRoot w:val="00000000"/>
    <w:rsid w:val="00ED3F0C"/>
    <w:rsid w:val="02021AB9"/>
    <w:rsid w:val="063876A4"/>
    <w:rsid w:val="06AD0AA1"/>
    <w:rsid w:val="06E8731C"/>
    <w:rsid w:val="0737795B"/>
    <w:rsid w:val="07E6312F"/>
    <w:rsid w:val="09B039F5"/>
    <w:rsid w:val="0E870A9A"/>
    <w:rsid w:val="1018053E"/>
    <w:rsid w:val="12D40754"/>
    <w:rsid w:val="136C6BDF"/>
    <w:rsid w:val="13A24498"/>
    <w:rsid w:val="17F51899"/>
    <w:rsid w:val="1BE05B34"/>
    <w:rsid w:val="1F100D66"/>
    <w:rsid w:val="1FDE2C12"/>
    <w:rsid w:val="228F4698"/>
    <w:rsid w:val="229C515F"/>
    <w:rsid w:val="23A35DA8"/>
    <w:rsid w:val="2E0C3040"/>
    <w:rsid w:val="2E5F13C2"/>
    <w:rsid w:val="359978AF"/>
    <w:rsid w:val="3809239F"/>
    <w:rsid w:val="3A925B4C"/>
    <w:rsid w:val="3DF740BE"/>
    <w:rsid w:val="3FA4477B"/>
    <w:rsid w:val="469D0882"/>
    <w:rsid w:val="46B1257F"/>
    <w:rsid w:val="475F3D89"/>
    <w:rsid w:val="4A5C2802"/>
    <w:rsid w:val="4BA83F51"/>
    <w:rsid w:val="50C83514"/>
    <w:rsid w:val="51220301"/>
    <w:rsid w:val="51C509C7"/>
    <w:rsid w:val="5796655D"/>
    <w:rsid w:val="5E9B16F3"/>
    <w:rsid w:val="5EAE1426"/>
    <w:rsid w:val="626562A0"/>
    <w:rsid w:val="63913A57"/>
    <w:rsid w:val="66D439F4"/>
    <w:rsid w:val="68494E94"/>
    <w:rsid w:val="69561038"/>
    <w:rsid w:val="69825989"/>
    <w:rsid w:val="6AB05BB6"/>
    <w:rsid w:val="6D3F3B91"/>
    <w:rsid w:val="6D611D5A"/>
    <w:rsid w:val="6DF130DE"/>
    <w:rsid w:val="70FF5B11"/>
    <w:rsid w:val="72CE78F3"/>
    <w:rsid w:val="73DC213A"/>
    <w:rsid w:val="777631EC"/>
    <w:rsid w:val="78801C2E"/>
    <w:rsid w:val="796C33AF"/>
    <w:rsid w:val="7C142DB9"/>
    <w:rsid w:val="7DCB394B"/>
    <w:rsid w:val="7E3240D9"/>
  </w:rsids>
  <m:mathPr>
    <m:brkBin m:val="before"/>
    <m:brkBinSub m:val="--"/>
    <m:smallFrac m:val="0"/>
    <m:dispDef/>
    <m:lMargin m:val="0"/>
    <m:rMargin m:val="0"/>
    <m:defJc m:val="centerGroup"/>
    <m:wrapIndent m:val="1440"/>
    <m:intLim m:val="subSup"/>
    <m:naryLim m:val="undOvr"/>
  </m:mathPr>
  <w:uiCompat97To2003/>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9"/>
    <w:pPr>
      <w:keepNext/>
      <w:keepLines/>
      <w:spacing w:before="340" w:after="330" w:line="578" w:lineRule="atLeast"/>
      <w:outlineLvl w:val="0"/>
    </w:pPr>
    <w:rPr>
      <w:b/>
      <w:bCs/>
      <w:kern w:val="44"/>
      <w:sz w:val="44"/>
      <w:szCs w:val="44"/>
    </w:rPr>
  </w:style>
  <w:style w:type="paragraph" w:styleId="4">
    <w:name w:val="heading 2"/>
    <w:basedOn w:val="1"/>
    <w:next w:val="1"/>
    <w:qFormat/>
    <w:uiPriority w:val="9"/>
    <w:pPr>
      <w:keepNext/>
      <w:keepLines/>
      <w:spacing w:before="260" w:after="260" w:line="416" w:lineRule="auto"/>
      <w:outlineLvl w:val="1"/>
    </w:pPr>
    <w:rPr>
      <w:rFonts w:ascii="等线 Light" w:hAnsi="等线 Light" w:eastAsia="等线 Light" w:cs="宋体"/>
      <w:b/>
      <w:bCs/>
      <w:sz w:val="32"/>
      <w:szCs w:val="32"/>
    </w:rPr>
  </w:style>
  <w:style w:type="character" w:default="1" w:styleId="14">
    <w:name w:val="Default Paragraph Font"/>
    <w:semiHidden/>
    <w:qFormat/>
    <w:uiPriority w:val="0"/>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1"/>
    </w:rPr>
  </w:style>
  <w:style w:type="paragraph" w:styleId="5">
    <w:name w:val="Body Text Indent"/>
    <w:basedOn w:val="1"/>
    <w:next w:val="6"/>
    <w:qFormat/>
    <w:uiPriority w:val="0"/>
    <w:pPr>
      <w:spacing w:after="120"/>
      <w:ind w:left="420" w:leftChars="200"/>
    </w:pPr>
    <w:rPr>
      <w:kern w:val="2"/>
      <w:sz w:val="28"/>
      <w:szCs w:val="24"/>
    </w:rPr>
  </w:style>
  <w:style w:type="paragraph" w:customStyle="1" w:styleId="6">
    <w:name w:val="Char Char Char Char Char Char Char Char Char Char Char Char Char Char Char Char"/>
    <w:basedOn w:val="1"/>
    <w:next w:val="7"/>
    <w:qFormat/>
    <w:uiPriority w:val="0"/>
    <w:pPr>
      <w:widowControl/>
      <w:autoSpaceDE/>
      <w:autoSpaceDN/>
      <w:spacing w:before="0" w:after="160" w:line="240" w:lineRule="exact"/>
      <w:ind w:left="5120" w:firstLine="3584"/>
      <w:jc w:val="both"/>
    </w:pPr>
  </w:style>
  <w:style w:type="paragraph" w:customStyle="1" w:styleId="7">
    <w:name w:val="_Style 25"/>
    <w:next w:val="8"/>
    <w:qFormat/>
    <w:uiPriority w:val="0"/>
    <w:pPr>
      <w:widowControl w:val="0"/>
      <w:ind w:left="2560" w:firstLine="2560"/>
      <w:jc w:val="both"/>
    </w:pPr>
    <w:rPr>
      <w:rFonts w:ascii="Times New Roman" w:hAnsi="Times New Roman" w:eastAsia="宋体" w:cs="Times New Roman"/>
      <w:lang w:val="en-US" w:eastAsia="zh-CN" w:bidi="ar-SA"/>
    </w:rPr>
  </w:style>
  <w:style w:type="paragraph" w:customStyle="1" w:styleId="8">
    <w:name w:val="xl137"/>
    <w:basedOn w:val="1"/>
    <w:next w:val="5"/>
    <w:qFormat/>
    <w:uiPriority w:val="0"/>
    <w:pPr>
      <w:widowControl/>
      <w:shd w:val="clear" w:color="000000" w:fill="FFFFFF"/>
      <w:autoSpaceDE/>
      <w:autoSpaceDN/>
      <w:spacing w:before="280" w:after="280" w:line="240" w:lineRule="auto"/>
      <w:ind w:left="14" w:firstLine="14"/>
      <w:jc w:val="center"/>
    </w:pPr>
  </w:style>
  <w:style w:type="paragraph" w:styleId="9">
    <w:name w:val="Subtitle"/>
    <w:next w:val="1"/>
    <w:qFormat/>
    <w:uiPriority w:val="0"/>
    <w:pPr>
      <w:wordWrap w:val="0"/>
      <w:spacing w:before="0" w:after="60" w:line="240" w:lineRule="auto"/>
      <w:ind w:left="1024"/>
      <w:jc w:val="center"/>
    </w:pPr>
    <w:rPr>
      <w:rFonts w:ascii="宋体" w:hAnsi="宋体" w:eastAsia="Times New Roman" w:cs="Times New Roman"/>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1">
    <w:name w:val="Body Text First Indent 2"/>
    <w:basedOn w:val="5"/>
    <w:qFormat/>
    <w:uiPriority w:val="0"/>
    <w:pPr>
      <w:spacing w:after="120" w:line="240" w:lineRule="auto"/>
      <w:ind w:left="420" w:leftChars="200" w:firstLine="420" w:firstLineChars="200"/>
    </w:pPr>
  </w:style>
  <w:style w:type="table" w:styleId="13">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5">
    <w:name w:val="Strong"/>
    <w:basedOn w:val="14"/>
    <w:qFormat/>
    <w:uiPriority w:val="0"/>
    <w:rPr>
      <w:b/>
    </w:rPr>
  </w:style>
  <w:style w:type="character" w:customStyle="1" w:styleId="16">
    <w:name w:val="默认段落字体1"/>
    <w:qFormat/>
    <w:uiPriority w:val="0"/>
  </w:style>
  <w:style w:type="table" w:customStyle="1" w:styleId="17">
    <w:name w:val="普通表格1"/>
    <w:semiHidden/>
    <w:qFormat/>
    <w:uiPriority w:val="0"/>
    <w:tblPr>
      <w:tblCellMar>
        <w:top w:w="0" w:type="dxa"/>
        <w:left w:w="108" w:type="dxa"/>
        <w:bottom w:w="0" w:type="dxa"/>
        <w:right w:w="108" w:type="dxa"/>
      </w:tblCellMar>
    </w:tblPr>
  </w:style>
  <w:style w:type="paragraph" w:customStyle="1" w:styleId="18">
    <w:name w:val="批注文字1"/>
    <w:basedOn w:val="1"/>
    <w:qFormat/>
    <w:uiPriority w:val="0"/>
    <w:pPr>
      <w:jc w:val="left"/>
    </w:pPr>
  </w:style>
  <w:style w:type="paragraph" w:customStyle="1" w:styleId="19">
    <w:name w:val="批注框文本1"/>
    <w:basedOn w:val="1"/>
    <w:link w:val="20"/>
    <w:qFormat/>
    <w:uiPriority w:val="0"/>
    <w:rPr>
      <w:sz w:val="18"/>
      <w:szCs w:val="18"/>
    </w:rPr>
  </w:style>
  <w:style w:type="character" w:customStyle="1" w:styleId="20">
    <w:name w:val="批注框文本 Char"/>
    <w:link w:val="19"/>
    <w:qFormat/>
    <w:uiPriority w:val="0"/>
    <w:rPr>
      <w:sz w:val="18"/>
      <w:szCs w:val="18"/>
    </w:rPr>
  </w:style>
  <w:style w:type="paragraph" w:customStyle="1" w:styleId="21">
    <w:name w:val="页脚1"/>
    <w:basedOn w:val="1"/>
    <w:link w:val="22"/>
    <w:qFormat/>
    <w:uiPriority w:val="0"/>
    <w:pPr>
      <w:tabs>
        <w:tab w:val="center" w:pos="4153"/>
        <w:tab w:val="right" w:pos="8306"/>
      </w:tabs>
      <w:snapToGrid w:val="0"/>
      <w:jc w:val="left"/>
    </w:pPr>
    <w:rPr>
      <w:sz w:val="18"/>
      <w:szCs w:val="18"/>
    </w:rPr>
  </w:style>
  <w:style w:type="character" w:customStyle="1" w:styleId="22">
    <w:name w:val="页脚 Char"/>
    <w:link w:val="21"/>
    <w:qFormat/>
    <w:uiPriority w:val="0"/>
    <w:rPr>
      <w:sz w:val="18"/>
      <w:szCs w:val="18"/>
    </w:rPr>
  </w:style>
  <w:style w:type="paragraph" w:customStyle="1" w:styleId="23">
    <w:name w:val="页眉1"/>
    <w:basedOn w:val="1"/>
    <w:link w:val="24"/>
    <w:qFormat/>
    <w:uiPriority w:val="0"/>
    <w:pPr>
      <w:pBdr>
        <w:bottom w:val="single" w:color="auto" w:sz="6" w:space="1"/>
      </w:pBdr>
      <w:tabs>
        <w:tab w:val="center" w:pos="4153"/>
        <w:tab w:val="right" w:pos="8306"/>
      </w:tabs>
      <w:snapToGrid w:val="0"/>
      <w:jc w:val="center"/>
    </w:pPr>
    <w:rPr>
      <w:sz w:val="18"/>
      <w:szCs w:val="18"/>
    </w:rPr>
  </w:style>
  <w:style w:type="character" w:customStyle="1" w:styleId="24">
    <w:name w:val="页眉 Char"/>
    <w:link w:val="23"/>
    <w:qFormat/>
    <w:uiPriority w:val="0"/>
    <w:rPr>
      <w:sz w:val="18"/>
      <w:szCs w:val="18"/>
    </w:rPr>
  </w:style>
  <w:style w:type="table" w:customStyle="1" w:styleId="25">
    <w:name w:val="网格型1"/>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6">
    <w:name w:val="p0"/>
    <w:basedOn w:val="1"/>
    <w:qFormat/>
    <w:uiPriority w:val="0"/>
    <w:pPr>
      <w:widowControl/>
    </w:pPr>
    <w:rPr>
      <w:kern w:val="0"/>
      <w:szCs w:val="21"/>
    </w:rPr>
  </w:style>
  <w:style w:type="paragraph" w:customStyle="1" w:styleId="27">
    <w:name w:val="正文缩进 + 首行缩进:  2 字符"/>
    <w:basedOn w:val="1"/>
    <w:qFormat/>
    <w:uiPriority w:val="0"/>
    <w:pPr>
      <w:ind w:firstLine="640"/>
    </w:pPr>
    <w:rPr>
      <w:rFonts w:ascii="Times New Roman" w:hAnsi="Times New Roman" w:eastAsia="仿宋" w:cs="宋体"/>
      <w:szCs w:val="20"/>
    </w:rPr>
  </w:style>
  <w:style w:type="character" w:customStyle="1" w:styleId="28">
    <w:name w:val="15"/>
    <w:basedOn w:val="14"/>
    <w:qFormat/>
    <w:uiPriority w:val="0"/>
    <w:rPr>
      <w:rFonts w:hint="default" w:ascii="Calibri" w:hAnsi="Calibri" w:cs="Calibri"/>
    </w:rPr>
  </w:style>
  <w:style w:type="paragraph" w:customStyle="1" w:styleId="29">
    <w:name w:val="BodyText"/>
    <w:qFormat/>
    <w:uiPriority w:val="0"/>
    <w:pPr>
      <w:spacing w:after="120"/>
      <w:jc w:val="both"/>
      <w:textAlignment w:val="baseline"/>
    </w:pPr>
    <w:rPr>
      <w:rFonts w:ascii="Calibri" w:hAnsi="Calibri" w:eastAsia="宋体" w:cs="Times New Roman"/>
      <w:kern w:val="2"/>
      <w:sz w:val="21"/>
      <w:szCs w:val="22"/>
      <w:lang w:val="en-US" w:eastAsia="zh-CN" w:bidi="ar-SA"/>
    </w:rPr>
  </w:style>
  <w:style w:type="paragraph" w:customStyle="1" w:styleId="30">
    <w:name w:val="Default"/>
    <w:basedOn w:val="18"/>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1">
    <w:name w:val="正效咨询二级标题"/>
    <w:basedOn w:val="4"/>
    <w:qFormat/>
    <w:uiPriority w:val="0"/>
    <w:pPr>
      <w:spacing w:line="240" w:lineRule="auto"/>
      <w:jc w:val="left"/>
    </w:pPr>
    <w:rPr>
      <w:rFonts w:hint="eastAsia" w:ascii="Times New Roman" w:hAnsi="Times New Roman" w:eastAsia="楷体" w:cs="Times New Roman"/>
      <w:szCs w:val="32"/>
    </w:rPr>
  </w:style>
  <w:style w:type="paragraph" w:customStyle="1" w:styleId="32">
    <w:name w:val="人社正文文本"/>
    <w:basedOn w:val="1"/>
    <w:qFormat/>
    <w:uiPriority w:val="0"/>
    <w:pPr>
      <w:adjustRightInd/>
      <w:snapToGrid/>
      <w:spacing w:line="560" w:lineRule="exact"/>
      <w:ind w:firstLine="640"/>
    </w:pPr>
    <w:rPr>
      <w:rFonts w:ascii="Times New Roman" w:hAnsi="Times New Roman" w:cs="Times New Roman"/>
      <w:kern w:val="0"/>
      <w:szCs w:val="32"/>
    </w:rPr>
  </w:style>
  <w:style w:type="paragraph" w:customStyle="1" w:styleId="33">
    <w:name w:val="正效咨询图表标题"/>
    <w:basedOn w:val="3"/>
    <w:next w:val="1"/>
    <w:qFormat/>
    <w:uiPriority w:val="0"/>
    <w:pPr>
      <w:spacing w:before="120" w:line="240" w:lineRule="exact"/>
      <w:jc w:val="center"/>
    </w:pPr>
    <w:rPr>
      <w:rFonts w:ascii="Arial" w:hAnsi="Arial" w:eastAsia="楷体"/>
      <w:sz w:val="28"/>
    </w:rPr>
  </w:style>
  <w:style w:type="paragraph" w:customStyle="1" w:styleId="34">
    <w:name w:val="正效咨询表文字"/>
    <w:basedOn w:val="1"/>
    <w:qFormat/>
    <w:uiPriority w:val="0"/>
    <w:pPr>
      <w:spacing w:before="60" w:after="60" w:line="240" w:lineRule="auto"/>
      <w:ind w:firstLine="0" w:firstLineChars="0"/>
      <w:jc w:val="center"/>
    </w:pPr>
    <w:rPr>
      <w:rFonts w:ascii="Times New Roman" w:hAnsi="Times New Roman" w:eastAsia="宋体" w:cs="Times New Roman"/>
      <w:sz w:val="24"/>
      <w:szCs w:val="24"/>
    </w:rPr>
  </w:style>
  <w:style w:type="paragraph" w:customStyle="1" w:styleId="35">
    <w:name w:val="正效咨询正文"/>
    <w:basedOn w:val="1"/>
    <w:qFormat/>
    <w:uiPriority w:val="0"/>
    <w:pPr>
      <w:ind w:firstLine="560"/>
    </w:pPr>
    <w:rPr>
      <w:rFonts w:ascii="Times New Roman" w:hAnsi="Times New Roman" w:cs="Times New Roman"/>
      <w:kern w:val="0"/>
      <w:szCs w:val="32"/>
      <w:lang w:val="zh-CN"/>
    </w:rPr>
  </w:style>
  <w:style w:type="paragraph" w:styleId="36">
    <w:name w:val="List Paragraph"/>
    <w:basedOn w:val="1"/>
    <w:qFormat/>
    <w:uiPriority w:val="0"/>
    <w:pPr>
      <w:ind w:firstLine="420" w:firstLineChars="200"/>
    </w:pPr>
    <w:rPr>
      <w:rFonts w:ascii="Calibri" w:hAnsi="Calibri" w:eastAsia="宋体" w:cs="Times New Roman"/>
      <w:szCs w:val="22"/>
    </w:rPr>
  </w:style>
  <w:style w:type="paragraph" w:customStyle="1" w:styleId="37">
    <w:name w:val="B4"/>
    <w:basedOn w:val="1"/>
    <w:qFormat/>
    <w:uiPriority w:val="0"/>
    <w:pPr>
      <w:spacing w:line="640" w:lineRule="exact"/>
      <w:ind w:firstLine="560" w:firstLineChars="200"/>
    </w:pPr>
    <w:rPr>
      <w:rFonts w:ascii="仿宋_GB2312" w:hAnsi="黑体" w:eastAsia="仿宋_GB2312"/>
      <w:kern w:val="10"/>
      <w:sz w:val="28"/>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83</Pages>
  <Words>2890</Words>
  <Characters>3915</Characters>
  <Lines>119</Lines>
  <Paragraphs>33</Paragraphs>
  <TotalTime>26</TotalTime>
  <ScaleCrop>false</ScaleCrop>
  <LinksUpToDate>false</LinksUpToDate>
  <CharactersWithSpaces>4018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2019-05-30T16:41:00Z</dcterms:created>
  <dc:creator>Administrator</dc:creator>
  <cp:lastModifiedBy>释放心情</cp:lastModifiedBy>
  <cp:lastPrinted>2024-05-22T07:51:00Z</cp:lastPrinted>
  <dcterms:modified xsi:type="dcterms:W3CDTF">2025-09-25T08:13:39Z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927D269C960D46369970B071D756104B_13</vt:lpwstr>
  </property>
  <property fmtid="{D5CDD505-2E9C-101B-9397-08002B2CF9AE}" pid="4" name="KSOTemplateDocerSaveRecord">
    <vt:lpwstr>eyJoZGlkIjoiMDU2YjE5YWViMjY3ZjMwNTNiNjcyZjRiMmIzMTYzNmQiLCJ1c2VySWQiOiI2ODY0MzA1OTEifQ==</vt:lpwstr>
  </property>
</Properties>
</file>