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3D0D922">
      <w:pPr>
        <w:jc w:val="center"/>
        <w:rPr>
          <w:rFonts w:hint="eastAsia" w:ascii="华文楷体" w:hAnsi="华文楷体" w:eastAsia="华文楷体" w:cs="华文楷体"/>
          <w:sz w:val="44"/>
          <w:szCs w:val="52"/>
          <w:lang w:val="en-US" w:eastAsia="zh-CN"/>
        </w:rPr>
      </w:pPr>
      <w:r>
        <w:rPr>
          <w:rFonts w:hint="eastAsia" w:ascii="华文楷体" w:hAnsi="华文楷体" w:eastAsia="华文楷体" w:cs="华文楷体"/>
          <w:sz w:val="48"/>
          <w:szCs w:val="56"/>
          <w:lang w:val="en-US" w:eastAsia="zh-CN"/>
        </w:rPr>
        <w:t>单位整体绩效自评报告</w:t>
      </w:r>
    </w:p>
    <w:p w14:paraId="1570961C">
      <w:pPr>
        <w:keepNext w:val="0"/>
        <w:keepLines w:val="0"/>
        <w:pageBreakBefore w:val="0"/>
        <w:widowControl w:val="0"/>
        <w:kinsoku/>
        <w:wordWrap/>
        <w:overflowPunct/>
        <w:topLinePunct w:val="0"/>
        <w:autoSpaceDE/>
        <w:autoSpaceDN/>
        <w:bidi w:val="0"/>
        <w:adjustRightInd/>
        <w:snapToGrid/>
        <w:spacing w:line="580" w:lineRule="exact"/>
        <w:ind w:right="0" w:rightChars="0"/>
        <w:jc w:val="left"/>
        <w:textAlignment w:val="auto"/>
        <w:rPr>
          <w:rFonts w:hint="eastAsia" w:ascii="黑体" w:hAnsi="黑体" w:eastAsia="黑体" w:cs="黑体"/>
          <w:color w:val="000000"/>
          <w:sz w:val="32"/>
          <w:szCs w:val="32"/>
        </w:rPr>
      </w:pPr>
    </w:p>
    <w:p w14:paraId="706799CD">
      <w:pPr>
        <w:keepNext w:val="0"/>
        <w:keepLines w:val="0"/>
        <w:pageBreakBefore w:val="0"/>
        <w:widowControl w:val="0"/>
        <w:numPr>
          <w:ilvl w:val="0"/>
          <w:numId w:val="1"/>
        </w:numPr>
        <w:kinsoku/>
        <w:wordWrap/>
        <w:overflowPunct/>
        <w:topLinePunct w:val="0"/>
        <w:autoSpaceDE/>
        <w:autoSpaceDN/>
        <w:bidi w:val="0"/>
        <w:adjustRightInd/>
        <w:snapToGrid/>
        <w:spacing w:line="580" w:lineRule="exact"/>
        <w:ind w:right="0" w:rightChars="0"/>
        <w:jc w:val="left"/>
        <w:textAlignment w:val="auto"/>
        <w:rPr>
          <w:rFonts w:hint="eastAsia" w:ascii="黑体" w:hAnsi="黑体" w:eastAsia="黑体" w:cs="黑体"/>
          <w:color w:val="000000"/>
          <w:sz w:val="32"/>
          <w:szCs w:val="32"/>
        </w:rPr>
      </w:pPr>
      <w:r>
        <w:rPr>
          <w:rFonts w:hint="eastAsia" w:ascii="黑体" w:hAnsi="黑体" w:eastAsia="黑体" w:cs="黑体"/>
          <w:color w:val="000000"/>
          <w:sz w:val="32"/>
          <w:szCs w:val="32"/>
        </w:rPr>
        <w:t>单位概况</w:t>
      </w:r>
    </w:p>
    <w:p w14:paraId="66E8224D">
      <w:pPr>
        <w:keepNext w:val="0"/>
        <w:keepLines w:val="0"/>
        <w:pageBreakBefore w:val="0"/>
        <w:widowControl w:val="0"/>
        <w:numPr>
          <w:ilvl w:val="0"/>
          <w:numId w:val="2"/>
        </w:numPr>
        <w:kinsoku/>
        <w:wordWrap/>
        <w:overflowPunct/>
        <w:topLinePunct w:val="0"/>
        <w:autoSpaceDE/>
        <w:autoSpaceDN/>
        <w:bidi w:val="0"/>
        <w:adjustRightInd/>
        <w:snapToGrid/>
        <w:spacing w:line="580" w:lineRule="exact"/>
        <w:ind w:left="0" w:leftChars="0" w:right="0" w:rightChars="0" w:firstLine="640" w:firstLineChars="200"/>
        <w:jc w:val="both"/>
        <w:textAlignment w:val="auto"/>
        <w:outlineLvl w:val="9"/>
        <w:rPr>
          <w:rFonts w:hint="eastAsia" w:ascii="仿宋" w:hAnsi="仿宋" w:eastAsia="仿宋" w:cs="仿宋"/>
          <w:color w:val="000000"/>
          <w:sz w:val="32"/>
          <w:szCs w:val="32"/>
        </w:rPr>
      </w:pPr>
      <w:r>
        <w:rPr>
          <w:rFonts w:hint="eastAsia" w:ascii="宋体" w:hAnsi="宋体" w:eastAsia="宋体" w:cs="宋体"/>
          <w:b w:val="0"/>
          <w:bCs/>
          <w:color w:val="000000"/>
          <w:sz w:val="32"/>
          <w:szCs w:val="32"/>
        </w:rPr>
        <w:t>部门主要职责职能，组织架构、人员及资产等基本情况。</w:t>
      </w:r>
    </w:p>
    <w:p w14:paraId="6883ADF4">
      <w:pPr>
        <w:pStyle w:val="2"/>
        <w:ind w:firstLine="640" w:firstLineChars="200"/>
        <w:rPr>
          <w:rFonts w:hint="eastAsia" w:ascii="宋体" w:hAnsi="宋体" w:eastAsia="宋体" w:cs="宋体"/>
          <w:b w:val="0"/>
          <w:bCs/>
          <w:color w:val="000000"/>
          <w:kern w:val="2"/>
          <w:sz w:val="32"/>
          <w:szCs w:val="32"/>
          <w:lang w:val="en-US" w:eastAsia="zh-CN" w:bidi="ar-SA"/>
        </w:rPr>
      </w:pPr>
      <w:r>
        <w:rPr>
          <w:rFonts w:hint="eastAsia" w:ascii="宋体" w:hAnsi="宋体" w:eastAsia="宋体" w:cs="宋体"/>
          <w:b w:val="0"/>
          <w:bCs/>
          <w:color w:val="000000"/>
          <w:kern w:val="2"/>
          <w:sz w:val="32"/>
          <w:szCs w:val="32"/>
          <w:lang w:val="en-US" w:eastAsia="zh-CN" w:bidi="ar-SA"/>
        </w:rPr>
        <w:t>部门主要职责职能：</w:t>
      </w:r>
    </w:p>
    <w:p w14:paraId="224A629A">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宋体" w:hAnsi="宋体" w:eastAsia="宋体" w:cs="宋体"/>
          <w:b w:val="0"/>
          <w:bCs/>
          <w:color w:val="000000"/>
          <w:sz w:val="32"/>
          <w:szCs w:val="32"/>
        </w:rPr>
      </w:pPr>
      <w:r>
        <w:rPr>
          <w:rFonts w:hint="eastAsia" w:ascii="宋体" w:hAnsi="宋体" w:eastAsia="宋体" w:cs="宋体"/>
          <w:b w:val="0"/>
          <w:bCs/>
          <w:color w:val="000000"/>
          <w:sz w:val="32"/>
          <w:szCs w:val="32"/>
        </w:rPr>
        <w:t>1、贯彻执行国家的法律法规和政策。</w:t>
      </w:r>
    </w:p>
    <w:p w14:paraId="3FEC1A99">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宋体" w:hAnsi="宋体" w:eastAsia="宋体" w:cs="宋体"/>
          <w:b w:val="0"/>
          <w:bCs/>
          <w:color w:val="000000"/>
          <w:sz w:val="32"/>
          <w:szCs w:val="32"/>
          <w:lang w:val="en-US" w:eastAsia="zh-CN"/>
        </w:rPr>
      </w:pPr>
      <w:r>
        <w:rPr>
          <w:rFonts w:hint="eastAsia" w:ascii="宋体" w:hAnsi="宋体" w:eastAsia="宋体" w:cs="宋体"/>
          <w:b w:val="0"/>
          <w:bCs/>
          <w:color w:val="000000"/>
          <w:sz w:val="32"/>
          <w:szCs w:val="32"/>
        </w:rPr>
        <w:t>2、承担区本级</w:t>
      </w:r>
      <w:r>
        <w:rPr>
          <w:rFonts w:hint="eastAsia" w:ascii="宋体" w:hAnsi="宋体" w:eastAsia="宋体" w:cs="宋体"/>
          <w:b w:val="0"/>
          <w:bCs/>
          <w:color w:val="000000"/>
          <w:sz w:val="32"/>
          <w:szCs w:val="32"/>
          <w:lang w:val="en-US" w:eastAsia="zh-CN"/>
        </w:rPr>
        <w:t>团组织建设。</w:t>
      </w:r>
    </w:p>
    <w:p w14:paraId="18D1D11F">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宋体" w:hAnsi="宋体" w:eastAsia="宋体" w:cs="宋体"/>
          <w:b w:val="0"/>
          <w:bCs/>
          <w:color w:val="000000"/>
          <w:sz w:val="32"/>
          <w:szCs w:val="32"/>
          <w:lang w:val="en-US" w:eastAsia="zh-CN"/>
        </w:rPr>
      </w:pPr>
      <w:r>
        <w:rPr>
          <w:rFonts w:hint="eastAsia" w:ascii="宋体" w:hAnsi="宋体" w:eastAsia="宋体" w:cs="宋体"/>
          <w:b w:val="0"/>
          <w:bCs/>
          <w:color w:val="000000"/>
          <w:sz w:val="32"/>
          <w:szCs w:val="32"/>
        </w:rPr>
        <w:t>3、</w:t>
      </w:r>
      <w:r>
        <w:rPr>
          <w:rFonts w:hint="eastAsia" w:ascii="宋体" w:hAnsi="宋体" w:eastAsia="宋体" w:cs="宋体"/>
          <w:b w:val="0"/>
          <w:bCs/>
          <w:color w:val="000000"/>
          <w:sz w:val="32"/>
          <w:szCs w:val="32"/>
          <w:lang w:val="en-US" w:eastAsia="zh-CN"/>
        </w:rPr>
        <w:t>参与政府的活动，维护当地稳定和谐。</w:t>
      </w:r>
    </w:p>
    <w:p w14:paraId="71F723D6">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宋体" w:hAnsi="宋体" w:eastAsia="宋体" w:cs="宋体"/>
          <w:b w:val="0"/>
          <w:bCs/>
          <w:color w:val="000000"/>
          <w:sz w:val="32"/>
          <w:szCs w:val="32"/>
          <w:lang w:val="en-US" w:eastAsia="zh-CN"/>
        </w:rPr>
      </w:pPr>
      <w:r>
        <w:rPr>
          <w:rFonts w:hint="eastAsia" w:ascii="宋体" w:hAnsi="宋体" w:eastAsia="宋体" w:cs="宋体"/>
          <w:b w:val="0"/>
          <w:bCs/>
          <w:color w:val="000000"/>
          <w:sz w:val="32"/>
          <w:szCs w:val="32"/>
          <w:lang w:val="en-US" w:eastAsia="zh-CN"/>
        </w:rPr>
        <w:t>4、充分发挥共青团组织作用，引导青少年健康精神。</w:t>
      </w:r>
    </w:p>
    <w:p w14:paraId="052B4E39">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宋体" w:hAnsi="宋体" w:eastAsia="宋体" w:cs="宋体"/>
          <w:b w:val="0"/>
          <w:bCs/>
          <w:color w:val="000000"/>
          <w:sz w:val="32"/>
          <w:szCs w:val="32"/>
        </w:rPr>
      </w:pPr>
      <w:r>
        <w:rPr>
          <w:rFonts w:hint="eastAsia" w:ascii="宋体" w:hAnsi="宋体" w:eastAsia="宋体" w:cs="宋体"/>
          <w:b w:val="0"/>
          <w:bCs/>
          <w:color w:val="000000"/>
          <w:sz w:val="32"/>
          <w:szCs w:val="32"/>
          <w:lang w:val="en-US" w:eastAsia="zh-CN"/>
        </w:rPr>
        <w:t>5、</w:t>
      </w:r>
      <w:r>
        <w:rPr>
          <w:rFonts w:hint="eastAsia" w:ascii="宋体" w:hAnsi="宋体" w:eastAsia="宋体" w:cs="宋体"/>
          <w:b w:val="0"/>
          <w:bCs/>
          <w:color w:val="000000"/>
          <w:sz w:val="32"/>
          <w:szCs w:val="32"/>
        </w:rPr>
        <w:t>负责全区共青团组织、团干部队伍、团员队伍建设和推荐优秀团员入党工作；协助党组织管理基层团组织的干部队伍；办理基层团组织领导班子审批手续；选拔和培训团的干部。</w:t>
      </w:r>
    </w:p>
    <w:p w14:paraId="3289C25B">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宋体" w:hAnsi="宋体" w:eastAsia="宋体" w:cs="宋体"/>
          <w:b w:val="0"/>
          <w:bCs/>
          <w:color w:val="000000"/>
          <w:sz w:val="32"/>
          <w:szCs w:val="32"/>
        </w:rPr>
      </w:pPr>
      <w:r>
        <w:rPr>
          <w:rFonts w:hint="eastAsia" w:ascii="宋体" w:hAnsi="宋体" w:eastAsia="宋体" w:cs="宋体"/>
          <w:b w:val="0"/>
          <w:bCs/>
          <w:color w:val="000000"/>
          <w:sz w:val="32"/>
          <w:szCs w:val="32"/>
          <w:lang w:val="en-US" w:eastAsia="zh-CN"/>
        </w:rPr>
        <w:t>6、</w:t>
      </w:r>
      <w:r>
        <w:rPr>
          <w:rFonts w:hint="eastAsia" w:ascii="宋体" w:hAnsi="宋体" w:eastAsia="宋体" w:cs="宋体"/>
          <w:b w:val="0"/>
          <w:bCs/>
          <w:color w:val="000000"/>
          <w:sz w:val="32"/>
          <w:szCs w:val="32"/>
        </w:rPr>
        <w:t>负责研究、规划全区团办实体工作；检查、督促全区团办实体的发展，参与协调处理各种与青少年利益相关的工作。</w:t>
      </w:r>
    </w:p>
    <w:p w14:paraId="09E237D4">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宋体" w:hAnsi="宋体" w:eastAsia="宋体" w:cs="宋体"/>
          <w:b w:val="0"/>
          <w:bCs/>
          <w:color w:val="000000"/>
          <w:sz w:val="32"/>
          <w:szCs w:val="32"/>
        </w:rPr>
      </w:pPr>
      <w:r>
        <w:rPr>
          <w:rFonts w:hint="eastAsia" w:ascii="宋体" w:hAnsi="宋体" w:eastAsia="宋体" w:cs="宋体"/>
          <w:b w:val="0"/>
          <w:bCs/>
          <w:color w:val="000000"/>
          <w:sz w:val="32"/>
          <w:szCs w:val="32"/>
          <w:lang w:val="en-US" w:eastAsia="zh-CN"/>
        </w:rPr>
        <w:t>7、</w:t>
      </w:r>
      <w:r>
        <w:rPr>
          <w:rFonts w:hint="eastAsia" w:ascii="宋体" w:hAnsi="宋体" w:eastAsia="宋体" w:cs="宋体"/>
          <w:b w:val="0"/>
          <w:bCs/>
          <w:color w:val="000000"/>
          <w:sz w:val="32"/>
          <w:szCs w:val="32"/>
        </w:rPr>
        <w:t>做好全区各界青年爱国统一战线工作。</w:t>
      </w:r>
    </w:p>
    <w:p w14:paraId="664CB9D3">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宋体" w:hAnsi="宋体" w:eastAsia="宋体" w:cs="宋体"/>
          <w:b w:val="0"/>
          <w:bCs/>
          <w:color w:val="000000"/>
          <w:sz w:val="32"/>
          <w:szCs w:val="32"/>
        </w:rPr>
      </w:pPr>
      <w:r>
        <w:rPr>
          <w:rFonts w:hint="eastAsia" w:ascii="宋体" w:hAnsi="宋体" w:eastAsia="宋体" w:cs="宋体"/>
          <w:b w:val="0"/>
          <w:bCs/>
          <w:color w:val="000000"/>
          <w:sz w:val="32"/>
          <w:szCs w:val="32"/>
          <w:lang w:val="en-US" w:eastAsia="zh-CN"/>
        </w:rPr>
        <w:t>8、</w:t>
      </w:r>
      <w:r>
        <w:rPr>
          <w:rFonts w:hint="eastAsia" w:ascii="宋体" w:hAnsi="宋体" w:eastAsia="宋体" w:cs="宋体"/>
          <w:b w:val="0"/>
          <w:bCs/>
          <w:color w:val="000000"/>
          <w:sz w:val="32"/>
          <w:szCs w:val="32"/>
        </w:rPr>
        <w:t>围绕提高青年职工的思想道德素质、文化技术素质、提高企业经济效益开展工作；组织青年职工参加各种形式的生产经营管理、岗位成才、科技研发、思想教育和文化活动。</w:t>
      </w:r>
    </w:p>
    <w:p w14:paraId="6210E1F6">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宋体" w:hAnsi="宋体" w:eastAsia="宋体" w:cs="宋体"/>
          <w:b w:val="0"/>
          <w:bCs/>
          <w:color w:val="000000"/>
          <w:sz w:val="32"/>
          <w:szCs w:val="32"/>
        </w:rPr>
      </w:pPr>
      <w:r>
        <w:rPr>
          <w:rFonts w:hint="eastAsia" w:ascii="宋体" w:hAnsi="宋体" w:eastAsia="宋体" w:cs="宋体"/>
          <w:b w:val="0"/>
          <w:bCs/>
          <w:color w:val="000000"/>
          <w:sz w:val="32"/>
          <w:szCs w:val="32"/>
          <w:lang w:val="en-US" w:eastAsia="zh-CN"/>
        </w:rPr>
        <w:t>9、</w:t>
      </w:r>
      <w:r>
        <w:rPr>
          <w:rFonts w:hint="eastAsia" w:ascii="宋体" w:hAnsi="宋体" w:eastAsia="宋体" w:cs="宋体"/>
          <w:b w:val="0"/>
          <w:bCs/>
          <w:color w:val="000000"/>
          <w:sz w:val="32"/>
          <w:szCs w:val="32"/>
        </w:rPr>
        <w:t>负责研究、指导全区农村、村镇企业团的工作；负责组织全区农村青年围绕经济建设开展活动；负责组织农村青年学习科学文化知识；负责全区农村青年先进人物、先进集体评选、管理和宣传工作；做好“希望工程”基金会的筹资工作，加强对基金使用的管理。</w:t>
      </w:r>
    </w:p>
    <w:p w14:paraId="393B77A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450" w:lineRule="atLeast"/>
        <w:ind w:left="0" w:right="0" w:firstLine="420"/>
        <w:textAlignment w:val="auto"/>
        <w:rPr>
          <w:rStyle w:val="8"/>
          <w:rFonts w:hint="eastAsia" w:ascii="宋体" w:hAnsi="宋体" w:eastAsia="宋体" w:cs="宋体"/>
          <w:b w:val="0"/>
          <w:bCs/>
          <w:i w:val="0"/>
          <w:iCs w:val="0"/>
          <w:caps w:val="0"/>
          <w:color w:val="000000"/>
          <w:spacing w:val="0"/>
          <w:sz w:val="32"/>
          <w:szCs w:val="32"/>
          <w:shd w:val="clear" w:color="auto" w:fill="FFFFFF"/>
        </w:rPr>
      </w:pPr>
      <w:r>
        <w:rPr>
          <w:rFonts w:hint="eastAsia" w:ascii="宋体" w:hAnsi="宋体" w:eastAsia="宋体" w:cs="宋体"/>
          <w:b w:val="0"/>
          <w:bCs/>
          <w:color w:val="000000"/>
          <w:sz w:val="32"/>
          <w:szCs w:val="32"/>
          <w:lang w:val="en-US" w:eastAsia="zh-CN"/>
        </w:rPr>
        <w:t>10、</w:t>
      </w:r>
      <w:r>
        <w:rPr>
          <w:rFonts w:hint="eastAsia" w:ascii="宋体" w:hAnsi="宋体" w:eastAsia="宋体" w:cs="宋体"/>
          <w:b w:val="0"/>
          <w:bCs/>
          <w:color w:val="000000"/>
          <w:sz w:val="32"/>
          <w:szCs w:val="32"/>
        </w:rPr>
        <w:t>完成区委、区政府和团市委交办的其他工作。</w:t>
      </w:r>
    </w:p>
    <w:p w14:paraId="3B1200E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450" w:lineRule="atLeast"/>
        <w:ind w:right="0"/>
        <w:textAlignment w:val="auto"/>
        <w:rPr>
          <w:rFonts w:hint="eastAsia" w:ascii="宋体" w:hAnsi="宋体" w:eastAsia="宋体" w:cs="宋体"/>
          <w:b w:val="0"/>
          <w:bCs/>
          <w:color w:val="000000"/>
          <w:sz w:val="32"/>
          <w:szCs w:val="32"/>
        </w:rPr>
      </w:pPr>
      <w:r>
        <w:rPr>
          <w:rStyle w:val="8"/>
          <w:rFonts w:hint="eastAsia" w:ascii="宋体" w:hAnsi="宋体" w:eastAsia="宋体" w:cs="宋体"/>
          <w:b w:val="0"/>
          <w:bCs/>
          <w:i w:val="0"/>
          <w:iCs w:val="0"/>
          <w:caps w:val="0"/>
          <w:color w:val="000000"/>
          <w:spacing w:val="0"/>
          <w:sz w:val="32"/>
          <w:szCs w:val="32"/>
          <w:shd w:val="clear" w:color="auto" w:fill="FFFFFF"/>
        </w:rPr>
        <w:t>机构设置情况</w:t>
      </w:r>
      <w:r>
        <w:rPr>
          <w:rStyle w:val="8"/>
          <w:rFonts w:hint="eastAsia" w:ascii="宋体" w:hAnsi="宋体" w:eastAsia="宋体" w:cs="宋体"/>
          <w:b w:val="0"/>
          <w:bCs/>
          <w:i w:val="0"/>
          <w:iCs w:val="0"/>
          <w:caps w:val="0"/>
          <w:color w:val="000000"/>
          <w:spacing w:val="0"/>
          <w:sz w:val="32"/>
          <w:szCs w:val="32"/>
          <w:shd w:val="clear" w:color="auto" w:fill="FFFFFF"/>
          <w:lang w:eastAsia="zh-CN"/>
        </w:rPr>
        <w:t>：</w:t>
      </w:r>
      <w:r>
        <w:rPr>
          <w:rFonts w:hint="eastAsia" w:ascii="宋体" w:hAnsi="宋体" w:eastAsia="宋体" w:cs="宋体"/>
          <w:b w:val="0"/>
          <w:bCs/>
          <w:color w:val="000000"/>
          <w:sz w:val="32"/>
          <w:szCs w:val="32"/>
        </w:rPr>
        <w:t>202</w:t>
      </w:r>
      <w:r>
        <w:rPr>
          <w:rFonts w:hint="eastAsia" w:ascii="宋体" w:hAnsi="宋体" w:cs="宋体"/>
          <w:b w:val="0"/>
          <w:bCs/>
          <w:color w:val="000000"/>
          <w:sz w:val="32"/>
          <w:szCs w:val="32"/>
          <w:lang w:val="en-US" w:eastAsia="zh-CN"/>
        </w:rPr>
        <w:t>4</w:t>
      </w:r>
      <w:r>
        <w:rPr>
          <w:rFonts w:hint="eastAsia" w:ascii="宋体" w:hAnsi="宋体" w:eastAsia="宋体" w:cs="宋体"/>
          <w:b w:val="0"/>
          <w:bCs/>
          <w:color w:val="000000"/>
          <w:sz w:val="32"/>
          <w:szCs w:val="32"/>
        </w:rPr>
        <w:t>年共青团青云谱区委共有预算单位1个</w:t>
      </w:r>
    </w:p>
    <w:p w14:paraId="5455F2D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450" w:lineRule="atLeast"/>
        <w:ind w:left="0" w:right="0" w:firstLine="420"/>
        <w:textAlignment w:val="auto"/>
        <w:rPr>
          <w:rFonts w:hint="eastAsia" w:ascii="宋体" w:hAnsi="宋体" w:eastAsia="宋体" w:cs="宋体"/>
          <w:b w:val="0"/>
          <w:bCs/>
          <w:i w:val="0"/>
          <w:iCs w:val="0"/>
          <w:caps w:val="0"/>
          <w:color w:val="000000"/>
          <w:spacing w:val="0"/>
          <w:sz w:val="32"/>
          <w:szCs w:val="32"/>
          <w:shd w:val="clear" w:color="auto" w:fill="FFFFFF"/>
          <w:lang w:val="en-US" w:eastAsia="zh-CN"/>
        </w:rPr>
      </w:pPr>
      <w:r>
        <w:rPr>
          <w:rStyle w:val="8"/>
          <w:rFonts w:hint="eastAsia" w:ascii="宋体" w:hAnsi="宋体" w:eastAsia="宋体" w:cs="宋体"/>
          <w:b w:val="0"/>
          <w:bCs/>
          <w:i w:val="0"/>
          <w:iCs w:val="0"/>
          <w:caps w:val="0"/>
          <w:color w:val="000000"/>
          <w:spacing w:val="0"/>
          <w:sz w:val="32"/>
          <w:szCs w:val="32"/>
          <w:shd w:val="clear" w:color="auto" w:fill="FFFFFF"/>
        </w:rPr>
        <w:t>人员构成现状</w:t>
      </w:r>
      <w:r>
        <w:rPr>
          <w:rStyle w:val="8"/>
          <w:rFonts w:hint="eastAsia" w:ascii="宋体" w:hAnsi="宋体" w:eastAsia="宋体" w:cs="宋体"/>
          <w:b w:val="0"/>
          <w:bCs/>
          <w:i w:val="0"/>
          <w:iCs w:val="0"/>
          <w:caps w:val="0"/>
          <w:color w:val="000000"/>
          <w:spacing w:val="0"/>
          <w:sz w:val="32"/>
          <w:szCs w:val="32"/>
          <w:shd w:val="clear" w:color="auto" w:fill="FFFFFF"/>
          <w:lang w:eastAsia="zh-CN"/>
        </w:rPr>
        <w:t>：</w:t>
      </w:r>
      <w:r>
        <w:rPr>
          <w:rFonts w:hint="eastAsia" w:ascii="宋体" w:hAnsi="宋体" w:eastAsia="宋体" w:cs="宋体"/>
          <w:b w:val="0"/>
          <w:bCs/>
          <w:i w:val="0"/>
          <w:iCs w:val="0"/>
          <w:caps w:val="0"/>
          <w:color w:val="000000"/>
          <w:spacing w:val="0"/>
          <w:sz w:val="32"/>
          <w:szCs w:val="32"/>
          <w:shd w:val="clear" w:color="auto" w:fill="FFFFFF"/>
        </w:rPr>
        <w:t>编制人数</w:t>
      </w:r>
      <w:r>
        <w:rPr>
          <w:rFonts w:hint="eastAsia" w:ascii="宋体" w:hAnsi="宋体" w:eastAsia="宋体" w:cs="宋体"/>
          <w:b w:val="0"/>
          <w:bCs/>
          <w:i w:val="0"/>
          <w:iCs w:val="0"/>
          <w:caps w:val="0"/>
          <w:color w:val="000000"/>
          <w:spacing w:val="0"/>
          <w:sz w:val="32"/>
          <w:szCs w:val="32"/>
          <w:shd w:val="clear" w:color="auto" w:fill="FFFFFF"/>
          <w:lang w:val="en-US" w:eastAsia="zh-CN"/>
        </w:rPr>
        <w:t>10</w:t>
      </w:r>
      <w:r>
        <w:rPr>
          <w:rFonts w:hint="eastAsia" w:ascii="宋体" w:hAnsi="宋体" w:eastAsia="宋体" w:cs="宋体"/>
          <w:b w:val="0"/>
          <w:bCs/>
          <w:i w:val="0"/>
          <w:iCs w:val="0"/>
          <w:caps w:val="0"/>
          <w:color w:val="000000"/>
          <w:spacing w:val="0"/>
          <w:sz w:val="32"/>
          <w:szCs w:val="32"/>
          <w:shd w:val="clear" w:color="auto" w:fill="FFFFFF"/>
        </w:rPr>
        <w:t>人，实有在职人员</w:t>
      </w:r>
      <w:r>
        <w:rPr>
          <w:rFonts w:hint="eastAsia" w:ascii="宋体" w:hAnsi="宋体" w:eastAsia="宋体" w:cs="宋体"/>
          <w:b w:val="0"/>
          <w:bCs/>
          <w:i w:val="0"/>
          <w:iCs w:val="0"/>
          <w:caps w:val="0"/>
          <w:color w:val="000000"/>
          <w:spacing w:val="0"/>
          <w:sz w:val="32"/>
          <w:szCs w:val="32"/>
          <w:shd w:val="clear" w:color="auto" w:fill="FFFFFF"/>
          <w:lang w:val="en-US" w:eastAsia="zh-CN"/>
        </w:rPr>
        <w:t>7</w:t>
      </w:r>
      <w:r>
        <w:rPr>
          <w:rFonts w:hint="eastAsia" w:ascii="宋体" w:hAnsi="宋体" w:eastAsia="宋体" w:cs="宋体"/>
          <w:b w:val="0"/>
          <w:bCs/>
          <w:i w:val="0"/>
          <w:iCs w:val="0"/>
          <w:caps w:val="0"/>
          <w:color w:val="000000"/>
          <w:spacing w:val="0"/>
          <w:sz w:val="32"/>
          <w:szCs w:val="32"/>
          <w:shd w:val="clear" w:color="auto" w:fill="FFFFFF"/>
        </w:rPr>
        <w:t>人，离退休人员</w:t>
      </w:r>
      <w:r>
        <w:rPr>
          <w:rFonts w:hint="eastAsia" w:ascii="宋体" w:hAnsi="宋体" w:eastAsia="宋体" w:cs="宋体"/>
          <w:b w:val="0"/>
          <w:bCs/>
          <w:i w:val="0"/>
          <w:iCs w:val="0"/>
          <w:caps w:val="0"/>
          <w:color w:val="000000"/>
          <w:spacing w:val="0"/>
          <w:sz w:val="32"/>
          <w:szCs w:val="32"/>
          <w:shd w:val="clear" w:color="auto" w:fill="FFFFFF"/>
          <w:lang w:val="en-US" w:eastAsia="zh-CN"/>
        </w:rPr>
        <w:t>0</w:t>
      </w:r>
      <w:r>
        <w:rPr>
          <w:rFonts w:hint="eastAsia" w:ascii="宋体" w:hAnsi="宋体" w:eastAsia="宋体" w:cs="宋体"/>
          <w:b w:val="0"/>
          <w:bCs/>
          <w:i w:val="0"/>
          <w:iCs w:val="0"/>
          <w:caps w:val="0"/>
          <w:color w:val="000000"/>
          <w:spacing w:val="0"/>
          <w:sz w:val="32"/>
          <w:szCs w:val="32"/>
          <w:shd w:val="clear" w:color="auto" w:fill="FFFFFF"/>
        </w:rPr>
        <w:t>人，其他财政供养人员</w:t>
      </w:r>
      <w:r>
        <w:rPr>
          <w:rFonts w:hint="eastAsia" w:ascii="宋体" w:hAnsi="宋体" w:eastAsia="宋体" w:cs="宋体"/>
          <w:b w:val="0"/>
          <w:bCs/>
          <w:i w:val="0"/>
          <w:iCs w:val="0"/>
          <w:caps w:val="0"/>
          <w:color w:val="000000"/>
          <w:spacing w:val="0"/>
          <w:sz w:val="32"/>
          <w:szCs w:val="32"/>
          <w:shd w:val="clear" w:color="auto" w:fill="FFFFFF"/>
          <w:lang w:val="en-US" w:eastAsia="zh-CN"/>
        </w:rPr>
        <w:t xml:space="preserve">3 </w:t>
      </w:r>
      <w:r>
        <w:rPr>
          <w:rFonts w:hint="eastAsia" w:ascii="宋体" w:hAnsi="宋体" w:eastAsia="宋体" w:cs="宋体"/>
          <w:b w:val="0"/>
          <w:bCs/>
          <w:i w:val="0"/>
          <w:iCs w:val="0"/>
          <w:caps w:val="0"/>
          <w:color w:val="000000"/>
          <w:spacing w:val="0"/>
          <w:sz w:val="32"/>
          <w:szCs w:val="32"/>
          <w:shd w:val="clear" w:color="auto" w:fill="FFFFFF"/>
        </w:rPr>
        <w:t>人（其中聘用人员</w:t>
      </w:r>
      <w:r>
        <w:rPr>
          <w:rFonts w:hint="eastAsia" w:ascii="宋体" w:hAnsi="宋体" w:eastAsia="宋体" w:cs="宋体"/>
          <w:b w:val="0"/>
          <w:bCs/>
          <w:i w:val="0"/>
          <w:iCs w:val="0"/>
          <w:caps w:val="0"/>
          <w:color w:val="000000"/>
          <w:spacing w:val="0"/>
          <w:sz w:val="32"/>
          <w:szCs w:val="32"/>
          <w:shd w:val="clear" w:color="auto" w:fill="FFFFFF"/>
          <w:lang w:val="en-US" w:eastAsia="zh-CN"/>
        </w:rPr>
        <w:t>3</w:t>
      </w:r>
      <w:r>
        <w:rPr>
          <w:rFonts w:hint="eastAsia" w:ascii="宋体" w:hAnsi="宋体" w:eastAsia="宋体" w:cs="宋体"/>
          <w:b w:val="0"/>
          <w:bCs/>
          <w:i w:val="0"/>
          <w:iCs w:val="0"/>
          <w:caps w:val="0"/>
          <w:color w:val="000000"/>
          <w:spacing w:val="0"/>
          <w:sz w:val="32"/>
          <w:szCs w:val="32"/>
          <w:shd w:val="clear" w:color="auto" w:fill="FFFFFF"/>
        </w:rPr>
        <w:t>人、遗属</w:t>
      </w:r>
      <w:r>
        <w:rPr>
          <w:rFonts w:hint="eastAsia" w:ascii="宋体" w:hAnsi="宋体" w:eastAsia="宋体" w:cs="宋体"/>
          <w:b w:val="0"/>
          <w:bCs/>
          <w:i w:val="0"/>
          <w:iCs w:val="0"/>
          <w:caps w:val="0"/>
          <w:color w:val="000000"/>
          <w:spacing w:val="0"/>
          <w:sz w:val="32"/>
          <w:szCs w:val="32"/>
          <w:shd w:val="clear" w:color="auto" w:fill="FFFFFF"/>
          <w:lang w:val="en-US" w:eastAsia="zh-CN"/>
        </w:rPr>
        <w:t>0</w:t>
      </w:r>
      <w:r>
        <w:rPr>
          <w:rFonts w:hint="eastAsia" w:ascii="宋体" w:hAnsi="宋体" w:eastAsia="宋体" w:cs="宋体"/>
          <w:b w:val="0"/>
          <w:bCs/>
          <w:i w:val="0"/>
          <w:iCs w:val="0"/>
          <w:caps w:val="0"/>
          <w:color w:val="000000"/>
          <w:spacing w:val="0"/>
          <w:sz w:val="32"/>
          <w:szCs w:val="32"/>
          <w:shd w:val="clear" w:color="auto" w:fill="FFFFFF"/>
        </w:rPr>
        <w:t>人）</w:t>
      </w:r>
      <w:r>
        <w:rPr>
          <w:rFonts w:hint="eastAsia" w:ascii="宋体" w:hAnsi="宋体" w:eastAsia="宋体" w:cs="宋体"/>
          <w:b w:val="0"/>
          <w:bCs/>
          <w:i w:val="0"/>
          <w:iCs w:val="0"/>
          <w:caps w:val="0"/>
          <w:color w:val="000000"/>
          <w:spacing w:val="0"/>
          <w:sz w:val="32"/>
          <w:szCs w:val="32"/>
          <w:shd w:val="clear" w:color="auto" w:fill="FFFFFF"/>
          <w:lang w:eastAsia="zh-CN"/>
        </w:rPr>
        <w:t>，临时人员</w:t>
      </w:r>
      <w:r>
        <w:rPr>
          <w:rFonts w:hint="eastAsia" w:ascii="宋体" w:hAnsi="宋体" w:eastAsia="宋体" w:cs="宋体"/>
          <w:b w:val="0"/>
          <w:bCs/>
          <w:i w:val="0"/>
          <w:iCs w:val="0"/>
          <w:caps w:val="0"/>
          <w:color w:val="000000"/>
          <w:spacing w:val="0"/>
          <w:sz w:val="32"/>
          <w:szCs w:val="32"/>
          <w:shd w:val="clear" w:color="auto" w:fill="FFFFFF"/>
          <w:lang w:val="en-US" w:eastAsia="zh-CN"/>
        </w:rPr>
        <w:t>0人。</w:t>
      </w:r>
    </w:p>
    <w:p w14:paraId="19C91D9C">
      <w:pPr>
        <w:pStyle w:val="4"/>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shd w:val="clear" w:color="auto" w:fill="FFFFFF"/>
        <w:spacing w:before="150" w:beforeAutospacing="0" w:after="150" w:afterAutospacing="0" w:line="450" w:lineRule="atLeast"/>
        <w:ind w:left="0" w:leftChars="0" w:right="0" w:firstLine="640" w:firstLineChars="200"/>
        <w:rPr>
          <w:rFonts w:hint="eastAsia" w:ascii="宋体" w:hAnsi="宋体" w:eastAsia="宋体" w:cs="宋体"/>
          <w:b w:val="0"/>
          <w:bCs/>
          <w:i w:val="0"/>
          <w:iCs w:val="0"/>
          <w:caps w:val="0"/>
          <w:color w:val="000000"/>
          <w:spacing w:val="0"/>
          <w:sz w:val="32"/>
          <w:szCs w:val="32"/>
          <w:shd w:val="clear" w:color="auto" w:fill="FFFFFF"/>
        </w:rPr>
      </w:pPr>
      <w:r>
        <w:rPr>
          <w:rFonts w:hint="eastAsia" w:ascii="宋体" w:hAnsi="宋体" w:eastAsia="宋体" w:cs="宋体"/>
          <w:b w:val="0"/>
          <w:bCs/>
          <w:i w:val="0"/>
          <w:iCs w:val="0"/>
          <w:caps w:val="0"/>
          <w:color w:val="000000"/>
          <w:spacing w:val="0"/>
          <w:sz w:val="32"/>
          <w:szCs w:val="32"/>
          <w:shd w:val="clear" w:color="auto" w:fill="FFFFFF"/>
        </w:rPr>
        <w:t>当年部门履职总体目标、工作任</w:t>
      </w:r>
      <w:bookmarkStart w:id="0" w:name="_GoBack"/>
      <w:bookmarkEnd w:id="0"/>
      <w:r>
        <w:rPr>
          <w:rFonts w:hint="eastAsia" w:ascii="宋体" w:hAnsi="宋体" w:eastAsia="宋体" w:cs="宋体"/>
          <w:b w:val="0"/>
          <w:bCs/>
          <w:i w:val="0"/>
          <w:iCs w:val="0"/>
          <w:caps w:val="0"/>
          <w:color w:val="000000"/>
          <w:spacing w:val="0"/>
          <w:sz w:val="32"/>
          <w:szCs w:val="32"/>
          <w:shd w:val="clear" w:color="auto" w:fill="FFFFFF"/>
        </w:rPr>
        <w:t>务。</w:t>
      </w:r>
    </w:p>
    <w:p w14:paraId="31DAE789">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150" w:beforeAutospacing="0" w:after="150" w:afterAutospacing="0" w:line="450" w:lineRule="atLeast"/>
        <w:ind w:left="0" w:right="0" w:firstLine="420"/>
        <w:rPr>
          <w:rFonts w:hint="eastAsia" w:ascii="宋体" w:hAnsi="宋体" w:eastAsia="宋体" w:cs="宋体"/>
          <w:b w:val="0"/>
          <w:bCs/>
          <w:i w:val="0"/>
          <w:iCs w:val="0"/>
          <w:caps w:val="0"/>
          <w:color w:val="000000"/>
          <w:spacing w:val="0"/>
          <w:sz w:val="32"/>
          <w:szCs w:val="32"/>
          <w:shd w:val="clear" w:color="auto" w:fill="FFFFFF"/>
          <w:lang w:val="en-US" w:eastAsia="zh-CN"/>
        </w:rPr>
      </w:pPr>
      <w:r>
        <w:rPr>
          <w:rFonts w:hint="eastAsia" w:ascii="宋体" w:hAnsi="宋体" w:eastAsia="宋体" w:cs="宋体"/>
          <w:b w:val="0"/>
          <w:bCs/>
          <w:i w:val="0"/>
          <w:iCs w:val="0"/>
          <w:caps w:val="0"/>
          <w:color w:val="000000"/>
          <w:spacing w:val="0"/>
          <w:sz w:val="32"/>
          <w:szCs w:val="32"/>
          <w:shd w:val="clear" w:color="auto" w:fill="FFFFFF"/>
          <w:lang w:val="en-US" w:eastAsia="zh-CN"/>
        </w:rPr>
        <w:t>总体目标：坚持以习近平新时代中国特色社会主义思想为指导，深入贯彻落实习近平总书记关于青年工作的重要思想，围绕学习宣传贯彻党的二十大精神主题主线，立足“走在前 勇争先 善作为”的工作任务，着力提升引领力、组织力、服务力和大局贡献度，围绕中心大局，全力推进全区团的各项工作持续向纵深发展。</w:t>
      </w:r>
    </w:p>
    <w:p w14:paraId="1678A85C">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150" w:beforeAutospacing="0" w:after="150" w:afterAutospacing="0" w:line="450" w:lineRule="atLeast"/>
        <w:ind w:right="0" w:firstLine="640" w:firstLineChars="200"/>
        <w:rPr>
          <w:rFonts w:hint="eastAsia" w:ascii="宋体" w:hAnsi="宋体" w:eastAsia="宋体" w:cs="宋体"/>
          <w:b w:val="0"/>
          <w:bCs/>
          <w:i w:val="0"/>
          <w:iCs w:val="0"/>
          <w:caps w:val="0"/>
          <w:color w:val="000000"/>
          <w:spacing w:val="0"/>
          <w:sz w:val="32"/>
          <w:szCs w:val="32"/>
          <w:shd w:val="clear" w:color="auto" w:fill="FFFFFF"/>
          <w:lang w:val="en-US" w:eastAsia="zh-CN"/>
        </w:rPr>
      </w:pPr>
      <w:r>
        <w:rPr>
          <w:rFonts w:hint="eastAsia" w:ascii="宋体" w:hAnsi="宋体" w:eastAsia="宋体" w:cs="宋体"/>
          <w:b w:val="0"/>
          <w:bCs/>
          <w:i w:val="0"/>
          <w:iCs w:val="0"/>
          <w:caps w:val="0"/>
          <w:color w:val="000000"/>
          <w:spacing w:val="0"/>
          <w:sz w:val="32"/>
          <w:szCs w:val="32"/>
          <w:shd w:val="clear" w:color="auto" w:fill="FFFFFF"/>
        </w:rPr>
        <w:t>工作任务</w:t>
      </w:r>
      <w:r>
        <w:rPr>
          <w:rFonts w:hint="eastAsia" w:ascii="宋体" w:hAnsi="宋体" w:eastAsia="宋体" w:cs="宋体"/>
          <w:b w:val="0"/>
          <w:bCs/>
          <w:i w:val="0"/>
          <w:iCs w:val="0"/>
          <w:caps w:val="0"/>
          <w:color w:val="000000"/>
          <w:spacing w:val="0"/>
          <w:sz w:val="32"/>
          <w:szCs w:val="32"/>
          <w:shd w:val="clear" w:color="auto" w:fill="FFFFFF"/>
          <w:lang w:eastAsia="zh-CN"/>
        </w:rPr>
        <w:t>：</w:t>
      </w:r>
      <w:r>
        <w:rPr>
          <w:rFonts w:hint="eastAsia" w:ascii="宋体" w:hAnsi="宋体" w:eastAsia="宋体" w:cs="宋体"/>
          <w:b w:val="0"/>
          <w:bCs/>
          <w:i w:val="0"/>
          <w:iCs w:val="0"/>
          <w:caps w:val="0"/>
          <w:color w:val="000000"/>
          <w:spacing w:val="0"/>
          <w:sz w:val="32"/>
          <w:szCs w:val="32"/>
          <w:shd w:val="clear" w:color="auto" w:fill="FFFFFF"/>
          <w:lang w:val="en-US" w:eastAsia="zh-CN"/>
        </w:rPr>
        <w:t>组织青年在文明创建中争当先锋。面对2024年的精神文明创建工作中，组织200余名青年志愿者开展的“决胜文明城市创建，展现青年志愿服务风采”创文志愿服务活动，将青年服务工作融入了全区经济社会发展中。</w:t>
      </w:r>
    </w:p>
    <w:p w14:paraId="522A97E4">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150" w:beforeAutospacing="0" w:after="150" w:afterAutospacing="0" w:line="450" w:lineRule="atLeast"/>
        <w:ind w:right="0" w:firstLine="640" w:firstLineChars="200"/>
        <w:rPr>
          <w:rFonts w:hint="eastAsia" w:ascii="宋体" w:hAnsi="宋体" w:eastAsia="宋体" w:cs="宋体"/>
          <w:b w:val="0"/>
          <w:bCs/>
          <w:i w:val="0"/>
          <w:iCs w:val="0"/>
          <w:caps w:val="0"/>
          <w:color w:val="000000"/>
          <w:spacing w:val="0"/>
          <w:sz w:val="32"/>
          <w:szCs w:val="32"/>
          <w:shd w:val="clear" w:color="auto" w:fill="FFFFFF"/>
          <w:lang w:val="en-US" w:eastAsia="zh-CN"/>
        </w:rPr>
      </w:pPr>
      <w:r>
        <w:rPr>
          <w:rFonts w:hint="eastAsia" w:ascii="宋体" w:hAnsi="宋体" w:eastAsia="宋体" w:cs="宋体"/>
          <w:b w:val="0"/>
          <w:bCs/>
          <w:i w:val="0"/>
          <w:iCs w:val="0"/>
          <w:caps w:val="0"/>
          <w:color w:val="000000"/>
          <w:spacing w:val="0"/>
          <w:sz w:val="32"/>
          <w:szCs w:val="32"/>
          <w:shd w:val="clear" w:color="auto" w:fill="FFFFFF"/>
          <w:lang w:val="en-US" w:eastAsia="zh-CN"/>
        </w:rPr>
        <w:t>组织青年在志愿服务中争当先锋。联合青云谱区国家消防救援局、青云谱区青少年事务发展中心开展2024年“学雷锋志愿服务月”青云谱区青少年走进森林消防研学教育志愿服务活动。陆续开展河小青、爱心义剪、修理家电、反诈宣传、慰问老人、环境卫生大整治等100多场丰富多彩的志愿服务活动，参与的志愿者超2000人次。</w:t>
      </w:r>
    </w:p>
    <w:p w14:paraId="5C3ACB71">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150" w:beforeAutospacing="0" w:after="150" w:afterAutospacing="0" w:line="450" w:lineRule="atLeast"/>
        <w:ind w:right="0" w:firstLine="640" w:firstLineChars="200"/>
        <w:rPr>
          <w:rFonts w:hint="eastAsia" w:ascii="宋体" w:hAnsi="宋体" w:eastAsia="宋体" w:cs="宋体"/>
          <w:b w:val="0"/>
          <w:bCs/>
          <w:i w:val="0"/>
          <w:iCs w:val="0"/>
          <w:caps w:val="0"/>
          <w:color w:val="000000"/>
          <w:spacing w:val="0"/>
          <w:sz w:val="32"/>
          <w:szCs w:val="32"/>
          <w:shd w:val="clear" w:color="auto" w:fill="FFFFFF"/>
          <w:lang w:val="en-US" w:eastAsia="zh-CN"/>
        </w:rPr>
      </w:pPr>
      <w:r>
        <w:rPr>
          <w:rFonts w:hint="eastAsia" w:ascii="宋体" w:hAnsi="宋体" w:eastAsia="宋体" w:cs="宋体"/>
          <w:b w:val="0"/>
          <w:bCs/>
          <w:i w:val="0"/>
          <w:iCs w:val="0"/>
          <w:caps w:val="0"/>
          <w:color w:val="000000"/>
          <w:spacing w:val="0"/>
          <w:sz w:val="32"/>
          <w:szCs w:val="32"/>
          <w:shd w:val="clear" w:color="auto" w:fill="FFFFFF"/>
          <w:lang w:val="en-US" w:eastAsia="zh-CN"/>
        </w:rPr>
        <w:t>组织青年在为民服务中争当先锋。组织开展“春运暖冬”行动，号召辖区20支青年志愿服务队参加为期40天的青年志愿者助力2024年“春运暖冬”行动。春运期间，青云谱区持续组织区直机关、企事业单位、学校及社会志愿组织等200余名青年志愿者，配合交警在井冈山大道的重要交通路口开展春运道路交通安全志愿服务活动。</w:t>
      </w:r>
    </w:p>
    <w:p w14:paraId="6B326E58">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宋体" w:hAnsi="宋体" w:eastAsia="宋体" w:cs="宋体"/>
          <w:b w:val="0"/>
          <w:bCs/>
          <w:color w:val="000000"/>
          <w:sz w:val="32"/>
          <w:szCs w:val="32"/>
          <w:lang w:val="en-US" w:eastAsia="zh-CN"/>
        </w:rPr>
      </w:pPr>
      <w:r>
        <w:rPr>
          <w:rFonts w:hint="eastAsia" w:ascii="宋体" w:hAnsi="宋体" w:eastAsia="宋体" w:cs="宋体"/>
          <w:b w:val="0"/>
          <w:bCs/>
          <w:color w:val="000000"/>
          <w:sz w:val="32"/>
          <w:szCs w:val="32"/>
          <w:lang w:val="en-US" w:eastAsia="zh-CN"/>
        </w:rPr>
        <w:t>（三)当年单位预算及执行情况。</w:t>
      </w:r>
    </w:p>
    <w:p w14:paraId="6BE7331D">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宋体" w:hAnsi="宋体" w:eastAsia="宋体" w:cs="宋体"/>
          <w:b w:val="0"/>
          <w:bCs/>
          <w:color w:val="000000"/>
          <w:sz w:val="32"/>
          <w:szCs w:val="32"/>
          <w:lang w:val="en-US" w:eastAsia="zh-CN"/>
        </w:rPr>
      </w:pPr>
      <w:r>
        <w:rPr>
          <w:rFonts w:hint="eastAsia" w:ascii="宋体" w:hAnsi="宋体" w:eastAsia="宋体" w:cs="宋体"/>
          <w:b w:val="0"/>
          <w:bCs/>
          <w:color w:val="000000"/>
          <w:sz w:val="32"/>
          <w:szCs w:val="32"/>
          <w:lang w:val="en-US" w:eastAsia="zh-CN"/>
        </w:rPr>
        <w:t>本单位严格按照财政要求，及时地完成单位会计核算并和财政对完账，认真地做好当年部门预算，严格按照资金性质、分功能科目类别、分经济科目、分项目填列，按实际工作开展需要，并经审核。通过对部门预算分析更可以清晰地看到单位资金使用情况，为单位作出决策提供更清晰的数据。</w:t>
      </w:r>
    </w:p>
    <w:p w14:paraId="3B83D00A">
      <w:pPr>
        <w:keepNext w:val="0"/>
        <w:keepLines w:val="0"/>
        <w:pageBreakBefore w:val="0"/>
        <w:widowControl w:val="0"/>
        <w:numPr>
          <w:ilvl w:val="0"/>
          <w:numId w:val="1"/>
        </w:numPr>
        <w:kinsoku/>
        <w:wordWrap/>
        <w:overflowPunct/>
        <w:topLinePunct w:val="0"/>
        <w:autoSpaceDE/>
        <w:autoSpaceDN/>
        <w:bidi w:val="0"/>
        <w:adjustRightInd/>
        <w:snapToGrid/>
        <w:spacing w:line="580" w:lineRule="exact"/>
        <w:ind w:left="0" w:leftChars="0" w:right="0" w:rightChars="0" w:firstLine="0" w:firstLineChars="0"/>
        <w:jc w:val="left"/>
        <w:textAlignment w:val="auto"/>
        <w:rPr>
          <w:rFonts w:hint="eastAsia" w:ascii="黑体" w:hAnsi="黑体" w:eastAsia="黑体" w:cs="黑体"/>
          <w:color w:val="000000"/>
          <w:sz w:val="32"/>
          <w:szCs w:val="32"/>
        </w:rPr>
      </w:pPr>
      <w:r>
        <w:rPr>
          <w:rFonts w:hint="eastAsia" w:ascii="黑体" w:hAnsi="黑体" w:eastAsia="黑体" w:cs="黑体"/>
          <w:color w:val="000000"/>
          <w:sz w:val="32"/>
          <w:szCs w:val="32"/>
        </w:rPr>
        <w:t>评价工作开展情况</w:t>
      </w:r>
    </w:p>
    <w:p w14:paraId="0F4AF2AB">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宋体" w:hAnsi="宋体" w:eastAsia="宋体" w:cs="宋体"/>
          <w:b w:val="0"/>
          <w:bCs/>
          <w:color w:val="000000"/>
          <w:sz w:val="32"/>
          <w:szCs w:val="32"/>
          <w:lang w:val="en-US" w:eastAsia="zh-CN"/>
        </w:rPr>
      </w:pPr>
      <w:r>
        <w:rPr>
          <w:rFonts w:hint="eastAsia" w:ascii="宋体" w:hAnsi="宋体" w:eastAsia="宋体" w:cs="宋体"/>
          <w:b w:val="0"/>
          <w:bCs/>
          <w:color w:val="000000"/>
          <w:sz w:val="32"/>
          <w:szCs w:val="32"/>
          <w:lang w:val="en-US" w:eastAsia="zh-CN"/>
        </w:rPr>
        <w:t>（一)评价目的和思路。</w:t>
      </w:r>
    </w:p>
    <w:p w14:paraId="62C9D06C">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宋体" w:hAnsi="宋体" w:eastAsia="宋体" w:cs="宋体"/>
          <w:b w:val="0"/>
          <w:bCs/>
          <w:color w:val="000000"/>
          <w:sz w:val="32"/>
          <w:szCs w:val="32"/>
          <w:lang w:val="en-US" w:eastAsia="zh-CN"/>
        </w:rPr>
      </w:pPr>
      <w:r>
        <w:rPr>
          <w:rFonts w:hint="eastAsia" w:ascii="宋体" w:hAnsi="宋体" w:eastAsia="宋体" w:cs="宋体"/>
          <w:b w:val="0"/>
          <w:bCs/>
          <w:color w:val="000000"/>
          <w:sz w:val="32"/>
          <w:szCs w:val="32"/>
          <w:lang w:val="en-US" w:eastAsia="zh-CN"/>
        </w:rPr>
        <w:t>本次绩效评价遵循相关文件精神，从财政支出资金的角度对单位绩效进行综合评价，分析绩效目标达成度及由此展开的社会效益和经济效益，在此基础上提出有针对性的建议，旨在增强我单位财政支出资金的有效利用度，加强财政支出绩效评价工作管理，通过绩效评价，发现该单位在资金使用及业务管理方面存在的问题，并提出相关改进意见及措施。</w:t>
      </w:r>
    </w:p>
    <w:p w14:paraId="7C484BBA">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宋体" w:hAnsi="宋体" w:eastAsia="宋体" w:cs="宋体"/>
          <w:b w:val="0"/>
          <w:bCs/>
          <w:color w:val="000000"/>
          <w:sz w:val="32"/>
          <w:szCs w:val="32"/>
          <w:lang w:val="en-US" w:eastAsia="zh-CN"/>
        </w:rPr>
      </w:pPr>
      <w:r>
        <w:rPr>
          <w:rFonts w:hint="eastAsia" w:ascii="宋体" w:hAnsi="宋体" w:eastAsia="宋体" w:cs="宋体"/>
          <w:b w:val="0"/>
          <w:bCs/>
          <w:color w:val="000000"/>
          <w:sz w:val="32"/>
          <w:szCs w:val="32"/>
          <w:lang w:val="en-US" w:eastAsia="zh-CN"/>
        </w:rPr>
        <w:t>(二）评价方法和指标体系。</w:t>
      </w:r>
    </w:p>
    <w:p w14:paraId="2A1638A2">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宋体" w:hAnsi="宋体" w:eastAsia="宋体" w:cs="宋体"/>
          <w:b w:val="0"/>
          <w:bCs/>
          <w:color w:val="000000"/>
          <w:sz w:val="32"/>
          <w:szCs w:val="32"/>
          <w:lang w:val="en-US" w:eastAsia="zh-CN"/>
        </w:rPr>
      </w:pPr>
      <w:r>
        <w:rPr>
          <w:rFonts w:hint="eastAsia" w:ascii="宋体" w:hAnsi="宋体" w:eastAsia="宋体" w:cs="宋体"/>
          <w:b w:val="0"/>
          <w:bCs/>
          <w:color w:val="000000"/>
          <w:sz w:val="32"/>
          <w:szCs w:val="32"/>
          <w:lang w:val="en-US" w:eastAsia="zh-CN"/>
        </w:rPr>
        <w:t>1.评价原则和方法</w:t>
      </w:r>
    </w:p>
    <w:p w14:paraId="072B95B8">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宋体" w:hAnsi="宋体" w:eastAsia="宋体" w:cs="宋体"/>
          <w:b w:val="0"/>
          <w:bCs/>
          <w:color w:val="000000"/>
          <w:sz w:val="32"/>
          <w:szCs w:val="32"/>
          <w:lang w:val="en-US" w:eastAsia="zh-CN"/>
        </w:rPr>
      </w:pPr>
      <w:r>
        <w:rPr>
          <w:rFonts w:hint="eastAsia" w:ascii="宋体" w:hAnsi="宋体" w:eastAsia="宋体" w:cs="宋体"/>
          <w:b w:val="0"/>
          <w:bCs/>
          <w:color w:val="000000"/>
          <w:sz w:val="32"/>
          <w:szCs w:val="32"/>
          <w:lang w:val="en-US" w:eastAsia="zh-CN"/>
        </w:rPr>
        <w:t>（1）科学公正。绩效评价应当运用科学合理的方法，按照规范的程序，对项目绩效进行客观、公正的反映。</w:t>
      </w:r>
    </w:p>
    <w:p w14:paraId="45F1A017">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宋体" w:hAnsi="宋体" w:eastAsia="宋体" w:cs="宋体"/>
          <w:b w:val="0"/>
          <w:bCs/>
          <w:color w:val="000000"/>
          <w:sz w:val="32"/>
          <w:szCs w:val="32"/>
          <w:lang w:val="en-US" w:eastAsia="zh-CN"/>
        </w:rPr>
      </w:pPr>
      <w:r>
        <w:rPr>
          <w:rFonts w:hint="eastAsia" w:ascii="宋体" w:hAnsi="宋体" w:eastAsia="宋体" w:cs="宋体"/>
          <w:b w:val="0"/>
          <w:bCs/>
          <w:color w:val="000000"/>
          <w:sz w:val="32"/>
          <w:szCs w:val="32"/>
          <w:lang w:val="en-US" w:eastAsia="zh-CN"/>
        </w:rPr>
        <w:t>（2）统筹兼顾。单位自评、部门评价和财政评价应职责明确，各有侧重，相互衔接。</w:t>
      </w:r>
    </w:p>
    <w:p w14:paraId="5A28E647">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宋体" w:hAnsi="宋体" w:eastAsia="宋体" w:cs="宋体"/>
          <w:b w:val="0"/>
          <w:bCs/>
          <w:color w:val="000000"/>
          <w:sz w:val="32"/>
          <w:szCs w:val="32"/>
          <w:lang w:val="en-US" w:eastAsia="zh-CN"/>
        </w:rPr>
      </w:pPr>
      <w:r>
        <w:rPr>
          <w:rFonts w:hint="eastAsia" w:ascii="宋体" w:hAnsi="宋体" w:eastAsia="宋体" w:cs="宋体"/>
          <w:b w:val="0"/>
          <w:bCs/>
          <w:color w:val="000000"/>
          <w:sz w:val="32"/>
          <w:szCs w:val="32"/>
          <w:lang w:val="en-US" w:eastAsia="zh-CN"/>
        </w:rPr>
        <w:t>（3）激励约束。绩效评价结果应与预算安排、政策调整、改进管理实质性挂钩，体现奖优罚劣和激励相容导向，有效要安排、低效要压减、无效要问责。</w:t>
      </w:r>
    </w:p>
    <w:p w14:paraId="7507EFA4">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宋体" w:hAnsi="宋体" w:eastAsia="宋体" w:cs="宋体"/>
          <w:b w:val="0"/>
          <w:bCs/>
          <w:color w:val="000000"/>
          <w:sz w:val="32"/>
          <w:szCs w:val="32"/>
          <w:lang w:val="en-US" w:eastAsia="zh-CN"/>
        </w:rPr>
      </w:pPr>
      <w:r>
        <w:rPr>
          <w:rFonts w:hint="eastAsia" w:ascii="宋体" w:hAnsi="宋体" w:eastAsia="宋体" w:cs="宋体"/>
          <w:b w:val="0"/>
          <w:bCs/>
          <w:color w:val="000000"/>
          <w:sz w:val="32"/>
          <w:szCs w:val="32"/>
          <w:lang w:val="en-US" w:eastAsia="zh-CN"/>
        </w:rPr>
        <w:t>（4）公开透明。绩效评价结果应依法依规公开，并自觉接受社会监督。</w:t>
      </w:r>
    </w:p>
    <w:p w14:paraId="14EC87F8">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宋体" w:hAnsi="宋体" w:eastAsia="宋体" w:cs="宋体"/>
          <w:b w:val="0"/>
          <w:bCs/>
          <w:color w:val="000000"/>
          <w:sz w:val="32"/>
          <w:szCs w:val="32"/>
          <w:lang w:val="en-US" w:eastAsia="zh-CN"/>
        </w:rPr>
      </w:pPr>
      <w:r>
        <w:rPr>
          <w:rFonts w:hint="eastAsia" w:ascii="宋体" w:hAnsi="宋体" w:eastAsia="宋体" w:cs="宋体"/>
          <w:b w:val="0"/>
          <w:bCs/>
          <w:color w:val="000000"/>
          <w:sz w:val="32"/>
          <w:szCs w:val="32"/>
          <w:lang w:val="en-US" w:eastAsia="zh-CN"/>
        </w:rPr>
        <w:t>（5）运用定量和定性分析相结合的方法，总结经验做法，反思项目实施和管理中的问题，以切实提升财政资金管理的科学化、规范化和精细化水平。</w:t>
      </w:r>
    </w:p>
    <w:p w14:paraId="1050E20A">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宋体" w:hAnsi="宋体" w:eastAsia="宋体" w:cs="宋体"/>
          <w:b w:val="0"/>
          <w:bCs/>
          <w:color w:val="000000"/>
          <w:sz w:val="32"/>
          <w:szCs w:val="32"/>
          <w:lang w:val="en-US" w:eastAsia="zh-CN"/>
        </w:rPr>
      </w:pPr>
      <w:r>
        <w:rPr>
          <w:rFonts w:hint="eastAsia" w:ascii="宋体" w:hAnsi="宋体" w:eastAsia="宋体" w:cs="宋体"/>
          <w:b w:val="0"/>
          <w:bCs/>
          <w:color w:val="000000"/>
          <w:sz w:val="32"/>
          <w:szCs w:val="32"/>
          <w:lang w:val="en-US" w:eastAsia="zh-CN"/>
        </w:rPr>
        <w:t>2.评价指标体系</w:t>
      </w:r>
    </w:p>
    <w:p w14:paraId="071E63C9">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color w:val="000000"/>
          <w:sz w:val="32"/>
          <w:szCs w:val="32"/>
          <w:shd w:val="clear" w:color="auto" w:fill="FFFFFF"/>
          <w:lang w:val="en-US" w:eastAsia="zh-CN"/>
        </w:rPr>
      </w:pPr>
      <w:r>
        <w:rPr>
          <w:rFonts w:hint="eastAsia" w:ascii="宋体" w:hAnsi="宋体" w:eastAsia="宋体" w:cs="宋体"/>
          <w:b w:val="0"/>
          <w:bCs/>
          <w:color w:val="000000"/>
          <w:sz w:val="32"/>
          <w:szCs w:val="32"/>
          <w:lang w:val="en-US" w:eastAsia="zh-CN"/>
        </w:rPr>
        <w:t>根据整体支出绩效评价共性指标体系框架以及该单位实际情况，确定本绩效评价指标的整体框架，包括整体支出规模、产出指标、效益指标、满意度指标等，具体如下：</w:t>
      </w:r>
    </w:p>
    <w:p w14:paraId="17821931">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宋体" w:hAnsi="宋体" w:eastAsia="宋体" w:cs="宋体"/>
          <w:b w:val="0"/>
          <w:bCs/>
          <w:color w:val="000000"/>
          <w:sz w:val="32"/>
          <w:szCs w:val="32"/>
          <w:lang w:val="en-US" w:eastAsia="zh-CN"/>
        </w:rPr>
      </w:pPr>
      <w:r>
        <w:rPr>
          <w:rFonts w:hint="eastAsia" w:ascii="宋体" w:hAnsi="宋体" w:eastAsia="宋体" w:cs="宋体"/>
          <w:b w:val="0"/>
          <w:bCs/>
          <w:color w:val="000000"/>
          <w:sz w:val="32"/>
          <w:szCs w:val="32"/>
          <w:lang w:val="en-US" w:eastAsia="zh-CN"/>
        </w:rPr>
        <w:t>（1）产出指标：占权重40%，分为数量指标、质量指标、时效指标、成本指标。</w:t>
      </w:r>
    </w:p>
    <w:p w14:paraId="78720509">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宋体" w:hAnsi="宋体" w:eastAsia="宋体" w:cs="宋体"/>
          <w:b w:val="0"/>
          <w:bCs/>
          <w:color w:val="000000"/>
          <w:sz w:val="32"/>
          <w:szCs w:val="32"/>
          <w:lang w:val="en-US" w:eastAsia="zh-CN"/>
        </w:rPr>
      </w:pPr>
      <w:r>
        <w:rPr>
          <w:rFonts w:hint="eastAsia" w:ascii="宋体" w:hAnsi="宋体" w:eastAsia="宋体" w:cs="宋体"/>
          <w:b w:val="0"/>
          <w:bCs/>
          <w:color w:val="000000"/>
          <w:sz w:val="32"/>
          <w:szCs w:val="32"/>
          <w:lang w:val="en-US" w:eastAsia="zh-CN"/>
        </w:rPr>
        <w:t>（2）效益指标：占权重40%，分为经济效益指标、社会效益指标、生态效益指标。</w:t>
      </w:r>
    </w:p>
    <w:p w14:paraId="6D7014E7">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宋体" w:hAnsi="宋体" w:eastAsia="宋体" w:cs="宋体"/>
          <w:b w:val="0"/>
          <w:bCs/>
          <w:color w:val="000000"/>
          <w:sz w:val="32"/>
          <w:szCs w:val="32"/>
          <w:lang w:val="en-US" w:eastAsia="zh-CN"/>
        </w:rPr>
      </w:pPr>
      <w:r>
        <w:rPr>
          <w:rFonts w:hint="eastAsia" w:ascii="宋体" w:hAnsi="宋体" w:eastAsia="宋体" w:cs="宋体"/>
          <w:b w:val="0"/>
          <w:bCs/>
          <w:color w:val="000000"/>
          <w:sz w:val="32"/>
          <w:szCs w:val="32"/>
          <w:lang w:val="en-US" w:eastAsia="zh-CN"/>
        </w:rPr>
        <w:t>（3）项目效益：占权重10%，分为服务对象满意度指标。</w:t>
      </w:r>
    </w:p>
    <w:p w14:paraId="7661CC71">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宋体" w:hAnsi="宋体" w:eastAsia="宋体" w:cs="宋体"/>
          <w:b w:val="0"/>
          <w:bCs/>
          <w:color w:val="000000"/>
          <w:sz w:val="32"/>
          <w:szCs w:val="32"/>
          <w:lang w:val="en-US" w:eastAsia="zh-CN"/>
        </w:rPr>
      </w:pPr>
      <w:r>
        <w:rPr>
          <w:rFonts w:hint="eastAsia" w:ascii="宋体" w:hAnsi="宋体" w:eastAsia="宋体" w:cs="宋体"/>
          <w:b w:val="0"/>
          <w:bCs/>
          <w:color w:val="000000"/>
          <w:sz w:val="32"/>
          <w:szCs w:val="32"/>
          <w:lang w:val="en-US" w:eastAsia="zh-CN"/>
        </w:rPr>
        <w:t>（三）评价实施过程。</w:t>
      </w:r>
    </w:p>
    <w:p w14:paraId="500D6954">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宋体" w:hAnsi="宋体" w:eastAsia="宋体" w:cs="宋体"/>
          <w:b w:val="0"/>
          <w:bCs/>
          <w:color w:val="000000"/>
          <w:sz w:val="32"/>
          <w:szCs w:val="32"/>
          <w:lang w:val="en-US" w:eastAsia="zh-CN"/>
        </w:rPr>
      </w:pPr>
      <w:r>
        <w:rPr>
          <w:rFonts w:hint="eastAsia" w:ascii="宋体" w:hAnsi="宋体" w:eastAsia="宋体" w:cs="宋体"/>
          <w:b w:val="0"/>
          <w:bCs/>
          <w:color w:val="000000"/>
          <w:sz w:val="32"/>
          <w:szCs w:val="32"/>
          <w:lang w:val="en-US" w:eastAsia="zh-CN"/>
        </w:rPr>
        <w:t>2024年单位的绩效评价工作是我单位推进预算绩效管理的重要组成部分，我单位对此高度重视，按照相关要求实事求是的开展各项评价工作，制定了单位经费绩效总体评价指标体系，完成数据填报、收集和汇总工作。根据前期开展的基础工作，我单位通过询问查证调查等方式，对绩效进行了评价。</w:t>
      </w:r>
    </w:p>
    <w:p w14:paraId="3DDFF2BD">
      <w:pPr>
        <w:keepNext w:val="0"/>
        <w:keepLines w:val="0"/>
        <w:pageBreakBefore w:val="0"/>
        <w:widowControl w:val="0"/>
        <w:numPr>
          <w:ilvl w:val="0"/>
          <w:numId w:val="1"/>
        </w:numPr>
        <w:kinsoku/>
        <w:wordWrap/>
        <w:overflowPunct/>
        <w:topLinePunct w:val="0"/>
        <w:autoSpaceDE/>
        <w:autoSpaceDN/>
        <w:bidi w:val="0"/>
        <w:adjustRightInd/>
        <w:snapToGrid/>
        <w:spacing w:line="580" w:lineRule="exact"/>
        <w:ind w:left="0" w:leftChars="0" w:right="0" w:rightChars="0" w:firstLine="0" w:firstLineChars="0"/>
        <w:jc w:val="left"/>
        <w:textAlignment w:val="auto"/>
        <w:rPr>
          <w:rFonts w:hint="eastAsia" w:ascii="黑体" w:hAnsi="黑体" w:eastAsia="黑体" w:cs="黑体"/>
          <w:color w:val="000000"/>
          <w:sz w:val="32"/>
          <w:szCs w:val="32"/>
        </w:rPr>
      </w:pPr>
      <w:r>
        <w:rPr>
          <w:rFonts w:hint="eastAsia" w:ascii="黑体" w:hAnsi="黑体" w:eastAsia="黑体" w:cs="黑体"/>
          <w:color w:val="000000"/>
          <w:sz w:val="32"/>
          <w:szCs w:val="32"/>
        </w:rPr>
        <w:t>评价总体结论</w:t>
      </w:r>
    </w:p>
    <w:p w14:paraId="377AF44C">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宋体" w:hAnsi="宋体" w:eastAsia="宋体" w:cs="宋体"/>
          <w:b w:val="0"/>
          <w:bCs/>
          <w:color w:val="000000"/>
          <w:sz w:val="32"/>
          <w:szCs w:val="32"/>
          <w:lang w:val="en-US" w:eastAsia="zh-CN"/>
        </w:rPr>
      </w:pPr>
      <w:r>
        <w:rPr>
          <w:rFonts w:hint="eastAsia" w:ascii="宋体" w:hAnsi="宋体" w:eastAsia="宋体" w:cs="宋体"/>
          <w:b w:val="0"/>
          <w:bCs/>
          <w:color w:val="000000"/>
          <w:sz w:val="32"/>
          <w:szCs w:val="32"/>
          <w:lang w:val="en-US" w:eastAsia="zh-CN"/>
        </w:rPr>
        <w:t>（一）评价得分情况</w:t>
      </w:r>
    </w:p>
    <w:p w14:paraId="5970B1A4">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宋体" w:hAnsi="宋体" w:eastAsia="宋体" w:cs="宋体"/>
          <w:b w:val="0"/>
          <w:bCs/>
          <w:color w:val="000000"/>
          <w:sz w:val="32"/>
          <w:szCs w:val="32"/>
          <w:lang w:val="en-US" w:eastAsia="zh-CN"/>
        </w:rPr>
      </w:pPr>
      <w:r>
        <w:rPr>
          <w:rFonts w:hint="eastAsia" w:ascii="宋体" w:hAnsi="宋体" w:eastAsia="宋体" w:cs="宋体"/>
          <w:b w:val="0"/>
          <w:bCs/>
          <w:color w:val="000000"/>
          <w:sz w:val="32"/>
          <w:szCs w:val="32"/>
          <w:lang w:val="en-US" w:eastAsia="zh-CN"/>
        </w:rPr>
        <w:t>经过评价，单位的评分为92.89分。绩效评级为“优”。</w:t>
      </w:r>
    </w:p>
    <w:p w14:paraId="7B35415E">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宋体" w:hAnsi="宋体" w:eastAsia="宋体" w:cs="宋体"/>
          <w:b w:val="0"/>
          <w:bCs/>
          <w:color w:val="000000"/>
          <w:sz w:val="32"/>
          <w:szCs w:val="32"/>
          <w:lang w:val="en-US" w:eastAsia="zh-CN"/>
        </w:rPr>
      </w:pPr>
      <w:r>
        <w:rPr>
          <w:rFonts w:hint="eastAsia" w:ascii="宋体" w:hAnsi="宋体" w:eastAsia="宋体" w:cs="宋体"/>
          <w:b w:val="0"/>
          <w:bCs/>
          <w:color w:val="000000"/>
          <w:sz w:val="32"/>
          <w:szCs w:val="32"/>
          <w:lang w:val="en-US" w:eastAsia="zh-CN"/>
        </w:rPr>
        <w:t>（二）评价总体结论</w:t>
      </w:r>
    </w:p>
    <w:p w14:paraId="69C1997B">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宋体" w:hAnsi="宋体" w:eastAsia="宋体" w:cs="宋体"/>
          <w:b w:val="0"/>
          <w:bCs/>
          <w:color w:val="000000"/>
          <w:sz w:val="32"/>
          <w:szCs w:val="32"/>
          <w:lang w:val="en-US" w:eastAsia="zh-CN"/>
        </w:rPr>
        <w:t>中国共产主义青年团南昌市青云谱区委员会加强了领导、精心安排、精心组织实施，圆满完成了设定的年度目标任务。通过本次绩效评价工作，补充和完善本单位绩效评价机制，做好评价结果公开工作，进一步规范管理和监督、资金的分配和使用，以便对今后其他以绩效评价的方式衡量的产出结果和效益目标更加完善，促进管理科学化。</w:t>
      </w:r>
    </w:p>
    <w:p w14:paraId="0D218136">
      <w:pPr>
        <w:keepNext w:val="0"/>
        <w:keepLines w:val="0"/>
        <w:pageBreakBefore w:val="0"/>
        <w:widowControl w:val="0"/>
        <w:numPr>
          <w:ilvl w:val="0"/>
          <w:numId w:val="1"/>
        </w:numPr>
        <w:kinsoku/>
        <w:wordWrap/>
        <w:overflowPunct/>
        <w:topLinePunct w:val="0"/>
        <w:autoSpaceDE/>
        <w:autoSpaceDN/>
        <w:bidi w:val="0"/>
        <w:adjustRightInd/>
        <w:snapToGrid/>
        <w:spacing w:line="580" w:lineRule="exact"/>
        <w:ind w:left="0" w:leftChars="0" w:right="0" w:rightChars="0" w:firstLine="0" w:firstLineChars="0"/>
        <w:jc w:val="left"/>
        <w:textAlignment w:val="auto"/>
        <w:rPr>
          <w:rFonts w:hint="eastAsia" w:ascii="黑体" w:hAnsi="黑体" w:eastAsia="黑体" w:cs="黑体"/>
          <w:color w:val="000000"/>
          <w:sz w:val="32"/>
          <w:szCs w:val="32"/>
        </w:rPr>
      </w:pPr>
      <w:r>
        <w:rPr>
          <w:rFonts w:hint="eastAsia" w:ascii="黑体" w:hAnsi="黑体" w:eastAsia="黑体" w:cs="黑体"/>
          <w:color w:val="000000"/>
          <w:sz w:val="32"/>
          <w:szCs w:val="32"/>
        </w:rPr>
        <w:t>单位整体支出绩效实现情况</w:t>
      </w:r>
    </w:p>
    <w:p w14:paraId="6AF4C7DE">
      <w:pPr>
        <w:keepNext w:val="0"/>
        <w:keepLines w:val="0"/>
        <w:pageBreakBefore w:val="0"/>
        <w:widowControl w:val="0"/>
        <w:numPr>
          <w:ilvl w:val="0"/>
          <w:numId w:val="3"/>
        </w:numPr>
        <w:kinsoku/>
        <w:wordWrap/>
        <w:overflowPunct/>
        <w:topLinePunct w:val="0"/>
        <w:autoSpaceDE/>
        <w:autoSpaceDN/>
        <w:bidi w:val="0"/>
        <w:adjustRightInd/>
        <w:snapToGrid/>
        <w:spacing w:line="580" w:lineRule="exact"/>
        <w:ind w:right="0" w:rightChars="0"/>
        <w:jc w:val="left"/>
        <w:textAlignment w:val="auto"/>
        <w:rPr>
          <w:rFonts w:hint="eastAsia" w:ascii="仿宋" w:hAnsi="仿宋" w:eastAsia="仿宋" w:cs="仿宋"/>
          <w:color w:val="000000"/>
          <w:sz w:val="32"/>
          <w:szCs w:val="32"/>
        </w:rPr>
      </w:pPr>
      <w:r>
        <w:rPr>
          <w:rFonts w:hint="eastAsia" w:ascii="宋体" w:hAnsi="宋体" w:eastAsia="宋体" w:cs="宋体"/>
          <w:b w:val="0"/>
          <w:bCs/>
          <w:color w:val="000000"/>
          <w:sz w:val="32"/>
          <w:szCs w:val="32"/>
          <w:lang w:val="en-US" w:eastAsia="zh-CN"/>
        </w:rPr>
        <w:t>单位决策完成情况。</w:t>
      </w:r>
    </w:p>
    <w:p w14:paraId="15B59CC2">
      <w:pPr>
        <w:pStyle w:val="5"/>
        <w:keepNext w:val="0"/>
        <w:keepLines w:val="0"/>
        <w:pageBreakBefore w:val="0"/>
        <w:widowControl w:val="0"/>
        <w:kinsoku/>
        <w:wordWrap/>
        <w:overflowPunct/>
        <w:topLinePunct w:val="0"/>
        <w:autoSpaceDE/>
        <w:autoSpaceDN/>
        <w:bidi w:val="0"/>
        <w:adjustRightInd/>
        <w:snapToGrid/>
        <w:spacing w:after="0" w:line="580" w:lineRule="exact"/>
        <w:ind w:right="0" w:rightChars="0"/>
        <w:textAlignment w:val="auto"/>
        <w:rPr>
          <w:rFonts w:hint="eastAsia" w:ascii="仿宋" w:hAnsi="仿宋" w:eastAsia="仿宋" w:cs="仿宋"/>
          <w:color w:val="auto"/>
          <w:sz w:val="32"/>
          <w:szCs w:val="32"/>
        </w:rPr>
      </w:pPr>
      <w:r>
        <w:rPr>
          <w:rFonts w:hint="eastAsia" w:ascii="宋体" w:hAnsi="宋体" w:eastAsia="宋体" w:cs="宋体"/>
          <w:b w:val="0"/>
          <w:bCs/>
          <w:color w:val="000000"/>
          <w:kern w:val="2"/>
          <w:sz w:val="32"/>
          <w:szCs w:val="32"/>
          <w:lang w:val="en-US" w:eastAsia="zh-CN" w:bidi="ar-SA"/>
        </w:rPr>
        <w:t>紧紧围绕区委、区政府中心工作，认真履行工作职能，始终把握统战性、强化经济性、体现民间性，充分发挥桥梁纽带和助手作用，扎实推进了各项工作的开展。</w:t>
      </w:r>
    </w:p>
    <w:p w14:paraId="1B6D690A">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宋体" w:hAnsi="宋体" w:eastAsia="宋体" w:cs="宋体"/>
          <w:b w:val="0"/>
          <w:bCs/>
          <w:color w:val="000000"/>
          <w:sz w:val="32"/>
          <w:szCs w:val="32"/>
          <w:lang w:val="en-US" w:eastAsia="zh-CN"/>
        </w:rPr>
      </w:pPr>
      <w:r>
        <w:rPr>
          <w:rFonts w:hint="eastAsia" w:ascii="宋体" w:hAnsi="宋体" w:eastAsia="宋体" w:cs="宋体"/>
          <w:b w:val="0"/>
          <w:bCs/>
          <w:color w:val="000000"/>
          <w:sz w:val="32"/>
          <w:szCs w:val="32"/>
          <w:lang w:val="en-US" w:eastAsia="zh-CN"/>
        </w:rPr>
        <w:t>（二)单位管理完成情况。</w:t>
      </w:r>
    </w:p>
    <w:p w14:paraId="325A037D">
      <w:pPr>
        <w:pStyle w:val="5"/>
        <w:keepNext w:val="0"/>
        <w:keepLines w:val="0"/>
        <w:pageBreakBefore w:val="0"/>
        <w:widowControl w:val="0"/>
        <w:kinsoku/>
        <w:wordWrap/>
        <w:overflowPunct/>
        <w:topLinePunct w:val="0"/>
        <w:autoSpaceDE/>
        <w:autoSpaceDN/>
        <w:bidi w:val="0"/>
        <w:adjustRightInd/>
        <w:snapToGrid/>
        <w:spacing w:after="0" w:line="580" w:lineRule="exact"/>
        <w:ind w:right="0" w:rightChars="0"/>
        <w:textAlignment w:val="auto"/>
        <w:rPr>
          <w:rFonts w:hint="eastAsia" w:ascii="宋体" w:hAnsi="宋体" w:eastAsia="宋体" w:cs="宋体"/>
          <w:b w:val="0"/>
          <w:bCs/>
          <w:color w:val="000000"/>
          <w:kern w:val="2"/>
          <w:sz w:val="32"/>
          <w:szCs w:val="32"/>
          <w:lang w:val="en-US" w:eastAsia="zh-CN" w:bidi="ar-SA"/>
        </w:rPr>
      </w:pPr>
      <w:r>
        <w:rPr>
          <w:rFonts w:hint="eastAsia" w:ascii="宋体" w:hAnsi="宋体" w:eastAsia="宋体" w:cs="宋体"/>
          <w:b w:val="0"/>
          <w:bCs/>
          <w:color w:val="000000"/>
          <w:kern w:val="2"/>
          <w:sz w:val="32"/>
          <w:szCs w:val="32"/>
          <w:lang w:val="en-US" w:eastAsia="zh-CN" w:bidi="ar-SA"/>
        </w:rPr>
        <w:t>通过微信群日常学、小组活动集中学等方式，组织学习宣传中央经济工作会议精神和省、市、区相关工作会议精神和决策部署，组织集中开展专题学习，引导把握大局关心大势。组织开展理想信念教育实践活动；召开集中学习研讨会等；举办教育培训班。</w:t>
      </w:r>
    </w:p>
    <w:p w14:paraId="660CE142">
      <w:pPr>
        <w:keepNext w:val="0"/>
        <w:keepLines w:val="0"/>
        <w:pageBreakBefore w:val="0"/>
        <w:widowControl w:val="0"/>
        <w:numPr>
          <w:ilvl w:val="0"/>
          <w:numId w:val="3"/>
        </w:numPr>
        <w:kinsoku/>
        <w:wordWrap/>
        <w:overflowPunct/>
        <w:topLinePunct w:val="0"/>
        <w:autoSpaceDE/>
        <w:autoSpaceDN/>
        <w:bidi w:val="0"/>
        <w:adjustRightInd/>
        <w:snapToGrid/>
        <w:spacing w:line="580" w:lineRule="exact"/>
        <w:ind w:right="0" w:rightChars="0"/>
        <w:jc w:val="left"/>
        <w:textAlignment w:val="auto"/>
        <w:rPr>
          <w:rFonts w:hint="eastAsia" w:ascii="仿宋" w:hAnsi="仿宋" w:eastAsia="仿宋" w:cs="仿宋"/>
          <w:color w:val="000000"/>
          <w:sz w:val="32"/>
          <w:szCs w:val="32"/>
        </w:rPr>
      </w:pPr>
      <w:r>
        <w:rPr>
          <w:rFonts w:hint="eastAsia" w:ascii="宋体" w:hAnsi="宋体" w:eastAsia="宋体" w:cs="宋体"/>
          <w:b w:val="0"/>
          <w:bCs/>
          <w:color w:val="000000"/>
          <w:kern w:val="2"/>
          <w:sz w:val="32"/>
          <w:szCs w:val="32"/>
          <w:lang w:val="en-US" w:eastAsia="zh-CN" w:bidi="ar-SA"/>
        </w:rPr>
        <w:t>单位产出完成情况。</w:t>
      </w:r>
    </w:p>
    <w:p w14:paraId="5CFD3349">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640" w:firstLineChars="200"/>
        <w:jc w:val="both"/>
        <w:textAlignment w:val="auto"/>
        <w:outlineLvl w:val="9"/>
        <w:rPr>
          <w:rFonts w:hint="eastAsia" w:ascii="宋体" w:hAnsi="宋体" w:eastAsia="宋体" w:cs="宋体"/>
          <w:b w:val="0"/>
          <w:bCs/>
          <w:color w:val="000000"/>
          <w:kern w:val="2"/>
          <w:sz w:val="32"/>
          <w:szCs w:val="32"/>
          <w:lang w:val="en-US" w:eastAsia="zh-CN" w:bidi="ar-SA"/>
        </w:rPr>
      </w:pPr>
      <w:r>
        <w:rPr>
          <w:rFonts w:hint="eastAsia" w:ascii="宋体" w:hAnsi="宋体" w:eastAsia="宋体" w:cs="宋体"/>
          <w:b w:val="0"/>
          <w:bCs/>
          <w:color w:val="000000"/>
          <w:kern w:val="2"/>
          <w:sz w:val="32"/>
          <w:szCs w:val="32"/>
          <w:lang w:val="en-US" w:eastAsia="zh-CN" w:bidi="ar-SA"/>
        </w:rPr>
        <w:t>充分发挥桥梁纽带作用，利用各信息渠道积极开展宣传。切实加快各工作项目的实施速度。通过系列举措，为各项工作的保质保量完成，提供了有力组织保障。</w:t>
      </w:r>
    </w:p>
    <w:p w14:paraId="5C080139">
      <w:pPr>
        <w:keepNext w:val="0"/>
        <w:keepLines w:val="0"/>
        <w:pageBreakBefore w:val="0"/>
        <w:widowControl w:val="0"/>
        <w:numPr>
          <w:ilvl w:val="0"/>
          <w:numId w:val="3"/>
        </w:numPr>
        <w:kinsoku/>
        <w:wordWrap/>
        <w:overflowPunct/>
        <w:topLinePunct w:val="0"/>
        <w:autoSpaceDE/>
        <w:autoSpaceDN/>
        <w:bidi w:val="0"/>
        <w:adjustRightInd/>
        <w:snapToGrid/>
        <w:spacing w:line="580" w:lineRule="exact"/>
        <w:ind w:right="0" w:rightChars="0"/>
        <w:jc w:val="left"/>
        <w:textAlignment w:val="auto"/>
        <w:rPr>
          <w:rFonts w:hint="eastAsia" w:ascii="仿宋" w:hAnsi="仿宋" w:eastAsia="仿宋" w:cs="仿宋"/>
          <w:color w:val="000000"/>
          <w:sz w:val="32"/>
          <w:szCs w:val="32"/>
        </w:rPr>
      </w:pPr>
      <w:r>
        <w:rPr>
          <w:rFonts w:hint="eastAsia" w:ascii="宋体" w:hAnsi="宋体" w:eastAsia="宋体" w:cs="宋体"/>
          <w:b w:val="0"/>
          <w:bCs/>
          <w:color w:val="000000"/>
          <w:kern w:val="2"/>
          <w:sz w:val="32"/>
          <w:szCs w:val="32"/>
          <w:lang w:val="en-US" w:eastAsia="zh-CN" w:bidi="ar-SA"/>
        </w:rPr>
        <w:t>单位效果完成情况。</w:t>
      </w:r>
    </w:p>
    <w:p w14:paraId="3EF173BA">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640" w:firstLineChars="200"/>
        <w:jc w:val="both"/>
        <w:textAlignment w:val="auto"/>
        <w:outlineLvl w:val="9"/>
        <w:rPr>
          <w:rFonts w:hint="eastAsia" w:ascii="仿宋" w:hAnsi="仿宋" w:eastAsia="仿宋" w:cs="仿宋"/>
          <w:sz w:val="32"/>
          <w:szCs w:val="32"/>
        </w:rPr>
      </w:pPr>
      <w:r>
        <w:rPr>
          <w:rFonts w:hint="eastAsia" w:ascii="宋体" w:hAnsi="宋体" w:eastAsia="宋体" w:cs="宋体"/>
          <w:b w:val="0"/>
          <w:bCs/>
          <w:color w:val="000000"/>
          <w:kern w:val="2"/>
          <w:sz w:val="32"/>
          <w:szCs w:val="32"/>
          <w:lang w:val="en-US" w:eastAsia="zh-CN" w:bidi="ar-SA"/>
        </w:rPr>
        <w:t>彰显省会担当，努力工作，服务对象的满意度高。充分发挥了优势作用，给青云谱区的经济发展、社会稳定带来可持续性。</w:t>
      </w:r>
    </w:p>
    <w:p w14:paraId="5D96E5AC">
      <w:pPr>
        <w:keepNext w:val="0"/>
        <w:keepLines w:val="0"/>
        <w:pageBreakBefore w:val="0"/>
        <w:widowControl w:val="0"/>
        <w:numPr>
          <w:ilvl w:val="0"/>
          <w:numId w:val="1"/>
        </w:numPr>
        <w:kinsoku/>
        <w:wordWrap/>
        <w:overflowPunct/>
        <w:topLinePunct w:val="0"/>
        <w:autoSpaceDE/>
        <w:autoSpaceDN/>
        <w:bidi w:val="0"/>
        <w:adjustRightInd/>
        <w:snapToGrid/>
        <w:spacing w:line="580" w:lineRule="exact"/>
        <w:ind w:left="0" w:leftChars="0" w:right="0" w:rightChars="0" w:firstLine="0" w:firstLineChars="0"/>
        <w:jc w:val="both"/>
        <w:textAlignment w:val="auto"/>
        <w:outlineLvl w:val="9"/>
        <w:rPr>
          <w:rFonts w:hint="eastAsia" w:ascii="黑体" w:hAnsi="黑体" w:eastAsia="黑体" w:cs="黑体"/>
          <w:b w:val="0"/>
          <w:bCs w:val="0"/>
          <w:color w:val="000000"/>
          <w:sz w:val="32"/>
          <w:szCs w:val="32"/>
        </w:rPr>
      </w:pPr>
      <w:r>
        <w:rPr>
          <w:rFonts w:hint="eastAsia" w:ascii="黑体" w:hAnsi="黑体" w:eastAsia="黑体" w:cs="黑体"/>
          <w:b w:val="0"/>
          <w:bCs w:val="0"/>
          <w:color w:val="000000"/>
          <w:sz w:val="32"/>
          <w:szCs w:val="32"/>
        </w:rPr>
        <w:t>单位整体支出绩效中存在问题及改进措施</w:t>
      </w:r>
    </w:p>
    <w:p w14:paraId="672E260E">
      <w:pPr>
        <w:keepNext w:val="0"/>
        <w:keepLines w:val="0"/>
        <w:pageBreakBefore w:val="0"/>
        <w:widowControl w:val="0"/>
        <w:numPr>
          <w:ilvl w:val="0"/>
          <w:numId w:val="4"/>
        </w:numPr>
        <w:kinsoku/>
        <w:wordWrap/>
        <w:overflowPunct/>
        <w:topLinePunct w:val="0"/>
        <w:autoSpaceDE/>
        <w:autoSpaceDN/>
        <w:bidi w:val="0"/>
        <w:adjustRightInd/>
        <w:snapToGrid/>
        <w:spacing w:line="580" w:lineRule="exact"/>
        <w:ind w:left="420" w:leftChars="200" w:right="0" w:rightChars="0" w:firstLine="160" w:firstLineChars="50"/>
        <w:jc w:val="left"/>
        <w:textAlignment w:val="auto"/>
        <w:rPr>
          <w:rFonts w:hint="eastAsia" w:ascii="宋体" w:hAnsi="宋体" w:eastAsia="宋体" w:cs="宋体"/>
          <w:b w:val="0"/>
          <w:bCs/>
          <w:color w:val="000000"/>
          <w:kern w:val="2"/>
          <w:sz w:val="32"/>
          <w:szCs w:val="32"/>
          <w:lang w:val="en-US" w:eastAsia="zh-CN" w:bidi="ar-SA"/>
        </w:rPr>
      </w:pPr>
      <w:r>
        <w:rPr>
          <w:rFonts w:hint="eastAsia" w:ascii="宋体" w:hAnsi="宋体" w:eastAsia="宋体" w:cs="宋体"/>
          <w:b w:val="0"/>
          <w:bCs/>
          <w:color w:val="000000"/>
          <w:kern w:val="2"/>
          <w:sz w:val="32"/>
          <w:szCs w:val="32"/>
          <w:lang w:val="en-US" w:eastAsia="zh-CN" w:bidi="ar-SA"/>
        </w:rPr>
        <w:t>主要问题及原因分析</w:t>
      </w:r>
    </w:p>
    <w:p w14:paraId="417E7032">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left="5" w:leftChars="0" w:right="0" w:rightChars="0" w:hanging="5" w:firstLineChars="0"/>
        <w:jc w:val="left"/>
        <w:textAlignment w:val="auto"/>
        <w:rPr>
          <w:rFonts w:hint="eastAsia" w:ascii="仿宋" w:hAnsi="仿宋" w:eastAsia="仿宋" w:cs="仿宋"/>
          <w:color w:val="000000"/>
          <w:sz w:val="32"/>
          <w:szCs w:val="32"/>
          <w:lang w:val="en-US" w:eastAsia="zh-CN"/>
        </w:rPr>
      </w:pPr>
      <w:r>
        <w:rPr>
          <w:rFonts w:hint="eastAsia" w:ascii="仿宋" w:hAnsi="仿宋" w:eastAsia="仿宋" w:cs="仿宋"/>
          <w:color w:val="000000"/>
          <w:sz w:val="32"/>
          <w:szCs w:val="32"/>
          <w:lang w:val="en-US" w:eastAsia="zh-CN"/>
        </w:rPr>
        <w:t xml:space="preserve">    </w:t>
      </w:r>
      <w:r>
        <w:rPr>
          <w:rFonts w:hint="eastAsia" w:ascii="宋体" w:hAnsi="宋体" w:eastAsia="宋体" w:cs="宋体"/>
          <w:b w:val="0"/>
          <w:bCs/>
          <w:color w:val="000000"/>
          <w:kern w:val="2"/>
          <w:sz w:val="32"/>
          <w:szCs w:val="32"/>
          <w:lang w:val="en-US" w:eastAsia="zh-CN" w:bidi="ar-SA"/>
        </w:rPr>
        <w:t>预算编制有待完善，对预算绩效管理工作重视程度有待加强，相关管理制度有待进一步完善，财务监督管理机制还有待加强。</w:t>
      </w:r>
    </w:p>
    <w:p w14:paraId="7CBDD320">
      <w:pPr>
        <w:keepNext w:val="0"/>
        <w:keepLines w:val="0"/>
        <w:pageBreakBefore w:val="0"/>
        <w:widowControl w:val="0"/>
        <w:numPr>
          <w:ilvl w:val="0"/>
          <w:numId w:val="4"/>
        </w:numPr>
        <w:kinsoku/>
        <w:wordWrap/>
        <w:overflowPunct/>
        <w:topLinePunct w:val="0"/>
        <w:autoSpaceDE/>
        <w:autoSpaceDN/>
        <w:bidi w:val="0"/>
        <w:adjustRightInd/>
        <w:snapToGrid/>
        <w:spacing w:line="580" w:lineRule="exact"/>
        <w:ind w:left="420" w:leftChars="200" w:right="0" w:rightChars="0" w:firstLine="160" w:firstLineChars="50"/>
        <w:jc w:val="left"/>
        <w:textAlignment w:val="auto"/>
        <w:rPr>
          <w:rFonts w:hint="eastAsia" w:ascii="宋体" w:hAnsi="宋体" w:eastAsia="宋体" w:cs="宋体"/>
          <w:b w:val="0"/>
          <w:bCs/>
          <w:color w:val="000000"/>
          <w:kern w:val="2"/>
          <w:sz w:val="32"/>
          <w:szCs w:val="32"/>
          <w:lang w:val="en-US" w:eastAsia="zh-CN" w:bidi="ar-SA"/>
        </w:rPr>
      </w:pPr>
      <w:r>
        <w:rPr>
          <w:rFonts w:hint="eastAsia" w:ascii="宋体" w:hAnsi="宋体" w:eastAsia="宋体" w:cs="宋体"/>
          <w:b w:val="0"/>
          <w:bCs/>
          <w:color w:val="000000"/>
          <w:kern w:val="2"/>
          <w:sz w:val="32"/>
          <w:szCs w:val="32"/>
          <w:lang w:val="en-US" w:eastAsia="zh-CN" w:bidi="ar-SA"/>
        </w:rPr>
        <w:t>改进的方向和具体措施</w:t>
      </w:r>
    </w:p>
    <w:p w14:paraId="1C121B75">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640" w:firstLineChars="200"/>
        <w:jc w:val="both"/>
        <w:textAlignment w:val="auto"/>
        <w:outlineLvl w:val="9"/>
        <w:rPr>
          <w:rFonts w:hint="eastAsia" w:ascii="宋体" w:hAnsi="宋体" w:eastAsia="宋体" w:cs="宋体"/>
          <w:b w:val="0"/>
          <w:bCs/>
          <w:color w:val="000000"/>
          <w:kern w:val="2"/>
          <w:sz w:val="32"/>
          <w:szCs w:val="32"/>
          <w:lang w:val="en-US" w:eastAsia="zh-CN" w:bidi="ar-SA"/>
        </w:rPr>
      </w:pPr>
      <w:r>
        <w:rPr>
          <w:rFonts w:hint="eastAsia" w:ascii="宋体" w:hAnsi="宋体" w:eastAsia="宋体" w:cs="宋体"/>
          <w:b w:val="0"/>
          <w:bCs/>
          <w:color w:val="000000"/>
          <w:kern w:val="2"/>
          <w:sz w:val="32"/>
          <w:szCs w:val="32"/>
          <w:lang w:val="en-US" w:eastAsia="zh-CN" w:bidi="ar-SA"/>
        </w:rPr>
        <w:t>细化预算编制工作，认真做好预算的编制，进一步加强内部预算管理意识，加强监管，做到监管机制环环相扣，不出现断层、漏洞，严格按照预算编制的相关制度和要求进行预算编制；全面编制预算项目，进一步提高预算编制的科学性、严谨性和可控性；以各项活动实施效果为基础，从实际需求出发，梳理每一个工作目标及量化要求，科学编制和细化预算，做到预算有目标，执行有细则，控制专项支出，提高资金的使用效益。</w:t>
      </w:r>
    </w:p>
    <w:p w14:paraId="48E006DC">
      <w:pPr>
        <w:pStyle w:val="2"/>
        <w:numPr>
          <w:ilvl w:val="0"/>
          <w:numId w:val="0"/>
        </w:numPr>
        <w:ind w:leftChars="0"/>
        <w:rPr>
          <w:rFonts w:hint="eastAsia" w:ascii="黑体" w:hAnsi="宋体" w:eastAsia="黑体" w:cs="仿宋_GB2312"/>
          <w:kern w:val="0"/>
          <w:sz w:val="32"/>
          <w:szCs w:val="32"/>
        </w:rPr>
      </w:pPr>
    </w:p>
    <w:p w14:paraId="647FC706">
      <w:pPr>
        <w:pStyle w:val="2"/>
        <w:numPr>
          <w:ilvl w:val="0"/>
          <w:numId w:val="0"/>
        </w:numPr>
        <w:ind w:leftChars="0"/>
        <w:rPr>
          <w:rFonts w:hint="eastAsia" w:ascii="黑体" w:hAnsi="宋体" w:eastAsia="黑体" w:cs="仿宋_GB2312"/>
          <w:kern w:val="0"/>
          <w:sz w:val="32"/>
          <w:szCs w:val="32"/>
        </w:rPr>
      </w:pPr>
    </w:p>
    <w:p w14:paraId="36E4908A">
      <w:pPr>
        <w:pStyle w:val="2"/>
        <w:numPr>
          <w:ilvl w:val="0"/>
          <w:numId w:val="0"/>
        </w:numPr>
        <w:ind w:leftChars="0"/>
        <w:rPr>
          <w:rFonts w:hint="eastAsia" w:ascii="黑体" w:hAnsi="宋体" w:eastAsia="黑体" w:cs="仿宋_GB2312"/>
          <w:kern w:val="0"/>
          <w:sz w:val="32"/>
          <w:szCs w:val="32"/>
        </w:rPr>
      </w:pPr>
    </w:p>
    <w:p w14:paraId="0501AAA0">
      <w:pPr>
        <w:pStyle w:val="2"/>
        <w:numPr>
          <w:ilvl w:val="0"/>
          <w:numId w:val="0"/>
        </w:numPr>
        <w:ind w:leftChars="0"/>
        <w:rPr>
          <w:rFonts w:hint="eastAsia" w:ascii="黑体" w:hAnsi="宋体" w:eastAsia="黑体" w:cs="仿宋_GB2312"/>
          <w:kern w:val="0"/>
          <w:sz w:val="32"/>
          <w:szCs w:val="32"/>
        </w:rPr>
      </w:pPr>
    </w:p>
    <w:p w14:paraId="2BE85136">
      <w:pPr>
        <w:pStyle w:val="2"/>
        <w:numPr>
          <w:ilvl w:val="0"/>
          <w:numId w:val="0"/>
        </w:numPr>
        <w:ind w:leftChars="0"/>
        <w:rPr>
          <w:rFonts w:hint="eastAsia" w:ascii="黑体" w:hAnsi="宋体" w:eastAsia="黑体" w:cs="仿宋_GB2312"/>
          <w:kern w:val="0"/>
          <w:sz w:val="32"/>
          <w:szCs w:val="32"/>
        </w:rPr>
      </w:pPr>
      <w:r>
        <w:rPr>
          <w:rFonts w:hint="eastAsia" w:ascii="黑体" w:hAnsi="宋体" w:eastAsia="黑体" w:cs="仿宋_GB2312"/>
          <w:kern w:val="0"/>
          <w:sz w:val="32"/>
          <w:szCs w:val="32"/>
          <w:lang w:val="en-US" w:eastAsia="zh-CN"/>
        </w:rPr>
        <w:t>六、</w:t>
      </w:r>
      <w:r>
        <w:rPr>
          <w:rFonts w:hint="eastAsia" w:ascii="黑体" w:hAnsi="宋体" w:eastAsia="黑体" w:cs="仿宋_GB2312"/>
          <w:kern w:val="0"/>
          <w:sz w:val="32"/>
          <w:szCs w:val="32"/>
        </w:rPr>
        <w:t>单位整体支出绩效评价指标评分表</w:t>
      </w:r>
    </w:p>
    <w:tbl>
      <w:tblPr>
        <w:tblStyle w:val="6"/>
        <w:tblpPr w:leftFromText="180" w:rightFromText="180" w:vertAnchor="text" w:horzAnchor="page" w:tblpX="842" w:tblpY="907"/>
        <w:tblOverlap w:val="never"/>
        <w:tblW w:w="5187"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16"/>
        <w:gridCol w:w="349"/>
        <w:gridCol w:w="546"/>
        <w:gridCol w:w="763"/>
        <w:gridCol w:w="819"/>
        <w:gridCol w:w="1080"/>
        <w:gridCol w:w="3141"/>
        <w:gridCol w:w="999"/>
        <w:gridCol w:w="1454"/>
        <w:gridCol w:w="705"/>
        <w:gridCol w:w="405"/>
      </w:tblGrid>
      <w:tr w14:paraId="142355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91" w:type="pct"/>
          <w:trHeight w:val="444" w:hRule="atLeast"/>
        </w:trPr>
        <w:tc>
          <w:tcPr>
            <w:tcW w:w="4808" w:type="pct"/>
            <w:gridSpan w:val="10"/>
            <w:tcBorders>
              <w:top w:val="nil"/>
              <w:left w:val="nil"/>
              <w:bottom w:val="nil"/>
              <w:right w:val="nil"/>
            </w:tcBorders>
            <w:noWrap/>
            <w:vAlign w:val="center"/>
          </w:tcPr>
          <w:p w14:paraId="44770970">
            <w:pPr>
              <w:keepNext w:val="0"/>
              <w:keepLines w:val="0"/>
              <w:widowControl/>
              <w:suppressLineNumbers w:val="0"/>
              <w:jc w:val="center"/>
              <w:textAlignment w:val="center"/>
              <w:rPr>
                <w:rFonts w:hint="eastAsia" w:ascii="宋体" w:hAnsi="宋体" w:eastAsia="宋体" w:cs="宋体"/>
                <w:b/>
                <w:bCs/>
                <w:i w:val="0"/>
                <w:iCs w:val="0"/>
                <w:color w:val="000000"/>
                <w:sz w:val="36"/>
                <w:szCs w:val="36"/>
                <w:u w:val="none"/>
              </w:rPr>
            </w:pPr>
            <w:r>
              <w:rPr>
                <w:rFonts w:hint="eastAsia" w:ascii="宋体" w:hAnsi="宋体" w:eastAsia="宋体" w:cs="宋体"/>
                <w:b/>
                <w:bCs/>
                <w:i w:val="0"/>
                <w:iCs w:val="0"/>
                <w:color w:val="000000"/>
                <w:kern w:val="0"/>
                <w:sz w:val="36"/>
                <w:szCs w:val="36"/>
                <w:u w:val="none"/>
                <w:lang w:val="en-US" w:eastAsia="zh-CN" w:bidi="ar"/>
              </w:rPr>
              <w:t>单位整体支出部门评价结果复核表</w:t>
            </w:r>
          </w:p>
        </w:tc>
      </w:tr>
      <w:tr w14:paraId="2B392F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5" w:hRule="atLeast"/>
        </w:trPr>
        <w:tc>
          <w:tcPr>
            <w:tcW w:w="314" w:type="pct"/>
            <w:gridSpan w:val="2"/>
            <w:tcBorders>
              <w:top w:val="single" w:color="000000" w:sz="4" w:space="0"/>
              <w:left w:val="single" w:color="000000" w:sz="4" w:space="0"/>
              <w:bottom w:val="single" w:color="000000" w:sz="4" w:space="0"/>
              <w:right w:val="single" w:color="000000" w:sz="4" w:space="0"/>
            </w:tcBorders>
            <w:noWrap w:val="0"/>
            <w:vAlign w:val="center"/>
          </w:tcPr>
          <w:p w14:paraId="559762F8">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一级指标</w:t>
            </w:r>
          </w:p>
        </w:tc>
        <w:tc>
          <w:tcPr>
            <w:tcW w:w="258" w:type="pct"/>
            <w:tcBorders>
              <w:top w:val="single" w:color="000000" w:sz="4" w:space="0"/>
              <w:left w:val="single" w:color="000000" w:sz="4" w:space="0"/>
              <w:bottom w:val="single" w:color="000000" w:sz="4" w:space="0"/>
              <w:right w:val="single" w:color="000000" w:sz="4" w:space="0"/>
            </w:tcBorders>
            <w:noWrap w:val="0"/>
            <w:vAlign w:val="center"/>
          </w:tcPr>
          <w:p w14:paraId="4AB23E98">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二级指标</w:t>
            </w:r>
          </w:p>
        </w:tc>
        <w:tc>
          <w:tcPr>
            <w:tcW w:w="360" w:type="pct"/>
            <w:tcBorders>
              <w:top w:val="single" w:color="000000" w:sz="4" w:space="0"/>
              <w:left w:val="single" w:color="000000" w:sz="4" w:space="0"/>
              <w:bottom w:val="single" w:color="000000" w:sz="4" w:space="0"/>
              <w:right w:val="single" w:color="000000" w:sz="4" w:space="0"/>
            </w:tcBorders>
            <w:noWrap w:val="0"/>
            <w:vAlign w:val="center"/>
          </w:tcPr>
          <w:p w14:paraId="7E386BC5">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分值</w:t>
            </w:r>
          </w:p>
        </w:tc>
        <w:tc>
          <w:tcPr>
            <w:tcW w:w="387" w:type="pct"/>
            <w:tcBorders>
              <w:top w:val="single" w:color="000000" w:sz="4" w:space="0"/>
              <w:left w:val="single" w:color="000000" w:sz="4" w:space="0"/>
              <w:bottom w:val="single" w:color="000000" w:sz="4" w:space="0"/>
              <w:right w:val="single" w:color="000000" w:sz="4" w:space="0"/>
            </w:tcBorders>
            <w:noWrap w:val="0"/>
            <w:vAlign w:val="center"/>
          </w:tcPr>
          <w:p w14:paraId="53594174">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三级指标</w:t>
            </w:r>
          </w:p>
        </w:tc>
        <w:tc>
          <w:tcPr>
            <w:tcW w:w="510" w:type="pct"/>
            <w:tcBorders>
              <w:top w:val="single" w:color="000000" w:sz="4" w:space="0"/>
              <w:left w:val="single" w:color="000000" w:sz="4" w:space="0"/>
              <w:bottom w:val="single" w:color="000000" w:sz="4" w:space="0"/>
              <w:right w:val="single" w:color="000000" w:sz="4" w:space="0"/>
            </w:tcBorders>
            <w:noWrap w:val="0"/>
            <w:vAlign w:val="center"/>
          </w:tcPr>
          <w:p w14:paraId="09ED866A">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分值</w:t>
            </w:r>
          </w:p>
        </w:tc>
        <w:tc>
          <w:tcPr>
            <w:tcW w:w="1484" w:type="pct"/>
            <w:tcBorders>
              <w:top w:val="single" w:color="000000" w:sz="4" w:space="0"/>
              <w:left w:val="single" w:color="000000" w:sz="4" w:space="0"/>
              <w:bottom w:val="single" w:color="000000" w:sz="4" w:space="0"/>
              <w:right w:val="single" w:color="000000" w:sz="4" w:space="0"/>
            </w:tcBorders>
            <w:noWrap w:val="0"/>
            <w:vAlign w:val="center"/>
          </w:tcPr>
          <w:p w14:paraId="2717646D">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评分标准</w:t>
            </w:r>
          </w:p>
        </w:tc>
        <w:tc>
          <w:tcPr>
            <w:tcW w:w="472" w:type="pct"/>
            <w:tcBorders>
              <w:top w:val="single" w:color="000000" w:sz="4" w:space="0"/>
              <w:left w:val="single" w:color="000000" w:sz="4" w:space="0"/>
              <w:bottom w:val="single" w:color="000000" w:sz="4" w:space="0"/>
              <w:right w:val="single" w:color="000000" w:sz="4" w:space="0"/>
            </w:tcBorders>
            <w:noWrap w:val="0"/>
            <w:vAlign w:val="center"/>
          </w:tcPr>
          <w:p w14:paraId="548E34B1">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全年完成值</w:t>
            </w:r>
          </w:p>
        </w:tc>
        <w:tc>
          <w:tcPr>
            <w:tcW w:w="687" w:type="pct"/>
            <w:tcBorders>
              <w:top w:val="single" w:color="000000" w:sz="4" w:space="0"/>
              <w:left w:val="single" w:color="000000" w:sz="4" w:space="0"/>
              <w:bottom w:val="single" w:color="000000" w:sz="4" w:space="0"/>
              <w:right w:val="single" w:color="000000" w:sz="4" w:space="0"/>
            </w:tcBorders>
            <w:noWrap w:val="0"/>
            <w:vAlign w:val="center"/>
          </w:tcPr>
          <w:p w14:paraId="2BA5A876">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得分</w:t>
            </w:r>
          </w:p>
        </w:tc>
        <w:tc>
          <w:tcPr>
            <w:tcW w:w="524" w:type="pct"/>
            <w:gridSpan w:val="2"/>
            <w:tcBorders>
              <w:top w:val="single" w:color="000000" w:sz="4" w:space="0"/>
              <w:left w:val="single" w:color="000000" w:sz="4" w:space="0"/>
              <w:bottom w:val="single" w:color="000000" w:sz="4" w:space="0"/>
              <w:right w:val="single" w:color="000000" w:sz="4" w:space="0"/>
            </w:tcBorders>
            <w:noWrap w:val="0"/>
            <w:vAlign w:val="center"/>
          </w:tcPr>
          <w:p w14:paraId="6CA88577">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扣分原因</w:t>
            </w:r>
          </w:p>
        </w:tc>
      </w:tr>
      <w:tr w14:paraId="3F4B5B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36" w:hRule="atLeast"/>
        </w:trPr>
        <w:tc>
          <w:tcPr>
            <w:tcW w:w="314" w:type="pct"/>
            <w:gridSpan w:val="2"/>
            <w:vMerge w:val="restart"/>
            <w:tcBorders>
              <w:top w:val="single" w:color="000000" w:sz="4" w:space="0"/>
              <w:left w:val="single" w:color="000000" w:sz="4" w:space="0"/>
              <w:bottom w:val="single" w:color="auto" w:sz="4" w:space="0"/>
              <w:right w:val="single" w:color="000000" w:sz="4" w:space="0"/>
            </w:tcBorders>
            <w:noWrap w:val="0"/>
            <w:vAlign w:val="center"/>
          </w:tcPr>
          <w:p w14:paraId="19F1F65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部门产出（35分）</w:t>
            </w:r>
          </w:p>
        </w:tc>
        <w:tc>
          <w:tcPr>
            <w:tcW w:w="258" w:type="pct"/>
            <w:tcBorders>
              <w:top w:val="single" w:color="000000" w:sz="4" w:space="0"/>
              <w:left w:val="single" w:color="000000" w:sz="4" w:space="0"/>
              <w:bottom w:val="single" w:color="auto" w:sz="4" w:space="0"/>
              <w:right w:val="single" w:color="000000" w:sz="4" w:space="0"/>
            </w:tcBorders>
            <w:noWrap w:val="0"/>
            <w:vAlign w:val="center"/>
          </w:tcPr>
          <w:p w14:paraId="3213815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产出数量</w:t>
            </w:r>
          </w:p>
        </w:tc>
        <w:tc>
          <w:tcPr>
            <w:tcW w:w="360" w:type="pct"/>
            <w:tcBorders>
              <w:top w:val="single" w:color="000000" w:sz="4" w:space="0"/>
              <w:left w:val="single" w:color="000000" w:sz="4" w:space="0"/>
              <w:bottom w:val="single" w:color="auto" w:sz="4" w:space="0"/>
              <w:right w:val="single" w:color="000000" w:sz="4" w:space="0"/>
            </w:tcBorders>
            <w:noWrap w:val="0"/>
            <w:vAlign w:val="center"/>
          </w:tcPr>
          <w:p w14:paraId="77F4827F">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20</w:t>
            </w:r>
          </w:p>
        </w:tc>
        <w:tc>
          <w:tcPr>
            <w:tcW w:w="387" w:type="pct"/>
            <w:tcBorders>
              <w:top w:val="single" w:color="000000" w:sz="4" w:space="0"/>
              <w:left w:val="single" w:color="000000" w:sz="4" w:space="0"/>
              <w:bottom w:val="single" w:color="auto" w:sz="4" w:space="0"/>
              <w:right w:val="single" w:color="000000" w:sz="4" w:space="0"/>
            </w:tcBorders>
            <w:noWrap w:val="0"/>
            <w:vAlign w:val="center"/>
          </w:tcPr>
          <w:p w14:paraId="425E5F3B">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发展团员数完成率</w:t>
            </w:r>
          </w:p>
        </w:tc>
        <w:tc>
          <w:tcPr>
            <w:tcW w:w="510" w:type="pct"/>
            <w:tcBorders>
              <w:top w:val="single" w:color="000000" w:sz="4" w:space="0"/>
              <w:left w:val="single" w:color="000000" w:sz="4" w:space="0"/>
              <w:bottom w:val="single" w:color="auto" w:sz="4" w:space="0"/>
              <w:right w:val="single" w:color="000000" w:sz="4" w:space="0"/>
            </w:tcBorders>
            <w:noWrap w:val="0"/>
            <w:vAlign w:val="center"/>
          </w:tcPr>
          <w:p w14:paraId="4E6A846D">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20</w:t>
            </w:r>
          </w:p>
        </w:tc>
        <w:tc>
          <w:tcPr>
            <w:tcW w:w="1484" w:type="pct"/>
            <w:tcBorders>
              <w:top w:val="single" w:color="000000" w:sz="4" w:space="0"/>
              <w:left w:val="single" w:color="000000" w:sz="4" w:space="0"/>
              <w:bottom w:val="single" w:color="auto" w:sz="4" w:space="0"/>
              <w:right w:val="single" w:color="000000" w:sz="4" w:space="0"/>
            </w:tcBorders>
            <w:noWrap w:val="0"/>
            <w:vAlign w:val="center"/>
          </w:tcPr>
          <w:p w14:paraId="7B5D559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达到目标值得满分，否则得分=实际完成数/目标完成数*分值。</w:t>
            </w:r>
          </w:p>
        </w:tc>
        <w:tc>
          <w:tcPr>
            <w:tcW w:w="472" w:type="pct"/>
            <w:tcBorders>
              <w:top w:val="single" w:color="000000" w:sz="4" w:space="0"/>
              <w:left w:val="single" w:color="000000" w:sz="4" w:space="0"/>
              <w:bottom w:val="single" w:color="auto" w:sz="4" w:space="0"/>
              <w:right w:val="single" w:color="000000" w:sz="4" w:space="0"/>
            </w:tcBorders>
            <w:noWrap w:val="0"/>
            <w:vAlign w:val="center"/>
          </w:tcPr>
          <w:p w14:paraId="5ACC5A09">
            <w:pPr>
              <w:jc w:val="left"/>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98</w:t>
            </w:r>
            <w:r>
              <w:rPr>
                <w:rFonts w:hint="eastAsia" w:ascii="宋体" w:hAnsi="宋体" w:eastAsia="宋体" w:cs="宋体"/>
                <w:i w:val="0"/>
                <w:iCs w:val="0"/>
                <w:color w:val="000000"/>
                <w:sz w:val="22"/>
                <w:szCs w:val="22"/>
                <w:u w:val="none"/>
                <w:lang w:val="en-US" w:eastAsia="zh-CN"/>
              </w:rPr>
              <w:t>%</w:t>
            </w:r>
          </w:p>
        </w:tc>
        <w:tc>
          <w:tcPr>
            <w:tcW w:w="687" w:type="pct"/>
            <w:tcBorders>
              <w:top w:val="single" w:color="000000" w:sz="4" w:space="0"/>
              <w:left w:val="single" w:color="000000" w:sz="4" w:space="0"/>
              <w:bottom w:val="single" w:color="auto" w:sz="4" w:space="0"/>
              <w:right w:val="single" w:color="000000" w:sz="4" w:space="0"/>
            </w:tcBorders>
            <w:noWrap w:val="0"/>
            <w:vAlign w:val="center"/>
          </w:tcPr>
          <w:p w14:paraId="0F656EE6">
            <w:pPr>
              <w:jc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15</w:t>
            </w:r>
          </w:p>
        </w:tc>
        <w:tc>
          <w:tcPr>
            <w:tcW w:w="524" w:type="pct"/>
            <w:gridSpan w:val="2"/>
            <w:tcBorders>
              <w:top w:val="single" w:color="000000" w:sz="4" w:space="0"/>
              <w:left w:val="single" w:color="000000" w:sz="4" w:space="0"/>
              <w:bottom w:val="single" w:color="auto" w:sz="4" w:space="0"/>
              <w:right w:val="single" w:color="000000" w:sz="4" w:space="0"/>
            </w:tcBorders>
            <w:noWrap w:val="0"/>
            <w:vAlign w:val="center"/>
          </w:tcPr>
          <w:p w14:paraId="39F42354">
            <w:pPr>
              <w:jc w:val="left"/>
              <w:rPr>
                <w:rFonts w:hint="eastAsia" w:ascii="宋体" w:hAnsi="宋体" w:eastAsia="宋体" w:cs="宋体"/>
                <w:i w:val="0"/>
                <w:iCs w:val="0"/>
                <w:color w:val="000000"/>
                <w:sz w:val="22"/>
                <w:szCs w:val="22"/>
                <w:u w:val="none"/>
              </w:rPr>
            </w:pPr>
          </w:p>
        </w:tc>
      </w:tr>
      <w:tr w14:paraId="1E74E3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7" w:hRule="atLeast"/>
        </w:trPr>
        <w:tc>
          <w:tcPr>
            <w:tcW w:w="314" w:type="pct"/>
            <w:gridSpan w:val="2"/>
            <w:vMerge w:val="continue"/>
            <w:tcBorders>
              <w:top w:val="single" w:color="auto" w:sz="4" w:space="0"/>
              <w:left w:val="single" w:color="000000" w:sz="4" w:space="0"/>
              <w:bottom w:val="single" w:color="000000" w:sz="4" w:space="0"/>
              <w:right w:val="single" w:color="000000" w:sz="4" w:space="0"/>
            </w:tcBorders>
            <w:noWrap w:val="0"/>
            <w:vAlign w:val="center"/>
          </w:tcPr>
          <w:p w14:paraId="52963323">
            <w:pPr>
              <w:jc w:val="center"/>
              <w:rPr>
                <w:rFonts w:hint="eastAsia" w:ascii="宋体" w:hAnsi="宋体" w:eastAsia="宋体" w:cs="宋体"/>
                <w:i w:val="0"/>
                <w:iCs w:val="0"/>
                <w:color w:val="000000"/>
                <w:sz w:val="22"/>
                <w:szCs w:val="22"/>
                <w:u w:val="none"/>
              </w:rPr>
            </w:pPr>
          </w:p>
        </w:tc>
        <w:tc>
          <w:tcPr>
            <w:tcW w:w="258" w:type="pct"/>
            <w:tcBorders>
              <w:top w:val="single" w:color="auto" w:sz="4" w:space="0"/>
              <w:left w:val="single" w:color="000000" w:sz="4" w:space="0"/>
              <w:bottom w:val="single" w:color="auto" w:sz="4" w:space="0"/>
              <w:right w:val="single" w:color="000000" w:sz="4" w:space="0"/>
            </w:tcBorders>
            <w:noWrap w:val="0"/>
            <w:vAlign w:val="center"/>
          </w:tcPr>
          <w:p w14:paraId="6656CD0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产出质量</w:t>
            </w:r>
          </w:p>
        </w:tc>
        <w:tc>
          <w:tcPr>
            <w:tcW w:w="360" w:type="pct"/>
            <w:tcBorders>
              <w:top w:val="single" w:color="auto" w:sz="4" w:space="0"/>
              <w:left w:val="single" w:color="000000" w:sz="4" w:space="0"/>
              <w:bottom w:val="single" w:color="auto" w:sz="4" w:space="0"/>
              <w:right w:val="single" w:color="000000" w:sz="4" w:space="0"/>
            </w:tcBorders>
            <w:noWrap w:val="0"/>
            <w:vAlign w:val="center"/>
          </w:tcPr>
          <w:p w14:paraId="2BFCB43A">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20</w:t>
            </w:r>
          </w:p>
        </w:tc>
        <w:tc>
          <w:tcPr>
            <w:tcW w:w="387" w:type="pct"/>
            <w:tcBorders>
              <w:top w:val="single" w:color="auto" w:sz="4" w:space="0"/>
              <w:left w:val="single" w:color="000000" w:sz="4" w:space="0"/>
              <w:bottom w:val="single" w:color="auto" w:sz="4" w:space="0"/>
              <w:right w:val="single" w:color="000000" w:sz="4" w:space="0"/>
            </w:tcBorders>
            <w:noWrap w:val="0"/>
            <w:vAlign w:val="center"/>
          </w:tcPr>
          <w:p w14:paraId="539227E1">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教育活动开展成功率</w:t>
            </w:r>
          </w:p>
        </w:tc>
        <w:tc>
          <w:tcPr>
            <w:tcW w:w="510" w:type="pct"/>
            <w:tcBorders>
              <w:top w:val="single" w:color="auto" w:sz="4" w:space="0"/>
              <w:left w:val="single" w:color="000000" w:sz="4" w:space="0"/>
              <w:bottom w:val="single" w:color="auto" w:sz="4" w:space="0"/>
              <w:right w:val="single" w:color="000000" w:sz="4" w:space="0"/>
            </w:tcBorders>
            <w:noWrap w:val="0"/>
            <w:vAlign w:val="center"/>
          </w:tcPr>
          <w:p w14:paraId="5CDC930A">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20</w:t>
            </w:r>
          </w:p>
        </w:tc>
        <w:tc>
          <w:tcPr>
            <w:tcW w:w="1484" w:type="pct"/>
            <w:tcBorders>
              <w:top w:val="single" w:color="auto" w:sz="4" w:space="0"/>
              <w:left w:val="single" w:color="000000" w:sz="4" w:space="0"/>
              <w:bottom w:val="single" w:color="auto" w:sz="4" w:space="0"/>
              <w:right w:val="single" w:color="000000" w:sz="4" w:space="0"/>
            </w:tcBorders>
            <w:noWrap w:val="0"/>
            <w:vAlign w:val="center"/>
          </w:tcPr>
          <w:p w14:paraId="3E6F356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目标值为98%，达到目标值得满分，否则不得分。</w:t>
            </w:r>
          </w:p>
        </w:tc>
        <w:tc>
          <w:tcPr>
            <w:tcW w:w="472" w:type="pct"/>
            <w:tcBorders>
              <w:top w:val="single" w:color="auto" w:sz="4" w:space="0"/>
              <w:left w:val="single" w:color="000000" w:sz="4" w:space="0"/>
              <w:bottom w:val="single" w:color="auto" w:sz="4" w:space="0"/>
              <w:right w:val="single" w:color="000000" w:sz="4" w:space="0"/>
            </w:tcBorders>
            <w:noWrap w:val="0"/>
            <w:vAlign w:val="center"/>
          </w:tcPr>
          <w:p w14:paraId="267C84A3">
            <w:pPr>
              <w:jc w:val="left"/>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98</w:t>
            </w:r>
            <w:r>
              <w:rPr>
                <w:rFonts w:hint="eastAsia" w:ascii="宋体" w:hAnsi="宋体" w:eastAsia="宋体" w:cs="宋体"/>
                <w:i w:val="0"/>
                <w:iCs w:val="0"/>
                <w:color w:val="000000"/>
                <w:sz w:val="22"/>
                <w:szCs w:val="22"/>
                <w:u w:val="none"/>
                <w:lang w:val="en-US" w:eastAsia="zh-CN"/>
              </w:rPr>
              <w:t>%</w:t>
            </w:r>
          </w:p>
        </w:tc>
        <w:tc>
          <w:tcPr>
            <w:tcW w:w="687" w:type="pct"/>
            <w:tcBorders>
              <w:top w:val="single" w:color="auto" w:sz="4" w:space="0"/>
              <w:left w:val="single" w:color="000000" w:sz="4" w:space="0"/>
              <w:bottom w:val="single" w:color="auto" w:sz="4" w:space="0"/>
              <w:right w:val="single" w:color="000000" w:sz="4" w:space="0"/>
            </w:tcBorders>
            <w:noWrap w:val="0"/>
            <w:vAlign w:val="center"/>
          </w:tcPr>
          <w:p w14:paraId="07AFC329">
            <w:pPr>
              <w:jc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15</w:t>
            </w:r>
          </w:p>
        </w:tc>
        <w:tc>
          <w:tcPr>
            <w:tcW w:w="524" w:type="pct"/>
            <w:gridSpan w:val="2"/>
            <w:tcBorders>
              <w:top w:val="single" w:color="auto" w:sz="4" w:space="0"/>
              <w:left w:val="single" w:color="000000" w:sz="4" w:space="0"/>
              <w:bottom w:val="single" w:color="auto" w:sz="4" w:space="0"/>
              <w:right w:val="single" w:color="000000" w:sz="4" w:space="0"/>
            </w:tcBorders>
            <w:noWrap w:val="0"/>
            <w:vAlign w:val="center"/>
          </w:tcPr>
          <w:p w14:paraId="3C6F6F21">
            <w:pPr>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此项目具有长期性和延展性，继续努力提高水平。</w:t>
            </w:r>
          </w:p>
        </w:tc>
      </w:tr>
      <w:tr w14:paraId="639DB7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87" w:hRule="atLeast"/>
        </w:trPr>
        <w:tc>
          <w:tcPr>
            <w:tcW w:w="314"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EF7F13E">
            <w:pPr>
              <w:jc w:val="center"/>
              <w:rPr>
                <w:rFonts w:hint="eastAsia" w:ascii="宋体" w:hAnsi="宋体" w:eastAsia="宋体" w:cs="宋体"/>
                <w:i w:val="0"/>
                <w:iCs w:val="0"/>
                <w:color w:val="000000"/>
                <w:sz w:val="22"/>
                <w:szCs w:val="22"/>
                <w:u w:val="none"/>
              </w:rPr>
            </w:pPr>
          </w:p>
        </w:tc>
        <w:tc>
          <w:tcPr>
            <w:tcW w:w="258" w:type="pct"/>
            <w:tcBorders>
              <w:top w:val="single" w:color="auto" w:sz="4" w:space="0"/>
              <w:left w:val="single" w:color="000000" w:sz="4" w:space="0"/>
              <w:bottom w:val="single" w:color="auto" w:sz="4" w:space="0"/>
              <w:right w:val="single" w:color="000000" w:sz="4" w:space="0"/>
            </w:tcBorders>
            <w:noWrap w:val="0"/>
            <w:vAlign w:val="center"/>
          </w:tcPr>
          <w:p w14:paraId="6359424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产出时效</w:t>
            </w:r>
          </w:p>
        </w:tc>
        <w:tc>
          <w:tcPr>
            <w:tcW w:w="360" w:type="pct"/>
            <w:tcBorders>
              <w:top w:val="single" w:color="auto" w:sz="4" w:space="0"/>
              <w:left w:val="single" w:color="000000" w:sz="4" w:space="0"/>
              <w:bottom w:val="single" w:color="auto" w:sz="4" w:space="0"/>
              <w:right w:val="single" w:color="000000" w:sz="4" w:space="0"/>
            </w:tcBorders>
            <w:noWrap w:val="0"/>
            <w:vAlign w:val="center"/>
          </w:tcPr>
          <w:p w14:paraId="2B404395">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10</w:t>
            </w:r>
          </w:p>
        </w:tc>
        <w:tc>
          <w:tcPr>
            <w:tcW w:w="387" w:type="pct"/>
            <w:tcBorders>
              <w:top w:val="single" w:color="auto" w:sz="4" w:space="0"/>
              <w:left w:val="single" w:color="000000" w:sz="4" w:space="0"/>
              <w:bottom w:val="single" w:color="auto" w:sz="4" w:space="0"/>
              <w:right w:val="single" w:color="000000" w:sz="4" w:space="0"/>
            </w:tcBorders>
            <w:noWrap w:val="0"/>
            <w:vAlign w:val="center"/>
          </w:tcPr>
          <w:p w14:paraId="1B43DDF3">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活动开展及时率</w:t>
            </w:r>
          </w:p>
        </w:tc>
        <w:tc>
          <w:tcPr>
            <w:tcW w:w="510" w:type="pct"/>
            <w:tcBorders>
              <w:top w:val="single" w:color="auto" w:sz="4" w:space="0"/>
              <w:left w:val="single" w:color="000000" w:sz="4" w:space="0"/>
              <w:bottom w:val="single" w:color="auto" w:sz="4" w:space="0"/>
              <w:right w:val="single" w:color="000000" w:sz="4" w:space="0"/>
            </w:tcBorders>
            <w:noWrap w:val="0"/>
            <w:vAlign w:val="center"/>
          </w:tcPr>
          <w:p w14:paraId="4D490528">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10</w:t>
            </w:r>
          </w:p>
        </w:tc>
        <w:tc>
          <w:tcPr>
            <w:tcW w:w="1484" w:type="pct"/>
            <w:tcBorders>
              <w:top w:val="single" w:color="auto" w:sz="4" w:space="0"/>
              <w:left w:val="single" w:color="000000" w:sz="4" w:space="0"/>
              <w:bottom w:val="single" w:color="auto" w:sz="4" w:space="0"/>
              <w:right w:val="single" w:color="000000" w:sz="4" w:space="0"/>
            </w:tcBorders>
            <w:noWrap w:val="0"/>
            <w:vAlign w:val="center"/>
          </w:tcPr>
          <w:p w14:paraId="6060A41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目标值为≥98%，达到目标值得满分，否则不得分。</w:t>
            </w:r>
          </w:p>
        </w:tc>
        <w:tc>
          <w:tcPr>
            <w:tcW w:w="472" w:type="pct"/>
            <w:tcBorders>
              <w:top w:val="single" w:color="auto" w:sz="4" w:space="0"/>
              <w:left w:val="single" w:color="000000" w:sz="4" w:space="0"/>
              <w:bottom w:val="single" w:color="auto" w:sz="4" w:space="0"/>
              <w:right w:val="single" w:color="000000" w:sz="4" w:space="0"/>
            </w:tcBorders>
            <w:noWrap w:val="0"/>
            <w:vAlign w:val="center"/>
          </w:tcPr>
          <w:p w14:paraId="18945A16">
            <w:pPr>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98</w:t>
            </w:r>
            <w:r>
              <w:rPr>
                <w:rFonts w:hint="eastAsia" w:ascii="宋体" w:hAnsi="宋体" w:eastAsia="宋体" w:cs="宋体"/>
                <w:i w:val="0"/>
                <w:iCs w:val="0"/>
                <w:color w:val="000000"/>
                <w:sz w:val="22"/>
                <w:szCs w:val="22"/>
                <w:u w:val="none"/>
                <w:lang w:val="en-US" w:eastAsia="zh-CN"/>
              </w:rPr>
              <w:t>%</w:t>
            </w:r>
          </w:p>
        </w:tc>
        <w:tc>
          <w:tcPr>
            <w:tcW w:w="687" w:type="pct"/>
            <w:tcBorders>
              <w:top w:val="single" w:color="auto" w:sz="4" w:space="0"/>
              <w:left w:val="single" w:color="000000" w:sz="4" w:space="0"/>
              <w:bottom w:val="single" w:color="auto" w:sz="4" w:space="0"/>
              <w:right w:val="single" w:color="000000" w:sz="4" w:space="0"/>
            </w:tcBorders>
            <w:noWrap w:val="0"/>
            <w:vAlign w:val="center"/>
          </w:tcPr>
          <w:p w14:paraId="5A66D67E">
            <w:pPr>
              <w:jc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7</w:t>
            </w:r>
          </w:p>
        </w:tc>
        <w:tc>
          <w:tcPr>
            <w:tcW w:w="524" w:type="pct"/>
            <w:gridSpan w:val="2"/>
            <w:tcBorders>
              <w:top w:val="single" w:color="auto" w:sz="4" w:space="0"/>
              <w:left w:val="single" w:color="000000" w:sz="4" w:space="0"/>
              <w:bottom w:val="single" w:color="auto" w:sz="4" w:space="0"/>
              <w:right w:val="single" w:color="000000" w:sz="4" w:space="0"/>
            </w:tcBorders>
            <w:noWrap w:val="0"/>
            <w:vAlign w:val="center"/>
          </w:tcPr>
          <w:p w14:paraId="695C82A7">
            <w:pPr>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此项目具有长期性和延展性，继续努力提高水平。</w:t>
            </w:r>
          </w:p>
        </w:tc>
      </w:tr>
      <w:tr w14:paraId="5722F9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4" w:hRule="atLeast"/>
        </w:trPr>
        <w:tc>
          <w:tcPr>
            <w:tcW w:w="314"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F143205">
            <w:pPr>
              <w:jc w:val="center"/>
              <w:rPr>
                <w:rFonts w:hint="eastAsia" w:ascii="宋体" w:hAnsi="宋体" w:eastAsia="宋体" w:cs="宋体"/>
                <w:i w:val="0"/>
                <w:iCs w:val="0"/>
                <w:color w:val="000000"/>
                <w:sz w:val="22"/>
                <w:szCs w:val="22"/>
                <w:u w:val="none"/>
              </w:rPr>
            </w:pPr>
          </w:p>
        </w:tc>
        <w:tc>
          <w:tcPr>
            <w:tcW w:w="258" w:type="pct"/>
            <w:tcBorders>
              <w:top w:val="single" w:color="000000" w:sz="4" w:space="0"/>
              <w:left w:val="single" w:color="000000" w:sz="4" w:space="0"/>
              <w:bottom w:val="nil"/>
              <w:right w:val="single" w:color="000000" w:sz="4" w:space="0"/>
            </w:tcBorders>
            <w:noWrap w:val="0"/>
            <w:vAlign w:val="center"/>
          </w:tcPr>
          <w:p w14:paraId="794CDA5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经济效益</w:t>
            </w:r>
          </w:p>
        </w:tc>
        <w:tc>
          <w:tcPr>
            <w:tcW w:w="360" w:type="pct"/>
            <w:tcBorders>
              <w:top w:val="single" w:color="000000" w:sz="4" w:space="0"/>
              <w:left w:val="single" w:color="000000" w:sz="4" w:space="0"/>
              <w:bottom w:val="nil"/>
              <w:right w:val="single" w:color="000000" w:sz="4" w:space="0"/>
            </w:tcBorders>
            <w:noWrap w:val="0"/>
            <w:vAlign w:val="center"/>
          </w:tcPr>
          <w:p w14:paraId="18576836">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15</w:t>
            </w:r>
          </w:p>
        </w:tc>
        <w:tc>
          <w:tcPr>
            <w:tcW w:w="387" w:type="pct"/>
            <w:tcBorders>
              <w:top w:val="single" w:color="000000" w:sz="4" w:space="0"/>
              <w:left w:val="single" w:color="000000" w:sz="4" w:space="0"/>
              <w:bottom w:val="single" w:color="000000" w:sz="4" w:space="0"/>
              <w:right w:val="single" w:color="000000" w:sz="4" w:space="0"/>
            </w:tcBorders>
            <w:noWrap w:val="0"/>
            <w:vAlign w:val="center"/>
          </w:tcPr>
          <w:p w14:paraId="79443B3A">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资金使用合理化率</w:t>
            </w:r>
          </w:p>
        </w:tc>
        <w:tc>
          <w:tcPr>
            <w:tcW w:w="510" w:type="pct"/>
            <w:tcBorders>
              <w:top w:val="single" w:color="000000" w:sz="4" w:space="0"/>
              <w:left w:val="single" w:color="000000" w:sz="4" w:space="0"/>
              <w:bottom w:val="single" w:color="000000" w:sz="4" w:space="0"/>
              <w:right w:val="single" w:color="000000" w:sz="4" w:space="0"/>
            </w:tcBorders>
            <w:noWrap w:val="0"/>
            <w:vAlign w:val="center"/>
          </w:tcPr>
          <w:p w14:paraId="6C208B85">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15</w:t>
            </w:r>
          </w:p>
        </w:tc>
        <w:tc>
          <w:tcPr>
            <w:tcW w:w="1484" w:type="pct"/>
            <w:tcBorders>
              <w:top w:val="single" w:color="000000" w:sz="4" w:space="0"/>
              <w:left w:val="single" w:color="000000" w:sz="4" w:space="0"/>
              <w:bottom w:val="single" w:color="000000" w:sz="4" w:space="0"/>
              <w:right w:val="single" w:color="000000" w:sz="4" w:space="0"/>
            </w:tcBorders>
            <w:noWrap w:val="0"/>
            <w:vAlign w:val="center"/>
          </w:tcPr>
          <w:p w14:paraId="2EBE2A6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目标值为正常运行，达到目标值得满分。</w:t>
            </w:r>
          </w:p>
        </w:tc>
        <w:tc>
          <w:tcPr>
            <w:tcW w:w="472" w:type="pct"/>
            <w:tcBorders>
              <w:top w:val="single" w:color="000000" w:sz="4" w:space="0"/>
              <w:left w:val="single" w:color="000000" w:sz="4" w:space="0"/>
              <w:bottom w:val="single" w:color="000000" w:sz="4" w:space="0"/>
              <w:right w:val="single" w:color="000000" w:sz="4" w:space="0"/>
            </w:tcBorders>
            <w:noWrap w:val="0"/>
            <w:vAlign w:val="center"/>
          </w:tcPr>
          <w:p w14:paraId="77B7E91C">
            <w:pPr>
              <w:jc w:val="left"/>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基本达成目标</w:t>
            </w:r>
          </w:p>
        </w:tc>
        <w:tc>
          <w:tcPr>
            <w:tcW w:w="687" w:type="pct"/>
            <w:tcBorders>
              <w:top w:val="single" w:color="000000" w:sz="4" w:space="0"/>
              <w:left w:val="single" w:color="000000" w:sz="4" w:space="0"/>
              <w:bottom w:val="single" w:color="000000" w:sz="4" w:space="0"/>
              <w:right w:val="single" w:color="000000" w:sz="4" w:space="0"/>
            </w:tcBorders>
            <w:noWrap w:val="0"/>
            <w:vAlign w:val="center"/>
          </w:tcPr>
          <w:p w14:paraId="60B8378B">
            <w:pPr>
              <w:jc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15</w:t>
            </w:r>
          </w:p>
        </w:tc>
        <w:tc>
          <w:tcPr>
            <w:tcW w:w="524" w:type="pct"/>
            <w:gridSpan w:val="2"/>
            <w:tcBorders>
              <w:top w:val="single" w:color="000000" w:sz="4" w:space="0"/>
              <w:left w:val="single" w:color="000000" w:sz="4" w:space="0"/>
              <w:bottom w:val="single" w:color="000000" w:sz="4" w:space="0"/>
              <w:right w:val="single" w:color="000000" w:sz="4" w:space="0"/>
            </w:tcBorders>
            <w:noWrap w:val="0"/>
            <w:vAlign w:val="center"/>
          </w:tcPr>
          <w:p w14:paraId="10FE6D4E">
            <w:pPr>
              <w:jc w:val="left"/>
              <w:rPr>
                <w:rFonts w:hint="default" w:ascii="宋体" w:hAnsi="宋体" w:eastAsia="宋体" w:cs="宋体"/>
                <w:i w:val="0"/>
                <w:iCs w:val="0"/>
                <w:color w:val="000000"/>
                <w:sz w:val="22"/>
                <w:szCs w:val="22"/>
                <w:u w:val="none"/>
                <w:lang w:val="en-US" w:eastAsia="zh-CN"/>
              </w:rPr>
            </w:pPr>
          </w:p>
        </w:tc>
      </w:tr>
      <w:tr w14:paraId="188714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2" w:hRule="atLeast"/>
        </w:trPr>
        <w:tc>
          <w:tcPr>
            <w:tcW w:w="314"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FB748D3">
            <w:pPr>
              <w:jc w:val="center"/>
              <w:rPr>
                <w:rFonts w:hint="eastAsia" w:ascii="宋体" w:hAnsi="宋体" w:eastAsia="宋体" w:cs="宋体"/>
                <w:i w:val="0"/>
                <w:iCs w:val="0"/>
                <w:color w:val="000000"/>
                <w:sz w:val="22"/>
                <w:szCs w:val="22"/>
                <w:u w:val="none"/>
              </w:rPr>
            </w:pPr>
          </w:p>
        </w:tc>
        <w:tc>
          <w:tcPr>
            <w:tcW w:w="258" w:type="pct"/>
            <w:tcBorders>
              <w:top w:val="single" w:color="000000" w:sz="4" w:space="0"/>
              <w:left w:val="single" w:color="000000" w:sz="4" w:space="0"/>
              <w:bottom w:val="single" w:color="000000" w:sz="4" w:space="0"/>
              <w:right w:val="single" w:color="000000" w:sz="4" w:space="0"/>
            </w:tcBorders>
            <w:noWrap w:val="0"/>
            <w:vAlign w:val="center"/>
          </w:tcPr>
          <w:p w14:paraId="4057EC44">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生态效益</w:t>
            </w:r>
          </w:p>
        </w:tc>
        <w:tc>
          <w:tcPr>
            <w:tcW w:w="360" w:type="pct"/>
            <w:tcBorders>
              <w:top w:val="single" w:color="000000" w:sz="4" w:space="0"/>
              <w:left w:val="single" w:color="000000" w:sz="4" w:space="0"/>
              <w:bottom w:val="single" w:color="000000" w:sz="4" w:space="0"/>
              <w:right w:val="single" w:color="000000" w:sz="4" w:space="0"/>
            </w:tcBorders>
            <w:noWrap w:val="0"/>
            <w:vAlign w:val="center"/>
          </w:tcPr>
          <w:p w14:paraId="77D070BA">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15</w:t>
            </w:r>
          </w:p>
        </w:tc>
        <w:tc>
          <w:tcPr>
            <w:tcW w:w="387" w:type="pct"/>
            <w:tcBorders>
              <w:top w:val="single" w:color="000000" w:sz="4" w:space="0"/>
              <w:left w:val="single" w:color="000000" w:sz="4" w:space="0"/>
              <w:bottom w:val="single" w:color="000000" w:sz="4" w:space="0"/>
              <w:right w:val="single" w:color="000000" w:sz="4" w:space="0"/>
            </w:tcBorders>
            <w:noWrap w:val="0"/>
            <w:vAlign w:val="center"/>
          </w:tcPr>
          <w:p w14:paraId="603B17C0">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造成污染事件</w:t>
            </w:r>
          </w:p>
        </w:tc>
        <w:tc>
          <w:tcPr>
            <w:tcW w:w="510" w:type="pct"/>
            <w:tcBorders>
              <w:top w:val="single" w:color="000000" w:sz="4" w:space="0"/>
              <w:left w:val="single" w:color="000000" w:sz="4" w:space="0"/>
              <w:bottom w:val="single" w:color="000000" w:sz="4" w:space="0"/>
              <w:right w:val="single" w:color="000000" w:sz="4" w:space="0"/>
            </w:tcBorders>
            <w:noWrap w:val="0"/>
            <w:vAlign w:val="center"/>
          </w:tcPr>
          <w:p w14:paraId="74960CFA">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15</w:t>
            </w:r>
          </w:p>
        </w:tc>
        <w:tc>
          <w:tcPr>
            <w:tcW w:w="1484" w:type="pct"/>
            <w:tcBorders>
              <w:top w:val="single" w:color="000000" w:sz="4" w:space="0"/>
              <w:left w:val="single" w:color="000000" w:sz="4" w:space="0"/>
              <w:bottom w:val="single" w:color="000000" w:sz="4" w:space="0"/>
              <w:right w:val="single" w:color="000000" w:sz="4" w:space="0"/>
            </w:tcBorders>
            <w:noWrap/>
            <w:vAlign w:val="center"/>
          </w:tcPr>
          <w:p w14:paraId="1A80608D">
            <w:pPr>
              <w:keepNext w:val="0"/>
              <w:keepLines w:val="0"/>
              <w:widowControl/>
              <w:suppressLineNumbers w:val="0"/>
              <w:jc w:val="both"/>
              <w:textAlignment w:val="center"/>
              <w:rPr>
                <w:rStyle w:val="9"/>
                <w:lang w:val="en-US" w:eastAsia="zh-CN" w:bidi="ar"/>
              </w:rPr>
            </w:pPr>
            <w:r>
              <w:rPr>
                <w:rFonts w:hint="eastAsia" w:ascii="宋体" w:hAnsi="宋体" w:eastAsia="宋体" w:cs="宋体"/>
                <w:i w:val="0"/>
                <w:iCs w:val="0"/>
                <w:color w:val="000000"/>
                <w:kern w:val="0"/>
                <w:sz w:val="22"/>
                <w:szCs w:val="22"/>
                <w:u w:val="none"/>
                <w:lang w:val="en-US" w:eastAsia="zh-CN" w:bidi="ar"/>
              </w:rPr>
              <w:t>目标值为正常运行，达到目标值得满分。</w:t>
            </w:r>
          </w:p>
        </w:tc>
        <w:tc>
          <w:tcPr>
            <w:tcW w:w="472" w:type="pct"/>
            <w:tcBorders>
              <w:top w:val="single" w:color="000000" w:sz="4" w:space="0"/>
              <w:left w:val="single" w:color="000000" w:sz="4" w:space="0"/>
              <w:bottom w:val="single" w:color="000000" w:sz="4" w:space="0"/>
              <w:right w:val="single" w:color="000000" w:sz="4" w:space="0"/>
            </w:tcBorders>
            <w:noWrap/>
            <w:vAlign w:val="center"/>
          </w:tcPr>
          <w:p w14:paraId="4B457DCB">
            <w:pPr>
              <w:jc w:val="both"/>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无污染事件</w:t>
            </w:r>
          </w:p>
        </w:tc>
        <w:tc>
          <w:tcPr>
            <w:tcW w:w="687" w:type="pct"/>
            <w:tcBorders>
              <w:top w:val="single" w:color="000000" w:sz="4" w:space="0"/>
              <w:left w:val="single" w:color="000000" w:sz="4" w:space="0"/>
              <w:bottom w:val="single" w:color="000000" w:sz="4" w:space="0"/>
              <w:right w:val="single" w:color="000000" w:sz="4" w:space="0"/>
            </w:tcBorders>
            <w:noWrap w:val="0"/>
            <w:vAlign w:val="center"/>
          </w:tcPr>
          <w:p w14:paraId="2DE07DEA">
            <w:pPr>
              <w:jc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15</w:t>
            </w:r>
          </w:p>
        </w:tc>
        <w:tc>
          <w:tcPr>
            <w:tcW w:w="524" w:type="pct"/>
            <w:gridSpan w:val="2"/>
            <w:tcBorders>
              <w:top w:val="single" w:color="000000" w:sz="4" w:space="0"/>
              <w:left w:val="single" w:color="000000" w:sz="4" w:space="0"/>
              <w:bottom w:val="single" w:color="000000" w:sz="4" w:space="0"/>
              <w:right w:val="single" w:color="000000" w:sz="4" w:space="0"/>
            </w:tcBorders>
            <w:noWrap w:val="0"/>
            <w:vAlign w:val="center"/>
          </w:tcPr>
          <w:p w14:paraId="78A38E5C">
            <w:pPr>
              <w:jc w:val="left"/>
              <w:rPr>
                <w:rFonts w:hint="eastAsia" w:ascii="宋体" w:hAnsi="宋体" w:eastAsia="宋体" w:cs="宋体"/>
                <w:i w:val="0"/>
                <w:iCs w:val="0"/>
                <w:color w:val="000000"/>
                <w:sz w:val="22"/>
                <w:szCs w:val="22"/>
                <w:u w:val="none"/>
                <w:lang w:val="en-US" w:eastAsia="zh-CN"/>
              </w:rPr>
            </w:pPr>
          </w:p>
        </w:tc>
      </w:tr>
      <w:tr w14:paraId="0011DC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2" w:hRule="atLeast"/>
        </w:trPr>
        <w:tc>
          <w:tcPr>
            <w:tcW w:w="314"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9F61F42">
            <w:pPr>
              <w:jc w:val="center"/>
              <w:rPr>
                <w:rFonts w:hint="eastAsia" w:ascii="宋体" w:hAnsi="宋体" w:eastAsia="宋体" w:cs="宋体"/>
                <w:i w:val="0"/>
                <w:iCs w:val="0"/>
                <w:color w:val="000000"/>
                <w:sz w:val="22"/>
                <w:szCs w:val="22"/>
                <w:u w:val="none"/>
              </w:rPr>
            </w:pPr>
          </w:p>
        </w:tc>
        <w:tc>
          <w:tcPr>
            <w:tcW w:w="258" w:type="pct"/>
            <w:tcBorders>
              <w:top w:val="single" w:color="000000" w:sz="4" w:space="0"/>
              <w:left w:val="single" w:color="000000" w:sz="4" w:space="0"/>
              <w:bottom w:val="single" w:color="000000" w:sz="4" w:space="0"/>
              <w:right w:val="single" w:color="000000" w:sz="4" w:space="0"/>
            </w:tcBorders>
            <w:noWrap w:val="0"/>
            <w:vAlign w:val="center"/>
          </w:tcPr>
          <w:p w14:paraId="1F55F44E">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可持续影响指标</w:t>
            </w:r>
          </w:p>
        </w:tc>
        <w:tc>
          <w:tcPr>
            <w:tcW w:w="360" w:type="pct"/>
            <w:tcBorders>
              <w:top w:val="single" w:color="000000" w:sz="4" w:space="0"/>
              <w:left w:val="single" w:color="000000" w:sz="4" w:space="0"/>
              <w:bottom w:val="single" w:color="000000" w:sz="4" w:space="0"/>
              <w:right w:val="single" w:color="000000" w:sz="4" w:space="0"/>
            </w:tcBorders>
            <w:noWrap w:val="0"/>
            <w:vAlign w:val="center"/>
          </w:tcPr>
          <w:p w14:paraId="4B22157D">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10</w:t>
            </w:r>
          </w:p>
        </w:tc>
        <w:tc>
          <w:tcPr>
            <w:tcW w:w="387" w:type="pct"/>
            <w:tcBorders>
              <w:top w:val="single" w:color="000000" w:sz="4" w:space="0"/>
              <w:left w:val="single" w:color="000000" w:sz="4" w:space="0"/>
              <w:bottom w:val="single" w:color="000000" w:sz="4" w:space="0"/>
              <w:right w:val="single" w:color="000000" w:sz="4" w:space="0"/>
            </w:tcBorders>
            <w:noWrap w:val="0"/>
            <w:vAlign w:val="center"/>
          </w:tcPr>
          <w:p w14:paraId="706357FB">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推动红色基因代代相传推广率</w:t>
            </w:r>
          </w:p>
        </w:tc>
        <w:tc>
          <w:tcPr>
            <w:tcW w:w="510" w:type="pct"/>
            <w:tcBorders>
              <w:top w:val="single" w:color="000000" w:sz="4" w:space="0"/>
              <w:left w:val="single" w:color="000000" w:sz="4" w:space="0"/>
              <w:bottom w:val="single" w:color="000000" w:sz="4" w:space="0"/>
              <w:right w:val="single" w:color="000000" w:sz="4" w:space="0"/>
            </w:tcBorders>
            <w:noWrap w:val="0"/>
            <w:vAlign w:val="center"/>
          </w:tcPr>
          <w:p w14:paraId="363B48F1">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10</w:t>
            </w:r>
          </w:p>
        </w:tc>
        <w:tc>
          <w:tcPr>
            <w:tcW w:w="1484" w:type="pct"/>
            <w:tcBorders>
              <w:top w:val="single" w:color="000000" w:sz="4" w:space="0"/>
              <w:left w:val="single" w:color="000000" w:sz="4" w:space="0"/>
              <w:bottom w:val="single" w:color="000000" w:sz="4" w:space="0"/>
              <w:right w:val="single" w:color="000000" w:sz="4" w:space="0"/>
            </w:tcBorders>
            <w:noWrap/>
            <w:vAlign w:val="center"/>
          </w:tcPr>
          <w:p w14:paraId="4B44FB0F">
            <w:pPr>
              <w:keepNext w:val="0"/>
              <w:keepLines w:val="0"/>
              <w:widowControl/>
              <w:suppressLineNumbers w:val="0"/>
              <w:jc w:val="both"/>
              <w:textAlignment w:val="center"/>
              <w:rPr>
                <w:rStyle w:val="9"/>
                <w:lang w:val="en-US" w:eastAsia="zh-CN" w:bidi="ar"/>
              </w:rPr>
            </w:pPr>
            <w:r>
              <w:rPr>
                <w:rFonts w:hint="eastAsia" w:ascii="宋体" w:hAnsi="宋体" w:eastAsia="宋体" w:cs="宋体"/>
                <w:i w:val="0"/>
                <w:iCs w:val="0"/>
                <w:color w:val="000000"/>
                <w:kern w:val="0"/>
                <w:sz w:val="22"/>
                <w:szCs w:val="22"/>
                <w:u w:val="none"/>
                <w:lang w:val="en-US" w:eastAsia="zh-CN" w:bidi="ar"/>
              </w:rPr>
              <w:t>目标值为≥98%，达到目标值得满分，否则不得分。</w:t>
            </w:r>
          </w:p>
        </w:tc>
        <w:tc>
          <w:tcPr>
            <w:tcW w:w="472" w:type="pct"/>
            <w:tcBorders>
              <w:top w:val="single" w:color="000000" w:sz="4" w:space="0"/>
              <w:left w:val="single" w:color="000000" w:sz="4" w:space="0"/>
              <w:bottom w:val="single" w:color="000000" w:sz="4" w:space="0"/>
              <w:right w:val="single" w:color="000000" w:sz="4" w:space="0"/>
            </w:tcBorders>
            <w:noWrap/>
            <w:vAlign w:val="center"/>
          </w:tcPr>
          <w:p w14:paraId="68DE2E03">
            <w:pPr>
              <w:jc w:val="both"/>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92%</w:t>
            </w:r>
          </w:p>
        </w:tc>
        <w:tc>
          <w:tcPr>
            <w:tcW w:w="687" w:type="pct"/>
            <w:tcBorders>
              <w:top w:val="single" w:color="000000" w:sz="4" w:space="0"/>
              <w:left w:val="single" w:color="000000" w:sz="4" w:space="0"/>
              <w:bottom w:val="single" w:color="000000" w:sz="4" w:space="0"/>
              <w:right w:val="single" w:color="000000" w:sz="4" w:space="0"/>
            </w:tcBorders>
            <w:noWrap w:val="0"/>
            <w:vAlign w:val="center"/>
          </w:tcPr>
          <w:p w14:paraId="4099C7A8">
            <w:pPr>
              <w:jc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8</w:t>
            </w:r>
          </w:p>
        </w:tc>
        <w:tc>
          <w:tcPr>
            <w:tcW w:w="524" w:type="pct"/>
            <w:gridSpan w:val="2"/>
            <w:tcBorders>
              <w:top w:val="single" w:color="000000" w:sz="4" w:space="0"/>
              <w:left w:val="single" w:color="000000" w:sz="4" w:space="0"/>
              <w:bottom w:val="single" w:color="000000" w:sz="4" w:space="0"/>
              <w:right w:val="single" w:color="000000" w:sz="4" w:space="0"/>
            </w:tcBorders>
            <w:noWrap w:val="0"/>
            <w:vAlign w:val="center"/>
          </w:tcPr>
          <w:p w14:paraId="53976D8D">
            <w:pPr>
              <w:jc w:val="left"/>
              <w:rPr>
                <w:rFonts w:hint="eastAsia" w:ascii="宋体" w:hAnsi="宋体" w:eastAsia="宋体" w:cs="宋体"/>
                <w:i w:val="0"/>
                <w:iCs w:val="0"/>
                <w:color w:val="000000"/>
                <w:sz w:val="22"/>
                <w:szCs w:val="22"/>
                <w:u w:val="none"/>
                <w:lang w:val="en-US" w:eastAsia="zh-CN"/>
              </w:rPr>
            </w:pPr>
          </w:p>
        </w:tc>
      </w:tr>
      <w:tr w14:paraId="2DFF10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2" w:hRule="atLeast"/>
        </w:trPr>
        <w:tc>
          <w:tcPr>
            <w:tcW w:w="314"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E4C0113">
            <w:pPr>
              <w:jc w:val="center"/>
              <w:rPr>
                <w:rFonts w:hint="eastAsia" w:ascii="宋体" w:hAnsi="宋体" w:eastAsia="宋体" w:cs="宋体"/>
                <w:i w:val="0"/>
                <w:iCs w:val="0"/>
                <w:color w:val="000000"/>
                <w:sz w:val="22"/>
                <w:szCs w:val="22"/>
                <w:u w:val="none"/>
              </w:rPr>
            </w:pPr>
          </w:p>
        </w:tc>
        <w:tc>
          <w:tcPr>
            <w:tcW w:w="258" w:type="pct"/>
            <w:tcBorders>
              <w:top w:val="single" w:color="000000" w:sz="4" w:space="0"/>
              <w:left w:val="single" w:color="000000" w:sz="4" w:space="0"/>
              <w:bottom w:val="single" w:color="000000" w:sz="4" w:space="0"/>
              <w:right w:val="single" w:color="000000" w:sz="4" w:space="0"/>
            </w:tcBorders>
            <w:noWrap w:val="0"/>
            <w:vAlign w:val="center"/>
          </w:tcPr>
          <w:p w14:paraId="64BE621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社会公众或服务对象满意度</w:t>
            </w:r>
          </w:p>
        </w:tc>
        <w:tc>
          <w:tcPr>
            <w:tcW w:w="360" w:type="pct"/>
            <w:tcBorders>
              <w:top w:val="single" w:color="000000" w:sz="4" w:space="0"/>
              <w:left w:val="single" w:color="000000" w:sz="4" w:space="0"/>
              <w:bottom w:val="single" w:color="000000" w:sz="4" w:space="0"/>
              <w:right w:val="single" w:color="000000" w:sz="4" w:space="0"/>
            </w:tcBorders>
            <w:noWrap w:val="0"/>
            <w:vAlign w:val="center"/>
          </w:tcPr>
          <w:p w14:paraId="2F16027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387" w:type="pct"/>
            <w:tcBorders>
              <w:top w:val="single" w:color="000000" w:sz="4" w:space="0"/>
              <w:left w:val="single" w:color="000000" w:sz="4" w:space="0"/>
              <w:bottom w:val="single" w:color="000000" w:sz="4" w:space="0"/>
              <w:right w:val="single" w:color="000000" w:sz="4" w:space="0"/>
            </w:tcBorders>
            <w:noWrap w:val="0"/>
            <w:vAlign w:val="center"/>
          </w:tcPr>
          <w:p w14:paraId="24BA3D2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群众满意率</w:t>
            </w:r>
          </w:p>
        </w:tc>
        <w:tc>
          <w:tcPr>
            <w:tcW w:w="510" w:type="pct"/>
            <w:tcBorders>
              <w:top w:val="single" w:color="000000" w:sz="4" w:space="0"/>
              <w:left w:val="single" w:color="000000" w:sz="4" w:space="0"/>
              <w:bottom w:val="single" w:color="000000" w:sz="4" w:space="0"/>
              <w:right w:val="single" w:color="000000" w:sz="4" w:space="0"/>
            </w:tcBorders>
            <w:noWrap w:val="0"/>
            <w:vAlign w:val="center"/>
          </w:tcPr>
          <w:p w14:paraId="65593B9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1484" w:type="pct"/>
            <w:tcBorders>
              <w:top w:val="single" w:color="000000" w:sz="4" w:space="0"/>
              <w:left w:val="single" w:color="000000" w:sz="4" w:space="0"/>
              <w:bottom w:val="single" w:color="000000" w:sz="4" w:space="0"/>
              <w:right w:val="single" w:color="000000" w:sz="4" w:space="0"/>
            </w:tcBorders>
            <w:noWrap/>
            <w:vAlign w:val="center"/>
          </w:tcPr>
          <w:p w14:paraId="41942CCA">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Style w:val="9"/>
                <w:lang w:val="en-US" w:eastAsia="zh-CN" w:bidi="ar"/>
              </w:rPr>
              <w:t>目标值为&gt;=95%，满意度≥95%得满分值；95% &lt;满意度≤60%的计分公式为：得分=（实际满意度-60%）/（95%—60%）×指标分值；</w:t>
            </w:r>
            <w:r>
              <w:rPr>
                <w:rStyle w:val="10"/>
                <w:lang w:val="en-US" w:eastAsia="zh-CN" w:bidi="ar"/>
              </w:rPr>
              <w:t>满意度在60%以下不得分。</w:t>
            </w:r>
          </w:p>
        </w:tc>
        <w:tc>
          <w:tcPr>
            <w:tcW w:w="472" w:type="pct"/>
            <w:tcBorders>
              <w:top w:val="single" w:color="000000" w:sz="4" w:space="0"/>
              <w:left w:val="single" w:color="000000" w:sz="4" w:space="0"/>
              <w:bottom w:val="single" w:color="000000" w:sz="4" w:space="0"/>
              <w:right w:val="single" w:color="000000" w:sz="4" w:space="0"/>
            </w:tcBorders>
            <w:noWrap/>
            <w:vAlign w:val="center"/>
          </w:tcPr>
          <w:p w14:paraId="2C351A6D">
            <w:pPr>
              <w:jc w:val="both"/>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95%</w:t>
            </w:r>
          </w:p>
        </w:tc>
        <w:tc>
          <w:tcPr>
            <w:tcW w:w="687" w:type="pct"/>
            <w:tcBorders>
              <w:top w:val="single" w:color="000000" w:sz="4" w:space="0"/>
              <w:left w:val="single" w:color="000000" w:sz="4" w:space="0"/>
              <w:bottom w:val="single" w:color="000000" w:sz="4" w:space="0"/>
              <w:right w:val="single" w:color="000000" w:sz="4" w:space="0"/>
            </w:tcBorders>
            <w:noWrap w:val="0"/>
            <w:vAlign w:val="center"/>
          </w:tcPr>
          <w:p w14:paraId="3B7BDD04">
            <w:pPr>
              <w:jc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7.89</w:t>
            </w:r>
          </w:p>
        </w:tc>
        <w:tc>
          <w:tcPr>
            <w:tcW w:w="524" w:type="pct"/>
            <w:gridSpan w:val="2"/>
            <w:tcBorders>
              <w:top w:val="single" w:color="000000" w:sz="4" w:space="0"/>
              <w:left w:val="single" w:color="000000" w:sz="4" w:space="0"/>
              <w:bottom w:val="single" w:color="000000" w:sz="4" w:space="0"/>
              <w:right w:val="single" w:color="000000" w:sz="4" w:space="0"/>
            </w:tcBorders>
            <w:noWrap w:val="0"/>
            <w:vAlign w:val="center"/>
          </w:tcPr>
          <w:p w14:paraId="7DB467A1">
            <w:pPr>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此项目具有长期性和延展性，部分服务人群的需求欲望较高。</w:t>
            </w:r>
          </w:p>
        </w:tc>
      </w:tr>
      <w:tr w14:paraId="3BD473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314" w:type="pct"/>
            <w:gridSpan w:val="2"/>
            <w:tcBorders>
              <w:top w:val="single" w:color="000000" w:sz="4" w:space="0"/>
              <w:left w:val="single" w:color="000000" w:sz="4" w:space="0"/>
              <w:bottom w:val="single" w:color="000000" w:sz="4" w:space="0"/>
              <w:right w:val="single" w:color="000000" w:sz="4" w:space="0"/>
            </w:tcBorders>
            <w:noWrap w:val="0"/>
            <w:vAlign w:val="center"/>
          </w:tcPr>
          <w:p w14:paraId="3C2E0CC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总分</w:t>
            </w:r>
          </w:p>
        </w:tc>
        <w:tc>
          <w:tcPr>
            <w:tcW w:w="258" w:type="pct"/>
            <w:tcBorders>
              <w:top w:val="single" w:color="000000" w:sz="4" w:space="0"/>
              <w:left w:val="single" w:color="000000" w:sz="4" w:space="0"/>
              <w:bottom w:val="single" w:color="000000" w:sz="4" w:space="0"/>
              <w:right w:val="single" w:color="000000" w:sz="4" w:space="0"/>
            </w:tcBorders>
            <w:noWrap w:val="0"/>
            <w:vAlign w:val="center"/>
          </w:tcPr>
          <w:p w14:paraId="4BE8C8FC">
            <w:pPr>
              <w:jc w:val="center"/>
              <w:rPr>
                <w:rFonts w:hint="eastAsia" w:ascii="宋体" w:hAnsi="宋体" w:eastAsia="宋体" w:cs="宋体"/>
                <w:i w:val="0"/>
                <w:iCs w:val="0"/>
                <w:color w:val="000000"/>
                <w:sz w:val="22"/>
                <w:szCs w:val="22"/>
                <w:u w:val="none"/>
              </w:rPr>
            </w:pPr>
          </w:p>
        </w:tc>
        <w:tc>
          <w:tcPr>
            <w:tcW w:w="360" w:type="pct"/>
            <w:tcBorders>
              <w:top w:val="single" w:color="000000" w:sz="4" w:space="0"/>
              <w:left w:val="single" w:color="000000" w:sz="4" w:space="0"/>
              <w:bottom w:val="single" w:color="000000" w:sz="4" w:space="0"/>
              <w:right w:val="single" w:color="000000" w:sz="4" w:space="0"/>
            </w:tcBorders>
            <w:noWrap w:val="0"/>
            <w:vAlign w:val="center"/>
          </w:tcPr>
          <w:p w14:paraId="79581A8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387" w:type="pct"/>
            <w:tcBorders>
              <w:top w:val="single" w:color="000000" w:sz="4" w:space="0"/>
              <w:left w:val="single" w:color="000000" w:sz="4" w:space="0"/>
              <w:bottom w:val="single" w:color="000000" w:sz="4" w:space="0"/>
              <w:right w:val="single" w:color="000000" w:sz="4" w:space="0"/>
            </w:tcBorders>
            <w:noWrap w:val="0"/>
            <w:vAlign w:val="center"/>
          </w:tcPr>
          <w:p w14:paraId="08324059">
            <w:pPr>
              <w:jc w:val="center"/>
              <w:rPr>
                <w:rFonts w:hint="eastAsia" w:ascii="宋体" w:hAnsi="宋体" w:eastAsia="宋体" w:cs="宋体"/>
                <w:i w:val="0"/>
                <w:iCs w:val="0"/>
                <w:color w:val="000000"/>
                <w:sz w:val="22"/>
                <w:szCs w:val="22"/>
                <w:u w:val="none"/>
              </w:rPr>
            </w:pPr>
          </w:p>
        </w:tc>
        <w:tc>
          <w:tcPr>
            <w:tcW w:w="510" w:type="pct"/>
            <w:tcBorders>
              <w:top w:val="single" w:color="000000" w:sz="4" w:space="0"/>
              <w:left w:val="single" w:color="000000" w:sz="4" w:space="0"/>
              <w:bottom w:val="single" w:color="000000" w:sz="4" w:space="0"/>
              <w:right w:val="single" w:color="000000" w:sz="4" w:space="0"/>
            </w:tcBorders>
            <w:noWrap w:val="0"/>
            <w:vAlign w:val="center"/>
          </w:tcPr>
          <w:p w14:paraId="093992A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1484" w:type="pct"/>
            <w:tcBorders>
              <w:top w:val="single" w:color="000000" w:sz="4" w:space="0"/>
              <w:left w:val="single" w:color="000000" w:sz="4" w:space="0"/>
              <w:bottom w:val="single" w:color="000000" w:sz="4" w:space="0"/>
              <w:right w:val="single" w:color="000000" w:sz="4" w:space="0"/>
            </w:tcBorders>
            <w:noWrap w:val="0"/>
            <w:vAlign w:val="center"/>
          </w:tcPr>
          <w:p w14:paraId="2D3660A5">
            <w:pPr>
              <w:jc w:val="center"/>
              <w:rPr>
                <w:rFonts w:hint="eastAsia" w:ascii="宋体" w:hAnsi="宋体" w:eastAsia="宋体" w:cs="宋体"/>
                <w:i w:val="0"/>
                <w:iCs w:val="0"/>
                <w:color w:val="000000"/>
                <w:sz w:val="22"/>
                <w:szCs w:val="22"/>
                <w:u w:val="none"/>
              </w:rPr>
            </w:pPr>
          </w:p>
        </w:tc>
        <w:tc>
          <w:tcPr>
            <w:tcW w:w="472" w:type="pct"/>
            <w:tcBorders>
              <w:top w:val="single" w:color="000000" w:sz="4" w:space="0"/>
              <w:left w:val="single" w:color="000000" w:sz="4" w:space="0"/>
              <w:bottom w:val="single" w:color="000000" w:sz="4" w:space="0"/>
              <w:right w:val="single" w:color="000000" w:sz="4" w:space="0"/>
            </w:tcBorders>
            <w:noWrap w:val="0"/>
            <w:vAlign w:val="center"/>
          </w:tcPr>
          <w:p w14:paraId="0CF0EC87">
            <w:pPr>
              <w:jc w:val="center"/>
              <w:rPr>
                <w:rFonts w:hint="eastAsia" w:ascii="宋体" w:hAnsi="宋体" w:eastAsia="宋体" w:cs="宋体"/>
                <w:i w:val="0"/>
                <w:iCs w:val="0"/>
                <w:color w:val="000000"/>
                <w:sz w:val="22"/>
                <w:szCs w:val="22"/>
                <w:u w:val="none"/>
              </w:rPr>
            </w:pPr>
          </w:p>
        </w:tc>
        <w:tc>
          <w:tcPr>
            <w:tcW w:w="687" w:type="pct"/>
            <w:tcBorders>
              <w:top w:val="single" w:color="000000" w:sz="4" w:space="0"/>
              <w:left w:val="single" w:color="000000" w:sz="4" w:space="0"/>
              <w:bottom w:val="single" w:color="000000" w:sz="4" w:space="0"/>
              <w:right w:val="single" w:color="000000" w:sz="4" w:space="0"/>
            </w:tcBorders>
            <w:noWrap w:val="0"/>
            <w:vAlign w:val="center"/>
          </w:tcPr>
          <w:p w14:paraId="6525001B">
            <w:pPr>
              <w:jc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92.89</w:t>
            </w:r>
          </w:p>
        </w:tc>
        <w:tc>
          <w:tcPr>
            <w:tcW w:w="524" w:type="pct"/>
            <w:gridSpan w:val="2"/>
            <w:tcBorders>
              <w:top w:val="single" w:color="000000" w:sz="4" w:space="0"/>
              <w:left w:val="single" w:color="000000" w:sz="4" w:space="0"/>
              <w:bottom w:val="single" w:color="000000" w:sz="4" w:space="0"/>
              <w:right w:val="single" w:color="000000" w:sz="4" w:space="0"/>
            </w:tcBorders>
            <w:noWrap/>
            <w:vAlign w:val="center"/>
          </w:tcPr>
          <w:p w14:paraId="0561E050">
            <w:pPr>
              <w:jc w:val="left"/>
              <w:rPr>
                <w:rFonts w:hint="eastAsia" w:ascii="宋体" w:hAnsi="宋体" w:eastAsia="宋体" w:cs="宋体"/>
                <w:i w:val="0"/>
                <w:iCs w:val="0"/>
                <w:color w:val="000000"/>
                <w:sz w:val="22"/>
                <w:szCs w:val="22"/>
                <w:u w:val="none"/>
              </w:rPr>
            </w:pPr>
          </w:p>
        </w:tc>
      </w:tr>
      <w:tr w14:paraId="59AEFC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91" w:type="pct"/>
          <w:trHeight w:val="481" w:hRule="atLeast"/>
        </w:trPr>
        <w:tc>
          <w:tcPr>
            <w:tcW w:w="149" w:type="pct"/>
            <w:vMerge w:val="restart"/>
            <w:tcBorders>
              <w:top w:val="single" w:color="000000" w:sz="4" w:space="0"/>
              <w:left w:val="single" w:color="000000" w:sz="4" w:space="0"/>
              <w:bottom w:val="single" w:color="000000" w:sz="4" w:space="0"/>
              <w:right w:val="single" w:color="000000" w:sz="4" w:space="0"/>
            </w:tcBorders>
            <w:noWrap w:val="0"/>
            <w:vAlign w:val="center"/>
          </w:tcPr>
          <w:p w14:paraId="5F045BE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评价</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等次</w:t>
            </w:r>
          </w:p>
        </w:tc>
        <w:tc>
          <w:tcPr>
            <w:tcW w:w="4659" w:type="pct"/>
            <w:gridSpan w:val="9"/>
            <w:tcBorders>
              <w:top w:val="single" w:color="000000" w:sz="4" w:space="0"/>
              <w:left w:val="single" w:color="000000" w:sz="4" w:space="0"/>
              <w:bottom w:val="single" w:color="000000" w:sz="4" w:space="0"/>
              <w:right w:val="single" w:color="000000" w:sz="4" w:space="0"/>
            </w:tcBorders>
            <w:noWrap w:val="0"/>
            <w:vAlign w:val="center"/>
          </w:tcPr>
          <w:p w14:paraId="27C5A3F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Style w:val="10"/>
                <w:rFonts w:hint="eastAsia"/>
                <w:lang w:val="en-US" w:eastAsia="zh-CN" w:bidi="ar"/>
              </w:rPr>
              <w:t>优</w:t>
            </w:r>
            <w:r>
              <w:rPr>
                <w:rStyle w:val="10"/>
                <w:lang w:val="en-US" w:eastAsia="zh-CN" w:bidi="ar"/>
              </w:rPr>
              <w:t>☑        良□       中□       差□</w:t>
            </w:r>
          </w:p>
        </w:tc>
      </w:tr>
      <w:tr w14:paraId="0CC344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91" w:type="pct"/>
          <w:trHeight w:val="402" w:hRule="atLeast"/>
        </w:trPr>
        <w:tc>
          <w:tcPr>
            <w:tcW w:w="149" w:type="pct"/>
            <w:vMerge w:val="continue"/>
            <w:tcBorders>
              <w:top w:val="single" w:color="000000" w:sz="4" w:space="0"/>
              <w:left w:val="single" w:color="000000" w:sz="4" w:space="0"/>
              <w:bottom w:val="single" w:color="000000" w:sz="4" w:space="0"/>
              <w:right w:val="single" w:color="000000" w:sz="4" w:space="0"/>
            </w:tcBorders>
            <w:noWrap w:val="0"/>
            <w:vAlign w:val="center"/>
          </w:tcPr>
          <w:p w14:paraId="337213AA">
            <w:pPr>
              <w:jc w:val="center"/>
              <w:rPr>
                <w:rFonts w:hint="eastAsia" w:ascii="宋体" w:hAnsi="宋体" w:eastAsia="宋体" w:cs="宋体"/>
                <w:i w:val="0"/>
                <w:iCs w:val="0"/>
                <w:color w:val="000000"/>
                <w:sz w:val="22"/>
                <w:szCs w:val="22"/>
                <w:u w:val="none"/>
              </w:rPr>
            </w:pPr>
          </w:p>
        </w:tc>
        <w:tc>
          <w:tcPr>
            <w:tcW w:w="4659" w:type="pct"/>
            <w:gridSpan w:val="9"/>
            <w:tcBorders>
              <w:top w:val="single" w:color="000000" w:sz="4" w:space="0"/>
              <w:left w:val="single" w:color="000000" w:sz="4" w:space="0"/>
              <w:bottom w:val="single" w:color="000000" w:sz="4" w:space="0"/>
              <w:right w:val="single" w:color="000000" w:sz="4" w:space="0"/>
            </w:tcBorders>
            <w:noWrap w:val="0"/>
            <w:vAlign w:val="center"/>
          </w:tcPr>
          <w:p w14:paraId="0E0AFAC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90（含）-100分为优、80（含）-90分为良、60（含）-80分为中、60分以下为差</w:t>
            </w:r>
          </w:p>
        </w:tc>
      </w:tr>
    </w:tbl>
    <w:p w14:paraId="67A75161">
      <w:pPr>
        <w:numPr>
          <w:ilvl w:val="0"/>
          <w:numId w:val="0"/>
        </w:numPr>
        <w:ind w:leftChars="0"/>
      </w:pPr>
    </w:p>
    <w:p w14:paraId="44DED434">
      <w:pPr>
        <w:pStyle w:val="5"/>
        <w:rPr>
          <w:rFonts w:hint="eastAsia"/>
        </w:rPr>
      </w:pPr>
    </w:p>
    <w:p w14:paraId="074CC5A9">
      <w:pPr>
        <w:pStyle w:val="5"/>
        <w:numPr>
          <w:ilvl w:val="0"/>
          <w:numId w:val="0"/>
        </w:numPr>
        <w:ind w:leftChars="0"/>
        <w:rPr>
          <w:rFonts w:hint="eastAsia"/>
        </w:rPr>
      </w:pPr>
    </w:p>
    <w:p w14:paraId="7023B3D3">
      <w:pPr>
        <w:numPr>
          <w:ilvl w:val="0"/>
          <w:numId w:val="0"/>
        </w:numPr>
        <w:ind w:leftChars="0"/>
        <w:rPr>
          <w:rFonts w:hint="eastAsia"/>
        </w:rPr>
      </w:pPr>
    </w:p>
    <w:p w14:paraId="54D953DD">
      <w:pPr>
        <w:rPr>
          <w:rFonts w:hint="eastAsia"/>
        </w:rPr>
      </w:pPr>
    </w:p>
    <w:p w14:paraId="6386A4ED">
      <w:pPr>
        <w:rPr>
          <w:rFonts w:hint="eastAsia"/>
        </w:rPr>
      </w:pPr>
    </w:p>
    <w:p w14:paraId="2FAE4509">
      <w:pPr>
        <w:pStyle w:val="5"/>
        <w:numPr>
          <w:ilvl w:val="0"/>
          <w:numId w:val="0"/>
        </w:numPr>
        <w:ind w:leftChars="0"/>
        <w:rPr>
          <w:rFonts w:hint="eastAsia"/>
        </w:rPr>
      </w:pPr>
    </w:p>
    <w:p w14:paraId="7992CDCE">
      <w:pPr>
        <w:pStyle w:val="5"/>
        <w:rPr>
          <w:rFonts w:hint="eastAsia"/>
        </w:rPr>
      </w:pPr>
    </w:p>
    <w:p w14:paraId="03E0E72C">
      <w:pPr>
        <w:pStyle w:val="5"/>
        <w:rPr>
          <w:rFonts w:hint="eastAsia"/>
        </w:rPr>
      </w:pPr>
    </w:p>
    <w:p w14:paraId="1E566F1C">
      <w:pPr>
        <w:pStyle w:val="5"/>
        <w:numPr>
          <w:ilvl w:val="0"/>
          <w:numId w:val="0"/>
        </w:numPr>
        <w:ind w:leftChars="0"/>
        <w:rPr>
          <w:rFonts w:hint="eastAsia"/>
        </w:rPr>
      </w:pPr>
    </w:p>
    <w:p w14:paraId="71A5FBD8">
      <w:pPr>
        <w:pStyle w:val="5"/>
        <w:rPr>
          <w:rFonts w:hint="eastAsia"/>
        </w:rPr>
      </w:pPr>
    </w:p>
    <w:p w14:paraId="31963A9F">
      <w:pPr>
        <w:pStyle w:val="5"/>
        <w:rPr>
          <w:rFonts w:hint="eastAsia"/>
        </w:rPr>
      </w:pPr>
    </w:p>
    <w:p w14:paraId="3C71AB39">
      <w:pPr>
        <w:pStyle w:val="5"/>
        <w:rPr>
          <w:rFonts w:hint="eastAsia"/>
          <w:lang w:val="en-US" w:eastAsia="zh-CN"/>
        </w:rPr>
      </w:pPr>
    </w:p>
    <w:p w14:paraId="4C4AE443">
      <w:pPr>
        <w:pStyle w:val="5"/>
        <w:rPr>
          <w:rFonts w:hint="eastAsia"/>
          <w:lang w:val="en-US" w:eastAsia="zh-CN"/>
        </w:rPr>
      </w:pPr>
    </w:p>
    <w:p w14:paraId="64F5E5E9">
      <w:pPr>
        <w:pStyle w:val="5"/>
        <w:numPr>
          <w:ilvl w:val="0"/>
          <w:numId w:val="0"/>
        </w:numPr>
        <w:ind w:leftChars="200"/>
        <w:rPr>
          <w:rFonts w:hint="eastAsia"/>
        </w:rPr>
      </w:pPr>
    </w:p>
    <w:p w14:paraId="6776DFDD">
      <w:pPr>
        <w:pStyle w:val="5"/>
        <w:rPr>
          <w:rFonts w:hint="eastAsia"/>
          <w:lang w:val="en-US" w:eastAsia="zh-CN"/>
        </w:rPr>
      </w:pPr>
    </w:p>
    <w:p w14:paraId="62F50B33">
      <w:pPr>
        <w:pStyle w:val="5"/>
        <w:numPr>
          <w:ilvl w:val="0"/>
          <w:numId w:val="0"/>
        </w:numPr>
        <w:ind w:leftChars="0"/>
        <w:rPr>
          <w:rFonts w:hint="eastAsia"/>
        </w:rPr>
      </w:pPr>
    </w:p>
    <w:p w14:paraId="64797056">
      <w:pPr>
        <w:pStyle w:val="5"/>
        <w:rPr>
          <w:rFonts w:hint="eastAsia"/>
        </w:rPr>
      </w:pPr>
    </w:p>
    <w:p w14:paraId="2C027786">
      <w:pPr>
        <w:pStyle w:val="5"/>
        <w:rPr>
          <w:rFonts w:hint="eastAsia"/>
        </w:rPr>
      </w:pPr>
    </w:p>
    <w:p w14:paraId="54A8811D">
      <w:pPr>
        <w:pStyle w:val="5"/>
        <w:numPr>
          <w:ilvl w:val="0"/>
          <w:numId w:val="0"/>
        </w:numPr>
        <w:ind w:leftChars="200"/>
        <w:rPr>
          <w:rFonts w:hint="eastAsia"/>
        </w:rPr>
      </w:pPr>
    </w:p>
    <w:p w14:paraId="07492103">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150" w:beforeAutospacing="0" w:after="150" w:afterAutospacing="0" w:line="450" w:lineRule="atLeast"/>
        <w:ind w:right="0" w:firstLine="640" w:firstLineChars="200"/>
        <w:rPr>
          <w:rFonts w:hint="eastAsia" w:ascii="宋体" w:hAnsi="宋体" w:eastAsia="宋体" w:cs="宋体"/>
          <w:b w:val="0"/>
          <w:bCs/>
          <w:i w:val="0"/>
          <w:iCs w:val="0"/>
          <w:caps w:val="0"/>
          <w:color w:val="000000"/>
          <w:spacing w:val="0"/>
          <w:sz w:val="32"/>
          <w:szCs w:val="32"/>
          <w:shd w:val="clear" w:color="auto" w:fill="FFFFFF"/>
          <w:lang w:val="en-US" w:eastAsia="zh-CN"/>
        </w:rPr>
      </w:pPr>
    </w:p>
    <w:p w14:paraId="37A95F9B">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150" w:beforeAutospacing="0" w:after="150" w:afterAutospacing="0" w:line="450" w:lineRule="atLeast"/>
        <w:ind w:left="0" w:right="0" w:firstLine="420"/>
        <w:rPr>
          <w:rFonts w:hint="eastAsia" w:ascii="宋体" w:hAnsi="宋体" w:eastAsia="宋体" w:cs="宋体"/>
          <w:b w:val="0"/>
          <w:bCs/>
          <w:i w:val="0"/>
          <w:iCs w:val="0"/>
          <w:caps w:val="0"/>
          <w:color w:val="000000"/>
          <w:spacing w:val="0"/>
          <w:sz w:val="32"/>
          <w:szCs w:val="32"/>
          <w:shd w:val="clear" w:color="auto" w:fill="FFFFFF"/>
          <w:lang w:val="en-US" w:eastAsia="zh-CN"/>
        </w:rPr>
      </w:pPr>
    </w:p>
    <w:p w14:paraId="5CDCC790">
      <w:pPr>
        <w:pStyle w:val="4"/>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spacing w:before="150" w:beforeAutospacing="0" w:after="150" w:afterAutospacing="0" w:line="450" w:lineRule="atLeast"/>
        <w:ind w:leftChars="200" w:right="0" w:rightChars="0"/>
        <w:rPr>
          <w:rFonts w:hint="eastAsia" w:ascii="宋体" w:hAnsi="宋体" w:eastAsia="宋体" w:cs="宋体"/>
          <w:b w:val="0"/>
          <w:bCs/>
          <w:i w:val="0"/>
          <w:iCs w:val="0"/>
          <w:caps w:val="0"/>
          <w:color w:val="000000"/>
          <w:spacing w:val="0"/>
          <w:sz w:val="32"/>
          <w:szCs w:val="32"/>
          <w:shd w:val="clear" w:color="auto" w:fill="FFFFFF"/>
        </w:rPr>
      </w:pPr>
    </w:p>
    <w:p w14:paraId="0DE52CE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450" w:lineRule="atLeast"/>
        <w:ind w:left="0" w:right="0" w:firstLine="420"/>
        <w:textAlignment w:val="auto"/>
        <w:rPr>
          <w:rFonts w:hint="eastAsia" w:ascii="宋体" w:hAnsi="宋体" w:eastAsia="宋体" w:cs="宋体"/>
          <w:b w:val="0"/>
          <w:bCs/>
          <w:i w:val="0"/>
          <w:iCs w:val="0"/>
          <w:caps w:val="0"/>
          <w:color w:val="000000"/>
          <w:spacing w:val="0"/>
          <w:sz w:val="32"/>
          <w:szCs w:val="32"/>
          <w:shd w:val="clear" w:color="auto" w:fill="FFFFFF"/>
          <w:lang w:val="en-US" w:eastAsia="zh-CN"/>
        </w:rPr>
      </w:pPr>
    </w:p>
    <w:p w14:paraId="0D0CD741">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150" w:beforeAutospacing="0" w:after="150" w:afterAutospacing="0" w:line="450" w:lineRule="atLeast"/>
        <w:ind w:left="0" w:right="0" w:firstLine="420"/>
        <w:rPr>
          <w:rFonts w:hint="eastAsia" w:ascii="宋体" w:hAnsi="宋体" w:eastAsia="宋体" w:cs="宋体"/>
          <w:b w:val="0"/>
          <w:bCs/>
          <w:color w:val="000000"/>
          <w:sz w:val="32"/>
          <w:szCs w:val="32"/>
          <w:lang w:eastAsia="zh-CN"/>
        </w:rPr>
      </w:pPr>
    </w:p>
    <w:p w14:paraId="6C4266EC">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150" w:beforeAutospacing="0" w:after="150" w:afterAutospacing="0" w:line="450" w:lineRule="atLeast"/>
        <w:ind w:left="0" w:right="0" w:firstLine="420"/>
        <w:rPr>
          <w:rFonts w:hint="eastAsia" w:ascii="宋体" w:hAnsi="宋体" w:eastAsia="宋体" w:cs="宋体"/>
          <w:b w:val="0"/>
          <w:bCs/>
          <w:color w:val="000000"/>
          <w:sz w:val="32"/>
          <w:szCs w:val="32"/>
          <w:lang w:eastAsia="zh-CN"/>
        </w:rPr>
      </w:pPr>
    </w:p>
    <w:p w14:paraId="315CA062">
      <w:pPr>
        <w:pStyle w:val="2"/>
        <w:rPr>
          <w:rFonts w:hint="eastAsia"/>
        </w:rPr>
      </w:pPr>
    </w:p>
    <w:p w14:paraId="3DEAC751">
      <w:pPr>
        <w:pStyle w:val="5"/>
        <w:numPr>
          <w:ilvl w:val="0"/>
          <w:numId w:val="0"/>
        </w:numPr>
        <w:ind w:leftChars="200"/>
        <w:rPr>
          <w:rFonts w:hint="eastAsia"/>
        </w:rPr>
      </w:pPr>
    </w:p>
    <w:p w14:paraId="6D7FF53D">
      <w:pPr>
        <w:pStyle w:val="5"/>
        <w:numPr>
          <w:ilvl w:val="0"/>
          <w:numId w:val="0"/>
        </w:numPr>
        <w:ind w:leftChars="200"/>
        <w:rPr>
          <w:rFonts w:hint="eastAsia"/>
        </w:rPr>
      </w:pPr>
    </w:p>
    <w:p w14:paraId="65A4AB81">
      <w:pPr>
        <w:jc w:val="center"/>
        <w:rPr>
          <w:rFonts w:hint="default"/>
          <w:sz w:val="44"/>
          <w:szCs w:val="52"/>
          <w:lang w:val="en-US" w:eastAsia="zh-CN"/>
        </w:rPr>
      </w:pPr>
    </w:p>
    <w:p w14:paraId="4419521F">
      <w:pPr>
        <w:pStyle w:val="5"/>
        <w:rPr>
          <w:rFonts w:hint="default"/>
          <w:lang w:val="en-US" w:eastAsia="zh-CN"/>
        </w:rPr>
      </w:pPr>
    </w:p>
    <w:sectPr>
      <w:pgSz w:w="11906" w:h="16838"/>
      <w:pgMar w:top="1440" w:right="907" w:bottom="1440" w:left="1020"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楷体">
    <w:altName w:val="楷体_GB2312"/>
    <w:panose1 w:val="02010600040101010101"/>
    <w:charset w:val="86"/>
    <w:family w:val="auto"/>
    <w:pitch w:val="default"/>
    <w:sig w:usb0="00000000" w:usb1="00000000" w:usb2="00000000" w:usb3="00000000" w:csb0="0004009F" w:csb1="DFD7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5823A54"/>
    <w:multiLevelType w:val="singleLevel"/>
    <w:tmpl w:val="05823A54"/>
    <w:lvl w:ilvl="0" w:tentative="0">
      <w:start w:val="1"/>
      <w:numFmt w:val="chineseCounting"/>
      <w:suff w:val="nothing"/>
      <w:lvlText w:val="（%1）"/>
      <w:lvlJc w:val="left"/>
      <w:pPr>
        <w:ind w:left="0" w:firstLine="420"/>
      </w:pPr>
      <w:rPr>
        <w:rFonts w:hint="eastAsia"/>
      </w:rPr>
    </w:lvl>
  </w:abstractNum>
  <w:abstractNum w:abstractNumId="1">
    <w:nsid w:val="3CB2F77F"/>
    <w:multiLevelType w:val="singleLevel"/>
    <w:tmpl w:val="3CB2F77F"/>
    <w:lvl w:ilvl="0" w:tentative="0">
      <w:start w:val="1"/>
      <w:numFmt w:val="chineseCounting"/>
      <w:suff w:val="nothing"/>
      <w:lvlText w:val="（%1）"/>
      <w:lvlJc w:val="left"/>
      <w:rPr>
        <w:rFonts w:hint="eastAsia"/>
      </w:rPr>
    </w:lvl>
  </w:abstractNum>
  <w:abstractNum w:abstractNumId="2">
    <w:nsid w:val="5A5B0DDA"/>
    <w:multiLevelType w:val="singleLevel"/>
    <w:tmpl w:val="5A5B0DDA"/>
    <w:lvl w:ilvl="0" w:tentative="0">
      <w:start w:val="1"/>
      <w:numFmt w:val="chineseCounting"/>
      <w:suff w:val="nothing"/>
      <w:lvlText w:val="%1、"/>
      <w:lvlJc w:val="left"/>
      <w:rPr>
        <w:rFonts w:hint="eastAsia"/>
      </w:rPr>
    </w:lvl>
  </w:abstractNum>
  <w:abstractNum w:abstractNumId="3">
    <w:nsid w:val="663599F0"/>
    <w:multiLevelType w:val="singleLevel"/>
    <w:tmpl w:val="663599F0"/>
    <w:lvl w:ilvl="0" w:tentative="0">
      <w:start w:val="1"/>
      <w:numFmt w:val="chineseCounting"/>
      <w:suff w:val="nothing"/>
      <w:lvlText w:val="（%1）"/>
      <w:lvlJc w:val="left"/>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4"/>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mZlMDU0NjcwMmRjMjcxYTk4ZWJiNTM0ZTc3ZjFlNjIifQ=="/>
  </w:docVars>
  <w:rsids>
    <w:rsidRoot w:val="00000000"/>
    <w:rsid w:val="076D3A81"/>
    <w:rsid w:val="12891E36"/>
    <w:rsid w:val="1D1722B1"/>
    <w:rsid w:val="469320F9"/>
    <w:rsid w:val="48D82E52"/>
    <w:rsid w:val="4EC54091"/>
    <w:rsid w:val="563C156C"/>
    <w:rsid w:val="66751A9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qFormat/>
    <w:uiPriority w:val="0"/>
  </w:style>
  <w:style w:type="table" w:default="1" w:styleId="6">
    <w:name w:val="Normal Table"/>
    <w:autoRedefine/>
    <w:semiHidden/>
    <w:uiPriority w:val="0"/>
    <w:tblPr>
      <w:tblCellMar>
        <w:top w:w="0" w:type="dxa"/>
        <w:left w:w="108" w:type="dxa"/>
        <w:bottom w:w="0" w:type="dxa"/>
        <w:right w:w="108" w:type="dxa"/>
      </w:tblCellMar>
    </w:tblPr>
  </w:style>
  <w:style w:type="paragraph" w:styleId="2">
    <w:name w:val="Body Text"/>
    <w:basedOn w:val="1"/>
    <w:next w:val="1"/>
    <w:unhideWhenUsed/>
    <w:qFormat/>
    <w:uiPriority w:val="0"/>
    <w:pPr>
      <w:spacing w:beforeLines="0" w:after="120" w:afterLines="0"/>
    </w:pPr>
    <w:rPr>
      <w:rFonts w:hint="default"/>
      <w:sz w:val="21"/>
    </w:rPr>
  </w:style>
  <w:style w:type="paragraph" w:styleId="3">
    <w:name w:val="Body Text Indent"/>
    <w:basedOn w:val="1"/>
    <w:uiPriority w:val="0"/>
    <w:pPr>
      <w:spacing w:after="120"/>
      <w:ind w:left="420" w:leftChars="200"/>
    </w:pPr>
  </w:style>
  <w:style w:type="paragraph" w:styleId="4">
    <w:name w:val="Normal (Web)"/>
    <w:basedOn w:val="1"/>
    <w:qFormat/>
    <w:uiPriority w:val="0"/>
    <w:pPr>
      <w:spacing w:before="100" w:beforeAutospacing="1" w:after="100" w:afterAutospacing="1"/>
      <w:ind w:left="0" w:right="0"/>
      <w:jc w:val="left"/>
    </w:pPr>
    <w:rPr>
      <w:kern w:val="0"/>
      <w:sz w:val="24"/>
      <w:lang w:val="en-US" w:eastAsia="zh-CN" w:bidi="ar"/>
    </w:rPr>
  </w:style>
  <w:style w:type="paragraph" w:styleId="5">
    <w:name w:val="Body Text First Indent 2"/>
    <w:basedOn w:val="3"/>
    <w:next w:val="1"/>
    <w:autoRedefine/>
    <w:qFormat/>
    <w:uiPriority w:val="0"/>
    <w:pPr>
      <w:spacing w:after="0"/>
      <w:ind w:left="0" w:leftChars="0" w:firstLine="420" w:firstLineChars="200"/>
    </w:pPr>
    <w:rPr>
      <w:rFonts w:ascii="Calibri" w:hAnsi="Calibri"/>
    </w:rPr>
  </w:style>
  <w:style w:type="character" w:styleId="8">
    <w:name w:val="Strong"/>
    <w:basedOn w:val="7"/>
    <w:qFormat/>
    <w:uiPriority w:val="0"/>
    <w:rPr>
      <w:b/>
    </w:rPr>
  </w:style>
  <w:style w:type="character" w:customStyle="1" w:styleId="9">
    <w:name w:val="font01"/>
    <w:basedOn w:val="7"/>
    <w:autoRedefine/>
    <w:qFormat/>
    <w:uiPriority w:val="0"/>
    <w:rPr>
      <w:rFonts w:hint="eastAsia" w:ascii="宋体" w:hAnsi="宋体" w:eastAsia="宋体" w:cs="宋体"/>
      <w:color w:val="000000"/>
      <w:sz w:val="22"/>
      <w:szCs w:val="22"/>
      <w:u w:val="none"/>
    </w:rPr>
  </w:style>
  <w:style w:type="character" w:customStyle="1" w:styleId="10">
    <w:name w:val="font51"/>
    <w:basedOn w:val="7"/>
    <w:autoRedefine/>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3329</Words>
  <Characters>3426</Characters>
  <Lines>0</Lines>
  <Paragraphs>0</Paragraphs>
  <TotalTime>11</TotalTime>
  <ScaleCrop>false</ScaleCrop>
  <LinksUpToDate>false</LinksUpToDate>
  <CharactersWithSpaces>3434</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2025-03-04T07:53:00Z</dcterms:created>
  <dc:creator>思思</dc:creator>
  <cp:lastModifiedBy>‭‭‭‭  舌尖上的口疮</cp:lastModifiedBy>
  <dcterms:modified xsi:type="dcterms:W3CDTF">2025-04-01T08:46:52Z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5924009D300F48AF91E84C7489E612DE_12</vt:lpwstr>
  </property>
  <property fmtid="{D5CDD505-2E9C-101B-9397-08002B2CF9AE}" pid="4" name="KSOTemplateDocerSaveRecord">
    <vt:lpwstr>eyJoZGlkIjoiZDdiODcwNWJlMTg2OWE4ZWI1ZmVhZmI5YjQ2Y2I4ZjUiLCJ1c2VySWQiOiI2NTg0MjQ2OTgifQ==</vt:lpwstr>
  </property>
</Properties>
</file>