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Autospacing="0" w:line="520" w:lineRule="exact"/>
        <w:jc w:val="center"/>
        <w:rPr>
          <w:rFonts w:ascii="方正小标宋简体" w:hAnsi="宋体" w:eastAsia="方正小标宋简体" w:cs="宋体"/>
          <w:color w:val="333333"/>
          <w:sz w:val="44"/>
          <w:szCs w:val="44"/>
        </w:rPr>
      </w:pPr>
      <w:r>
        <w:rPr>
          <w:rFonts w:hint="eastAsia" w:ascii="方正小标宋简体" w:hAnsi="宋体" w:eastAsia="方正小标宋简体" w:cs="宋体"/>
          <w:b/>
          <w:color w:val="333333"/>
          <w:sz w:val="44"/>
          <w:szCs w:val="44"/>
          <w:shd w:val="clear" w:color="auto" w:fill="FFFFFF"/>
        </w:rPr>
        <w:t>青云谱区统计局2020年政府信息公开工作年度报告</w:t>
      </w:r>
    </w:p>
    <w:p>
      <w:pPr>
        <w:pStyle w:val="4"/>
        <w:widowControl/>
        <w:shd w:val="clear" w:color="auto" w:fill="FFFFFF"/>
        <w:spacing w:beforeAutospacing="0" w:afterAutospacing="0"/>
        <w:ind w:firstLine="420"/>
        <w:jc w:val="both"/>
        <w:rPr>
          <w:rFonts w:ascii="宋体" w:hAnsi="宋体" w:eastAsia="宋体" w:cs="宋体"/>
          <w:color w:val="333333"/>
          <w:sz w:val="32"/>
          <w:szCs w:val="32"/>
        </w:rPr>
      </w:pPr>
    </w:p>
    <w:p>
      <w:pPr>
        <w:pStyle w:val="4"/>
        <w:widowControl/>
        <w:shd w:val="clear" w:color="auto" w:fill="FFFFFF"/>
        <w:spacing w:beforeAutospacing="0" w:afterAutospacing="0"/>
        <w:ind w:firstLine="640" w:firstLineChars="200"/>
        <w:jc w:val="both"/>
        <w:rPr>
          <w:rFonts w:ascii="仿宋_GB2312" w:hAnsi="宋体" w:eastAsia="仿宋_GB2312" w:cs="宋体"/>
          <w:color w:val="000000" w:themeColor="text1"/>
          <w:sz w:val="32"/>
          <w:szCs w:val="32"/>
        </w:rPr>
      </w:pPr>
      <w:r>
        <w:rPr>
          <w:rFonts w:hint="eastAsia" w:ascii="仿宋_GB2312" w:hAnsi="宋体" w:eastAsia="仿宋_GB2312" w:cs="宋体"/>
          <w:color w:val="000000" w:themeColor="text1"/>
          <w:sz w:val="32"/>
          <w:szCs w:val="32"/>
        </w:rPr>
        <w:t>本报告依据《中华人民共和国政府信息公开条例》（国务院令第711号，以下简称新《条例》）和《国务院办公厅政府信息与政务公开办公室关于政府信息公开工作年度报告有关事项的通知》（国办公开办函〔2019〕60号）要求，由青云谱区统计局结合有关统计数据编制。本年度报告中所列数据的统计期限自2020年1月1日起至2020年12月31日止。全文包括总体情况、主动公开政府信息情况、收到和处理政府信息公开申请情况、政府信息公开行政复议行政诉讼情况、存在的主要问题及改进情况、其他需要报告的事项。本年度报告的电子版可以从青云谱人民政府网站（</w:t>
      </w:r>
      <w:r>
        <w:rPr>
          <w:rFonts w:hint="eastAsia" w:ascii="仿宋_GB2312" w:eastAsia="仿宋_GB2312"/>
          <w:color w:val="000000" w:themeColor="text1"/>
          <w:sz w:val="32"/>
          <w:szCs w:val="32"/>
          <w:shd w:val="clear" w:color="auto" w:fill="FFFFFF"/>
        </w:rPr>
        <w:t>http://xxgk.nc.gov.cn/qypqrmzf/index.shtml</w:t>
      </w:r>
      <w:r>
        <w:rPr>
          <w:rFonts w:hint="eastAsia" w:ascii="仿宋_GB2312" w:hAnsi="宋体" w:eastAsia="仿宋_GB2312" w:cs="宋体"/>
          <w:color w:val="000000" w:themeColor="text1"/>
          <w:sz w:val="32"/>
          <w:szCs w:val="32"/>
        </w:rPr>
        <w:t>）下载。如对本报告有任何疑问，请与青云谱区统计局政府信息公开领导小组办公室联系（地址：广州路268号，电话：88461970，邮编：330001）。</w:t>
      </w:r>
    </w:p>
    <w:p>
      <w:pPr>
        <w:pStyle w:val="4"/>
        <w:widowControl/>
        <w:numPr>
          <w:ilvl w:val="0"/>
          <w:numId w:val="1"/>
        </w:numPr>
        <w:shd w:val="clear" w:color="auto" w:fill="FFFFFF"/>
        <w:spacing w:beforeAutospacing="0" w:afterAutospacing="0"/>
        <w:ind w:firstLine="643" w:firstLineChars="200"/>
        <w:jc w:val="both"/>
        <w:rPr>
          <w:rFonts w:ascii="黑体" w:hAnsi="黑体" w:eastAsia="黑体" w:cs="宋体"/>
          <w:b/>
          <w:color w:val="000000" w:themeColor="text1"/>
          <w:sz w:val="32"/>
          <w:szCs w:val="32"/>
          <w:shd w:val="clear" w:color="auto" w:fill="FFFFFF"/>
        </w:rPr>
      </w:pPr>
      <w:r>
        <w:rPr>
          <w:rFonts w:hint="eastAsia" w:ascii="黑体" w:hAnsi="黑体" w:eastAsia="黑体" w:cs="黑体"/>
          <w:b/>
          <w:bCs/>
          <w:color w:val="000000" w:themeColor="text1"/>
          <w:sz w:val="32"/>
          <w:szCs w:val="32"/>
          <w:shd w:val="clear" w:color="auto" w:fill="FFFFFF"/>
        </w:rPr>
        <w:t>总体情况</w:t>
      </w:r>
    </w:p>
    <w:p>
      <w:pPr>
        <w:pStyle w:val="4"/>
        <w:widowControl/>
        <w:shd w:val="clear" w:color="auto" w:fill="FFFFFF"/>
        <w:spacing w:beforeAutospacing="0" w:afterAutospacing="0"/>
        <w:ind w:firstLine="640" w:firstLineChars="200"/>
        <w:jc w:val="both"/>
        <w:rPr>
          <w:rFonts w:ascii="仿宋_GB2312" w:hAnsi="宋体" w:eastAsia="仿宋_GB2312" w:cs="宋体"/>
          <w:color w:val="000000" w:themeColor="text1"/>
          <w:sz w:val="32"/>
          <w:szCs w:val="32"/>
          <w:shd w:val="clear" w:color="auto" w:fill="FFFFFF"/>
        </w:rPr>
      </w:pPr>
      <w:r>
        <w:rPr>
          <w:rFonts w:hint="eastAsia" w:ascii="仿宋_GB2312" w:hAnsi="宋体" w:eastAsia="仿宋_GB2312" w:cs="宋体"/>
          <w:color w:val="000000" w:themeColor="text1"/>
          <w:sz w:val="32"/>
          <w:szCs w:val="32"/>
          <w:shd w:val="clear" w:color="auto" w:fill="FFFFFF"/>
        </w:rPr>
        <w:t>2020年，青云谱区统计局坚持以习近平新时代中国特色社会主义思想为指导，深入贯彻党的十九大和十九届二中、三中、四中、五中全会精神，严格落实《国务院办公厅印发〈关于全面推进政务公开工作的意见〉实施细则的通知》（国办发〔2016〕80号）和《国务院办公厅关于印发2020年政务公开工作要点的通知》（国办发〔2020〕17号）的要求，紧紧围绕区委、区政府中心工作及社会群众关注关切的热点难点问题，着力提升政府信息公开质量，推进拓宽政府信息公开渠道，加强统计分析、推进统计公开、规范资料发布、丰富统计资料公布载体和方式，不断增强政府信息公开实效。</w:t>
      </w:r>
    </w:p>
    <w:p>
      <w:pPr>
        <w:pStyle w:val="4"/>
        <w:widowControl/>
        <w:shd w:val="clear" w:color="auto" w:fill="FFFFFF"/>
        <w:spacing w:beforeAutospacing="0" w:afterAutospacing="0"/>
        <w:ind w:firstLine="643" w:firstLineChars="200"/>
        <w:jc w:val="both"/>
        <w:rPr>
          <w:rFonts w:ascii="楷体_GB2312" w:hAnsi="楷体" w:eastAsia="楷体_GB2312" w:cs="楷体"/>
          <w:b/>
          <w:color w:val="000000" w:themeColor="text1"/>
          <w:sz w:val="32"/>
          <w:szCs w:val="32"/>
          <w:shd w:val="clear" w:color="auto" w:fill="FFFFFF"/>
        </w:rPr>
      </w:pPr>
      <w:r>
        <w:rPr>
          <w:rFonts w:hint="eastAsia" w:ascii="楷体_GB2312" w:hAnsi="楷体" w:eastAsia="楷体_GB2312" w:cs="楷体"/>
          <w:b/>
          <w:color w:val="000000" w:themeColor="text1"/>
          <w:sz w:val="32"/>
          <w:szCs w:val="32"/>
          <w:shd w:val="clear" w:color="auto" w:fill="FFFFFF"/>
        </w:rPr>
        <w:t>（一）主动公开</w:t>
      </w:r>
    </w:p>
    <w:p>
      <w:pPr>
        <w:pStyle w:val="4"/>
        <w:widowControl/>
        <w:shd w:val="clear" w:color="auto" w:fill="FFFFFF"/>
        <w:spacing w:beforeAutospacing="0" w:afterAutospacing="0"/>
        <w:ind w:firstLine="640" w:firstLineChars="200"/>
        <w:jc w:val="both"/>
        <w:rPr>
          <w:rFonts w:ascii="仿宋_GB2312" w:hAnsi="仿宋" w:eastAsia="仿宋_GB2312"/>
          <w:color w:val="000000" w:themeColor="text1"/>
          <w:sz w:val="32"/>
          <w:szCs w:val="32"/>
          <w:shd w:val="clear" w:color="auto" w:fill="FFFFFF"/>
        </w:rPr>
      </w:pPr>
      <w:r>
        <w:rPr>
          <w:rFonts w:hint="eastAsia" w:ascii="仿宋_GB2312" w:hAnsi="仿宋" w:eastAsia="仿宋_GB2312"/>
          <w:color w:val="000000" w:themeColor="text1"/>
          <w:sz w:val="32"/>
          <w:szCs w:val="32"/>
          <w:shd w:val="clear" w:color="auto" w:fill="FFFFFF"/>
        </w:rPr>
        <w:t>2020年，青云谱区统计局主动公开信息共计</w:t>
      </w:r>
      <w:r>
        <w:rPr>
          <w:rFonts w:hint="eastAsia" w:ascii="仿宋_GB2312" w:hAnsi="仿宋" w:eastAsia="仿宋_GB2312"/>
          <w:color w:val="000000" w:themeColor="text1"/>
          <w:sz w:val="32"/>
          <w:szCs w:val="32"/>
          <w:shd w:val="clear" w:color="auto" w:fill="FFFFFF"/>
          <w:lang w:val="en-US" w:eastAsia="zh-CN"/>
        </w:rPr>
        <w:t>151</w:t>
      </w:r>
      <w:r>
        <w:rPr>
          <w:rFonts w:hint="eastAsia" w:ascii="仿宋_GB2312" w:hAnsi="仿宋" w:eastAsia="仿宋_GB2312"/>
          <w:color w:val="000000" w:themeColor="text1"/>
          <w:sz w:val="32"/>
          <w:szCs w:val="32"/>
          <w:shd w:val="clear" w:color="auto" w:fill="FFFFFF"/>
        </w:rPr>
        <w:t>条。其中主动公开</w:t>
      </w:r>
      <w:r>
        <w:rPr>
          <w:rFonts w:hint="eastAsia" w:ascii="仿宋_GB2312" w:hAnsi="仿宋" w:eastAsia="仿宋_GB2312"/>
          <w:color w:val="000000" w:themeColor="text1"/>
          <w:sz w:val="32"/>
          <w:szCs w:val="32"/>
          <w:shd w:val="clear" w:color="auto" w:fill="FFFFFF"/>
          <w:lang w:val="en-US" w:eastAsia="zh-CN"/>
        </w:rPr>
        <w:t>部门介绍</w:t>
      </w:r>
      <w:r>
        <w:rPr>
          <w:rFonts w:hint="eastAsia" w:ascii="仿宋_GB2312" w:hAnsi="仿宋" w:eastAsia="仿宋_GB2312"/>
          <w:color w:val="000000" w:themeColor="text1"/>
          <w:sz w:val="32"/>
          <w:szCs w:val="32"/>
          <w:shd w:val="clear" w:color="auto" w:fill="FFFFFF"/>
        </w:rPr>
        <w:t>、</w:t>
      </w:r>
      <w:r>
        <w:rPr>
          <w:rFonts w:hint="eastAsia" w:ascii="仿宋_GB2312" w:hAnsi="仿宋" w:eastAsia="仿宋_GB2312"/>
          <w:color w:val="000000" w:themeColor="text1"/>
          <w:sz w:val="32"/>
          <w:szCs w:val="32"/>
          <w:shd w:val="clear" w:color="auto" w:fill="FFFFFF"/>
          <w:lang w:val="en-US" w:eastAsia="zh-CN"/>
        </w:rPr>
        <w:t>领导信息</w:t>
      </w:r>
      <w:r>
        <w:rPr>
          <w:rFonts w:hint="eastAsia" w:ascii="仿宋_GB2312" w:hAnsi="仿宋" w:eastAsia="仿宋_GB2312"/>
          <w:color w:val="000000" w:themeColor="text1"/>
          <w:sz w:val="32"/>
          <w:szCs w:val="32"/>
          <w:shd w:val="clear" w:color="auto" w:fill="FFFFFF"/>
        </w:rPr>
        <w:t>及</w:t>
      </w:r>
      <w:r>
        <w:rPr>
          <w:rFonts w:hint="eastAsia" w:ascii="仿宋_GB2312" w:hAnsi="仿宋" w:eastAsia="仿宋_GB2312"/>
          <w:color w:val="000000" w:themeColor="text1"/>
          <w:sz w:val="32"/>
          <w:szCs w:val="32"/>
          <w:shd w:val="clear" w:color="auto" w:fill="FFFFFF"/>
          <w:lang w:val="en-US" w:eastAsia="zh-CN"/>
        </w:rPr>
        <w:t>机构职能信息6</w:t>
      </w:r>
      <w:r>
        <w:rPr>
          <w:rFonts w:hint="eastAsia" w:ascii="仿宋_GB2312" w:hAnsi="仿宋" w:eastAsia="仿宋_GB2312"/>
          <w:color w:val="000000" w:themeColor="text1"/>
          <w:sz w:val="32"/>
          <w:szCs w:val="32"/>
          <w:shd w:val="clear" w:color="auto" w:fill="FFFFFF"/>
        </w:rPr>
        <w:t>条、规划信息</w:t>
      </w:r>
      <w:r>
        <w:rPr>
          <w:rFonts w:hint="eastAsia" w:ascii="仿宋_GB2312" w:hAnsi="仿宋" w:eastAsia="仿宋_GB2312"/>
          <w:color w:val="000000" w:themeColor="text1"/>
          <w:sz w:val="32"/>
          <w:szCs w:val="32"/>
          <w:shd w:val="clear" w:color="auto" w:fill="FFFFFF"/>
          <w:lang w:val="en-US" w:eastAsia="zh-CN"/>
        </w:rPr>
        <w:t>1</w:t>
      </w:r>
      <w:r>
        <w:rPr>
          <w:rFonts w:hint="eastAsia" w:ascii="仿宋_GB2312" w:hAnsi="仿宋" w:eastAsia="仿宋_GB2312"/>
          <w:color w:val="000000" w:themeColor="text1"/>
          <w:sz w:val="32"/>
          <w:szCs w:val="32"/>
          <w:shd w:val="clear" w:color="auto" w:fill="FFFFFF"/>
        </w:rPr>
        <w:t>条、财务预决算及“三公”经费信息</w:t>
      </w:r>
      <w:r>
        <w:rPr>
          <w:rFonts w:hint="eastAsia" w:ascii="仿宋_GB2312" w:hAnsi="仿宋" w:eastAsia="仿宋_GB2312"/>
          <w:color w:val="000000" w:themeColor="text1"/>
          <w:sz w:val="32"/>
          <w:szCs w:val="32"/>
          <w:shd w:val="clear" w:color="auto" w:fill="FFFFFF"/>
          <w:lang w:val="en-US" w:eastAsia="zh-CN"/>
        </w:rPr>
        <w:t>6</w:t>
      </w:r>
      <w:r>
        <w:rPr>
          <w:rFonts w:hint="eastAsia" w:ascii="仿宋_GB2312" w:hAnsi="仿宋" w:eastAsia="仿宋_GB2312"/>
          <w:color w:val="000000" w:themeColor="text1"/>
          <w:sz w:val="32"/>
          <w:szCs w:val="32"/>
          <w:shd w:val="clear" w:color="auto" w:fill="FFFFFF"/>
        </w:rPr>
        <w:t>条、</w:t>
      </w:r>
      <w:r>
        <w:rPr>
          <w:rFonts w:hint="eastAsia" w:ascii="仿宋_GB2312" w:hAnsi="仿宋" w:eastAsia="仿宋_GB2312"/>
          <w:color w:val="000000" w:themeColor="text1"/>
          <w:sz w:val="32"/>
          <w:szCs w:val="32"/>
          <w:shd w:val="clear" w:color="auto" w:fill="FFFFFF"/>
          <w:lang w:val="en-US" w:eastAsia="zh-CN"/>
        </w:rPr>
        <w:t>人事</w:t>
      </w:r>
      <w:r>
        <w:rPr>
          <w:rFonts w:hint="eastAsia" w:ascii="仿宋_GB2312" w:hAnsi="仿宋" w:eastAsia="仿宋_GB2312"/>
          <w:color w:val="000000" w:themeColor="text1"/>
          <w:sz w:val="32"/>
          <w:szCs w:val="32"/>
          <w:shd w:val="clear" w:color="auto" w:fill="FFFFFF"/>
        </w:rPr>
        <w:t>信息</w:t>
      </w:r>
      <w:r>
        <w:rPr>
          <w:rFonts w:hint="eastAsia" w:ascii="仿宋_GB2312" w:hAnsi="仿宋" w:eastAsia="仿宋_GB2312"/>
          <w:color w:val="000000" w:themeColor="text1"/>
          <w:sz w:val="32"/>
          <w:szCs w:val="32"/>
          <w:shd w:val="clear" w:color="auto" w:fill="FFFFFF"/>
          <w:lang w:val="en-US" w:eastAsia="zh-CN"/>
        </w:rPr>
        <w:t>1</w:t>
      </w:r>
      <w:r>
        <w:rPr>
          <w:rFonts w:hint="eastAsia" w:ascii="仿宋_GB2312" w:hAnsi="仿宋" w:eastAsia="仿宋_GB2312"/>
          <w:color w:val="000000" w:themeColor="text1"/>
          <w:sz w:val="32"/>
          <w:szCs w:val="32"/>
          <w:shd w:val="clear" w:color="auto" w:fill="FFFFFF"/>
        </w:rPr>
        <w:t>条、行政</w:t>
      </w:r>
      <w:r>
        <w:rPr>
          <w:rFonts w:hint="eastAsia" w:ascii="仿宋_GB2312" w:hAnsi="仿宋" w:eastAsia="仿宋_GB2312"/>
          <w:color w:val="000000" w:themeColor="text1"/>
          <w:sz w:val="32"/>
          <w:szCs w:val="32"/>
          <w:shd w:val="clear" w:color="auto" w:fill="FFFFFF"/>
          <w:lang w:val="en-US" w:eastAsia="zh-CN"/>
        </w:rPr>
        <w:t>执法</w:t>
      </w:r>
      <w:r>
        <w:rPr>
          <w:rFonts w:hint="eastAsia" w:ascii="仿宋_GB2312" w:hAnsi="仿宋" w:eastAsia="仿宋_GB2312"/>
          <w:color w:val="000000" w:themeColor="text1"/>
          <w:sz w:val="32"/>
          <w:szCs w:val="32"/>
          <w:shd w:val="clear" w:color="auto" w:fill="FFFFFF"/>
        </w:rPr>
        <w:t>信息</w:t>
      </w:r>
      <w:r>
        <w:rPr>
          <w:rFonts w:hint="eastAsia" w:ascii="仿宋_GB2312" w:hAnsi="仿宋" w:eastAsia="仿宋_GB2312"/>
          <w:color w:val="000000" w:themeColor="text1"/>
          <w:sz w:val="32"/>
          <w:szCs w:val="32"/>
          <w:shd w:val="clear" w:color="auto" w:fill="FFFFFF"/>
          <w:lang w:val="en-US" w:eastAsia="zh-CN"/>
        </w:rPr>
        <w:t>2</w:t>
      </w:r>
      <w:r>
        <w:rPr>
          <w:rFonts w:hint="eastAsia" w:ascii="仿宋_GB2312" w:hAnsi="仿宋" w:eastAsia="仿宋_GB2312"/>
          <w:color w:val="000000" w:themeColor="text1"/>
          <w:sz w:val="32"/>
          <w:szCs w:val="32"/>
          <w:shd w:val="clear" w:color="auto" w:fill="FFFFFF"/>
        </w:rPr>
        <w:t>条、</w:t>
      </w:r>
      <w:r>
        <w:rPr>
          <w:rFonts w:hint="eastAsia" w:ascii="仿宋_GB2312" w:hAnsi="仿宋" w:eastAsia="仿宋_GB2312"/>
          <w:color w:val="000000" w:themeColor="text1"/>
          <w:sz w:val="32"/>
          <w:szCs w:val="32"/>
          <w:shd w:val="clear" w:color="auto" w:fill="FFFFFF"/>
          <w:lang w:val="en-US" w:eastAsia="zh-CN"/>
        </w:rPr>
        <w:t>失信企业公示信息1</w:t>
      </w:r>
      <w:r>
        <w:rPr>
          <w:rFonts w:hint="eastAsia" w:ascii="仿宋_GB2312" w:hAnsi="仿宋" w:eastAsia="仿宋_GB2312"/>
          <w:color w:val="000000" w:themeColor="text1"/>
          <w:sz w:val="32"/>
          <w:szCs w:val="32"/>
          <w:shd w:val="clear" w:color="auto" w:fill="FFFFFF"/>
        </w:rPr>
        <w:t>条、工作动态</w:t>
      </w:r>
      <w:r>
        <w:rPr>
          <w:rFonts w:hint="eastAsia" w:ascii="仿宋_GB2312" w:hAnsi="仿宋" w:eastAsia="仿宋_GB2312"/>
          <w:color w:val="000000" w:themeColor="text1"/>
          <w:sz w:val="32"/>
          <w:szCs w:val="32"/>
          <w:shd w:val="clear" w:color="auto" w:fill="FFFFFF"/>
          <w:lang w:val="en-US" w:eastAsia="zh-CN"/>
        </w:rPr>
        <w:t>59</w:t>
      </w:r>
      <w:r>
        <w:rPr>
          <w:rFonts w:hint="eastAsia" w:ascii="仿宋_GB2312" w:hAnsi="仿宋" w:eastAsia="仿宋_GB2312"/>
          <w:color w:val="000000" w:themeColor="text1"/>
          <w:sz w:val="32"/>
          <w:szCs w:val="32"/>
          <w:shd w:val="clear" w:color="auto" w:fill="FFFFFF"/>
        </w:rPr>
        <w:t>条、其他统计信息</w:t>
      </w:r>
      <w:r>
        <w:rPr>
          <w:rFonts w:hint="eastAsia" w:ascii="仿宋_GB2312" w:hAnsi="仿宋" w:eastAsia="仿宋_GB2312"/>
          <w:color w:val="000000" w:themeColor="text1"/>
          <w:sz w:val="32"/>
          <w:szCs w:val="32"/>
          <w:shd w:val="clear" w:color="auto" w:fill="FFFFFF"/>
          <w:lang w:val="en-US" w:eastAsia="zh-CN"/>
        </w:rPr>
        <w:t>75</w:t>
      </w:r>
      <w:r>
        <w:rPr>
          <w:rFonts w:hint="eastAsia" w:ascii="仿宋_GB2312" w:hAnsi="仿宋" w:eastAsia="仿宋_GB2312"/>
          <w:color w:val="000000" w:themeColor="text1"/>
          <w:sz w:val="32"/>
          <w:szCs w:val="32"/>
          <w:shd w:val="clear" w:color="auto" w:fill="FFFFFF"/>
        </w:rPr>
        <w:t>条。</w:t>
      </w:r>
    </w:p>
    <w:p>
      <w:pPr>
        <w:pStyle w:val="4"/>
        <w:widowControl/>
        <w:shd w:val="clear" w:color="auto" w:fill="FFFFFF"/>
        <w:spacing w:beforeAutospacing="0" w:afterAutospacing="0"/>
        <w:ind w:firstLine="643" w:firstLineChars="200"/>
        <w:jc w:val="both"/>
        <w:rPr>
          <w:rFonts w:ascii="楷体_GB2312" w:hAnsi="楷体" w:eastAsia="楷体_GB2312" w:cs="楷体"/>
          <w:b/>
          <w:color w:val="000000" w:themeColor="text1"/>
          <w:sz w:val="32"/>
          <w:szCs w:val="32"/>
          <w:shd w:val="clear" w:color="auto" w:fill="FFFFFF"/>
        </w:rPr>
      </w:pPr>
      <w:r>
        <w:rPr>
          <w:rFonts w:hint="eastAsia" w:ascii="楷体_GB2312" w:hAnsi="楷体" w:eastAsia="楷体_GB2312" w:cs="楷体"/>
          <w:b/>
          <w:color w:val="000000" w:themeColor="text1"/>
          <w:sz w:val="32"/>
          <w:szCs w:val="32"/>
          <w:shd w:val="clear" w:color="auto" w:fill="FFFFFF"/>
        </w:rPr>
        <w:t>（二）依申请公开</w:t>
      </w:r>
    </w:p>
    <w:p>
      <w:pPr>
        <w:pStyle w:val="4"/>
        <w:widowControl/>
        <w:shd w:val="clear" w:color="auto" w:fill="FFFFFF"/>
        <w:spacing w:beforeAutospacing="0" w:afterAutospacing="0"/>
        <w:ind w:firstLine="640" w:firstLineChars="200"/>
        <w:jc w:val="both"/>
        <w:rPr>
          <w:rFonts w:ascii="仿宋_GB2312" w:hAnsi="宋体" w:eastAsia="仿宋_GB2312" w:cs="宋体"/>
          <w:color w:val="000000" w:themeColor="text1"/>
          <w:sz w:val="32"/>
          <w:szCs w:val="32"/>
          <w:shd w:val="clear" w:color="auto" w:fill="FFFFFF"/>
        </w:rPr>
      </w:pPr>
      <w:r>
        <w:rPr>
          <w:rFonts w:hint="eastAsia" w:ascii="仿宋_GB2312" w:hAnsi="仿宋" w:eastAsia="仿宋_GB2312"/>
          <w:color w:val="000000" w:themeColor="text1"/>
          <w:sz w:val="32"/>
          <w:szCs w:val="32"/>
          <w:shd w:val="clear" w:color="auto" w:fill="FFFFFF"/>
        </w:rPr>
        <w:t>2020年，青云谱区统计局共收到政府信息公开申请0件，已经根据新修订的《中华人民共和国政府信息公开条例》向申请人部分公开申请内容，没有向申请人收取任何费用。在本年度也未发生针对本局政府信息公开的行政复议申请和行政诉讼。</w:t>
      </w:r>
    </w:p>
    <w:p>
      <w:pPr>
        <w:pStyle w:val="4"/>
        <w:widowControl/>
        <w:shd w:val="clear" w:color="auto" w:fill="FFFFFF"/>
        <w:spacing w:beforeAutospacing="0" w:afterAutospacing="0"/>
        <w:ind w:firstLine="643" w:firstLineChars="200"/>
        <w:jc w:val="both"/>
        <w:rPr>
          <w:rFonts w:ascii="楷体_GB2312" w:hAnsi="楷体" w:eastAsia="楷体_GB2312" w:cs="楷体"/>
          <w:b/>
          <w:color w:val="000000" w:themeColor="text1"/>
          <w:sz w:val="32"/>
          <w:szCs w:val="32"/>
          <w:shd w:val="clear" w:color="auto" w:fill="FFFFFF"/>
        </w:rPr>
      </w:pPr>
      <w:r>
        <w:rPr>
          <w:rFonts w:hint="eastAsia" w:ascii="楷体_GB2312" w:hAnsi="楷体" w:eastAsia="楷体_GB2312" w:cs="楷体"/>
          <w:b/>
          <w:color w:val="000000" w:themeColor="text1"/>
          <w:sz w:val="32"/>
          <w:szCs w:val="32"/>
          <w:shd w:val="clear" w:color="auto" w:fill="FFFFFF"/>
        </w:rPr>
        <w:t>（三）政府信息管理</w:t>
      </w:r>
    </w:p>
    <w:p>
      <w:pPr>
        <w:pStyle w:val="4"/>
        <w:widowControl/>
        <w:shd w:val="clear" w:color="auto" w:fill="FFFFFF"/>
        <w:spacing w:beforeAutospacing="0" w:afterAutospacing="0"/>
        <w:ind w:firstLine="640" w:firstLineChars="200"/>
        <w:jc w:val="both"/>
        <w:rPr>
          <w:rFonts w:ascii="仿宋_GB2312" w:hAnsi="仿宋" w:eastAsia="仿宋_GB2312"/>
          <w:color w:val="000000" w:themeColor="text1"/>
          <w:sz w:val="32"/>
          <w:szCs w:val="32"/>
          <w:shd w:val="clear" w:color="auto" w:fill="FFFFFF"/>
        </w:rPr>
      </w:pPr>
      <w:r>
        <w:rPr>
          <w:rFonts w:hint="eastAsia" w:ascii="仿宋_GB2312" w:hAnsi="仿宋" w:eastAsia="仿宋_GB2312"/>
          <w:color w:val="000000" w:themeColor="text1"/>
          <w:sz w:val="32"/>
          <w:szCs w:val="32"/>
          <w:shd w:val="clear" w:color="auto" w:fill="FFFFFF"/>
        </w:rPr>
        <w:t>青云谱区统计局建立健全了相关管理制度，推进政府信息公开工作规范化有序开展。主要建立情况如下：</w:t>
      </w:r>
    </w:p>
    <w:p>
      <w:pPr>
        <w:pStyle w:val="4"/>
        <w:widowControl/>
        <w:shd w:val="clear" w:color="auto" w:fill="FFFFFF"/>
        <w:spacing w:beforeAutospacing="0" w:afterAutospacing="0"/>
        <w:ind w:firstLine="640" w:firstLineChars="200"/>
        <w:jc w:val="both"/>
        <w:rPr>
          <w:rFonts w:ascii="仿宋_GB2312" w:hAnsi="仿宋" w:eastAsia="仿宋_GB2312"/>
          <w:color w:val="000000" w:themeColor="text1"/>
          <w:sz w:val="32"/>
          <w:szCs w:val="32"/>
          <w:shd w:val="clear" w:color="auto" w:fill="FFFFFF"/>
        </w:rPr>
      </w:pPr>
      <w:r>
        <w:rPr>
          <w:rFonts w:hint="eastAsia" w:ascii="仿宋_GB2312" w:hAnsi="仿宋" w:eastAsia="仿宋_GB2312"/>
          <w:color w:val="000000" w:themeColor="text1"/>
          <w:sz w:val="32"/>
          <w:szCs w:val="32"/>
          <w:shd w:val="clear" w:color="auto" w:fill="FFFFFF"/>
        </w:rPr>
        <w:t>一是建立并坚决贯彻执行政府信息主动公开制度、依申请公开制度、年度报告制度、首问负责制度、责任追究制度及政府信息保密审查机制等政府信息公开工作制度。</w:t>
      </w:r>
    </w:p>
    <w:p>
      <w:pPr>
        <w:pStyle w:val="4"/>
        <w:widowControl/>
        <w:shd w:val="clear" w:color="auto" w:fill="FFFFFF"/>
        <w:spacing w:beforeAutospacing="0" w:afterAutospacing="0"/>
        <w:ind w:firstLine="640" w:firstLineChars="200"/>
        <w:jc w:val="both"/>
        <w:rPr>
          <w:rFonts w:ascii="仿宋_GB2312" w:hAnsi="仿宋" w:eastAsia="仿宋_GB2312"/>
          <w:color w:val="000000" w:themeColor="text1"/>
          <w:sz w:val="32"/>
          <w:szCs w:val="32"/>
          <w:shd w:val="clear" w:color="auto" w:fill="FFFFFF"/>
        </w:rPr>
      </w:pPr>
      <w:r>
        <w:rPr>
          <w:rFonts w:hint="eastAsia" w:ascii="仿宋_GB2312" w:hAnsi="仿宋" w:eastAsia="仿宋_GB2312"/>
          <w:color w:val="000000" w:themeColor="text1"/>
          <w:sz w:val="32"/>
          <w:szCs w:val="32"/>
          <w:shd w:val="clear" w:color="auto" w:fill="FFFFFF"/>
        </w:rPr>
        <w:t>二是为确保信息公开及时、准确，青云谱区统计局要求公开的信息必须在最短的时间内予以公开，明确规定了各科室上报信息的时限和数量，确保了网上信息的及时更新和充实。</w:t>
      </w:r>
    </w:p>
    <w:p>
      <w:pPr>
        <w:pStyle w:val="4"/>
        <w:widowControl/>
        <w:shd w:val="clear" w:color="auto" w:fill="FFFFFF"/>
        <w:spacing w:beforeAutospacing="0" w:afterAutospacing="0"/>
        <w:ind w:firstLine="640" w:firstLineChars="200"/>
        <w:jc w:val="both"/>
        <w:rPr>
          <w:rFonts w:ascii="仿宋_GB2312" w:hAnsi="仿宋" w:eastAsia="仿宋_GB2312"/>
          <w:color w:val="000000" w:themeColor="text1"/>
          <w:sz w:val="32"/>
          <w:szCs w:val="32"/>
          <w:shd w:val="clear" w:color="auto" w:fill="FFFFFF"/>
        </w:rPr>
      </w:pPr>
      <w:r>
        <w:rPr>
          <w:rFonts w:hint="eastAsia" w:ascii="仿宋_GB2312" w:hAnsi="仿宋" w:eastAsia="仿宋_GB2312"/>
          <w:color w:val="000000" w:themeColor="text1"/>
          <w:sz w:val="32"/>
          <w:szCs w:val="32"/>
          <w:shd w:val="clear" w:color="auto" w:fill="FFFFFF"/>
        </w:rPr>
        <w:t>三是主动接受人民群众和新闻媒体的监督，接受青云谱区信息中心的监督检查。</w:t>
      </w:r>
    </w:p>
    <w:p>
      <w:pPr>
        <w:pStyle w:val="4"/>
        <w:widowControl/>
        <w:shd w:val="clear" w:color="auto" w:fill="FFFFFF"/>
        <w:spacing w:beforeAutospacing="0" w:afterAutospacing="0"/>
        <w:ind w:firstLine="643" w:firstLineChars="200"/>
        <w:jc w:val="both"/>
        <w:rPr>
          <w:rFonts w:ascii="楷体_GB2312" w:hAnsi="楷体" w:eastAsia="楷体_GB2312" w:cs="楷体"/>
          <w:b/>
          <w:color w:val="000000" w:themeColor="text1"/>
          <w:sz w:val="32"/>
          <w:szCs w:val="32"/>
          <w:shd w:val="clear" w:color="auto" w:fill="FFFFFF"/>
        </w:rPr>
      </w:pPr>
      <w:r>
        <w:rPr>
          <w:rFonts w:hint="eastAsia" w:ascii="楷体_GB2312" w:hAnsi="楷体" w:eastAsia="楷体_GB2312" w:cs="楷体"/>
          <w:b/>
          <w:color w:val="000000" w:themeColor="text1"/>
          <w:sz w:val="32"/>
          <w:szCs w:val="32"/>
          <w:shd w:val="clear" w:color="auto" w:fill="FFFFFF"/>
        </w:rPr>
        <w:t>（四）平台建设</w:t>
      </w:r>
    </w:p>
    <w:p>
      <w:pPr>
        <w:pStyle w:val="4"/>
        <w:widowControl/>
        <w:shd w:val="clear" w:color="auto" w:fill="FFFFFF"/>
        <w:spacing w:beforeAutospacing="0" w:afterAutospacing="0"/>
        <w:ind w:firstLine="640" w:firstLineChars="200"/>
        <w:jc w:val="both"/>
        <w:rPr>
          <w:rFonts w:ascii="仿宋" w:hAnsi="仿宋" w:eastAsia="仿宋"/>
          <w:color w:val="000000" w:themeColor="text1"/>
          <w:sz w:val="32"/>
          <w:szCs w:val="32"/>
          <w:shd w:val="clear" w:color="auto" w:fill="FFFFFF"/>
        </w:rPr>
      </w:pPr>
      <w:r>
        <w:rPr>
          <w:rFonts w:hint="eastAsia" w:ascii="仿宋" w:hAnsi="仿宋" w:eastAsia="仿宋"/>
          <w:color w:val="000000" w:themeColor="text1"/>
          <w:sz w:val="32"/>
          <w:szCs w:val="32"/>
          <w:shd w:val="clear" w:color="auto" w:fill="FFFFFF"/>
        </w:rPr>
        <w:t>青云谱区统计局对信息公开栏目进行了规范和完善。</w:t>
      </w:r>
    </w:p>
    <w:p>
      <w:pPr>
        <w:pStyle w:val="4"/>
        <w:widowControl/>
        <w:shd w:val="clear" w:color="auto" w:fill="FFFFFF"/>
        <w:spacing w:beforeAutospacing="0" w:afterAutospacing="0"/>
        <w:ind w:firstLine="640" w:firstLineChars="200"/>
        <w:jc w:val="both"/>
        <w:rPr>
          <w:rFonts w:ascii="仿宋" w:hAnsi="仿宋" w:eastAsia="仿宋"/>
          <w:color w:val="000000" w:themeColor="text1"/>
          <w:sz w:val="32"/>
          <w:szCs w:val="32"/>
          <w:shd w:val="clear" w:color="auto" w:fill="FFFFFF"/>
        </w:rPr>
      </w:pPr>
      <w:r>
        <w:rPr>
          <w:rFonts w:hint="eastAsia" w:ascii="仿宋" w:hAnsi="仿宋" w:eastAsia="仿宋"/>
          <w:color w:val="000000" w:themeColor="text1"/>
          <w:sz w:val="32"/>
          <w:szCs w:val="32"/>
          <w:shd w:val="clear" w:color="auto" w:fill="FFFFFF"/>
        </w:rPr>
        <w:t>一是在青云谱区政府门户网站上设立“第七次全国人口普查”专题聚焦，分别有方案制度（2条）、工作动态（</w:t>
      </w:r>
      <w:r>
        <w:rPr>
          <w:rFonts w:hint="eastAsia" w:ascii="仿宋" w:hAnsi="仿宋" w:eastAsia="仿宋"/>
          <w:color w:val="000000" w:themeColor="text1"/>
          <w:sz w:val="32"/>
          <w:szCs w:val="32"/>
          <w:shd w:val="clear" w:color="auto" w:fill="FFFFFF"/>
          <w:lang w:val="en-US" w:eastAsia="zh-CN"/>
        </w:rPr>
        <w:t>34</w:t>
      </w:r>
      <w:r>
        <w:rPr>
          <w:rFonts w:hint="eastAsia" w:ascii="仿宋" w:hAnsi="仿宋" w:eastAsia="仿宋"/>
          <w:color w:val="000000" w:themeColor="text1"/>
          <w:sz w:val="32"/>
          <w:szCs w:val="32"/>
          <w:shd w:val="clear" w:color="auto" w:fill="FFFFFF"/>
        </w:rPr>
        <w:t>条）、普查机构（</w:t>
      </w:r>
      <w:r>
        <w:rPr>
          <w:rFonts w:hint="eastAsia" w:ascii="仿宋" w:hAnsi="仿宋" w:eastAsia="仿宋"/>
          <w:color w:val="000000" w:themeColor="text1"/>
          <w:sz w:val="32"/>
          <w:szCs w:val="32"/>
          <w:shd w:val="clear" w:color="auto" w:fill="FFFFFF"/>
          <w:lang w:val="en-US" w:eastAsia="zh-CN"/>
        </w:rPr>
        <w:t>3</w:t>
      </w:r>
      <w:r>
        <w:rPr>
          <w:rFonts w:hint="eastAsia" w:ascii="仿宋" w:hAnsi="仿宋" w:eastAsia="仿宋"/>
          <w:color w:val="000000" w:themeColor="text1"/>
          <w:sz w:val="32"/>
          <w:szCs w:val="32"/>
          <w:shd w:val="clear" w:color="auto" w:fill="FFFFFF"/>
        </w:rPr>
        <w:t>条）、普查简报（</w:t>
      </w:r>
      <w:r>
        <w:rPr>
          <w:rFonts w:hint="eastAsia" w:ascii="仿宋" w:hAnsi="仿宋" w:eastAsia="仿宋"/>
          <w:color w:val="000000" w:themeColor="text1"/>
          <w:sz w:val="32"/>
          <w:szCs w:val="32"/>
          <w:shd w:val="clear" w:color="auto" w:fill="FFFFFF"/>
          <w:lang w:val="en-US" w:eastAsia="zh-CN"/>
        </w:rPr>
        <w:t>32</w:t>
      </w:r>
      <w:r>
        <w:rPr>
          <w:rFonts w:hint="eastAsia" w:ascii="仿宋" w:hAnsi="仿宋" w:eastAsia="仿宋"/>
          <w:color w:val="000000" w:themeColor="text1"/>
          <w:sz w:val="32"/>
          <w:szCs w:val="32"/>
          <w:shd w:val="clear" w:color="auto" w:fill="FFFFFF"/>
        </w:rPr>
        <w:t>条）、文件通知（</w:t>
      </w:r>
      <w:r>
        <w:rPr>
          <w:rFonts w:hint="eastAsia" w:ascii="仿宋" w:hAnsi="仿宋" w:eastAsia="仿宋"/>
          <w:color w:val="000000" w:themeColor="text1"/>
          <w:sz w:val="32"/>
          <w:szCs w:val="32"/>
          <w:shd w:val="clear" w:color="auto" w:fill="FFFFFF"/>
          <w:lang w:val="en-US" w:eastAsia="zh-CN"/>
        </w:rPr>
        <w:t>4</w:t>
      </w:r>
      <w:r>
        <w:rPr>
          <w:rFonts w:hint="eastAsia" w:ascii="仿宋" w:hAnsi="仿宋" w:eastAsia="仿宋"/>
          <w:color w:val="000000" w:themeColor="text1"/>
          <w:sz w:val="32"/>
          <w:szCs w:val="32"/>
          <w:shd w:val="clear" w:color="auto" w:fill="FFFFFF"/>
        </w:rPr>
        <w:t>条）。</w:t>
      </w:r>
    </w:p>
    <w:p>
      <w:pPr>
        <w:pStyle w:val="4"/>
        <w:widowControl/>
        <w:shd w:val="clear" w:color="auto" w:fill="FFFFFF"/>
        <w:spacing w:beforeAutospacing="0" w:afterAutospacing="0"/>
        <w:ind w:firstLine="640" w:firstLineChars="200"/>
        <w:jc w:val="both"/>
        <w:rPr>
          <w:rFonts w:ascii="仿宋" w:hAnsi="仿宋" w:eastAsia="仿宋"/>
          <w:color w:val="000000" w:themeColor="text1"/>
          <w:sz w:val="32"/>
          <w:szCs w:val="32"/>
          <w:shd w:val="clear" w:color="auto" w:fill="FFFFFF"/>
        </w:rPr>
      </w:pPr>
      <w:r>
        <w:rPr>
          <w:rFonts w:hint="eastAsia" w:ascii="仿宋" w:hAnsi="仿宋" w:eastAsia="仿宋"/>
          <w:color w:val="000000" w:themeColor="text1"/>
          <w:sz w:val="32"/>
          <w:szCs w:val="32"/>
          <w:shd w:val="clear" w:color="auto" w:fill="FFFFFF"/>
        </w:rPr>
        <w:t>二是公开方式多样化，采用利用微信、QQ、公众号、小视频等新媒体平台，积极转发人口普查相关资讯；印制《公报》《区情》《年鉴》及各类工作简报33期。</w:t>
      </w:r>
    </w:p>
    <w:p>
      <w:pPr>
        <w:pStyle w:val="4"/>
        <w:widowControl/>
        <w:shd w:val="clear" w:color="auto" w:fill="FFFFFF"/>
        <w:spacing w:beforeAutospacing="0" w:afterAutospacing="0"/>
        <w:ind w:firstLine="640" w:firstLineChars="200"/>
        <w:jc w:val="both"/>
        <w:rPr>
          <w:rFonts w:ascii="楷体" w:hAnsi="楷体" w:eastAsia="楷体" w:cs="楷体"/>
          <w:color w:val="000000" w:themeColor="text1"/>
          <w:sz w:val="32"/>
          <w:szCs w:val="32"/>
          <w:shd w:val="clear" w:color="auto" w:fill="FFFFFF"/>
        </w:rPr>
      </w:pPr>
      <w:r>
        <w:rPr>
          <w:rFonts w:hint="eastAsia" w:ascii="仿宋" w:hAnsi="仿宋" w:eastAsia="仿宋"/>
          <w:color w:val="000000" w:themeColor="text1"/>
          <w:sz w:val="32"/>
          <w:szCs w:val="32"/>
          <w:shd w:val="clear" w:color="auto" w:fill="FFFFFF"/>
        </w:rPr>
        <w:t>三是网站集约化方面青云谱区统计局使用全市统一政府公开平台。</w:t>
      </w:r>
    </w:p>
    <w:p>
      <w:pPr>
        <w:pStyle w:val="4"/>
        <w:widowControl/>
        <w:shd w:val="clear" w:color="auto" w:fill="FFFFFF"/>
        <w:spacing w:beforeAutospacing="0" w:afterAutospacing="0"/>
        <w:ind w:firstLine="643" w:firstLineChars="200"/>
        <w:jc w:val="both"/>
        <w:rPr>
          <w:rFonts w:ascii="楷体_GB2312" w:hAnsi="宋体" w:eastAsia="楷体_GB2312" w:cs="宋体"/>
          <w:b/>
          <w:color w:val="000000" w:themeColor="text1"/>
          <w:sz w:val="32"/>
          <w:szCs w:val="32"/>
          <w:shd w:val="clear" w:color="auto" w:fill="FFFFFF"/>
        </w:rPr>
      </w:pPr>
      <w:r>
        <w:rPr>
          <w:rFonts w:hint="eastAsia" w:ascii="楷体_GB2312" w:hAnsi="楷体" w:eastAsia="楷体_GB2312" w:cs="楷体"/>
          <w:b/>
          <w:color w:val="000000" w:themeColor="text1"/>
          <w:sz w:val="32"/>
          <w:szCs w:val="32"/>
          <w:shd w:val="clear" w:color="auto" w:fill="FFFFFF"/>
        </w:rPr>
        <w:t>（五）监督保障</w:t>
      </w:r>
    </w:p>
    <w:p>
      <w:pPr>
        <w:widowControl/>
        <w:shd w:val="clear" w:color="auto" w:fill="FFFFFF"/>
        <w:ind w:firstLine="640"/>
        <w:rPr>
          <w:rFonts w:ascii="微软雅黑" w:hAnsi="微软雅黑" w:eastAsia="微软雅黑" w:cs="宋体"/>
          <w:color w:val="000000" w:themeColor="text1"/>
          <w:kern w:val="0"/>
          <w:sz w:val="24"/>
        </w:rPr>
      </w:pPr>
      <w:r>
        <w:rPr>
          <w:rFonts w:hint="eastAsia" w:ascii="仿宋" w:hAnsi="仿宋" w:eastAsia="仿宋" w:cs="宋体"/>
          <w:color w:val="000000" w:themeColor="text1"/>
          <w:kern w:val="0"/>
          <w:sz w:val="32"/>
          <w:szCs w:val="32"/>
          <w:shd w:val="clear" w:color="auto" w:fill="FFFFFF"/>
        </w:rPr>
        <w:t>一是进一步加强对政府信息公开工作的组织领导，根据工作开展情况及时调整政府信息公开工作领导小组人员名单，形成了以党组书记、局长戴廷坪同志为组长，分管领导韩媛、许保国、张元同志为副组长，各科室负责同志为成员的政府信息公开工作领导小组，安排责任心强的同志具体负责政府公开信息的收集、整理、上传、发布等工作，定期开展政府公开专题会议，学习信息公开知识，提高信息发布水平。</w:t>
      </w:r>
    </w:p>
    <w:p>
      <w:pPr>
        <w:widowControl/>
        <w:shd w:val="clear" w:color="auto" w:fill="FFFFFF"/>
        <w:ind w:firstLine="640"/>
        <w:rPr>
          <w:rFonts w:ascii="仿宋" w:hAnsi="仿宋" w:eastAsia="仿宋" w:cs="宋体"/>
          <w:color w:val="000000" w:themeColor="text1"/>
          <w:kern w:val="0"/>
          <w:sz w:val="32"/>
          <w:szCs w:val="32"/>
          <w:shd w:val="clear" w:color="auto" w:fill="FFFFFF"/>
        </w:rPr>
      </w:pPr>
      <w:r>
        <w:rPr>
          <w:rFonts w:hint="eastAsia" w:ascii="仿宋" w:hAnsi="仿宋" w:eastAsia="仿宋" w:cs="宋体"/>
          <w:color w:val="000000" w:themeColor="text1"/>
          <w:kern w:val="0"/>
          <w:sz w:val="32"/>
          <w:szCs w:val="32"/>
          <w:shd w:val="clear" w:color="auto" w:fill="FFFFFF"/>
        </w:rPr>
        <w:t>二是针对各级反馈的问题清单，青云谱区统计局及时主动地进行整改，并对存在问题进行举一反三，强化了整改的效果。</w:t>
      </w:r>
    </w:p>
    <w:p>
      <w:pPr>
        <w:widowControl/>
        <w:shd w:val="clear" w:color="auto" w:fill="FFFFFF"/>
        <w:ind w:firstLine="640"/>
        <w:rPr>
          <w:rFonts w:ascii="仿宋" w:hAnsi="仿宋" w:eastAsia="仿宋" w:cs="宋体"/>
          <w:color w:val="000000" w:themeColor="text1"/>
          <w:sz w:val="32"/>
          <w:szCs w:val="32"/>
          <w:shd w:val="clear" w:color="auto" w:fill="FFFFFF"/>
        </w:rPr>
      </w:pPr>
      <w:r>
        <w:rPr>
          <w:rFonts w:hint="eastAsia" w:ascii="仿宋" w:hAnsi="仿宋" w:eastAsia="仿宋" w:cs="宋体"/>
          <w:color w:val="000000" w:themeColor="text1"/>
          <w:sz w:val="32"/>
          <w:szCs w:val="32"/>
          <w:shd w:val="clear" w:color="auto" w:fill="FFFFFF"/>
        </w:rPr>
        <w:t>三是对于公开内容进行定时自查，未出现违反保密工作的要求的情况。</w:t>
      </w:r>
    </w:p>
    <w:p>
      <w:pPr>
        <w:widowControl/>
        <w:shd w:val="clear" w:color="auto" w:fill="FFFFFF"/>
        <w:ind w:firstLine="640"/>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二、主动公开政府信息情况</w:t>
      </w:r>
    </w:p>
    <w:tbl>
      <w:tblPr>
        <w:tblStyle w:val="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2460"/>
        <w:gridCol w:w="2025"/>
        <w:gridCol w:w="2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4" w:type="dxa"/>
            <w:gridSpan w:val="4"/>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第二十条第（一）项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信息内容</w:t>
            </w:r>
          </w:p>
        </w:tc>
        <w:tc>
          <w:tcPr>
            <w:tcW w:w="2460"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本年新制作数量</w:t>
            </w:r>
          </w:p>
        </w:tc>
        <w:tc>
          <w:tcPr>
            <w:tcW w:w="2025"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本年新公开数量</w:t>
            </w:r>
          </w:p>
        </w:tc>
        <w:tc>
          <w:tcPr>
            <w:tcW w:w="2295"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对外公开总数量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vAlign w:val="center"/>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规    章</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02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29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规范性文件（本单位制发的）</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02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29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4" w:type="dxa"/>
            <w:gridSpan w:val="4"/>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第二十条第（五）项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信息内容</w:t>
            </w:r>
          </w:p>
        </w:tc>
        <w:tc>
          <w:tcPr>
            <w:tcW w:w="2460"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上一年项目数量</w:t>
            </w:r>
          </w:p>
        </w:tc>
        <w:tc>
          <w:tcPr>
            <w:tcW w:w="2025"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本年增/减</w:t>
            </w:r>
          </w:p>
        </w:tc>
        <w:tc>
          <w:tcPr>
            <w:tcW w:w="2295"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处理决定数量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行政许可</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02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29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其他对外管理服务事项</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02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29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4" w:type="dxa"/>
            <w:gridSpan w:val="4"/>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第二十条第（六）项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信息内容</w:t>
            </w:r>
          </w:p>
        </w:tc>
        <w:tc>
          <w:tcPr>
            <w:tcW w:w="2460"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上一年项目数量</w:t>
            </w:r>
          </w:p>
        </w:tc>
        <w:tc>
          <w:tcPr>
            <w:tcW w:w="2025"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本年增/减</w:t>
            </w:r>
          </w:p>
        </w:tc>
        <w:tc>
          <w:tcPr>
            <w:tcW w:w="2295"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处理决定数量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行政处罚</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1</w:t>
            </w:r>
          </w:p>
        </w:tc>
        <w:tc>
          <w:tcPr>
            <w:tcW w:w="202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29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行政强制</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02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2295"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4" w:type="dxa"/>
            <w:gridSpan w:val="4"/>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第二十条第（八）项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信息内容</w:t>
            </w:r>
          </w:p>
        </w:tc>
        <w:tc>
          <w:tcPr>
            <w:tcW w:w="2460"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上一年项目数量</w:t>
            </w:r>
          </w:p>
        </w:tc>
        <w:tc>
          <w:tcPr>
            <w:tcW w:w="4320" w:type="dxa"/>
            <w:gridSpan w:val="2"/>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本年增/减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行政事业性收费</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c>
          <w:tcPr>
            <w:tcW w:w="4320" w:type="dxa"/>
            <w:gridSpan w:val="2"/>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4" w:type="dxa"/>
            <w:gridSpan w:val="4"/>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第二十条第（九）项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信息内容</w:t>
            </w:r>
          </w:p>
        </w:tc>
        <w:tc>
          <w:tcPr>
            <w:tcW w:w="2460"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采购项目数量</w:t>
            </w:r>
          </w:p>
        </w:tc>
        <w:tc>
          <w:tcPr>
            <w:tcW w:w="4320" w:type="dxa"/>
            <w:gridSpan w:val="2"/>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采购总金额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shd w:val="clear" w:color="auto" w:fill="auto"/>
          </w:tcPr>
          <w:p>
            <w:pPr>
              <w:spacing w:line="46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政府集中采购</w:t>
            </w:r>
          </w:p>
        </w:tc>
        <w:tc>
          <w:tcPr>
            <w:tcW w:w="2460" w:type="dxa"/>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6</w:t>
            </w:r>
          </w:p>
        </w:tc>
        <w:tc>
          <w:tcPr>
            <w:tcW w:w="4320" w:type="dxa"/>
            <w:gridSpan w:val="2"/>
            <w:shd w:val="clear" w:color="auto" w:fill="auto"/>
          </w:tcPr>
          <w:p>
            <w:pPr>
              <w:spacing w:line="460" w:lineRule="exact"/>
              <w:jc w:val="left"/>
              <w:rPr>
                <w:rFonts w:ascii="仿宋" w:hAnsi="仿宋" w:eastAsia="仿宋" w:cs="仿宋"/>
                <w:color w:val="000000" w:themeColor="text1"/>
                <w:szCs w:val="21"/>
              </w:rPr>
            </w:pPr>
            <w:r>
              <w:rPr>
                <w:rFonts w:hint="eastAsia" w:ascii="仿宋" w:hAnsi="仿宋" w:eastAsia="仿宋" w:cs="仿宋"/>
                <w:color w:val="000000" w:themeColor="text1"/>
                <w:szCs w:val="21"/>
              </w:rPr>
              <w:t>14</w:t>
            </w:r>
            <w:r>
              <w:rPr>
                <w:rFonts w:hint="eastAsia" w:ascii="仿宋" w:hAnsi="仿宋" w:eastAsia="仿宋" w:cs="仿宋"/>
                <w:color w:val="000000" w:themeColor="text1"/>
                <w:szCs w:val="21"/>
                <w:lang w:eastAsia="zh-CN"/>
              </w:rPr>
              <w:t>.</w:t>
            </w:r>
            <w:r>
              <w:rPr>
                <w:rFonts w:hint="eastAsia" w:ascii="仿宋" w:hAnsi="仿宋" w:eastAsia="仿宋" w:cs="仿宋"/>
                <w:color w:val="000000" w:themeColor="text1"/>
                <w:szCs w:val="21"/>
              </w:rPr>
              <w:t>55</w:t>
            </w:r>
            <w:r>
              <w:rPr>
                <w:rFonts w:hint="eastAsia" w:ascii="仿宋" w:hAnsi="仿宋" w:eastAsia="仿宋" w:cs="仿宋"/>
                <w:color w:val="000000" w:themeColor="text1"/>
                <w:szCs w:val="21"/>
                <w:lang w:val="en-US" w:eastAsia="zh-CN"/>
              </w:rPr>
              <w:t>万</w:t>
            </w:r>
            <w:r>
              <w:rPr>
                <w:rFonts w:hint="eastAsia" w:ascii="仿宋" w:hAnsi="仿宋" w:eastAsia="仿宋" w:cs="仿宋"/>
                <w:color w:val="000000" w:themeColor="text1"/>
                <w:szCs w:val="21"/>
              </w:rPr>
              <w:t>元</w:t>
            </w:r>
          </w:p>
        </w:tc>
      </w:tr>
    </w:tbl>
    <w:p>
      <w:pPr>
        <w:spacing w:line="540" w:lineRule="exact"/>
        <w:rPr>
          <w:rFonts w:ascii="仿宋_GB2312" w:hAnsi="仿宋" w:eastAsia="仿宋_GB2312" w:cs="仿宋"/>
          <w:b/>
          <w:color w:val="000000" w:themeColor="text1"/>
          <w:sz w:val="32"/>
          <w:szCs w:val="32"/>
        </w:rPr>
      </w:pPr>
    </w:p>
    <w:p>
      <w:pPr>
        <w:spacing w:line="540" w:lineRule="exact"/>
        <w:ind w:firstLine="320" w:firstLineChars="100"/>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三、收到和处理政府信息公开申请情况</w:t>
      </w:r>
    </w:p>
    <w:tbl>
      <w:tblPr>
        <w:tblStyle w:val="5"/>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36"/>
        <w:gridCol w:w="1266"/>
        <w:gridCol w:w="1641"/>
        <w:gridCol w:w="801"/>
        <w:gridCol w:w="759"/>
        <w:gridCol w:w="759"/>
        <w:gridCol w:w="801"/>
        <w:gridCol w:w="916"/>
        <w:gridCol w:w="746"/>
        <w:gridCol w:w="74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479"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（本列数据的勾稽关系为：第一项加第二项之和，等于第三项加第四项之和）</w:t>
            </w:r>
          </w:p>
        </w:tc>
        <w:tc>
          <w:tcPr>
            <w:tcW w:w="5592"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02" w:hRule="atLeast"/>
          <w:jc w:val="center"/>
        </w:trPr>
        <w:tc>
          <w:tcPr>
            <w:tcW w:w="3479"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2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自然人</w:t>
            </w:r>
          </w:p>
        </w:tc>
        <w:tc>
          <w:tcPr>
            <w:tcW w:w="4065"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法人或其他组织</w:t>
            </w:r>
          </w:p>
        </w:tc>
        <w:tc>
          <w:tcPr>
            <w:tcW w:w="702"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479"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2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商业企业</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科研机构</w:t>
            </w:r>
          </w:p>
        </w:tc>
        <w:tc>
          <w:tcPr>
            <w:tcW w:w="82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社会公益组织</w:t>
            </w:r>
          </w:p>
        </w:tc>
        <w:tc>
          <w:tcPr>
            <w:tcW w:w="9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法律服务机构</w:t>
            </w:r>
          </w:p>
        </w:tc>
        <w:tc>
          <w:tcPr>
            <w:tcW w:w="72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其他</w:t>
            </w:r>
          </w:p>
        </w:tc>
        <w:tc>
          <w:tcPr>
            <w:tcW w:w="702"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69" w:hRule="atLeast"/>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一、本年新收政府信息公开申请数量</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2</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27" w:hRule="atLeast"/>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二、上年结转政府信息公开申请数量</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三、本年度办理结果</w:t>
            </w: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（一）予以公开</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1</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（二）部分公开（区分处理的，只计这一情形，不计其他情形）</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（三）不予公开</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1.属于国家秘密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2.其他法律行政法规禁止公开</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3.危及“三安全一稳定”</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4.保护第三方合法权益</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5.属于三类内部事务信息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6.属于四类过程性信息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7.属于行政执法案卷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8.属于行政查询事项</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（四）无法提供</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1.本机关不掌握相关政府信息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1</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2.没有现成信息需要另行制作</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3.补正后申请内容仍不明确</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（五）不予处理</w:t>
            </w: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1.信访举报投诉类申请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2.重复申请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3.要求提供公开出版物</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4.无正当理由大量反复申请</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855"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13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5.要求行政机关确认或重新出具已获取信息</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（六）其他处理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adjustRightInd w:val="0"/>
              <w:snapToGrid w:val="0"/>
              <w:ind w:firstLine="560" w:firstLineChars="200"/>
              <w:jc w:val="center"/>
              <w:rPr>
                <w:rFonts w:ascii="Times New Roman" w:hAnsi="Times New Roman" w:cs="Times New Roman"/>
                <w:color w:val="000000" w:themeColor="text1"/>
                <w:sz w:val="28"/>
                <w:szCs w:val="28"/>
              </w:rPr>
            </w:pPr>
          </w:p>
        </w:tc>
        <w:tc>
          <w:tcPr>
            <w:tcW w:w="2985"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楷体" w:cs="Times New Roman"/>
                <w:color w:val="000000" w:themeColor="text1"/>
                <w:kern w:val="0"/>
                <w:szCs w:val="21"/>
              </w:rPr>
              <w:t>（七）总计</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2</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479"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20" w:firstLineChars="200"/>
              <w:jc w:val="center"/>
              <w:rPr>
                <w:rFonts w:ascii="Times New Roman" w:hAnsi="Times New Roman" w:cs="Times New Roman"/>
                <w:color w:val="000000" w:themeColor="text1"/>
                <w:sz w:val="22"/>
                <w:szCs w:val="28"/>
              </w:rPr>
            </w:pPr>
            <w:r>
              <w:rPr>
                <w:rFonts w:ascii="Times New Roman" w:hAnsi="Times New Roman" w:eastAsia="宋体" w:cs="Times New Roman"/>
                <w:color w:val="000000" w:themeColor="text1"/>
                <w:kern w:val="0"/>
                <w:szCs w:val="21"/>
              </w:rPr>
              <w:t>四、结转下年度继续办理</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6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82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99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2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adjustRightInd w:val="0"/>
              <w:snapToGrid w:val="0"/>
              <w:spacing w:after="180"/>
              <w:ind w:firstLine="440" w:firstLineChars="200"/>
              <w:jc w:val="center"/>
              <w:rPr>
                <w:rFonts w:ascii="Times New Roman" w:hAnsi="Times New Roman" w:cs="Times New Roman"/>
                <w:color w:val="000000" w:themeColor="text1"/>
                <w:sz w:val="22"/>
                <w:szCs w:val="28"/>
              </w:rPr>
            </w:pPr>
            <w:r>
              <w:rPr>
                <w:rFonts w:hint="eastAsia" w:ascii="Times New Roman" w:hAnsi="Times New Roman" w:cs="Times New Roman"/>
                <w:color w:val="000000" w:themeColor="text1"/>
                <w:sz w:val="22"/>
                <w:szCs w:val="28"/>
              </w:rPr>
              <w:t>0</w:t>
            </w:r>
          </w:p>
        </w:tc>
        <w:tc>
          <w:tcPr>
            <w:tcW w:w="702" w:type="dxa"/>
            <w:tcBorders>
              <w:top w:val="nil"/>
              <w:left w:val="nil"/>
              <w:bottom w:val="single" w:color="auto" w:sz="8" w:space="0"/>
              <w:right w:val="single" w:color="auto" w:sz="8" w:space="0"/>
            </w:tcBorders>
            <w:shd w:val="clear" w:color="auto" w:fill="auto"/>
            <w:tcMar>
              <w:left w:w="108" w:type="dxa"/>
              <w:right w:w="108" w:type="dxa"/>
            </w:tcMar>
            <w:vAlign w:val="center"/>
          </w:tcPr>
          <w:p>
            <w:pPr>
              <w:adjustRightInd w:val="0"/>
              <w:snapToGrid w:val="0"/>
              <w:ind w:firstLine="440" w:firstLineChars="200"/>
              <w:jc w:val="center"/>
              <w:rPr>
                <w:rFonts w:ascii="Times New Roman" w:hAnsi="Times New Roman" w:cs="Times New Roman"/>
                <w:color w:val="000000" w:themeColor="text1"/>
                <w:sz w:val="22"/>
                <w:szCs w:val="22"/>
              </w:rPr>
            </w:pPr>
            <w:r>
              <w:rPr>
                <w:rFonts w:hint="eastAsia" w:ascii="Times New Roman" w:hAnsi="Times New Roman" w:cs="Times New Roman"/>
                <w:color w:val="000000" w:themeColor="text1"/>
                <w:sz w:val="22"/>
                <w:szCs w:val="22"/>
              </w:rPr>
              <w:t>0</w:t>
            </w:r>
          </w:p>
        </w:tc>
      </w:tr>
    </w:tbl>
    <w:p>
      <w:pPr>
        <w:spacing w:line="540" w:lineRule="exact"/>
        <w:ind w:firstLine="480" w:firstLineChars="150"/>
        <w:rPr>
          <w:rFonts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四、政府信息公开行政复议、行政诉讼情况</w:t>
      </w:r>
    </w:p>
    <w:tbl>
      <w:tblPr>
        <w:tblStyle w:val="5"/>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568"/>
        <w:gridCol w:w="568"/>
        <w:gridCol w:w="568"/>
        <w:gridCol w:w="568"/>
        <w:gridCol w:w="568"/>
        <w:gridCol w:w="568"/>
        <w:gridCol w:w="568"/>
        <w:gridCol w:w="568"/>
        <w:gridCol w:w="568"/>
        <w:gridCol w:w="568"/>
        <w:gridCol w:w="568"/>
        <w:gridCol w:w="568"/>
        <w:gridCol w:w="568"/>
        <w:gridCol w:w="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gridSpan w:val="5"/>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行政复议</w:t>
            </w:r>
            <w:r>
              <w:rPr>
                <w:rFonts w:ascii="仿宋" w:hAnsi="仿宋" w:eastAsia="仿宋" w:cs="仿宋"/>
                <w:color w:val="000000" w:themeColor="text1"/>
                <w:sz w:val="24"/>
              </w:rPr>
              <w:br w:type="textWrapping"/>
            </w:r>
            <w:r>
              <w:rPr>
                <w:rFonts w:hint="eastAsia" w:ascii="仿宋" w:hAnsi="仿宋" w:eastAsia="仿宋" w:cs="仿宋"/>
                <w:b/>
                <w:color w:val="000000" w:themeColor="text1"/>
                <w:sz w:val="24"/>
              </w:rPr>
              <w:t>（因政府信息公开被行政复议）</w:t>
            </w:r>
          </w:p>
        </w:tc>
        <w:tc>
          <w:tcPr>
            <w:tcW w:w="5680" w:type="dxa"/>
            <w:gridSpan w:val="10"/>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行政诉讼</w:t>
            </w:r>
            <w:r>
              <w:rPr>
                <w:rFonts w:ascii="仿宋" w:hAnsi="仿宋" w:eastAsia="仿宋" w:cs="仿宋"/>
                <w:color w:val="000000" w:themeColor="text1"/>
                <w:sz w:val="24"/>
              </w:rPr>
              <w:br w:type="textWrapping"/>
            </w:r>
            <w:r>
              <w:rPr>
                <w:rFonts w:hint="eastAsia" w:ascii="仿宋" w:hAnsi="仿宋" w:eastAsia="仿宋" w:cs="仿宋"/>
                <w:b/>
                <w:color w:val="000000" w:themeColor="text1"/>
                <w:sz w:val="24"/>
              </w:rPr>
              <w:t>（因政府信息公开被行政诉讼）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restart"/>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结果维护</w:t>
            </w:r>
          </w:p>
        </w:tc>
        <w:tc>
          <w:tcPr>
            <w:tcW w:w="568" w:type="dxa"/>
            <w:vMerge w:val="restart"/>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结果纠正</w:t>
            </w:r>
          </w:p>
        </w:tc>
        <w:tc>
          <w:tcPr>
            <w:tcW w:w="568" w:type="dxa"/>
            <w:vMerge w:val="restart"/>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其他结果</w:t>
            </w:r>
          </w:p>
        </w:tc>
        <w:tc>
          <w:tcPr>
            <w:tcW w:w="568" w:type="dxa"/>
            <w:vMerge w:val="restart"/>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尚未审结</w:t>
            </w:r>
          </w:p>
        </w:tc>
        <w:tc>
          <w:tcPr>
            <w:tcW w:w="568" w:type="dxa"/>
            <w:vMerge w:val="restart"/>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总计</w:t>
            </w:r>
          </w:p>
        </w:tc>
        <w:tc>
          <w:tcPr>
            <w:tcW w:w="2840" w:type="dxa"/>
            <w:gridSpan w:val="5"/>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shd w:val="clear" w:color="auto" w:fill="FFFFFF"/>
              </w:rPr>
              <w:t>未经复议直接起诉</w:t>
            </w:r>
          </w:p>
        </w:tc>
        <w:tc>
          <w:tcPr>
            <w:tcW w:w="2840" w:type="dxa"/>
            <w:gridSpan w:val="5"/>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复议后起诉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shd w:val="clear" w:color="auto" w:fill="auto"/>
            <w:vAlign w:val="center"/>
          </w:tcPr>
          <w:p>
            <w:pPr>
              <w:spacing w:line="540" w:lineRule="exact"/>
              <w:jc w:val="center"/>
              <w:rPr>
                <w:rFonts w:ascii="仿宋" w:hAnsi="仿宋" w:eastAsia="仿宋" w:cs="仿宋"/>
                <w:color w:val="000000" w:themeColor="text1"/>
                <w:sz w:val="24"/>
              </w:rPr>
            </w:pPr>
          </w:p>
        </w:tc>
        <w:tc>
          <w:tcPr>
            <w:tcW w:w="568" w:type="dxa"/>
            <w:vMerge w:val="continue"/>
            <w:shd w:val="clear" w:color="auto" w:fill="auto"/>
            <w:vAlign w:val="center"/>
          </w:tcPr>
          <w:p>
            <w:pPr>
              <w:spacing w:line="540" w:lineRule="exact"/>
              <w:jc w:val="center"/>
              <w:rPr>
                <w:rFonts w:ascii="仿宋" w:hAnsi="仿宋" w:eastAsia="仿宋" w:cs="仿宋"/>
                <w:color w:val="000000" w:themeColor="text1"/>
                <w:sz w:val="24"/>
              </w:rPr>
            </w:pPr>
          </w:p>
        </w:tc>
        <w:tc>
          <w:tcPr>
            <w:tcW w:w="568" w:type="dxa"/>
            <w:vMerge w:val="continue"/>
            <w:shd w:val="clear" w:color="auto" w:fill="auto"/>
            <w:vAlign w:val="center"/>
          </w:tcPr>
          <w:p>
            <w:pPr>
              <w:spacing w:line="540" w:lineRule="exact"/>
              <w:jc w:val="center"/>
              <w:rPr>
                <w:rFonts w:ascii="仿宋" w:hAnsi="仿宋" w:eastAsia="仿宋" w:cs="仿宋"/>
                <w:color w:val="000000" w:themeColor="text1"/>
                <w:sz w:val="24"/>
              </w:rPr>
            </w:pPr>
          </w:p>
        </w:tc>
        <w:tc>
          <w:tcPr>
            <w:tcW w:w="568" w:type="dxa"/>
            <w:vMerge w:val="continue"/>
            <w:shd w:val="clear" w:color="auto" w:fill="auto"/>
            <w:vAlign w:val="center"/>
          </w:tcPr>
          <w:p>
            <w:pPr>
              <w:spacing w:line="540" w:lineRule="exact"/>
              <w:jc w:val="center"/>
              <w:rPr>
                <w:rFonts w:ascii="仿宋" w:hAnsi="仿宋" w:eastAsia="仿宋" w:cs="仿宋"/>
                <w:color w:val="000000" w:themeColor="text1"/>
                <w:sz w:val="24"/>
              </w:rPr>
            </w:pPr>
          </w:p>
        </w:tc>
        <w:tc>
          <w:tcPr>
            <w:tcW w:w="568" w:type="dxa"/>
            <w:vMerge w:val="continue"/>
            <w:shd w:val="clear" w:color="auto" w:fill="auto"/>
            <w:vAlign w:val="center"/>
          </w:tcPr>
          <w:p>
            <w:pPr>
              <w:spacing w:line="540" w:lineRule="exact"/>
              <w:jc w:val="center"/>
              <w:rPr>
                <w:rFonts w:ascii="仿宋" w:hAnsi="仿宋" w:eastAsia="仿宋" w:cs="仿宋"/>
                <w:color w:val="000000" w:themeColor="text1"/>
                <w:sz w:val="24"/>
              </w:rPr>
            </w:pP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结果维护</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结果纠正</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其他结果</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尚未审结</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总计</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结果维护</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结果纠正</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其他结果</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尚未审结</w:t>
            </w:r>
          </w:p>
        </w:tc>
        <w:tc>
          <w:tcPr>
            <w:tcW w:w="568" w:type="dxa"/>
            <w:shd w:val="clear" w:color="auto" w:fill="auto"/>
            <w:vAlign w:val="center"/>
          </w:tcPr>
          <w:p>
            <w:pPr>
              <w:spacing w:line="540" w:lineRule="exact"/>
              <w:jc w:val="center"/>
              <w:rPr>
                <w:rFonts w:ascii="仿宋" w:hAnsi="仿宋" w:eastAsia="仿宋" w:cs="仿宋"/>
                <w:color w:val="000000" w:themeColor="text1"/>
                <w:sz w:val="24"/>
              </w:rPr>
            </w:pPr>
            <w:r>
              <w:rPr>
                <w:rFonts w:hint="eastAsia" w:ascii="仿宋" w:hAnsi="仿宋" w:eastAsia="仿宋" w:cs="仿宋"/>
                <w:color w:val="000000" w:themeColor="text1"/>
                <w:sz w:val="24"/>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c>
          <w:tcPr>
            <w:tcW w:w="568" w:type="dxa"/>
            <w:shd w:val="clear" w:color="auto" w:fill="auto"/>
          </w:tcPr>
          <w:p>
            <w:pPr>
              <w:spacing w:line="540" w:lineRule="exact"/>
              <w:rPr>
                <w:rFonts w:ascii="仿宋" w:hAnsi="仿宋" w:eastAsia="仿宋" w:cs="仿宋"/>
                <w:color w:val="000000" w:themeColor="text1"/>
                <w:sz w:val="24"/>
              </w:rPr>
            </w:pPr>
            <w:r>
              <w:rPr>
                <w:rFonts w:hint="eastAsia" w:ascii="仿宋" w:hAnsi="仿宋" w:eastAsia="仿宋" w:cs="仿宋"/>
                <w:color w:val="000000" w:themeColor="text1"/>
                <w:sz w:val="24"/>
              </w:rPr>
              <w:t>0</w:t>
            </w:r>
          </w:p>
        </w:tc>
      </w:tr>
    </w:tbl>
    <w:p>
      <w:pPr>
        <w:widowControl/>
        <w:shd w:val="clear" w:color="auto" w:fill="FFFFFF"/>
        <w:rPr>
          <w:rFonts w:ascii="宋体" w:hAnsi="宋体" w:eastAsia="宋体" w:cs="宋体"/>
          <w:color w:val="000000" w:themeColor="text1"/>
          <w:sz w:val="32"/>
          <w:szCs w:val="32"/>
        </w:rPr>
      </w:pPr>
    </w:p>
    <w:p>
      <w:pPr>
        <w:pStyle w:val="4"/>
        <w:widowControl/>
        <w:shd w:val="clear" w:color="auto" w:fill="FFFFFF"/>
        <w:spacing w:beforeAutospacing="0" w:afterAutospacing="0"/>
        <w:ind w:firstLine="643" w:firstLineChars="200"/>
        <w:jc w:val="both"/>
        <w:rPr>
          <w:rFonts w:ascii="黑体" w:hAnsi="黑体" w:eastAsia="黑体" w:cs="黑体"/>
          <w:b/>
          <w:bCs/>
          <w:color w:val="000000" w:themeColor="text1"/>
          <w:sz w:val="32"/>
          <w:szCs w:val="32"/>
          <w:shd w:val="clear" w:color="auto" w:fill="FFFFFF"/>
        </w:rPr>
      </w:pPr>
      <w:r>
        <w:rPr>
          <w:rFonts w:hint="eastAsia" w:ascii="黑体" w:hAnsi="黑体" w:eastAsia="黑体" w:cs="黑体"/>
          <w:b/>
          <w:bCs/>
          <w:color w:val="000000" w:themeColor="text1"/>
          <w:sz w:val="32"/>
          <w:szCs w:val="32"/>
          <w:shd w:val="clear" w:color="auto" w:fill="FFFFFF"/>
        </w:rPr>
        <w:t>五、存在的主要问题及改进情况</w:t>
      </w:r>
    </w:p>
    <w:p>
      <w:pPr>
        <w:pStyle w:val="4"/>
        <w:shd w:val="clear" w:color="auto" w:fill="FFFFFF"/>
        <w:spacing w:beforeAutospacing="0" w:afterAutospacing="0"/>
        <w:ind w:firstLine="640" w:firstLineChars="200"/>
        <w:jc w:val="both"/>
        <w:rPr>
          <w:rFonts w:ascii="仿宋_GB2312" w:hAnsi="仿宋" w:eastAsia="仿宋_GB2312" w:cs="宋体"/>
          <w:color w:val="000000" w:themeColor="text1"/>
          <w:sz w:val="32"/>
          <w:szCs w:val="32"/>
          <w:shd w:val="clear" w:color="auto" w:fill="FFFFFF"/>
        </w:rPr>
      </w:pPr>
      <w:r>
        <w:rPr>
          <w:rFonts w:hint="eastAsia" w:ascii="仿宋_GB2312" w:hAnsi="仿宋" w:eastAsia="仿宋_GB2312" w:cs="宋体"/>
          <w:color w:val="000000" w:themeColor="text1"/>
          <w:sz w:val="32"/>
          <w:szCs w:val="32"/>
          <w:shd w:val="clear" w:color="auto" w:fill="FFFFFF"/>
        </w:rPr>
        <w:t>2020年，青云谱区统计局政府信息公开情况在信息公开规范性方面还有待加强，统计信息时效性方面还有待提高等问题。</w:t>
      </w:r>
    </w:p>
    <w:p>
      <w:pPr>
        <w:pStyle w:val="4"/>
        <w:shd w:val="clear" w:color="auto" w:fill="FFFFFF"/>
        <w:spacing w:beforeAutospacing="0" w:afterAutospacing="0"/>
        <w:ind w:firstLine="640" w:firstLineChars="200"/>
        <w:jc w:val="both"/>
        <w:rPr>
          <w:rFonts w:ascii="仿宋_GB2312" w:hAnsi="仿宋" w:eastAsia="仿宋_GB2312" w:cs="宋体"/>
          <w:color w:val="000000" w:themeColor="text1"/>
          <w:sz w:val="32"/>
          <w:szCs w:val="32"/>
          <w:shd w:val="clear" w:color="auto" w:fill="FFFFFF"/>
        </w:rPr>
      </w:pPr>
      <w:r>
        <w:rPr>
          <w:rFonts w:hint="eastAsia" w:ascii="仿宋_GB2312" w:hAnsi="仿宋" w:eastAsia="仿宋_GB2312" w:cs="宋体"/>
          <w:color w:val="000000" w:themeColor="text1"/>
          <w:sz w:val="32"/>
          <w:szCs w:val="32"/>
          <w:shd w:val="clear" w:color="auto" w:fill="FFFFFF"/>
        </w:rPr>
        <w:t>2021年，青云谱区统计局将继续按照各项规定要求，进一步规范信息公开制度，提高信息公开时效，不断加大信息公开力度。</w:t>
      </w:r>
    </w:p>
    <w:p>
      <w:pPr>
        <w:pStyle w:val="4"/>
        <w:shd w:val="clear" w:color="auto" w:fill="FFFFFF"/>
        <w:spacing w:beforeAutospacing="0" w:afterAutospacing="0"/>
        <w:ind w:firstLine="640" w:firstLineChars="200"/>
        <w:jc w:val="both"/>
        <w:rPr>
          <w:rFonts w:ascii="仿宋_GB2312" w:hAnsi="仿宋" w:eastAsia="仿宋_GB2312" w:cs="宋体"/>
          <w:color w:val="000000" w:themeColor="text1"/>
          <w:sz w:val="32"/>
          <w:szCs w:val="32"/>
          <w:shd w:val="clear" w:color="auto" w:fill="FFFFFF"/>
        </w:rPr>
      </w:pPr>
      <w:r>
        <w:rPr>
          <w:rFonts w:hint="eastAsia" w:ascii="仿宋_GB2312" w:hAnsi="仿宋" w:eastAsia="仿宋_GB2312" w:cs="宋体"/>
          <w:color w:val="000000" w:themeColor="text1"/>
          <w:sz w:val="32"/>
          <w:szCs w:val="32"/>
          <w:shd w:val="clear" w:color="auto" w:fill="FFFFFF"/>
        </w:rPr>
        <w:t>一是进一步完善信息公开发布机制，理顺统计专业科室和办公室的连接，提供更为便捷的查询服务。</w:t>
      </w:r>
    </w:p>
    <w:p>
      <w:pPr>
        <w:pStyle w:val="4"/>
        <w:shd w:val="clear" w:color="auto" w:fill="FFFFFF"/>
        <w:spacing w:beforeAutospacing="0" w:afterAutospacing="0"/>
        <w:ind w:firstLine="640" w:firstLineChars="200"/>
        <w:jc w:val="both"/>
        <w:rPr>
          <w:rFonts w:ascii="仿宋_GB2312" w:hAnsi="仿宋" w:eastAsia="仿宋_GB2312" w:cs="宋体"/>
          <w:color w:val="000000" w:themeColor="text1"/>
          <w:sz w:val="32"/>
          <w:szCs w:val="32"/>
          <w:shd w:val="clear" w:color="auto" w:fill="FFFFFF"/>
        </w:rPr>
      </w:pPr>
      <w:r>
        <w:rPr>
          <w:rFonts w:hint="eastAsia" w:ascii="仿宋_GB2312" w:hAnsi="仿宋" w:eastAsia="仿宋_GB2312" w:cs="宋体"/>
          <w:color w:val="000000" w:themeColor="text1"/>
          <w:sz w:val="32"/>
          <w:szCs w:val="32"/>
          <w:shd w:val="clear" w:color="auto" w:fill="FFFFFF"/>
        </w:rPr>
        <w:t>二是进一步开拓信息发布平台，更多利用新媒体、微信公众号等发布政府信息，丰富信息公开内容，创新信息公开模式，更好的服务政府与大众。</w:t>
      </w:r>
    </w:p>
    <w:p>
      <w:pPr>
        <w:pStyle w:val="4"/>
        <w:shd w:val="clear" w:color="auto" w:fill="FFFFFF"/>
        <w:spacing w:beforeAutospacing="0" w:afterAutospacing="0"/>
        <w:ind w:firstLine="640" w:firstLineChars="200"/>
        <w:jc w:val="both"/>
        <w:rPr>
          <w:rFonts w:ascii="仿宋_GB2312" w:hAnsi="仿宋" w:eastAsia="仿宋_GB2312" w:cs="宋体"/>
          <w:color w:val="000000" w:themeColor="text1"/>
          <w:sz w:val="32"/>
          <w:szCs w:val="32"/>
          <w:shd w:val="clear" w:color="auto" w:fill="FFFFFF"/>
        </w:rPr>
      </w:pPr>
      <w:r>
        <w:rPr>
          <w:rFonts w:hint="eastAsia" w:ascii="仿宋_GB2312" w:eastAsia="仿宋_GB2312"/>
          <w:color w:val="000000" w:themeColor="text1"/>
          <w:sz w:val="32"/>
          <w:szCs w:val="32"/>
          <w:shd w:val="clear" w:color="auto" w:fill="FFFFFF"/>
        </w:rPr>
        <w:t>三是进一步加强培训，增强工作人员依法做好政府信息公开工作的能力。</w:t>
      </w:r>
    </w:p>
    <w:p>
      <w:pPr>
        <w:pStyle w:val="4"/>
        <w:widowControl/>
        <w:shd w:val="clear" w:color="auto" w:fill="FFFFFF"/>
        <w:spacing w:beforeAutospacing="0" w:afterAutospacing="0"/>
        <w:ind w:firstLine="640" w:firstLineChars="200"/>
        <w:jc w:val="both"/>
        <w:rPr>
          <w:rFonts w:ascii="黑体" w:hAnsi="黑体" w:eastAsia="黑体" w:cs="黑体"/>
          <w:bCs/>
          <w:color w:val="000000" w:themeColor="text1"/>
          <w:sz w:val="32"/>
          <w:szCs w:val="32"/>
          <w:shd w:val="clear" w:color="auto" w:fill="FFFFFF"/>
        </w:rPr>
      </w:pPr>
      <w:r>
        <w:rPr>
          <w:rFonts w:hint="eastAsia" w:ascii="黑体" w:hAnsi="黑体" w:eastAsia="黑体" w:cs="黑体"/>
          <w:bCs/>
          <w:color w:val="000000" w:themeColor="text1"/>
          <w:sz w:val="32"/>
          <w:szCs w:val="32"/>
          <w:shd w:val="clear" w:color="auto" w:fill="FFFFFF"/>
        </w:rPr>
        <w:t>六、其他需要报告的事项</w:t>
      </w:r>
    </w:p>
    <w:p>
      <w:pPr>
        <w:pStyle w:val="4"/>
        <w:widowControl/>
        <w:shd w:val="clear" w:color="auto" w:fill="FFFFFF"/>
        <w:spacing w:beforeAutospacing="0" w:afterAutospacing="0"/>
        <w:ind w:firstLine="640"/>
        <w:jc w:val="both"/>
        <w:rPr>
          <w:rFonts w:hint="eastAsia" w:ascii="仿宋_GB2312" w:eastAsia="仿宋_GB2312"/>
          <w:color w:val="000000" w:themeColor="text1"/>
          <w:sz w:val="32"/>
          <w:szCs w:val="32"/>
          <w:shd w:val="clear" w:color="auto" w:fill="FFFFFF"/>
        </w:rPr>
      </w:pPr>
      <w:r>
        <w:rPr>
          <w:rFonts w:hint="eastAsia" w:ascii="仿宋_GB2312" w:eastAsia="仿宋_GB2312"/>
          <w:color w:val="000000" w:themeColor="text1"/>
          <w:sz w:val="32"/>
          <w:szCs w:val="32"/>
          <w:shd w:val="clear" w:color="auto" w:fill="FFFFFF"/>
        </w:rPr>
        <w:t>无</w:t>
      </w:r>
    </w:p>
    <w:p>
      <w:pPr>
        <w:pStyle w:val="4"/>
        <w:widowControl/>
        <w:shd w:val="clear" w:color="auto" w:fill="FFFFFF"/>
        <w:spacing w:beforeAutospacing="0" w:afterAutospacing="0"/>
        <w:ind w:firstLine="640"/>
        <w:jc w:val="both"/>
        <w:rPr>
          <w:rFonts w:hint="eastAsia" w:ascii="仿宋_GB2312" w:eastAsia="仿宋_GB2312"/>
          <w:color w:val="000000" w:themeColor="text1"/>
          <w:sz w:val="32"/>
          <w:szCs w:val="32"/>
          <w:shd w:val="clear" w:color="auto"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9DB681"/>
    <w:multiLevelType w:val="singleLevel"/>
    <w:tmpl w:val="E49DB68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87C9E"/>
    <w:rsid w:val="000C4F5E"/>
    <w:rsid w:val="00117180"/>
    <w:rsid w:val="001A776E"/>
    <w:rsid w:val="00287C9E"/>
    <w:rsid w:val="002A3DE7"/>
    <w:rsid w:val="002C7195"/>
    <w:rsid w:val="00312098"/>
    <w:rsid w:val="003123C3"/>
    <w:rsid w:val="003520BE"/>
    <w:rsid w:val="00381AA3"/>
    <w:rsid w:val="00437FB1"/>
    <w:rsid w:val="005F0BD0"/>
    <w:rsid w:val="00600CEE"/>
    <w:rsid w:val="00754A5A"/>
    <w:rsid w:val="007F5709"/>
    <w:rsid w:val="00823E63"/>
    <w:rsid w:val="00982B99"/>
    <w:rsid w:val="00A31DF9"/>
    <w:rsid w:val="00A34B5E"/>
    <w:rsid w:val="00AC0286"/>
    <w:rsid w:val="00BB2F09"/>
    <w:rsid w:val="00C46471"/>
    <w:rsid w:val="00C51678"/>
    <w:rsid w:val="00C5636B"/>
    <w:rsid w:val="00D0685B"/>
    <w:rsid w:val="00D92972"/>
    <w:rsid w:val="00EC75A3"/>
    <w:rsid w:val="00F323F3"/>
    <w:rsid w:val="072F4BA5"/>
    <w:rsid w:val="09A0258A"/>
    <w:rsid w:val="0F42566A"/>
    <w:rsid w:val="0FE32618"/>
    <w:rsid w:val="14066321"/>
    <w:rsid w:val="17534F7D"/>
    <w:rsid w:val="1B931963"/>
    <w:rsid w:val="23B06487"/>
    <w:rsid w:val="2480713E"/>
    <w:rsid w:val="4F0E1678"/>
    <w:rsid w:val="519D4381"/>
    <w:rsid w:val="566E50F8"/>
    <w:rsid w:val="56857A37"/>
    <w:rsid w:val="5FCE6A83"/>
    <w:rsid w:val="601F1215"/>
    <w:rsid w:val="6EB526D3"/>
    <w:rsid w:val="6EC41F3F"/>
    <w:rsid w:val="7B440FF1"/>
    <w:rsid w:val="7D7C7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492</Words>
  <Characters>2805</Characters>
  <Lines>23</Lines>
  <Paragraphs>6</Paragraphs>
  <TotalTime>130</TotalTime>
  <ScaleCrop>false</ScaleCrop>
  <LinksUpToDate>false</LinksUpToDate>
  <CharactersWithSpaces>3291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2021-01-07T01:14:00Z</dcterms:created>
  <dc:creator>Administrator</dc:creator>
  <cp:lastModifiedBy>万美君</cp:lastModifiedBy>
  <dcterms:modified xsi:type="dcterms:W3CDTF">2021-01-29T09:13:49Z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