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jc w:val="center"/>
        <w:textAlignment w:val="auto"/>
        <w:rPr>
          <w:rFonts w:hint="eastAsia" w:ascii="方正小标宋简体" w:hAnsi="方正小标宋简体" w:eastAsia="方正小标宋简体" w:cs="方正小标宋简体"/>
          <w:b/>
          <w:bCs w:val="0"/>
          <w:color w:val="333333"/>
          <w:sz w:val="44"/>
          <w:szCs w:val="44"/>
          <w:shd w:val="clear" w:color="auto" w:fill="FFFFFF"/>
          <w:lang w:eastAsia="zh-CN"/>
        </w:rPr>
      </w:pPr>
      <w:r>
        <w:rPr>
          <w:rFonts w:hint="eastAsia" w:ascii="方正小标宋简体" w:hAnsi="方正小标宋简体" w:eastAsia="方正小标宋简体" w:cs="方正小标宋简体"/>
          <w:b/>
          <w:bCs w:val="0"/>
          <w:color w:val="333333"/>
          <w:sz w:val="44"/>
          <w:szCs w:val="44"/>
          <w:shd w:val="clear" w:color="auto" w:fill="FFFFFF"/>
          <w:lang w:eastAsia="zh-CN"/>
        </w:rPr>
        <w:t>青云谱区</w:t>
      </w:r>
      <w:r>
        <w:rPr>
          <w:rFonts w:hint="eastAsia" w:ascii="方正小标宋简体" w:hAnsi="方正小标宋简体" w:eastAsia="方正小标宋简体" w:cs="方正小标宋简体"/>
          <w:b/>
          <w:bCs w:val="0"/>
          <w:color w:val="333333"/>
          <w:sz w:val="44"/>
          <w:szCs w:val="44"/>
          <w:shd w:val="clear" w:color="auto" w:fill="FFFFFF"/>
          <w:lang w:val="en-US" w:eastAsia="zh-CN"/>
        </w:rPr>
        <w:t>政务服务数据管理</w:t>
      </w:r>
      <w:r>
        <w:rPr>
          <w:rFonts w:hint="eastAsia" w:ascii="方正小标宋简体" w:hAnsi="方正小标宋简体" w:eastAsia="方正小标宋简体" w:cs="方正小标宋简体"/>
          <w:b/>
          <w:bCs w:val="0"/>
          <w:color w:val="333333"/>
          <w:sz w:val="44"/>
          <w:szCs w:val="44"/>
          <w:shd w:val="clear" w:color="auto" w:fill="FFFFFF"/>
          <w:lang w:eastAsia="zh-CN"/>
        </w:rPr>
        <w:t>局</w:t>
      </w:r>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jc w:val="center"/>
        <w:textAlignment w:val="auto"/>
        <w:rPr>
          <w:rFonts w:hint="eastAsia" w:ascii="方正小标宋简体" w:hAnsi="方正小标宋简体" w:eastAsia="方正小标宋简体" w:cs="方正小标宋简体"/>
          <w:b/>
          <w:bCs w:val="0"/>
          <w:color w:val="333333"/>
          <w:sz w:val="44"/>
          <w:szCs w:val="44"/>
        </w:rPr>
      </w:pPr>
      <w:r>
        <w:rPr>
          <w:rFonts w:hint="eastAsia" w:ascii="方正小标宋简体" w:hAnsi="方正小标宋简体" w:eastAsia="方正小标宋简体" w:cs="方正小标宋简体"/>
          <w:b/>
          <w:bCs w:val="0"/>
          <w:color w:val="333333"/>
          <w:sz w:val="44"/>
          <w:szCs w:val="44"/>
          <w:shd w:val="clear" w:color="auto" w:fill="FFFFFF"/>
        </w:rPr>
        <w:t>202</w:t>
      </w:r>
      <w:r>
        <w:rPr>
          <w:rFonts w:hint="eastAsia" w:ascii="方正小标宋简体" w:hAnsi="方正小标宋简体" w:eastAsia="方正小标宋简体" w:cs="方正小标宋简体"/>
          <w:b/>
          <w:bCs w:val="0"/>
          <w:color w:val="333333"/>
          <w:sz w:val="44"/>
          <w:szCs w:val="44"/>
          <w:shd w:val="clear" w:color="auto" w:fill="FFFFFF"/>
          <w:lang w:val="en-US" w:eastAsia="zh-CN"/>
        </w:rPr>
        <w:t>2</w:t>
      </w:r>
      <w:r>
        <w:rPr>
          <w:rFonts w:hint="eastAsia" w:ascii="方正小标宋简体" w:hAnsi="方正小标宋简体" w:eastAsia="方正小标宋简体" w:cs="方正小标宋简体"/>
          <w:b/>
          <w:bCs w:val="0"/>
          <w:color w:val="333333"/>
          <w:sz w:val="44"/>
          <w:szCs w:val="44"/>
          <w:shd w:val="clear" w:color="auto" w:fill="FFFFFF"/>
        </w:rPr>
        <w:t>年政府信息公开工作年度报告</w:t>
      </w:r>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firstLine="420"/>
        <w:jc w:val="both"/>
        <w:textAlignment w:val="auto"/>
        <w:rPr>
          <w:rFonts w:ascii="宋体" w:hAnsi="宋体" w:eastAsia="宋体" w:cs="宋体"/>
          <w:b/>
          <w:bCs w:val="0"/>
          <w:color w:val="333333"/>
          <w:sz w:val="44"/>
          <w:szCs w:val="44"/>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本报告依据《中华人民共和国政府信息公开条例》（国务院令第711号，以下简称新《条例》）要求，由青云谱区政务服务数据管理局综合股结合有关统计数据编制。本年度报告中所列数据的统计期限自2022年1月1日起至2022年12月31日止。全文包括总体情况、主动公开政府信息情况、收到和处理政府信息公开申请情况、政府信息公开行政复议行政诉讼情况、存在的主要问题及改进情</w:t>
      </w:r>
      <w:bookmarkStart w:id="0" w:name="_GoBack"/>
      <w:bookmarkEnd w:id="0"/>
      <w:r>
        <w:rPr>
          <w:rFonts w:hint="eastAsia" w:ascii="仿宋_GB2312" w:hAnsi="仿宋_GB2312" w:eastAsia="仿宋_GB2312" w:cs="仿宋_GB2312"/>
          <w:color w:val="333333"/>
          <w:sz w:val="32"/>
          <w:szCs w:val="32"/>
          <w:lang w:val="en-US" w:eastAsia="zh-CN"/>
        </w:rPr>
        <w:t>况、其他需要报告的事项。本年度报告的电子版可以从青云谱区人民政府网站（http://qyp.nc.gov.cn/）下载。如对本报告有任何疑问，请与青云谱区政务服务数据管理局政务公开和政府信息公开工作领导小组办公室联系（地址：江西省南昌市青云谱区广州路995号，电话：0791-88483877，邮编：330001）。</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黑体" w:hAnsi="黑体" w:eastAsia="黑体" w:cs="黑体"/>
          <w:b/>
          <w:bCs/>
          <w:color w:val="333333"/>
          <w:sz w:val="32"/>
          <w:szCs w:val="32"/>
          <w:lang w:val="en-US" w:eastAsia="zh-CN"/>
        </w:rPr>
      </w:pPr>
      <w:r>
        <w:rPr>
          <w:rFonts w:hint="eastAsia" w:ascii="黑体" w:hAnsi="黑体" w:eastAsia="黑体" w:cs="黑体"/>
          <w:b/>
          <w:bCs/>
          <w:color w:val="333333"/>
          <w:sz w:val="32"/>
          <w:szCs w:val="32"/>
          <w:lang w:val="en-US" w:eastAsia="zh-CN"/>
        </w:rPr>
        <w:t>一、总体情况</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（一）主动公开情况</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我局信息公开工作严格按照新《条例》规定，在区政府网站栏目主要分为“履职依据”、“机关简介”、“预算决算”、“工作动态”等专题栏目。实时发布社会关切，群众关注的政务服务、数据管理相关政策，文件，工作动态等信息，切实做到公开、便民。2022年1月1日至2022年12月31日，我局主动公开工作动态17条，部门及下属事业单位预决算公开表，履职依据及政策解读7条等相关信息，主动公开的政府信息未涉及国家秘密、商业秘密和个人隐私，也未出现危及国家安全、公共安全。</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（二）依申请公开情况</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2022年我局未收到受理依申请公开信息要求。</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（三）政府信息管理情况</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一是强化组织领导。我局成立了政务信息公开工作领导小组，由局主要领导任组长，班子成员为领导小组成员。领导小组下设办公室，其日常工作由综合股负责。</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二是注重信息质量。积极推进一般事项公开向重点事项公开、结果公开向全过程公开、自定内容公开向群众点题公开，使政务公开更加接地气，进一步提高政务公开的质量。对照《政府信息公开条例》，我们做到：一是公开的内容更加充实；二是公开的时间更加及时；三是公开重点更加突出。三是畅通公开渠道。在进一步坚持和完善政务公开栏这一公开形式的基础上，认真创新政务公开的新载体、形式，使政务公开的形式灵活多样。有效发挥门户网站、公开栏、微信公众号等宣传渠道的作用，让不同层次的群众通过不同渠道获取信息，更好的发挥群众监督作用。</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（四）信息公开平台建设情况</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一是进一步优化网站功能、栏目设置，推进完善政策解读、回应关切、公众参与、新闻发布等栏目。继续推进政务新媒体建设，不断丰富传播内容、持续完善服务功能，在塑造政府形象、引导网上舆论、回应社会关切、服务群众办事等方面日益发挥重要作用；二是通过政府信息公开平台，尽最大限度地把上级的政策、法规、动态及时通过平台对外公布。同时广泛宣传《中华人民共和国政府信息公开条例》的重大意义，不断细化政府信息分类、对栏目信息质量进行梳理、不断提高信息公开的质量。</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（五）监督保障工作情况</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不断完善外部监督制约机制，建立健全长效管理机制，形成用制度规范行为、按制度办事、靠制度管人的机制。将政务公开工作与党风廉政建设、行风建设综合进行检查、考评，使政务工作开展更加扎实、有序。</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（六）2022年我局没有因政府信息公开申请行政复议的情况。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420"/>
        <w:jc w:val="both"/>
        <w:rPr>
          <w:rFonts w:hint="eastAsia" w:ascii="黑体" w:hAnsi="黑体" w:eastAsia="黑体" w:cs="黑体"/>
          <w:i w:val="0"/>
          <w:caps w:val="0"/>
          <w:color w:val="333333"/>
          <w:spacing w:val="0"/>
          <w:sz w:val="32"/>
          <w:szCs w:val="32"/>
        </w:rPr>
      </w:pPr>
      <w:r>
        <w:rPr>
          <w:rFonts w:hint="eastAsia" w:ascii="黑体" w:hAnsi="黑体" w:eastAsia="黑体" w:cs="黑体"/>
          <w:b/>
          <w:i w:val="0"/>
          <w:caps w:val="0"/>
          <w:color w:val="333333"/>
          <w:spacing w:val="0"/>
          <w:sz w:val="32"/>
          <w:szCs w:val="32"/>
          <w:shd w:val="clear" w:color="auto" w:fill="FFFFFF"/>
          <w:lang w:eastAsia="zh-CN"/>
        </w:rPr>
        <w:t>二</w:t>
      </w:r>
      <w:r>
        <w:rPr>
          <w:rFonts w:hint="eastAsia" w:ascii="黑体" w:hAnsi="黑体" w:eastAsia="黑体" w:cs="黑体"/>
          <w:b/>
          <w:i w:val="0"/>
          <w:caps w:val="0"/>
          <w:color w:val="333333"/>
          <w:spacing w:val="0"/>
          <w:sz w:val="32"/>
          <w:szCs w:val="32"/>
          <w:shd w:val="clear" w:color="auto" w:fill="FFFFFF"/>
        </w:rPr>
        <w:t>、主动公开政府信息情况</w:t>
      </w:r>
    </w:p>
    <w:tbl>
      <w:tblPr>
        <w:tblStyle w:val="6"/>
        <w:tblW w:w="9078" w:type="dxa"/>
        <w:jc w:val="center"/>
        <w:tblLayout w:type="fixed"/>
        <w:tblCellMar>
          <w:top w:w="0" w:type="dxa"/>
          <w:left w:w="0" w:type="dxa"/>
          <w:bottom w:w="0" w:type="dxa"/>
          <w:right w:w="0" w:type="dxa"/>
        </w:tblCellMar>
      </w:tblPr>
      <w:tblGrid>
        <w:gridCol w:w="3755"/>
        <w:gridCol w:w="1782"/>
        <w:gridCol w:w="1635"/>
        <w:gridCol w:w="1906"/>
      </w:tblGrid>
      <w:tr>
        <w:tblPrEx>
          <w:tblCellMar>
            <w:top w:w="0" w:type="dxa"/>
            <w:left w:w="0" w:type="dxa"/>
            <w:bottom w:w="0" w:type="dxa"/>
            <w:right w:w="0" w:type="dxa"/>
          </w:tblCellMar>
        </w:tblPrEx>
        <w:trPr>
          <w:trHeight w:val="493" w:hRule="atLeast"/>
          <w:jc w:val="center"/>
        </w:trPr>
        <w:tc>
          <w:tcPr>
            <w:tcW w:w="9078" w:type="dxa"/>
            <w:gridSpan w:val="4"/>
            <w:tcBorders>
              <w:top w:val="single" w:color="auto" w:sz="8" w:space="0"/>
              <w:left w:val="single" w:color="auto" w:sz="8" w:space="0"/>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第二十条第（一）项</w:t>
            </w:r>
          </w:p>
        </w:tc>
      </w:tr>
      <w:tr>
        <w:tblPrEx>
          <w:tblCellMar>
            <w:top w:w="0" w:type="dxa"/>
            <w:left w:w="0" w:type="dxa"/>
            <w:bottom w:w="0" w:type="dxa"/>
            <w:right w:w="0" w:type="dxa"/>
          </w:tblCellMar>
        </w:tblPrEx>
        <w:trPr>
          <w:trHeight w:val="642"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信息内容</w:t>
            </w:r>
          </w:p>
        </w:tc>
        <w:tc>
          <w:tcPr>
            <w:tcW w:w="1782" w:type="dxa"/>
            <w:tcBorders>
              <w:top w:val="single" w:color="auto" w:sz="8" w:space="0"/>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本年</w:t>
            </w:r>
            <w:r>
              <w:rPr>
                <w:rFonts w:ascii="Calibri" w:hAnsi="Calibri" w:eastAsia="宋体" w:cs="Times New Roman"/>
                <w:kern w:val="0"/>
                <w:sz w:val="22"/>
                <w:szCs w:val="22"/>
                <w:lang w:val="en-US" w:eastAsia="zh-CN" w:bidi="ar"/>
              </w:rPr>
              <w:t>制</w:t>
            </w:r>
            <w:r>
              <w:rPr>
                <w:rFonts w:hint="eastAsia" w:ascii="Calibri" w:hAnsi="Calibri" w:eastAsia="宋体" w:cs="Times New Roman"/>
                <w:kern w:val="0"/>
                <w:sz w:val="22"/>
                <w:szCs w:val="22"/>
                <w:lang w:val="en-US" w:eastAsia="zh-CN" w:bidi="ar"/>
              </w:rPr>
              <w:t>发件数</w:t>
            </w:r>
          </w:p>
        </w:tc>
        <w:tc>
          <w:tcPr>
            <w:tcW w:w="1635" w:type="dxa"/>
            <w:tcBorders>
              <w:top w:val="single" w:color="auto" w:sz="8" w:space="0"/>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本年废止件数</w:t>
            </w:r>
          </w:p>
        </w:tc>
        <w:tc>
          <w:tcPr>
            <w:tcW w:w="1906"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eastAsia="zh-CN"/>
              </w:rPr>
            </w:pPr>
            <w:r>
              <w:rPr>
                <w:rFonts w:hint="eastAsia" w:ascii="宋体" w:hAnsi="宋体" w:eastAsia="宋体" w:cs="宋体"/>
                <w:color w:val="000000"/>
                <w:kern w:val="0"/>
                <w:sz w:val="22"/>
                <w:szCs w:val="22"/>
                <w:lang w:val="en-US" w:eastAsia="zh-CN" w:bidi="ar"/>
              </w:rPr>
              <w:t>现行有效件数</w:t>
            </w:r>
          </w:p>
        </w:tc>
      </w:tr>
      <w:tr>
        <w:tblPrEx>
          <w:tblCellMar>
            <w:top w:w="0" w:type="dxa"/>
            <w:left w:w="0" w:type="dxa"/>
            <w:bottom w:w="0" w:type="dxa"/>
            <w:right w:w="0" w:type="dxa"/>
          </w:tblCellMar>
        </w:tblPrEx>
        <w:trPr>
          <w:trHeight w:val="523"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规章</w:t>
            </w:r>
          </w:p>
        </w:tc>
        <w:tc>
          <w:tcPr>
            <w:tcW w:w="178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c>
          <w:tcPr>
            <w:tcW w:w="163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c>
          <w:tcPr>
            <w:tcW w:w="1906"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r>
        <w:tblPrEx>
          <w:tblCellMar>
            <w:top w:w="0" w:type="dxa"/>
            <w:left w:w="0" w:type="dxa"/>
            <w:bottom w:w="0" w:type="dxa"/>
            <w:right w:w="0" w:type="dxa"/>
          </w:tblCellMar>
        </w:tblPrEx>
        <w:trPr>
          <w:trHeight w:val="471"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行政规范性文件</w:t>
            </w:r>
          </w:p>
        </w:tc>
        <w:tc>
          <w:tcPr>
            <w:tcW w:w="178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c>
          <w:tcPr>
            <w:tcW w:w="163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c>
          <w:tcPr>
            <w:tcW w:w="1906"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r>
        <w:tblPrEx>
          <w:tblCellMar>
            <w:top w:w="0" w:type="dxa"/>
            <w:left w:w="0" w:type="dxa"/>
            <w:bottom w:w="0" w:type="dxa"/>
            <w:right w:w="0" w:type="dxa"/>
          </w:tblCellMar>
        </w:tblPrEx>
        <w:trPr>
          <w:trHeight w:val="480" w:hRule="atLeast"/>
          <w:jc w:val="center"/>
        </w:trPr>
        <w:tc>
          <w:tcPr>
            <w:tcW w:w="9078" w:type="dxa"/>
            <w:gridSpan w:val="4"/>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第二十条第（五）项</w:t>
            </w:r>
          </w:p>
        </w:tc>
      </w:tr>
      <w:tr>
        <w:tblPrEx>
          <w:tblCellMar>
            <w:top w:w="0" w:type="dxa"/>
            <w:left w:w="0" w:type="dxa"/>
            <w:bottom w:w="0" w:type="dxa"/>
            <w:right w:w="0" w:type="dxa"/>
          </w:tblCellMar>
        </w:tblPrEx>
        <w:trPr>
          <w:trHeight w:val="634" w:hRule="atLeast"/>
          <w:jc w:val="center"/>
        </w:trPr>
        <w:tc>
          <w:tcPr>
            <w:tcW w:w="3755" w:type="dxa"/>
            <w:tcBorders>
              <w:top w:val="nil"/>
              <w:left w:val="single" w:color="auto" w:sz="8" w:space="0"/>
              <w:bottom w:val="single" w:color="auto" w:sz="4"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信息内容</w:t>
            </w:r>
          </w:p>
        </w:tc>
        <w:tc>
          <w:tcPr>
            <w:tcW w:w="5323" w:type="dxa"/>
            <w:gridSpan w:val="3"/>
            <w:tcBorders>
              <w:top w:val="single" w:color="auto" w:sz="8" w:space="0"/>
              <w:left w:val="nil"/>
              <w:bottom w:val="single" w:color="auto" w:sz="4"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eastAsia="zh-CN"/>
              </w:rPr>
            </w:pPr>
            <w:r>
              <w:rPr>
                <w:rFonts w:hint="eastAsia" w:ascii="Calibri" w:hAnsi="Calibri" w:eastAsia="宋体" w:cs="Times New Roman"/>
                <w:kern w:val="0"/>
                <w:sz w:val="22"/>
                <w:szCs w:val="22"/>
                <w:lang w:val="en-US" w:eastAsia="zh-CN" w:bidi="ar"/>
              </w:rPr>
              <w:t>本年处理决定数量</w:t>
            </w:r>
          </w:p>
        </w:tc>
      </w:tr>
      <w:tr>
        <w:tblPrEx>
          <w:tblCellMar>
            <w:top w:w="0" w:type="dxa"/>
            <w:left w:w="0" w:type="dxa"/>
            <w:bottom w:w="0" w:type="dxa"/>
            <w:right w:w="0" w:type="dxa"/>
          </w:tblCellMar>
        </w:tblPrEx>
        <w:trPr>
          <w:trHeight w:val="589" w:hRule="atLeast"/>
          <w:jc w:val="center"/>
        </w:trPr>
        <w:tc>
          <w:tcPr>
            <w:tcW w:w="3755" w:type="dxa"/>
            <w:tcBorders>
              <w:top w:val="single" w:color="auto" w:sz="4" w:space="0"/>
              <w:left w:val="single" w:color="auto" w:sz="4" w:space="0"/>
              <w:bottom w:val="single" w:color="auto" w:sz="4"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行政许可</w:t>
            </w:r>
          </w:p>
        </w:tc>
        <w:tc>
          <w:tcPr>
            <w:tcW w:w="5323" w:type="dxa"/>
            <w:gridSpan w:val="3"/>
            <w:tcBorders>
              <w:top w:val="single" w:color="auto" w:sz="4" w:space="0"/>
              <w:left w:val="nil"/>
              <w:bottom w:val="single" w:color="auto" w:sz="4" w:space="0"/>
              <w:right w:val="single" w:color="auto" w:sz="4"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r>
        <w:tblPrEx>
          <w:tblCellMar>
            <w:top w:w="0" w:type="dxa"/>
            <w:left w:w="0" w:type="dxa"/>
            <w:bottom w:w="0" w:type="dxa"/>
            <w:right w:w="0" w:type="dxa"/>
          </w:tblCellMar>
        </w:tblPrEx>
        <w:trPr>
          <w:trHeight w:val="406" w:hRule="atLeast"/>
          <w:jc w:val="center"/>
        </w:trPr>
        <w:tc>
          <w:tcPr>
            <w:tcW w:w="9078" w:type="dxa"/>
            <w:gridSpan w:val="4"/>
            <w:tcBorders>
              <w:top w:val="single" w:color="auto" w:sz="4" w:space="0"/>
              <w:left w:val="single" w:color="auto" w:sz="8" w:space="0"/>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第二十条第（六）项</w:t>
            </w:r>
          </w:p>
        </w:tc>
      </w:tr>
      <w:tr>
        <w:tblPrEx>
          <w:tblCellMar>
            <w:top w:w="0" w:type="dxa"/>
            <w:left w:w="0" w:type="dxa"/>
            <w:bottom w:w="0" w:type="dxa"/>
            <w:right w:w="0" w:type="dxa"/>
          </w:tblCellMar>
        </w:tblPrEx>
        <w:trPr>
          <w:trHeight w:val="634"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Calibri" w:hAnsi="Calibri" w:eastAsia="宋体" w:cs="Times New Roman"/>
                <w:kern w:val="0"/>
                <w:sz w:val="22"/>
                <w:szCs w:val="22"/>
                <w:lang w:val="en-US" w:eastAsia="zh-CN" w:bidi="ar"/>
              </w:rPr>
            </w:pPr>
            <w:r>
              <w:rPr>
                <w:rFonts w:hint="eastAsia" w:ascii="Calibri" w:hAnsi="Calibri" w:eastAsia="宋体" w:cs="Times New Roman"/>
                <w:kern w:val="0"/>
                <w:sz w:val="22"/>
                <w:szCs w:val="22"/>
                <w:lang w:val="en-US" w:eastAsia="zh-CN" w:bidi="ar"/>
              </w:rPr>
              <w:t>信息内容</w:t>
            </w:r>
          </w:p>
        </w:tc>
        <w:tc>
          <w:tcPr>
            <w:tcW w:w="5323" w:type="dxa"/>
            <w:gridSpan w:val="3"/>
            <w:tcBorders>
              <w:top w:val="single" w:color="auto" w:sz="8" w:space="0"/>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Calibri" w:hAnsi="Calibri" w:eastAsia="宋体" w:cs="Times New Roman"/>
                <w:kern w:val="0"/>
                <w:sz w:val="22"/>
                <w:szCs w:val="22"/>
                <w:lang w:val="en-US" w:eastAsia="zh-CN" w:bidi="ar"/>
              </w:rPr>
            </w:pPr>
            <w:r>
              <w:rPr>
                <w:rFonts w:hint="eastAsia" w:ascii="Calibri" w:hAnsi="Calibri" w:eastAsia="宋体" w:cs="Times New Roman"/>
                <w:kern w:val="0"/>
                <w:sz w:val="22"/>
                <w:szCs w:val="22"/>
                <w:lang w:val="en-US" w:eastAsia="zh-CN" w:bidi="ar"/>
              </w:rPr>
              <w:t>本年处理决定数量</w:t>
            </w:r>
          </w:p>
        </w:tc>
      </w:tr>
      <w:tr>
        <w:tblPrEx>
          <w:tblCellMar>
            <w:top w:w="0" w:type="dxa"/>
            <w:left w:w="0" w:type="dxa"/>
            <w:bottom w:w="0" w:type="dxa"/>
            <w:right w:w="0" w:type="dxa"/>
          </w:tblCellMar>
        </w:tblPrEx>
        <w:trPr>
          <w:trHeight w:val="430"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行政处罚</w:t>
            </w:r>
          </w:p>
        </w:tc>
        <w:tc>
          <w:tcPr>
            <w:tcW w:w="5323" w:type="dxa"/>
            <w:gridSpan w:val="3"/>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r>
        <w:tblPrEx>
          <w:tblCellMar>
            <w:top w:w="0" w:type="dxa"/>
            <w:left w:w="0" w:type="dxa"/>
            <w:bottom w:w="0" w:type="dxa"/>
            <w:right w:w="0" w:type="dxa"/>
          </w:tblCellMar>
        </w:tblPrEx>
        <w:trPr>
          <w:trHeight w:val="409"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行政强制</w:t>
            </w:r>
          </w:p>
        </w:tc>
        <w:tc>
          <w:tcPr>
            <w:tcW w:w="5323" w:type="dxa"/>
            <w:gridSpan w:val="3"/>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r>
        <w:tblPrEx>
          <w:tblCellMar>
            <w:top w:w="0" w:type="dxa"/>
            <w:left w:w="0" w:type="dxa"/>
            <w:bottom w:w="0" w:type="dxa"/>
            <w:right w:w="0" w:type="dxa"/>
          </w:tblCellMar>
        </w:tblPrEx>
        <w:trPr>
          <w:trHeight w:val="474" w:hRule="atLeast"/>
          <w:jc w:val="center"/>
        </w:trPr>
        <w:tc>
          <w:tcPr>
            <w:tcW w:w="9078" w:type="dxa"/>
            <w:gridSpan w:val="4"/>
            <w:tcBorders>
              <w:top w:val="nil"/>
              <w:left w:val="single" w:color="auto" w:sz="8" w:space="0"/>
              <w:bottom w:val="single" w:color="auto" w:sz="4"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第二十条第（八）项</w:t>
            </w:r>
          </w:p>
        </w:tc>
      </w:tr>
      <w:tr>
        <w:tblPrEx>
          <w:tblCellMar>
            <w:top w:w="0" w:type="dxa"/>
            <w:left w:w="0" w:type="dxa"/>
            <w:bottom w:w="0" w:type="dxa"/>
            <w:right w:w="0" w:type="dxa"/>
          </w:tblCellMar>
        </w:tblPrEx>
        <w:trPr>
          <w:trHeight w:val="270" w:hRule="atLeast"/>
          <w:jc w:val="center"/>
        </w:trPr>
        <w:tc>
          <w:tcPr>
            <w:tcW w:w="3755" w:type="dxa"/>
            <w:tcBorders>
              <w:top w:val="single" w:color="auto" w:sz="4" w:space="0"/>
              <w:left w:val="single" w:color="auto" w:sz="8" w:space="0"/>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信息内容</w:t>
            </w:r>
          </w:p>
        </w:tc>
        <w:tc>
          <w:tcPr>
            <w:tcW w:w="5323" w:type="dxa"/>
            <w:gridSpan w:val="3"/>
            <w:tcBorders>
              <w:top w:val="single" w:color="auto" w:sz="4" w:space="0"/>
              <w:left w:val="nil"/>
              <w:bottom w:val="single" w:color="auto" w:sz="8" w:space="0"/>
              <w:right w:val="single" w:color="000000"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eastAsia="宋体"/>
                <w:sz w:val="22"/>
                <w:szCs w:val="22"/>
                <w:lang w:val="en-US" w:eastAsia="zh-CN"/>
              </w:rPr>
            </w:pPr>
            <w:r>
              <w:rPr>
                <w:rFonts w:hint="eastAsia"/>
                <w:sz w:val="22"/>
                <w:szCs w:val="22"/>
                <w:lang w:eastAsia="zh-CN"/>
              </w:rPr>
              <w:t>本年收费金额（单位：万元）</w:t>
            </w:r>
          </w:p>
        </w:tc>
      </w:tr>
      <w:tr>
        <w:tblPrEx>
          <w:tblCellMar>
            <w:top w:w="0" w:type="dxa"/>
            <w:left w:w="0" w:type="dxa"/>
            <w:bottom w:w="0" w:type="dxa"/>
            <w:right w:w="0" w:type="dxa"/>
          </w:tblCellMar>
        </w:tblPrEx>
        <w:trPr>
          <w:trHeight w:val="551"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行政事业性收费</w:t>
            </w:r>
          </w:p>
        </w:tc>
        <w:tc>
          <w:tcPr>
            <w:tcW w:w="5323" w:type="dxa"/>
            <w:gridSpan w:val="3"/>
            <w:tcBorders>
              <w:top w:val="nil"/>
              <w:left w:val="nil"/>
              <w:bottom w:val="single" w:color="auto" w:sz="8" w:space="0"/>
              <w:right w:val="single" w:color="000000" w:sz="8" w:space="0"/>
            </w:tcBorders>
            <w:shd w:val="clear" w:color="auto" w:fill="FFFFFF"/>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right="0" w:firstLine="321" w:firstLineChars="100"/>
        <w:jc w:val="both"/>
        <w:rPr>
          <w:rFonts w:hint="eastAsia" w:ascii="黑体" w:hAnsi="黑体" w:eastAsia="黑体" w:cs="黑体"/>
          <w:i w:val="0"/>
          <w:caps w:val="0"/>
          <w:color w:val="333333"/>
          <w:spacing w:val="0"/>
          <w:sz w:val="32"/>
          <w:szCs w:val="32"/>
        </w:rPr>
      </w:pPr>
      <w:r>
        <w:rPr>
          <w:rFonts w:hint="eastAsia" w:ascii="黑体" w:hAnsi="黑体" w:eastAsia="黑体" w:cs="黑体"/>
          <w:b/>
          <w:i w:val="0"/>
          <w:caps w:val="0"/>
          <w:color w:val="333333"/>
          <w:spacing w:val="0"/>
          <w:sz w:val="32"/>
          <w:szCs w:val="32"/>
          <w:shd w:val="clear" w:color="auto" w:fill="FFFFFF"/>
          <w:lang w:eastAsia="zh-CN"/>
        </w:rPr>
        <w:t>三</w:t>
      </w:r>
      <w:r>
        <w:rPr>
          <w:rFonts w:hint="eastAsia" w:ascii="黑体" w:hAnsi="黑体" w:eastAsia="黑体" w:cs="黑体"/>
          <w:b/>
          <w:i w:val="0"/>
          <w:caps w:val="0"/>
          <w:color w:val="333333"/>
          <w:spacing w:val="0"/>
          <w:sz w:val="32"/>
          <w:szCs w:val="32"/>
          <w:shd w:val="clear" w:color="auto" w:fill="FFFFFF"/>
        </w:rPr>
        <w:t>、收到和处理政府信息公开申请情况</w:t>
      </w: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56"/>
        <w:gridCol w:w="876"/>
        <w:gridCol w:w="5"/>
        <w:gridCol w:w="2377"/>
        <w:gridCol w:w="722"/>
        <w:gridCol w:w="656"/>
        <w:gridCol w:w="745"/>
        <w:gridCol w:w="774"/>
        <w:gridCol w:w="818"/>
        <w:gridCol w:w="700"/>
        <w:gridCol w:w="74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2" w:hRule="atLeast"/>
          <w:jc w:val="center"/>
        </w:trPr>
        <w:tc>
          <w:tcPr>
            <w:tcW w:w="3914" w:type="dxa"/>
            <w:gridSpan w:val="4"/>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pPr>
            <w:r>
              <w:rPr>
                <w:rFonts w:hint="eastAsia" w:ascii="宋体" w:hAnsi="宋体" w:eastAsia="宋体" w:cs="宋体"/>
                <w:kern w:val="0"/>
                <w:sz w:val="22"/>
                <w:szCs w:val="22"/>
                <w:lang w:val="en-US" w:eastAsia="zh-CN" w:bidi="ar"/>
              </w:rPr>
              <w:t>（本列数据的勾稽关系为：第一项加第二项之和，等于第三项加第四项之和）</w:t>
            </w:r>
          </w:p>
        </w:tc>
        <w:tc>
          <w:tcPr>
            <w:tcW w:w="5157" w:type="dxa"/>
            <w:gridSpan w:val="7"/>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3914" w:type="dxa"/>
            <w:gridSpan w:val="4"/>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jc w:val="both"/>
              <w:rPr>
                <w:rFonts w:hint="eastAsia" w:ascii="宋体"/>
                <w:sz w:val="24"/>
                <w:szCs w:val="24"/>
              </w:rPr>
            </w:pPr>
          </w:p>
        </w:tc>
        <w:tc>
          <w:tcPr>
            <w:tcW w:w="722" w:type="dxa"/>
            <w:vMerge w:val="restart"/>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自然人</w:t>
            </w:r>
          </w:p>
        </w:tc>
        <w:tc>
          <w:tcPr>
            <w:tcW w:w="3693"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法人或其他组织</w:t>
            </w:r>
          </w:p>
        </w:tc>
        <w:tc>
          <w:tcPr>
            <w:tcW w:w="742"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914" w:type="dxa"/>
            <w:gridSpan w:val="4"/>
            <w:vMerge w:val="continue"/>
            <w:tcBorders>
              <w:top w:val="single" w:color="auto" w:sz="8" w:space="0"/>
              <w:left w:val="single" w:color="auto" w:sz="8" w:space="0"/>
              <w:bottom w:val="single" w:color="auto" w:sz="4" w:space="0"/>
              <w:right w:val="single" w:color="auto" w:sz="8" w:space="0"/>
            </w:tcBorders>
            <w:noWrap w:val="0"/>
            <w:tcMar>
              <w:left w:w="108" w:type="dxa"/>
              <w:right w:w="108" w:type="dxa"/>
            </w:tcMar>
            <w:vAlign w:val="center"/>
          </w:tcPr>
          <w:p>
            <w:pPr>
              <w:jc w:val="both"/>
              <w:rPr>
                <w:rFonts w:hint="eastAsia" w:ascii="宋体"/>
                <w:sz w:val="24"/>
                <w:szCs w:val="24"/>
              </w:rPr>
            </w:pPr>
          </w:p>
        </w:tc>
        <w:tc>
          <w:tcPr>
            <w:tcW w:w="722" w:type="dxa"/>
            <w:vMerge w:val="continue"/>
            <w:tcBorders>
              <w:top w:val="nil"/>
              <w:left w:val="nil"/>
              <w:bottom w:val="single" w:color="auto" w:sz="4" w:space="0"/>
              <w:right w:val="single" w:color="auto" w:sz="8" w:space="0"/>
            </w:tcBorders>
            <w:noWrap w:val="0"/>
            <w:tcMar>
              <w:left w:w="108" w:type="dxa"/>
              <w:right w:w="108" w:type="dxa"/>
            </w:tcMar>
            <w:vAlign w:val="center"/>
          </w:tcPr>
          <w:p>
            <w:pPr>
              <w:rPr>
                <w:rFonts w:hint="eastAsia" w:ascii="宋体"/>
                <w:sz w:val="22"/>
                <w:szCs w:val="22"/>
              </w:rPr>
            </w:pPr>
          </w:p>
        </w:tc>
        <w:tc>
          <w:tcPr>
            <w:tcW w:w="656" w:type="dxa"/>
            <w:tcBorders>
              <w:top w:val="nil"/>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商业企业</w:t>
            </w:r>
          </w:p>
        </w:tc>
        <w:tc>
          <w:tcPr>
            <w:tcW w:w="745" w:type="dxa"/>
            <w:tcBorders>
              <w:top w:val="nil"/>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科研机构</w:t>
            </w:r>
          </w:p>
        </w:tc>
        <w:tc>
          <w:tcPr>
            <w:tcW w:w="774" w:type="dxa"/>
            <w:tcBorders>
              <w:top w:val="single" w:color="auto" w:sz="8"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社会公益组织</w:t>
            </w:r>
          </w:p>
        </w:tc>
        <w:tc>
          <w:tcPr>
            <w:tcW w:w="818" w:type="dxa"/>
            <w:tcBorders>
              <w:top w:val="single" w:color="auto" w:sz="8"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法律服务机构</w:t>
            </w:r>
          </w:p>
        </w:tc>
        <w:tc>
          <w:tcPr>
            <w:tcW w:w="700" w:type="dxa"/>
            <w:tcBorders>
              <w:top w:val="single" w:color="auto" w:sz="8"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其他</w:t>
            </w:r>
          </w:p>
        </w:tc>
        <w:tc>
          <w:tcPr>
            <w:tcW w:w="742" w:type="dxa"/>
            <w:vMerge w:val="continue"/>
            <w:tcBorders>
              <w:top w:val="single" w:color="auto" w:sz="8" w:space="0"/>
              <w:left w:val="nil"/>
              <w:bottom w:val="single" w:color="auto" w:sz="4" w:space="0"/>
              <w:right w:val="single" w:color="auto" w:sz="8" w:space="0"/>
            </w:tcBorders>
            <w:noWrap w:val="0"/>
            <w:tcMar>
              <w:left w:w="108" w:type="dxa"/>
              <w:right w:w="108" w:type="dxa"/>
            </w:tcMar>
            <w:vAlign w:val="center"/>
          </w:tcPr>
          <w:p>
            <w:pPr>
              <w:rPr>
                <w:rFonts w:hint="eastAsia" w:ascii="宋体"/>
                <w:sz w:val="22"/>
                <w:szCs w:val="2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914" w:type="dxa"/>
            <w:gridSpan w:val="4"/>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sz w:val="22"/>
                <w:szCs w:val="22"/>
              </w:rPr>
            </w:pPr>
            <w:r>
              <w:rPr>
                <w:rFonts w:hint="eastAsia" w:ascii="宋体" w:hAnsi="宋体" w:eastAsia="宋体" w:cs="宋体"/>
                <w:kern w:val="0"/>
                <w:sz w:val="22"/>
                <w:szCs w:val="22"/>
                <w:lang w:val="en-US" w:eastAsia="zh-CN" w:bidi="ar"/>
              </w:rPr>
              <w:t>一、本年新收政府信息公开申请数量</w:t>
            </w:r>
          </w:p>
        </w:tc>
        <w:tc>
          <w:tcPr>
            <w:tcW w:w="722"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914" w:type="dxa"/>
            <w:gridSpan w:val="4"/>
            <w:tcBorders>
              <w:top w:val="single" w:color="auto" w:sz="4" w:space="0"/>
              <w:left w:val="single" w:color="auto" w:sz="8" w:space="0"/>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sz w:val="22"/>
                <w:szCs w:val="22"/>
              </w:rPr>
            </w:pPr>
            <w:r>
              <w:rPr>
                <w:rFonts w:hint="eastAsia" w:ascii="宋体" w:hAnsi="宋体" w:eastAsia="宋体" w:cs="宋体"/>
                <w:kern w:val="0"/>
                <w:sz w:val="22"/>
                <w:szCs w:val="22"/>
                <w:lang w:val="en-US" w:eastAsia="zh-CN" w:bidi="ar"/>
              </w:rPr>
              <w:t>二、上年结转政府信息公开申请数量</w:t>
            </w:r>
          </w:p>
        </w:tc>
        <w:tc>
          <w:tcPr>
            <w:tcW w:w="722"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restart"/>
            <w:tcBorders>
              <w:top w:val="single" w:color="auto" w:sz="4" w:space="0"/>
              <w:left w:val="single" w:color="auto" w:sz="4" w:space="0"/>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pPr>
            <w:r>
              <w:rPr>
                <w:rFonts w:hint="eastAsia" w:ascii="宋体" w:hAnsi="宋体" w:eastAsia="宋体" w:cs="宋体"/>
                <w:kern w:val="0"/>
                <w:sz w:val="22"/>
                <w:szCs w:val="22"/>
                <w:lang w:val="en-US" w:eastAsia="zh-CN" w:bidi="ar"/>
              </w:rPr>
              <w:t>三、本年度办理结果</w:t>
            </w:r>
          </w:p>
        </w:tc>
        <w:tc>
          <w:tcPr>
            <w:tcW w:w="3258" w:type="dxa"/>
            <w:gridSpan w:val="3"/>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rPr>
            </w:pPr>
            <w:r>
              <w:rPr>
                <w:rFonts w:hint="eastAsia" w:ascii="宋体" w:hAnsi="宋体" w:eastAsia="宋体" w:cs="宋体"/>
                <w:kern w:val="0"/>
                <w:sz w:val="22"/>
                <w:szCs w:val="22"/>
                <w:lang w:val="en-US" w:eastAsia="zh-CN" w:bidi="ar"/>
              </w:rPr>
              <w:t>（一）予以公开</w:t>
            </w:r>
          </w:p>
        </w:tc>
        <w:tc>
          <w:tcPr>
            <w:tcW w:w="722" w:type="dxa"/>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jc w:val="both"/>
              <w:rPr>
                <w:rFonts w:hint="eastAsia" w:ascii="宋体"/>
                <w:sz w:val="24"/>
                <w:szCs w:val="24"/>
              </w:rPr>
            </w:pPr>
          </w:p>
        </w:tc>
        <w:tc>
          <w:tcPr>
            <w:tcW w:w="3258" w:type="dxa"/>
            <w:gridSpan w:val="3"/>
            <w:tcBorders>
              <w:top w:val="single" w:color="auto" w:sz="4" w:space="0"/>
              <w:left w:val="nil"/>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rPr>
            </w:pPr>
            <w:r>
              <w:rPr>
                <w:rFonts w:hint="eastAsia" w:ascii="宋体" w:hAnsi="宋体" w:eastAsia="宋体" w:cs="宋体"/>
                <w:kern w:val="0"/>
                <w:sz w:val="22"/>
                <w:szCs w:val="22"/>
                <w:lang w:val="en-US" w:eastAsia="zh-CN" w:bidi="ar"/>
              </w:rPr>
              <w:t>（二）部分公开（区分处理的，只计这一情形，不计其他情形）</w:t>
            </w:r>
          </w:p>
        </w:tc>
        <w:tc>
          <w:tcPr>
            <w:tcW w:w="722" w:type="dxa"/>
            <w:tcBorders>
              <w:top w:val="single" w:color="auto" w:sz="4" w:space="0"/>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restart"/>
            <w:tcBorders>
              <w:top w:val="nil"/>
              <w:left w:val="nil"/>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（三）不予公开</w:t>
            </w: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1.属于国家秘密</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2.其他法律行政法规禁止公开</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3.危及“三安全一稳定”</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4.保护第三方合法权益</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5.属于三类内部事务信息</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6.属于四类过程性信息</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7.属于行政执法案卷</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8.属于行政查询事项</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restart"/>
            <w:tcBorders>
              <w:top w:val="nil"/>
              <w:left w:val="nil"/>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（四）无法提供</w:t>
            </w: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1.本机关不掌握相关政府信息</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4"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continue"/>
            <w:tcBorders>
              <w:top w:val="nil"/>
              <w:left w:val="nil"/>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2.没有现成信息需要另行制作</w:t>
            </w:r>
          </w:p>
        </w:tc>
        <w:tc>
          <w:tcPr>
            <w:tcW w:w="722" w:type="dxa"/>
            <w:tcBorders>
              <w:top w:val="nil"/>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single" w:color="auto" w:sz="4" w:space="0"/>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continue"/>
            <w:tcBorders>
              <w:top w:val="single" w:color="auto" w:sz="4" w:space="0"/>
              <w:left w:val="nil"/>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single" w:color="auto" w:sz="4" w:space="0"/>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3.补正后申请内容仍不明确</w:t>
            </w:r>
          </w:p>
        </w:tc>
        <w:tc>
          <w:tcPr>
            <w:tcW w:w="722"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restart"/>
            <w:tcBorders>
              <w:top w:val="nil"/>
              <w:left w:val="nil"/>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（五）不予处理</w:t>
            </w: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1.信访举报投诉类申请</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2.重复申请</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pPr>
              <w:rPr>
                <w:rFonts w:hint="eastAsia" w:ascii="宋体"/>
                <w:sz w:val="24"/>
                <w:szCs w:val="24"/>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3.要求提供公开出版物</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pPr>
              <w:rPr>
                <w:rFonts w:hint="eastAsia" w:ascii="宋体"/>
                <w:sz w:val="24"/>
                <w:szCs w:val="24"/>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4.无正当理由大量反复申请</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pPr>
              <w:rPr>
                <w:rFonts w:hint="eastAsia" w:ascii="宋体"/>
                <w:sz w:val="24"/>
                <w:szCs w:val="24"/>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pPr>
            <w:r>
              <w:rPr>
                <w:rFonts w:hint="eastAsia" w:ascii="宋体" w:hAnsi="宋体" w:eastAsia="宋体" w:cs="宋体"/>
                <w:kern w:val="0"/>
                <w:sz w:val="22"/>
                <w:szCs w:val="22"/>
                <w:lang w:val="en-US" w:eastAsia="zh-CN" w:bidi="ar"/>
              </w:rPr>
              <w:t>5.要求行政机关确认或重新出具已获取信息</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318" w:hRule="atLeast"/>
          <w:jc w:val="center"/>
        </w:trPr>
        <w:tc>
          <w:tcPr>
            <w:tcW w:w="656" w:type="dxa"/>
            <w:vMerge w:val="continue"/>
            <w:tcBorders>
              <w:top w:val="nil"/>
              <w:left w:val="single" w:color="auto" w:sz="4" w:space="0"/>
              <w:bottom w:val="single" w:color="auto" w:sz="4" w:space="0"/>
              <w:right w:val="single" w:color="auto" w:sz="8" w:space="0"/>
            </w:tcBorders>
            <w:noWrap w:val="0"/>
            <w:tcMar>
              <w:left w:w="108" w:type="dxa"/>
              <w:right w:w="108" w:type="dxa"/>
            </w:tcMar>
            <w:vAlign w:val="center"/>
          </w:tcPr>
          <w:p>
            <w:pPr>
              <w:rPr>
                <w:rFonts w:hint="eastAsia" w:ascii="宋体"/>
                <w:sz w:val="24"/>
                <w:szCs w:val="24"/>
              </w:rPr>
            </w:pPr>
          </w:p>
        </w:tc>
        <w:tc>
          <w:tcPr>
            <w:tcW w:w="876" w:type="dxa"/>
            <w:vMerge w:val="restart"/>
            <w:tcBorders>
              <w:top w:val="nil"/>
              <w:left w:val="nil"/>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（六）其他处理</w:t>
            </w:r>
          </w:p>
        </w:tc>
        <w:tc>
          <w:tcPr>
            <w:tcW w:w="2382" w:type="dxa"/>
            <w:gridSpan w:val="2"/>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1.申请人无正当理由逾期不补正、行政机关不再处理其政府信息公开申请</w:t>
            </w:r>
          </w:p>
        </w:tc>
        <w:tc>
          <w:tcPr>
            <w:tcW w:w="722"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656" w:type="dxa"/>
            <w:vMerge w:val="continue"/>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pPr>
              <w:rPr>
                <w:rFonts w:hint="eastAsia" w:ascii="宋体"/>
                <w:sz w:val="24"/>
                <w:szCs w:val="24"/>
              </w:rPr>
            </w:pPr>
          </w:p>
        </w:tc>
        <w:tc>
          <w:tcPr>
            <w:tcW w:w="876" w:type="dxa"/>
            <w:vMerge w:val="continue"/>
            <w:tcBorders>
              <w:top w:val="single" w:color="auto" w:sz="4" w:space="0"/>
              <w:left w:val="nil"/>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82" w:type="dxa"/>
            <w:gridSpan w:val="2"/>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2.申请人逾期未按收费通知要求缴纳费用、行政机关不再处理其政府信息公开申请</w:t>
            </w:r>
          </w:p>
        </w:tc>
        <w:tc>
          <w:tcPr>
            <w:tcW w:w="722"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51" w:hRule="atLeast"/>
          <w:jc w:val="center"/>
        </w:trPr>
        <w:tc>
          <w:tcPr>
            <w:tcW w:w="656" w:type="dxa"/>
            <w:vMerge w:val="continue"/>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pPr>
              <w:rPr>
                <w:rFonts w:hint="eastAsia" w:ascii="宋体"/>
                <w:sz w:val="24"/>
                <w:szCs w:val="24"/>
              </w:rPr>
            </w:pPr>
          </w:p>
        </w:tc>
        <w:tc>
          <w:tcPr>
            <w:tcW w:w="876" w:type="dxa"/>
            <w:vMerge w:val="continue"/>
            <w:tcBorders>
              <w:top w:val="single" w:color="auto" w:sz="4" w:space="0"/>
              <w:left w:val="nil"/>
              <w:bottom w:val="single" w:color="auto" w:sz="4" w:space="0"/>
              <w:right w:val="single" w:color="auto" w:sz="4"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p>
        </w:tc>
        <w:tc>
          <w:tcPr>
            <w:tcW w:w="2382" w:type="dxa"/>
            <w:gridSpan w:val="2"/>
            <w:tcBorders>
              <w:top w:val="single" w:color="auto" w:sz="4" w:space="0"/>
              <w:left w:val="single" w:color="auto" w:sz="4"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3.其他</w:t>
            </w:r>
          </w:p>
        </w:tc>
        <w:tc>
          <w:tcPr>
            <w:tcW w:w="722"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3258" w:type="dxa"/>
            <w:gridSpan w:val="3"/>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（七）总计</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914" w:type="dxa"/>
            <w:gridSpan w:val="4"/>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pPr>
            <w:r>
              <w:rPr>
                <w:rFonts w:hint="eastAsia" w:ascii="宋体" w:hAnsi="宋体" w:eastAsia="宋体" w:cs="宋体"/>
                <w:kern w:val="0"/>
                <w:sz w:val="22"/>
                <w:szCs w:val="22"/>
                <w:lang w:val="en-US" w:eastAsia="zh-CN" w:bidi="ar"/>
              </w:rPr>
              <w:t>四、结转下年度继续办理</w:t>
            </w:r>
          </w:p>
        </w:tc>
        <w:tc>
          <w:tcPr>
            <w:tcW w:w="72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sz w:val="24"/>
                <w:szCs w:val="24"/>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firstLine="321" w:firstLineChars="100"/>
        <w:jc w:val="both"/>
        <w:rPr>
          <w:rFonts w:hint="eastAsia" w:ascii="黑体" w:hAnsi="黑体" w:eastAsia="黑体" w:cs="黑体"/>
          <w:i w:val="0"/>
          <w:caps w:val="0"/>
          <w:color w:val="333333"/>
          <w:spacing w:val="0"/>
          <w:sz w:val="32"/>
          <w:szCs w:val="32"/>
        </w:rPr>
      </w:pPr>
      <w:r>
        <w:rPr>
          <w:rFonts w:hint="eastAsia" w:ascii="黑体" w:hAnsi="黑体" w:eastAsia="黑体" w:cs="黑体"/>
          <w:b/>
          <w:i w:val="0"/>
          <w:caps w:val="0"/>
          <w:color w:val="333333"/>
          <w:spacing w:val="0"/>
          <w:sz w:val="32"/>
          <w:szCs w:val="32"/>
          <w:shd w:val="clear" w:color="auto" w:fill="FFFFFF"/>
          <w:lang w:eastAsia="zh-CN"/>
        </w:rPr>
        <w:t>四</w:t>
      </w:r>
      <w:r>
        <w:rPr>
          <w:rFonts w:hint="eastAsia" w:ascii="黑体" w:hAnsi="黑体" w:eastAsia="黑体" w:cs="黑体"/>
          <w:b/>
          <w:i w:val="0"/>
          <w:caps w:val="0"/>
          <w:color w:val="333333"/>
          <w:spacing w:val="0"/>
          <w:sz w:val="32"/>
          <w:szCs w:val="32"/>
          <w:shd w:val="clear" w:color="auto" w:fill="FFFFFF"/>
        </w:rPr>
        <w:t>、政府信息公开行政复议、行政诉讼情况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04"/>
        <w:gridCol w:w="604"/>
        <w:gridCol w:w="606"/>
        <w:gridCol w:w="600"/>
        <w:gridCol w:w="585"/>
        <w:gridCol w:w="625"/>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999"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行政复议</w:t>
            </w:r>
          </w:p>
        </w:tc>
        <w:tc>
          <w:tcPr>
            <w:tcW w:w="6072"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结果维持</w:t>
            </w:r>
          </w:p>
        </w:tc>
        <w:tc>
          <w:tcPr>
            <w:tcW w:w="604" w:type="dxa"/>
            <w:vMerge w:val="restart"/>
            <w:tcBorders>
              <w:top w:val="nil"/>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结果纠正</w:t>
            </w:r>
          </w:p>
        </w:tc>
        <w:tc>
          <w:tcPr>
            <w:tcW w:w="606" w:type="dxa"/>
            <w:vMerge w:val="restart"/>
            <w:tcBorders>
              <w:top w:val="single" w:color="auto" w:sz="8"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其他结果</w:t>
            </w:r>
          </w:p>
        </w:tc>
        <w:tc>
          <w:tcPr>
            <w:tcW w:w="600" w:type="dxa"/>
            <w:vMerge w:val="restart"/>
            <w:tcBorders>
              <w:top w:val="single" w:color="auto" w:sz="8"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尚未审结</w:t>
            </w:r>
          </w:p>
        </w:tc>
        <w:tc>
          <w:tcPr>
            <w:tcW w:w="585" w:type="dxa"/>
            <w:vMerge w:val="restart"/>
            <w:tcBorders>
              <w:top w:val="single" w:color="auto" w:sz="8"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总计</w:t>
            </w:r>
          </w:p>
        </w:tc>
        <w:tc>
          <w:tcPr>
            <w:tcW w:w="3045" w:type="dxa"/>
            <w:gridSpan w:val="5"/>
            <w:tcBorders>
              <w:top w:val="single" w:color="auto" w:sz="8"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未经复议直接起诉</w:t>
            </w:r>
          </w:p>
        </w:tc>
        <w:tc>
          <w:tcPr>
            <w:tcW w:w="3027" w:type="dxa"/>
            <w:gridSpan w:val="5"/>
            <w:tcBorders>
              <w:top w:val="single" w:color="auto" w:sz="8" w:space="0"/>
              <w:left w:val="nil"/>
              <w:bottom w:val="single" w:color="auto" w:sz="4"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continue"/>
            <w:tcBorders>
              <w:top w:val="single" w:color="auto" w:sz="4"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604" w:type="dxa"/>
            <w:vMerge w:val="continue"/>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606" w:type="dxa"/>
            <w:vMerge w:val="continue"/>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600" w:type="dxa"/>
            <w:vMerge w:val="continue"/>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585" w:type="dxa"/>
            <w:vMerge w:val="continue"/>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625"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结果维持</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结果纠正</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其他结果</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尚未审结</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总计</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结果维持</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结果纠正</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其他结果</w:t>
            </w:r>
          </w:p>
        </w:tc>
        <w:tc>
          <w:tcPr>
            <w:tcW w:w="606"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尚未审结</w:t>
            </w:r>
          </w:p>
        </w:tc>
        <w:tc>
          <w:tcPr>
            <w:tcW w:w="606" w:type="dxa"/>
            <w:tcBorders>
              <w:top w:val="single" w:color="auto" w:sz="4"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58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hint="eastAsia" w:ascii="黑体" w:hAnsi="黑体" w:eastAsia="黑体" w:cs="黑体"/>
          <w:b/>
          <w:i w:val="0"/>
          <w:caps w:val="0"/>
          <w:color w:val="333333"/>
          <w:spacing w:val="0"/>
          <w:sz w:val="32"/>
          <w:szCs w:val="32"/>
          <w:shd w:val="clear" w:color="auto"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firstLine="643" w:firstLineChars="200"/>
        <w:jc w:val="both"/>
        <w:rPr>
          <w:rFonts w:hint="eastAsia" w:ascii="黑体" w:hAnsi="黑体" w:eastAsia="黑体" w:cs="黑体"/>
          <w:b/>
          <w:i w:val="0"/>
          <w:caps w:val="0"/>
          <w:color w:val="333333"/>
          <w:spacing w:val="0"/>
          <w:sz w:val="32"/>
          <w:szCs w:val="32"/>
          <w:shd w:val="clear" w:color="auto" w:fill="FFFFFF"/>
          <w:lang w:val="en-US" w:eastAsia="zh-CN"/>
        </w:rPr>
      </w:pPr>
      <w:r>
        <w:rPr>
          <w:rFonts w:hint="eastAsia" w:ascii="黑体" w:hAnsi="黑体" w:eastAsia="黑体" w:cs="黑体"/>
          <w:b/>
          <w:i w:val="0"/>
          <w:caps w:val="0"/>
          <w:color w:val="333333"/>
          <w:spacing w:val="0"/>
          <w:sz w:val="32"/>
          <w:szCs w:val="32"/>
          <w:shd w:val="clear" w:color="auto" w:fill="FFFFFF"/>
          <w:lang w:val="en-US" w:eastAsia="zh-CN"/>
        </w:rPr>
        <w:t>五、存在的主要问题及改进情况</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2022年，青云谱区政务服务数据管理局严格按照《条例》及区委、区政府的相关要求，对政府信息实行了及时、有效公开。但工作中还存在部分信息公开不及时、信息公开内容还需进一步规范等问题。为改善工作中的不足，推动政府信息公开工作再上新台阶，2023年我局将组织全局干部、职工深入学习《条例》及政府信息公开相关知识，进一步提高全体工作人员依法公开政府信息的意识和能力，做到对主动公开的信息及时公开，对依申请公开的信息及时录入系统，并及时对申请人给予答复，增强信息公开时效性。进一步梳理政府信息，对公开内容不健全的信息进行补充完善；对于影响或者可能影响社会稳定、扰乱社会管理秩序的虚假或者不完整的信息，在职责范围内发布准确的政府信息予以澄清，保证公开信息的完整性和准确性。进一步完善政府信息发布协调机制。在继续完善我局政府信息公开专栏，丰富内容，加强功能，充分发挥我局网站的政府信息公开第一平台作用基础上，加强使用墙报、公告、宣传栏等多种平台对政府信息进行公开，构建多样化公开渠道。</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黑体" w:hAnsi="黑体" w:eastAsia="黑体" w:cs="黑体"/>
          <w:b/>
          <w:i w:val="0"/>
          <w:caps w:val="0"/>
          <w:color w:val="333333"/>
          <w:spacing w:val="0"/>
          <w:sz w:val="32"/>
          <w:szCs w:val="32"/>
          <w:shd w:val="clear" w:color="auto" w:fill="FFFFFF"/>
          <w:lang w:val="en-US" w:eastAsia="zh-CN"/>
        </w:rPr>
      </w:pPr>
      <w:r>
        <w:rPr>
          <w:rFonts w:hint="eastAsia" w:ascii="黑体" w:hAnsi="黑体" w:eastAsia="黑体" w:cs="黑体"/>
          <w:b/>
          <w:i w:val="0"/>
          <w:caps w:val="0"/>
          <w:color w:val="333333"/>
          <w:spacing w:val="0"/>
          <w:sz w:val="32"/>
          <w:szCs w:val="32"/>
          <w:shd w:val="clear" w:color="auto" w:fill="FFFFFF"/>
          <w:lang w:val="en-US" w:eastAsia="zh-CN"/>
        </w:rPr>
        <w:t>六、其他需要报告的事项</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2022年我局无政府信息公开的收费情况。</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right"/>
        <w:textAlignment w:val="auto"/>
        <w:rPr>
          <w:rFonts w:hint="eastAsia" w:ascii="仿宋_GB2312" w:hAnsi="仿宋_GB2312" w:eastAsia="仿宋_GB2312" w:cs="仿宋_GB2312"/>
          <w:color w:val="333333"/>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hint="eastAsia" w:ascii="仿宋_GB2312" w:hAnsi="仿宋_GB2312" w:eastAsia="仿宋_GB2312" w:cs="仿宋_GB2312"/>
          <w:color w:val="333333"/>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right"/>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南昌市青云谱区政务服务数据管理局</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center"/>
        <w:textAlignment w:val="auto"/>
        <w:rPr>
          <w:rFonts w:hint="default"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 xml:space="preserve">                2023年2月3日</w:t>
      </w:r>
    </w:p>
    <w:sectPr>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2YTc0YWQ4NWJhNGExNjcxNTNlZmM5NDg4ZTI3Y2UifQ=="/>
  </w:docVars>
  <w:rsids>
    <w:rsidRoot w:val="00563D1E"/>
    <w:rsid w:val="00563D1E"/>
    <w:rsid w:val="007B37CF"/>
    <w:rsid w:val="00C67CA2"/>
    <w:rsid w:val="00F24193"/>
    <w:rsid w:val="00FF486B"/>
    <w:rsid w:val="01791910"/>
    <w:rsid w:val="02FF665C"/>
    <w:rsid w:val="030873E7"/>
    <w:rsid w:val="045A3333"/>
    <w:rsid w:val="072F4BA5"/>
    <w:rsid w:val="0B6128A8"/>
    <w:rsid w:val="0BB772BD"/>
    <w:rsid w:val="0F42566A"/>
    <w:rsid w:val="0FE32618"/>
    <w:rsid w:val="10163A89"/>
    <w:rsid w:val="113B0990"/>
    <w:rsid w:val="123744D1"/>
    <w:rsid w:val="13932620"/>
    <w:rsid w:val="141C0605"/>
    <w:rsid w:val="1525798D"/>
    <w:rsid w:val="1557566D"/>
    <w:rsid w:val="15F10E88"/>
    <w:rsid w:val="17534F7D"/>
    <w:rsid w:val="1AFB71CC"/>
    <w:rsid w:val="1B931963"/>
    <w:rsid w:val="1EFF0BFD"/>
    <w:rsid w:val="1F566EB8"/>
    <w:rsid w:val="200D4E05"/>
    <w:rsid w:val="20F338E6"/>
    <w:rsid w:val="22001FBE"/>
    <w:rsid w:val="23B06487"/>
    <w:rsid w:val="23EC1891"/>
    <w:rsid w:val="2480713E"/>
    <w:rsid w:val="27C95CE4"/>
    <w:rsid w:val="2AA97813"/>
    <w:rsid w:val="2B587C5B"/>
    <w:rsid w:val="2B663B9E"/>
    <w:rsid w:val="2F6E0061"/>
    <w:rsid w:val="31B732C3"/>
    <w:rsid w:val="332845FB"/>
    <w:rsid w:val="34804D4D"/>
    <w:rsid w:val="36874FEB"/>
    <w:rsid w:val="3FB11C9A"/>
    <w:rsid w:val="400C5122"/>
    <w:rsid w:val="42C27D1A"/>
    <w:rsid w:val="44444E9A"/>
    <w:rsid w:val="45D15F05"/>
    <w:rsid w:val="461952C0"/>
    <w:rsid w:val="466B169F"/>
    <w:rsid w:val="46B56BDD"/>
    <w:rsid w:val="46FF4734"/>
    <w:rsid w:val="48EF42A2"/>
    <w:rsid w:val="48FB47FB"/>
    <w:rsid w:val="4B921868"/>
    <w:rsid w:val="4E6306CE"/>
    <w:rsid w:val="4F753D6B"/>
    <w:rsid w:val="508C3052"/>
    <w:rsid w:val="519D4381"/>
    <w:rsid w:val="53152746"/>
    <w:rsid w:val="541F427A"/>
    <w:rsid w:val="566E50F8"/>
    <w:rsid w:val="567C3B37"/>
    <w:rsid w:val="56857A37"/>
    <w:rsid w:val="570A4F4B"/>
    <w:rsid w:val="57C86BFB"/>
    <w:rsid w:val="57E8186C"/>
    <w:rsid w:val="58B242BD"/>
    <w:rsid w:val="59E73C6A"/>
    <w:rsid w:val="5B303CF0"/>
    <w:rsid w:val="5BF43D1A"/>
    <w:rsid w:val="5DD763CD"/>
    <w:rsid w:val="5E851141"/>
    <w:rsid w:val="5EBB2B36"/>
    <w:rsid w:val="5EC76CB6"/>
    <w:rsid w:val="5FCE6A83"/>
    <w:rsid w:val="606B7623"/>
    <w:rsid w:val="60E80C54"/>
    <w:rsid w:val="62BF160D"/>
    <w:rsid w:val="65F86367"/>
    <w:rsid w:val="6796516B"/>
    <w:rsid w:val="68384726"/>
    <w:rsid w:val="68B440C4"/>
    <w:rsid w:val="68C20068"/>
    <w:rsid w:val="6A3C5AE7"/>
    <w:rsid w:val="6DFD4599"/>
    <w:rsid w:val="6EB526D3"/>
    <w:rsid w:val="6EC41F3F"/>
    <w:rsid w:val="703702C8"/>
    <w:rsid w:val="70E0245E"/>
    <w:rsid w:val="72C94629"/>
    <w:rsid w:val="73DC213A"/>
    <w:rsid w:val="76B53384"/>
    <w:rsid w:val="7A3E76AA"/>
    <w:rsid w:val="7B2F5245"/>
    <w:rsid w:val="7B440FF1"/>
    <w:rsid w:val="7D7A30EF"/>
    <w:rsid w:val="7D7C7DE7"/>
    <w:rsid w:val="7D926C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autoRedefine/>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11"/>
    <w:autoRedefine/>
    <w:qFormat/>
    <w:uiPriority w:val="0"/>
    <w:pPr>
      <w:tabs>
        <w:tab w:val="center" w:pos="4153"/>
        <w:tab w:val="right" w:pos="8306"/>
      </w:tabs>
      <w:snapToGrid w:val="0"/>
      <w:jc w:val="left"/>
    </w:pPr>
    <w:rPr>
      <w:sz w:val="18"/>
      <w:szCs w:val="18"/>
    </w:rPr>
  </w:style>
  <w:style w:type="paragraph" w:styleId="4">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styleId="8">
    <w:name w:val="Strong"/>
    <w:basedOn w:val="7"/>
    <w:autoRedefine/>
    <w:qFormat/>
    <w:uiPriority w:val="0"/>
    <w:rPr>
      <w:b/>
    </w:rPr>
  </w:style>
  <w:style w:type="character" w:styleId="9">
    <w:name w:val="Hyperlink"/>
    <w:basedOn w:val="7"/>
    <w:autoRedefine/>
    <w:qFormat/>
    <w:uiPriority w:val="0"/>
    <w:rPr>
      <w:color w:val="0000FF"/>
      <w:u w:val="single"/>
    </w:rPr>
  </w:style>
  <w:style w:type="character" w:customStyle="1" w:styleId="10">
    <w:name w:val="页眉 Char"/>
    <w:basedOn w:val="7"/>
    <w:link w:val="4"/>
    <w:qFormat/>
    <w:uiPriority w:val="0"/>
    <w:rPr>
      <w:rFonts w:asciiTheme="minorHAnsi" w:hAnsiTheme="minorHAnsi" w:eastAsiaTheme="minorEastAsia" w:cstheme="minorBidi"/>
      <w:kern w:val="2"/>
      <w:sz w:val="18"/>
      <w:szCs w:val="18"/>
    </w:rPr>
  </w:style>
  <w:style w:type="character" w:customStyle="1" w:styleId="11">
    <w:name w:val="页脚 Char"/>
    <w:basedOn w:val="7"/>
    <w:link w:val="3"/>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2394</Words>
  <Characters>2507</Characters>
  <Lines>18</Lines>
  <Paragraphs>5</Paragraphs>
  <TotalTime>20</TotalTime>
  <ScaleCrop>false</ScaleCrop>
  <LinksUpToDate>false</LinksUpToDate>
  <CharactersWithSpaces>2697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2021-01-26T07:51:00Z</dcterms:created>
  <dc:creator>Administrator</dc:creator>
  <cp:lastModifiedBy>唯美、</cp:lastModifiedBy>
  <cp:lastPrinted>2022-01-18T02:54:00Z</cp:lastPrinted>
  <dcterms:modified xsi:type="dcterms:W3CDTF">2024-01-08T03:05:12Z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0329111A4D934DF7ADFF8FE5F21268C2</vt:lpwstr>
  </property>
</Properties>
</file>