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A6F1D">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jc w:val="center"/>
        <w:textAlignment w:val="auto"/>
        <w:rPr>
          <w:rFonts w:hint="eastAsia" w:ascii="方正小标宋简体" w:hAnsi="方正小标宋简体" w:eastAsia="方正小标宋简体" w:cs="方正小标宋简体"/>
          <w:b/>
          <w:bCs w:val="0"/>
          <w:color w:val="333333"/>
          <w:sz w:val="44"/>
          <w:szCs w:val="44"/>
          <w:shd w:val="clear" w:color="auto" w:fill="FFFFFF"/>
          <w:lang w:eastAsia="zh-CN"/>
        </w:rPr>
      </w:pPr>
      <w:r>
        <w:rPr>
          <w:rFonts w:hint="eastAsia" w:ascii="方正小标宋简体" w:hAnsi="方正小标宋简体" w:eastAsia="方正小标宋简体" w:cs="方正小标宋简体"/>
          <w:b/>
          <w:bCs w:val="0"/>
          <w:color w:val="333333"/>
          <w:sz w:val="44"/>
          <w:szCs w:val="44"/>
          <w:shd w:val="clear" w:color="auto" w:fill="FFFFFF"/>
          <w:lang w:eastAsia="zh-CN"/>
        </w:rPr>
        <w:t>青云谱区</w:t>
      </w:r>
      <w:r>
        <w:rPr>
          <w:rFonts w:hint="eastAsia" w:ascii="方正小标宋简体" w:hAnsi="方正小标宋简体" w:eastAsia="方正小标宋简体" w:cs="方正小标宋简体"/>
          <w:b/>
          <w:bCs w:val="0"/>
          <w:color w:val="333333"/>
          <w:sz w:val="44"/>
          <w:szCs w:val="44"/>
          <w:shd w:val="clear" w:color="auto" w:fill="FFFFFF"/>
          <w:lang w:val="en-US" w:eastAsia="zh-CN"/>
        </w:rPr>
        <w:t>政务服务数据管理</w:t>
      </w:r>
      <w:r>
        <w:rPr>
          <w:rFonts w:hint="eastAsia" w:ascii="方正小标宋简体" w:hAnsi="方正小标宋简体" w:eastAsia="方正小标宋简体" w:cs="方正小标宋简体"/>
          <w:b/>
          <w:bCs w:val="0"/>
          <w:color w:val="333333"/>
          <w:sz w:val="44"/>
          <w:szCs w:val="44"/>
          <w:shd w:val="clear" w:color="auto" w:fill="FFFFFF"/>
          <w:lang w:eastAsia="zh-CN"/>
        </w:rPr>
        <w:t>局</w:t>
      </w:r>
    </w:p>
    <w:p w14:paraId="0EAE74FF">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jc w:val="center"/>
        <w:textAlignment w:val="auto"/>
        <w:rPr>
          <w:rFonts w:hint="eastAsia" w:ascii="方正小标宋简体" w:hAnsi="方正小标宋简体" w:eastAsia="方正小标宋简体" w:cs="方正小标宋简体"/>
          <w:b/>
          <w:bCs w:val="0"/>
          <w:color w:val="333333"/>
          <w:sz w:val="44"/>
          <w:szCs w:val="44"/>
        </w:rPr>
      </w:pPr>
      <w:r>
        <w:rPr>
          <w:rFonts w:hint="eastAsia" w:ascii="方正小标宋简体" w:hAnsi="方正小标宋简体" w:eastAsia="方正小标宋简体" w:cs="方正小标宋简体"/>
          <w:b/>
          <w:bCs w:val="0"/>
          <w:color w:val="333333"/>
          <w:sz w:val="44"/>
          <w:szCs w:val="44"/>
          <w:shd w:val="clear" w:color="auto" w:fill="FFFFFF"/>
        </w:rPr>
        <w:t>202</w:t>
      </w:r>
      <w:r>
        <w:rPr>
          <w:rFonts w:hint="eastAsia" w:ascii="方正小标宋简体" w:hAnsi="方正小标宋简体" w:eastAsia="方正小标宋简体" w:cs="方正小标宋简体"/>
          <w:b/>
          <w:bCs w:val="0"/>
          <w:color w:val="333333"/>
          <w:sz w:val="44"/>
          <w:szCs w:val="44"/>
          <w:shd w:val="clear" w:color="auto" w:fill="FFFFFF"/>
          <w:lang w:val="en-US" w:eastAsia="zh-CN"/>
        </w:rPr>
        <w:t>4</w:t>
      </w:r>
      <w:r>
        <w:rPr>
          <w:rFonts w:hint="eastAsia" w:ascii="方正小标宋简体" w:hAnsi="方正小标宋简体" w:eastAsia="方正小标宋简体" w:cs="方正小标宋简体"/>
          <w:b/>
          <w:bCs w:val="0"/>
          <w:color w:val="333333"/>
          <w:sz w:val="44"/>
          <w:szCs w:val="44"/>
          <w:shd w:val="clear" w:color="auto" w:fill="FFFFFF"/>
        </w:rPr>
        <w:t>年政府信息公开工作年度报告</w:t>
      </w:r>
    </w:p>
    <w:p w14:paraId="7A876EB2">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firstLine="420"/>
        <w:jc w:val="both"/>
        <w:textAlignment w:val="auto"/>
        <w:rPr>
          <w:rFonts w:ascii="宋体" w:hAnsi="宋体" w:eastAsia="宋体" w:cs="宋体"/>
          <w:b/>
          <w:bCs w:val="0"/>
          <w:color w:val="333333"/>
          <w:sz w:val="44"/>
          <w:szCs w:val="44"/>
        </w:rPr>
      </w:pPr>
    </w:p>
    <w:p w14:paraId="2EC7F3AC">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本报告依据《中华人民共和国政府信息公开条例》（国务院令第711号，以下简称新《条例》）要求，由青云谱区政务服务数据管理局综合股结合有关统计数据编制。本年度报告中所列数据的统计期限自2024年1月1日起至2024年12月31日止。全文包括总体情况、主动公开政府信息情况、收到和处理政府信息公开申请情况、政府信息公开行政复议行政诉讼情况、存在的主要问题及改进情况、其他需要报告的事项。本年度报告的电子版可以从青云谱区人民政府网站（http://qyp.nc.gov.cn/）下载。如对本报告有任何疑问，请与青云谱区政务服务数据管理局政务公开和政府信息公开工作领导小组办公室联系（地址：江西省南昌市青云谱区广州路995号1208室，电话：0791-88483877，邮编：330001）。</w:t>
      </w:r>
    </w:p>
    <w:p w14:paraId="5554E9D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321" w:firstLineChars="100"/>
        <w:jc w:val="both"/>
        <w:textAlignment w:val="auto"/>
        <w:rPr>
          <w:rFonts w:hint="eastAsia" w:ascii="黑体" w:hAnsi="黑体" w:eastAsia="黑体" w:cs="黑体"/>
          <w:b/>
          <w:bCs/>
          <w:color w:val="333333"/>
          <w:sz w:val="32"/>
          <w:szCs w:val="32"/>
          <w:lang w:val="en-US" w:eastAsia="zh-CN"/>
        </w:rPr>
      </w:pPr>
      <w:r>
        <w:rPr>
          <w:rFonts w:hint="eastAsia" w:ascii="黑体" w:hAnsi="黑体" w:eastAsia="黑体" w:cs="黑体"/>
          <w:b/>
          <w:bCs/>
          <w:color w:val="333333"/>
          <w:sz w:val="32"/>
          <w:szCs w:val="32"/>
          <w:lang w:val="en-US" w:eastAsia="zh-CN"/>
        </w:rPr>
        <w:t>一、总体情况</w:t>
      </w:r>
    </w:p>
    <w:p w14:paraId="2AB92C88">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2024年，青云谱区政数局坚持以习近平新时代中国特色社会主义思想为指导，深入贯彻党的二十大精神和习近平总书记考察江西重要讲话精神，认真落实党中央、国务院关于政务公开的决策部署以及区委、区政府的工作要求，落实重大行政决策程序，强化政务公开质效，主动回应社会关切，不断提高政府机关公信力和执行力。</w:t>
      </w:r>
    </w:p>
    <w:p w14:paraId="4D7E30B8">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（一）主动公开情况</w:t>
      </w:r>
    </w:p>
    <w:p w14:paraId="437CCA05">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2024年，区政数局政府信息公开全部为主动公开方面，全年主动公开信息52条，其中工作动态28条，重点领域信息公开4条，部门及下属事业单位预决算公开表，履职依据及政策解读7条等相关信息。</w:t>
      </w:r>
    </w:p>
    <w:p w14:paraId="14153174">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321" w:firstLineChars="1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（二）依申请公开情况</w:t>
      </w:r>
    </w:p>
    <w:p w14:paraId="4B75721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2024年，区政数局无依申请公开信息，无公开申请行政复议，提起行政诉讼情况。</w:t>
      </w:r>
    </w:p>
    <w:p w14:paraId="72AC654D">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政府信息管理情况</w:t>
      </w:r>
    </w:p>
    <w:p w14:paraId="3B75ED4B">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规范信息发布程序和渠道，切实做好信息属性源头认定，确保发布及时、准确、安全，对主动公开信息进行严格审核、层层把关。完善反馈机制，针对网站运维监管平台发送的错别字以及每月普查报告存在问题，安排专人对接，及时整改反馈。</w:t>
      </w:r>
    </w:p>
    <w:p w14:paraId="5F03DC20">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（四）信息公开平台建设情况</w:t>
      </w:r>
    </w:p>
    <w:p w14:paraId="0362C22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目前，全区政府信息公开主要依托青云谱区区人民政府网站进行信息发布。在平台建设方面，我局严格按照统一标准，在青云谱区人民政府网站设置各项信息公开专栏；在信息发布方面，我局根据网站要求，及时调整和落实法定主动公开内容和要求，提升主动公开工作实效。</w:t>
      </w:r>
    </w:p>
    <w:p w14:paraId="3072DBD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（五）监督保障工作情况</w:t>
      </w:r>
    </w:p>
    <w:p w14:paraId="11282DDF">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一是提高思想认识，通过宣传引导，进一步提高工作人员对政府信息公开工作重要性的认识；二是严格程序，规范政府信息公开，注重信息的全面性、时效性和规范性。</w:t>
      </w:r>
    </w:p>
    <w:p w14:paraId="1C7AFE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right="0" w:firstLine="643" w:firstLineChars="2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二</w:t>
      </w:r>
      <w:r>
        <w:rPr>
          <w:rFonts w:hint="eastAsia" w:ascii="黑体" w:hAnsi="黑体" w:eastAsia="黑体" w:cs="黑体"/>
          <w:b/>
          <w:i w:val="0"/>
          <w:caps w:val="0"/>
          <w:color w:val="333333"/>
          <w:spacing w:val="0"/>
          <w:sz w:val="32"/>
          <w:szCs w:val="32"/>
          <w:shd w:val="clear" w:color="auto" w:fill="FFFFFF"/>
        </w:rPr>
        <w:t>、主动公开政府信息情况</w:t>
      </w:r>
    </w:p>
    <w:tbl>
      <w:tblPr>
        <w:tblStyle w:val="6"/>
        <w:tblW w:w="9078" w:type="dxa"/>
        <w:jc w:val="center"/>
        <w:tblLayout w:type="fixed"/>
        <w:tblCellMar>
          <w:top w:w="0" w:type="dxa"/>
          <w:left w:w="0" w:type="dxa"/>
          <w:bottom w:w="0" w:type="dxa"/>
          <w:right w:w="0" w:type="dxa"/>
        </w:tblCellMar>
      </w:tblPr>
      <w:tblGrid>
        <w:gridCol w:w="3755"/>
        <w:gridCol w:w="1782"/>
        <w:gridCol w:w="1635"/>
        <w:gridCol w:w="1906"/>
      </w:tblGrid>
      <w:tr w14:paraId="0FDF8FC9">
        <w:tblPrEx>
          <w:tblCellMar>
            <w:top w:w="0" w:type="dxa"/>
            <w:left w:w="0" w:type="dxa"/>
            <w:bottom w:w="0" w:type="dxa"/>
            <w:right w:w="0" w:type="dxa"/>
          </w:tblCellMar>
        </w:tblPrEx>
        <w:trPr>
          <w:trHeight w:val="493" w:hRule="atLeast"/>
          <w:jc w:val="center"/>
        </w:trPr>
        <w:tc>
          <w:tcPr>
            <w:tcW w:w="9078" w:type="dxa"/>
            <w:gridSpan w:val="4"/>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14:paraId="6BE44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第二十条第（一）项</w:t>
            </w:r>
          </w:p>
        </w:tc>
      </w:tr>
      <w:tr w14:paraId="13BDBCFF">
        <w:tblPrEx>
          <w:tblCellMar>
            <w:top w:w="0" w:type="dxa"/>
            <w:left w:w="0" w:type="dxa"/>
            <w:bottom w:w="0" w:type="dxa"/>
            <w:right w:w="0" w:type="dxa"/>
          </w:tblCellMar>
        </w:tblPrEx>
        <w:trPr>
          <w:trHeight w:val="642"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3DBFA6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1782" w:type="dxa"/>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14:paraId="6E66B2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本年</w:t>
            </w:r>
            <w:r>
              <w:rPr>
                <w:rFonts w:ascii="Calibri" w:hAnsi="Calibri" w:eastAsia="宋体" w:cs="Times New Roman"/>
                <w:kern w:val="0"/>
                <w:sz w:val="22"/>
                <w:szCs w:val="22"/>
                <w:lang w:val="en-US" w:eastAsia="zh-CN" w:bidi="ar"/>
              </w:rPr>
              <w:t>制</w:t>
            </w:r>
            <w:r>
              <w:rPr>
                <w:rFonts w:hint="eastAsia" w:ascii="Calibri" w:hAnsi="Calibri" w:eastAsia="宋体" w:cs="Times New Roman"/>
                <w:kern w:val="0"/>
                <w:sz w:val="22"/>
                <w:szCs w:val="22"/>
                <w:lang w:val="en-US" w:eastAsia="zh-CN" w:bidi="ar"/>
              </w:rPr>
              <w:t>发件数</w:t>
            </w:r>
          </w:p>
        </w:tc>
        <w:tc>
          <w:tcPr>
            <w:tcW w:w="1635"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14:paraId="521AA3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本年废止件数</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1625CE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eastAsia="zh-CN"/>
              </w:rPr>
            </w:pPr>
            <w:r>
              <w:rPr>
                <w:rFonts w:hint="eastAsia" w:ascii="宋体" w:hAnsi="宋体" w:eastAsia="宋体" w:cs="宋体"/>
                <w:color w:val="000000"/>
                <w:kern w:val="0"/>
                <w:sz w:val="22"/>
                <w:szCs w:val="22"/>
                <w:lang w:val="en-US" w:eastAsia="zh-CN" w:bidi="ar"/>
              </w:rPr>
              <w:t>现行有效件数</w:t>
            </w:r>
          </w:p>
        </w:tc>
      </w:tr>
      <w:tr w14:paraId="7DE16F6C">
        <w:tblPrEx>
          <w:tblCellMar>
            <w:top w:w="0" w:type="dxa"/>
            <w:left w:w="0" w:type="dxa"/>
            <w:bottom w:w="0" w:type="dxa"/>
            <w:right w:w="0" w:type="dxa"/>
          </w:tblCellMar>
        </w:tblPrEx>
        <w:trPr>
          <w:trHeight w:val="523"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249AA0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规章</w:t>
            </w:r>
          </w:p>
        </w:tc>
        <w:tc>
          <w:tcPr>
            <w:tcW w:w="178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40B32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63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5305ED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2495F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20231F2E">
        <w:tblPrEx>
          <w:tblCellMar>
            <w:top w:w="0" w:type="dxa"/>
            <w:left w:w="0" w:type="dxa"/>
            <w:bottom w:w="0" w:type="dxa"/>
            <w:right w:w="0" w:type="dxa"/>
          </w:tblCellMar>
        </w:tblPrEx>
        <w:trPr>
          <w:trHeight w:val="471"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7A3615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行政规范性文件</w:t>
            </w:r>
          </w:p>
        </w:tc>
        <w:tc>
          <w:tcPr>
            <w:tcW w:w="178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0ACA1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1</w:t>
            </w:r>
          </w:p>
        </w:tc>
        <w:tc>
          <w:tcPr>
            <w:tcW w:w="163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1F248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51333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1</w:t>
            </w:r>
            <w:bookmarkStart w:id="0" w:name="_GoBack"/>
            <w:bookmarkEnd w:id="0"/>
          </w:p>
        </w:tc>
      </w:tr>
      <w:tr w14:paraId="208EB907">
        <w:tblPrEx>
          <w:tblCellMar>
            <w:top w:w="0" w:type="dxa"/>
            <w:left w:w="0" w:type="dxa"/>
            <w:bottom w:w="0" w:type="dxa"/>
            <w:right w:w="0" w:type="dxa"/>
          </w:tblCellMar>
        </w:tblPrEx>
        <w:trPr>
          <w:trHeight w:val="480" w:hRule="atLeast"/>
          <w:jc w:val="center"/>
        </w:trPr>
        <w:tc>
          <w:tcPr>
            <w:tcW w:w="9078"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43C911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第二十条第（五）项</w:t>
            </w:r>
          </w:p>
        </w:tc>
      </w:tr>
      <w:tr w14:paraId="0A45E572">
        <w:tblPrEx>
          <w:tblCellMar>
            <w:top w:w="0" w:type="dxa"/>
            <w:left w:w="0" w:type="dxa"/>
            <w:bottom w:w="0" w:type="dxa"/>
            <w:right w:w="0" w:type="dxa"/>
          </w:tblCellMar>
        </w:tblPrEx>
        <w:trPr>
          <w:trHeight w:val="634" w:hRule="atLeast"/>
          <w:jc w:val="center"/>
        </w:trPr>
        <w:tc>
          <w:tcPr>
            <w:tcW w:w="3755" w:type="dxa"/>
            <w:tcBorders>
              <w:top w:val="nil"/>
              <w:left w:val="single" w:color="auto" w:sz="8" w:space="0"/>
              <w:bottom w:val="single" w:color="auto" w:sz="4" w:space="0"/>
              <w:right w:val="single" w:color="auto" w:sz="8" w:space="0"/>
            </w:tcBorders>
            <w:shd w:val="clear" w:color="auto" w:fill="FFFFFF"/>
            <w:noWrap/>
            <w:tcMar>
              <w:left w:w="108" w:type="dxa"/>
              <w:right w:w="108" w:type="dxa"/>
            </w:tcMar>
            <w:vAlign w:val="center"/>
          </w:tcPr>
          <w:p w14:paraId="25A13E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5323" w:type="dxa"/>
            <w:gridSpan w:val="3"/>
            <w:tcBorders>
              <w:top w:val="single" w:color="auto" w:sz="8" w:space="0"/>
              <w:left w:val="nil"/>
              <w:bottom w:val="single" w:color="auto" w:sz="4" w:space="0"/>
              <w:right w:val="single" w:color="auto" w:sz="8" w:space="0"/>
            </w:tcBorders>
            <w:shd w:val="clear" w:color="auto" w:fill="FFFFFF"/>
            <w:noWrap/>
            <w:tcMar>
              <w:left w:w="108" w:type="dxa"/>
              <w:right w:w="108" w:type="dxa"/>
            </w:tcMar>
            <w:vAlign w:val="center"/>
          </w:tcPr>
          <w:p w14:paraId="745226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eastAsia="zh-CN"/>
              </w:rPr>
            </w:pPr>
            <w:r>
              <w:rPr>
                <w:rFonts w:hint="eastAsia" w:ascii="Calibri" w:hAnsi="Calibri" w:eastAsia="宋体" w:cs="Times New Roman"/>
                <w:kern w:val="0"/>
                <w:sz w:val="22"/>
                <w:szCs w:val="22"/>
                <w:lang w:val="en-US" w:eastAsia="zh-CN" w:bidi="ar"/>
              </w:rPr>
              <w:t>本年处理决定数量</w:t>
            </w:r>
          </w:p>
        </w:tc>
      </w:tr>
      <w:tr w14:paraId="6BAE512F">
        <w:tblPrEx>
          <w:tblCellMar>
            <w:top w:w="0" w:type="dxa"/>
            <w:left w:w="0" w:type="dxa"/>
            <w:bottom w:w="0" w:type="dxa"/>
            <w:right w:w="0" w:type="dxa"/>
          </w:tblCellMar>
        </w:tblPrEx>
        <w:trPr>
          <w:trHeight w:val="589" w:hRule="atLeast"/>
          <w:jc w:val="center"/>
        </w:trPr>
        <w:tc>
          <w:tcPr>
            <w:tcW w:w="3755" w:type="dxa"/>
            <w:tcBorders>
              <w:top w:val="single" w:color="auto" w:sz="4" w:space="0"/>
              <w:left w:val="single" w:color="auto" w:sz="4" w:space="0"/>
              <w:bottom w:val="single" w:color="auto" w:sz="4" w:space="0"/>
              <w:right w:val="single" w:color="auto" w:sz="8" w:space="0"/>
            </w:tcBorders>
            <w:shd w:val="clear" w:color="auto" w:fill="FFFFFF"/>
            <w:noWrap/>
            <w:tcMar>
              <w:left w:w="108" w:type="dxa"/>
              <w:right w:w="108" w:type="dxa"/>
            </w:tcMar>
            <w:vAlign w:val="center"/>
          </w:tcPr>
          <w:p w14:paraId="2EDE6C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行政许可</w:t>
            </w:r>
          </w:p>
        </w:tc>
        <w:tc>
          <w:tcPr>
            <w:tcW w:w="5323" w:type="dxa"/>
            <w:gridSpan w:val="3"/>
            <w:tcBorders>
              <w:top w:val="single" w:color="auto" w:sz="4" w:space="0"/>
              <w:left w:val="nil"/>
              <w:bottom w:val="single" w:color="auto" w:sz="4" w:space="0"/>
              <w:right w:val="single" w:color="auto" w:sz="4" w:space="0"/>
            </w:tcBorders>
            <w:shd w:val="clear" w:color="auto" w:fill="FFFFFF"/>
            <w:noWrap/>
            <w:tcMar>
              <w:left w:w="108" w:type="dxa"/>
              <w:right w:w="108" w:type="dxa"/>
            </w:tcMar>
            <w:vAlign w:val="center"/>
          </w:tcPr>
          <w:p w14:paraId="1889F6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0B025431">
        <w:tblPrEx>
          <w:tblCellMar>
            <w:top w:w="0" w:type="dxa"/>
            <w:left w:w="0" w:type="dxa"/>
            <w:bottom w:w="0" w:type="dxa"/>
            <w:right w:w="0" w:type="dxa"/>
          </w:tblCellMar>
        </w:tblPrEx>
        <w:trPr>
          <w:trHeight w:val="406" w:hRule="atLeast"/>
          <w:jc w:val="center"/>
        </w:trPr>
        <w:tc>
          <w:tcPr>
            <w:tcW w:w="9078" w:type="dxa"/>
            <w:gridSpan w:val="4"/>
            <w:tcBorders>
              <w:top w:val="single" w:color="auto" w:sz="4" w:space="0"/>
              <w:left w:val="single" w:color="auto" w:sz="8" w:space="0"/>
              <w:bottom w:val="single" w:color="auto" w:sz="8" w:space="0"/>
              <w:right w:val="single" w:color="auto" w:sz="8" w:space="0"/>
            </w:tcBorders>
            <w:shd w:val="clear" w:color="auto" w:fill="FFFFFF"/>
            <w:noWrap/>
            <w:tcMar>
              <w:left w:w="108" w:type="dxa"/>
              <w:right w:w="108" w:type="dxa"/>
            </w:tcMar>
            <w:vAlign w:val="center"/>
          </w:tcPr>
          <w:p w14:paraId="748441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第二十条第（六）项</w:t>
            </w:r>
          </w:p>
        </w:tc>
      </w:tr>
      <w:tr w14:paraId="318DFED6">
        <w:tblPrEx>
          <w:tblCellMar>
            <w:top w:w="0" w:type="dxa"/>
            <w:left w:w="0" w:type="dxa"/>
            <w:bottom w:w="0" w:type="dxa"/>
            <w:right w:w="0" w:type="dxa"/>
          </w:tblCellMar>
        </w:tblPrEx>
        <w:trPr>
          <w:trHeight w:val="634"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5E304E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Calibri" w:hAnsi="Calibri" w:eastAsia="宋体" w:cs="Times New Roman"/>
                <w:kern w:val="0"/>
                <w:sz w:val="22"/>
                <w:szCs w:val="22"/>
                <w:lang w:val="en-US" w:eastAsia="zh-CN" w:bidi="ar"/>
              </w:rPr>
            </w:pPr>
            <w:r>
              <w:rPr>
                <w:rFonts w:hint="eastAsia" w:ascii="Calibri" w:hAnsi="Calibri" w:eastAsia="宋体" w:cs="Times New Roman"/>
                <w:kern w:val="0"/>
                <w:sz w:val="22"/>
                <w:szCs w:val="22"/>
                <w:lang w:val="en-US" w:eastAsia="zh-CN" w:bidi="ar"/>
              </w:rPr>
              <w:t>信息内容</w:t>
            </w:r>
          </w:p>
        </w:tc>
        <w:tc>
          <w:tcPr>
            <w:tcW w:w="5323" w:type="dxa"/>
            <w:gridSpan w:val="3"/>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14:paraId="6DA1ED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Calibri" w:hAnsi="Calibri" w:eastAsia="宋体" w:cs="Times New Roman"/>
                <w:kern w:val="0"/>
                <w:sz w:val="22"/>
                <w:szCs w:val="22"/>
                <w:lang w:val="en-US" w:eastAsia="zh-CN" w:bidi="ar"/>
              </w:rPr>
            </w:pPr>
            <w:r>
              <w:rPr>
                <w:rFonts w:hint="eastAsia" w:ascii="Calibri" w:hAnsi="Calibri" w:eastAsia="宋体" w:cs="Times New Roman"/>
                <w:kern w:val="0"/>
                <w:sz w:val="22"/>
                <w:szCs w:val="22"/>
                <w:lang w:val="en-US" w:eastAsia="zh-CN" w:bidi="ar"/>
              </w:rPr>
              <w:t>本年处理决定数量</w:t>
            </w:r>
          </w:p>
        </w:tc>
      </w:tr>
      <w:tr w14:paraId="5637ACDE">
        <w:tblPrEx>
          <w:tblCellMar>
            <w:top w:w="0" w:type="dxa"/>
            <w:left w:w="0" w:type="dxa"/>
            <w:bottom w:w="0" w:type="dxa"/>
            <w:right w:w="0" w:type="dxa"/>
          </w:tblCellMar>
        </w:tblPrEx>
        <w:trPr>
          <w:trHeight w:val="430"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6E3F5E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行政处罚</w:t>
            </w:r>
          </w:p>
        </w:tc>
        <w:tc>
          <w:tcPr>
            <w:tcW w:w="5323" w:type="dxa"/>
            <w:gridSpan w:val="3"/>
            <w:tcBorders>
              <w:top w:val="nil"/>
              <w:left w:val="nil"/>
              <w:bottom w:val="single" w:color="auto" w:sz="8" w:space="0"/>
              <w:right w:val="single" w:color="auto" w:sz="8" w:space="0"/>
            </w:tcBorders>
            <w:shd w:val="clear" w:color="auto" w:fill="FFFFFF"/>
            <w:noWrap/>
            <w:tcMar>
              <w:left w:w="108" w:type="dxa"/>
              <w:right w:w="108" w:type="dxa"/>
            </w:tcMar>
            <w:vAlign w:val="center"/>
          </w:tcPr>
          <w:p w14:paraId="18A69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02A6C3DA">
        <w:tblPrEx>
          <w:tblCellMar>
            <w:top w:w="0" w:type="dxa"/>
            <w:left w:w="0" w:type="dxa"/>
            <w:bottom w:w="0" w:type="dxa"/>
            <w:right w:w="0" w:type="dxa"/>
          </w:tblCellMar>
        </w:tblPrEx>
        <w:trPr>
          <w:trHeight w:val="409"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5CDD30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行政强制</w:t>
            </w:r>
          </w:p>
        </w:tc>
        <w:tc>
          <w:tcPr>
            <w:tcW w:w="5323" w:type="dxa"/>
            <w:gridSpan w:val="3"/>
            <w:tcBorders>
              <w:top w:val="nil"/>
              <w:left w:val="nil"/>
              <w:bottom w:val="single" w:color="auto" w:sz="8" w:space="0"/>
              <w:right w:val="single" w:color="auto" w:sz="8" w:space="0"/>
            </w:tcBorders>
            <w:shd w:val="clear" w:color="auto" w:fill="FFFFFF"/>
            <w:noWrap/>
            <w:tcMar>
              <w:left w:w="108" w:type="dxa"/>
              <w:right w:w="108" w:type="dxa"/>
            </w:tcMar>
            <w:vAlign w:val="center"/>
          </w:tcPr>
          <w:p w14:paraId="0F8A5D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3AD703FE">
        <w:tblPrEx>
          <w:tblCellMar>
            <w:top w:w="0" w:type="dxa"/>
            <w:left w:w="0" w:type="dxa"/>
            <w:bottom w:w="0" w:type="dxa"/>
            <w:right w:w="0" w:type="dxa"/>
          </w:tblCellMar>
        </w:tblPrEx>
        <w:trPr>
          <w:trHeight w:val="474" w:hRule="atLeast"/>
          <w:jc w:val="center"/>
        </w:trPr>
        <w:tc>
          <w:tcPr>
            <w:tcW w:w="9078" w:type="dxa"/>
            <w:gridSpan w:val="4"/>
            <w:tcBorders>
              <w:top w:val="nil"/>
              <w:left w:val="single" w:color="auto" w:sz="8" w:space="0"/>
              <w:bottom w:val="single" w:color="auto" w:sz="4" w:space="0"/>
              <w:right w:val="single" w:color="auto" w:sz="8" w:space="0"/>
            </w:tcBorders>
            <w:shd w:val="clear" w:color="auto" w:fill="FFFFFF"/>
            <w:noWrap/>
            <w:tcMar>
              <w:left w:w="108" w:type="dxa"/>
              <w:right w:w="108" w:type="dxa"/>
            </w:tcMar>
            <w:vAlign w:val="center"/>
          </w:tcPr>
          <w:p w14:paraId="6B6A18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第二十条第（八）项</w:t>
            </w:r>
          </w:p>
        </w:tc>
      </w:tr>
      <w:tr w14:paraId="55214A08">
        <w:tblPrEx>
          <w:tblCellMar>
            <w:top w:w="0" w:type="dxa"/>
            <w:left w:w="0" w:type="dxa"/>
            <w:bottom w:w="0" w:type="dxa"/>
            <w:right w:w="0" w:type="dxa"/>
          </w:tblCellMar>
        </w:tblPrEx>
        <w:trPr>
          <w:trHeight w:val="270" w:hRule="atLeast"/>
          <w:jc w:val="center"/>
        </w:trPr>
        <w:tc>
          <w:tcPr>
            <w:tcW w:w="3755" w:type="dxa"/>
            <w:tcBorders>
              <w:top w:val="single" w:color="auto" w:sz="4" w:space="0"/>
              <w:left w:val="single" w:color="auto" w:sz="8" w:space="0"/>
              <w:bottom w:val="single" w:color="auto" w:sz="8" w:space="0"/>
              <w:right w:val="single" w:color="auto" w:sz="8" w:space="0"/>
            </w:tcBorders>
            <w:shd w:val="clear" w:color="auto" w:fill="FFFFFF"/>
            <w:noWrap/>
            <w:tcMar>
              <w:left w:w="108" w:type="dxa"/>
              <w:right w:w="108" w:type="dxa"/>
            </w:tcMar>
            <w:vAlign w:val="center"/>
          </w:tcPr>
          <w:p w14:paraId="256F53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5323" w:type="dxa"/>
            <w:gridSpan w:val="3"/>
            <w:tcBorders>
              <w:top w:val="single" w:color="auto" w:sz="4" w:space="0"/>
              <w:left w:val="nil"/>
              <w:bottom w:val="single" w:color="auto" w:sz="8" w:space="0"/>
              <w:right w:val="single" w:color="000000" w:sz="8" w:space="0"/>
            </w:tcBorders>
            <w:shd w:val="clear" w:color="auto" w:fill="FFFFFF"/>
            <w:noWrap/>
            <w:tcMar>
              <w:left w:w="108" w:type="dxa"/>
              <w:right w:w="108" w:type="dxa"/>
            </w:tcMar>
            <w:vAlign w:val="center"/>
          </w:tcPr>
          <w:p w14:paraId="1826F6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eastAsia="宋体"/>
                <w:sz w:val="22"/>
                <w:szCs w:val="22"/>
                <w:lang w:val="en-US" w:eastAsia="zh-CN"/>
              </w:rPr>
            </w:pPr>
            <w:r>
              <w:rPr>
                <w:rFonts w:hint="eastAsia"/>
                <w:sz w:val="22"/>
                <w:szCs w:val="22"/>
                <w:lang w:eastAsia="zh-CN"/>
              </w:rPr>
              <w:t>本年收费金额（单位：万元）</w:t>
            </w:r>
          </w:p>
        </w:tc>
      </w:tr>
      <w:tr w14:paraId="4401A08D">
        <w:tblPrEx>
          <w:tblCellMar>
            <w:top w:w="0" w:type="dxa"/>
            <w:left w:w="0" w:type="dxa"/>
            <w:bottom w:w="0" w:type="dxa"/>
            <w:right w:w="0" w:type="dxa"/>
          </w:tblCellMar>
        </w:tblPrEx>
        <w:trPr>
          <w:trHeight w:val="551"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7D84A9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行政事业性收费</w:t>
            </w:r>
          </w:p>
        </w:tc>
        <w:tc>
          <w:tcPr>
            <w:tcW w:w="5323" w:type="dxa"/>
            <w:gridSpan w:val="3"/>
            <w:tcBorders>
              <w:top w:val="nil"/>
              <w:left w:val="nil"/>
              <w:bottom w:val="single" w:color="auto" w:sz="8" w:space="0"/>
              <w:right w:val="single" w:color="000000" w:sz="8" w:space="0"/>
            </w:tcBorders>
            <w:shd w:val="clear" w:color="auto" w:fill="FFFFFF"/>
            <w:noWrap/>
            <w:tcMar>
              <w:left w:w="108" w:type="dxa"/>
              <w:right w:w="108" w:type="dxa"/>
            </w:tcMar>
            <w:vAlign w:val="center"/>
          </w:tcPr>
          <w:p w14:paraId="132A3E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bl>
    <w:p w14:paraId="1B6A36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right="0" w:firstLine="321" w:firstLineChars="1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三</w:t>
      </w:r>
      <w:r>
        <w:rPr>
          <w:rFonts w:hint="eastAsia" w:ascii="黑体" w:hAnsi="黑体" w:eastAsia="黑体" w:cs="黑体"/>
          <w:b/>
          <w:i w:val="0"/>
          <w:caps w:val="0"/>
          <w:color w:val="333333"/>
          <w:spacing w:val="0"/>
          <w:sz w:val="32"/>
          <w:szCs w:val="32"/>
          <w:shd w:val="clear" w:color="auto" w:fill="FFFFFF"/>
        </w:rPr>
        <w:t>、收到和处理政府信息公开申请情况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6"/>
        <w:gridCol w:w="876"/>
        <w:gridCol w:w="5"/>
        <w:gridCol w:w="2377"/>
        <w:gridCol w:w="722"/>
        <w:gridCol w:w="656"/>
        <w:gridCol w:w="745"/>
        <w:gridCol w:w="774"/>
        <w:gridCol w:w="818"/>
        <w:gridCol w:w="700"/>
        <w:gridCol w:w="742"/>
      </w:tblGrid>
      <w:tr w14:paraId="793AD0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914" w:type="dxa"/>
            <w:gridSpan w:val="4"/>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476A3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（本列数据的勾稽关系为：第一项加第二项之和，等于第三项加第四项之和）</w:t>
            </w:r>
          </w:p>
        </w:tc>
        <w:tc>
          <w:tcPr>
            <w:tcW w:w="5157" w:type="dxa"/>
            <w:gridSpan w:val="7"/>
            <w:tcBorders>
              <w:top w:val="single" w:color="auto" w:sz="8" w:space="0"/>
              <w:left w:val="nil"/>
              <w:bottom w:val="single" w:color="auto" w:sz="8" w:space="0"/>
              <w:right w:val="single" w:color="auto" w:sz="8" w:space="0"/>
            </w:tcBorders>
            <w:noWrap w:val="0"/>
            <w:tcMar>
              <w:left w:w="108" w:type="dxa"/>
              <w:right w:w="108" w:type="dxa"/>
            </w:tcMar>
            <w:vAlign w:val="center"/>
          </w:tcPr>
          <w:p w14:paraId="0BC324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申请人情况</w:t>
            </w:r>
          </w:p>
        </w:tc>
      </w:tr>
      <w:tr w14:paraId="66B2D5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3914" w:type="dxa"/>
            <w:gridSpan w:val="4"/>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5D5736F">
            <w:pPr>
              <w:jc w:val="both"/>
              <w:rPr>
                <w:rFonts w:hint="eastAsia" w:ascii="宋体"/>
                <w:sz w:val="24"/>
                <w:szCs w:val="24"/>
              </w:rPr>
            </w:pPr>
          </w:p>
        </w:tc>
        <w:tc>
          <w:tcPr>
            <w:tcW w:w="722" w:type="dxa"/>
            <w:vMerge w:val="restart"/>
            <w:tcBorders>
              <w:top w:val="nil"/>
              <w:left w:val="nil"/>
              <w:bottom w:val="single" w:color="auto" w:sz="8" w:space="0"/>
              <w:right w:val="single" w:color="auto" w:sz="8" w:space="0"/>
            </w:tcBorders>
            <w:noWrap w:val="0"/>
            <w:tcMar>
              <w:left w:w="108" w:type="dxa"/>
              <w:right w:w="108" w:type="dxa"/>
            </w:tcMar>
            <w:vAlign w:val="center"/>
          </w:tcPr>
          <w:p w14:paraId="21AF4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自然人</w:t>
            </w:r>
          </w:p>
        </w:tc>
        <w:tc>
          <w:tcPr>
            <w:tcW w:w="3693"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576CC3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法人或其他组织</w:t>
            </w:r>
          </w:p>
        </w:tc>
        <w:tc>
          <w:tcPr>
            <w:tcW w:w="742"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7C0296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总计</w:t>
            </w:r>
          </w:p>
        </w:tc>
      </w:tr>
      <w:tr w14:paraId="4AD373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vMerge w:val="continue"/>
            <w:tcBorders>
              <w:top w:val="single" w:color="auto" w:sz="8" w:space="0"/>
              <w:left w:val="single" w:color="auto" w:sz="8" w:space="0"/>
              <w:bottom w:val="single" w:color="auto" w:sz="4" w:space="0"/>
              <w:right w:val="single" w:color="auto" w:sz="8" w:space="0"/>
            </w:tcBorders>
            <w:noWrap w:val="0"/>
            <w:tcMar>
              <w:left w:w="108" w:type="dxa"/>
              <w:right w:w="108" w:type="dxa"/>
            </w:tcMar>
            <w:vAlign w:val="center"/>
          </w:tcPr>
          <w:p w14:paraId="61DF3591">
            <w:pPr>
              <w:jc w:val="both"/>
              <w:rPr>
                <w:rFonts w:hint="eastAsia" w:ascii="宋体"/>
                <w:sz w:val="24"/>
                <w:szCs w:val="24"/>
              </w:rPr>
            </w:pPr>
          </w:p>
        </w:tc>
        <w:tc>
          <w:tcPr>
            <w:tcW w:w="722" w:type="dxa"/>
            <w:vMerge w:val="continue"/>
            <w:tcBorders>
              <w:top w:val="nil"/>
              <w:left w:val="nil"/>
              <w:bottom w:val="single" w:color="auto" w:sz="4" w:space="0"/>
              <w:right w:val="single" w:color="auto" w:sz="8" w:space="0"/>
            </w:tcBorders>
            <w:noWrap w:val="0"/>
            <w:tcMar>
              <w:left w:w="108" w:type="dxa"/>
              <w:right w:w="108" w:type="dxa"/>
            </w:tcMar>
            <w:vAlign w:val="center"/>
          </w:tcPr>
          <w:p w14:paraId="7D86C371">
            <w:pPr>
              <w:rPr>
                <w:rFonts w:hint="eastAsia" w:ascii="宋体"/>
                <w:sz w:val="22"/>
                <w:szCs w:val="22"/>
              </w:rPr>
            </w:pPr>
          </w:p>
        </w:tc>
        <w:tc>
          <w:tcPr>
            <w:tcW w:w="656" w:type="dxa"/>
            <w:tcBorders>
              <w:top w:val="nil"/>
              <w:left w:val="nil"/>
              <w:bottom w:val="single" w:color="auto" w:sz="4" w:space="0"/>
              <w:right w:val="single" w:color="auto" w:sz="8" w:space="0"/>
            </w:tcBorders>
            <w:noWrap w:val="0"/>
            <w:tcMar>
              <w:left w:w="108" w:type="dxa"/>
              <w:right w:w="108" w:type="dxa"/>
            </w:tcMar>
            <w:vAlign w:val="center"/>
          </w:tcPr>
          <w:p w14:paraId="55B279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商业企业</w:t>
            </w:r>
          </w:p>
        </w:tc>
        <w:tc>
          <w:tcPr>
            <w:tcW w:w="745" w:type="dxa"/>
            <w:tcBorders>
              <w:top w:val="nil"/>
              <w:left w:val="nil"/>
              <w:bottom w:val="single" w:color="auto" w:sz="4" w:space="0"/>
              <w:right w:val="single" w:color="auto" w:sz="8" w:space="0"/>
            </w:tcBorders>
            <w:noWrap w:val="0"/>
            <w:tcMar>
              <w:left w:w="108" w:type="dxa"/>
              <w:right w:w="108" w:type="dxa"/>
            </w:tcMar>
            <w:vAlign w:val="center"/>
          </w:tcPr>
          <w:p w14:paraId="57AD83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科研机构</w:t>
            </w:r>
          </w:p>
        </w:tc>
        <w:tc>
          <w:tcPr>
            <w:tcW w:w="774" w:type="dxa"/>
            <w:tcBorders>
              <w:top w:val="single" w:color="auto" w:sz="8" w:space="0"/>
              <w:left w:val="nil"/>
              <w:bottom w:val="single" w:color="auto" w:sz="4" w:space="0"/>
              <w:right w:val="single" w:color="auto" w:sz="8" w:space="0"/>
            </w:tcBorders>
            <w:noWrap w:val="0"/>
            <w:tcMar>
              <w:left w:w="108" w:type="dxa"/>
              <w:right w:w="108" w:type="dxa"/>
            </w:tcMar>
            <w:vAlign w:val="center"/>
          </w:tcPr>
          <w:p w14:paraId="7CC8B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社会公益组织</w:t>
            </w:r>
          </w:p>
        </w:tc>
        <w:tc>
          <w:tcPr>
            <w:tcW w:w="818" w:type="dxa"/>
            <w:tcBorders>
              <w:top w:val="single" w:color="auto" w:sz="8" w:space="0"/>
              <w:left w:val="nil"/>
              <w:bottom w:val="single" w:color="auto" w:sz="4" w:space="0"/>
              <w:right w:val="single" w:color="auto" w:sz="8" w:space="0"/>
            </w:tcBorders>
            <w:noWrap w:val="0"/>
            <w:tcMar>
              <w:left w:w="108" w:type="dxa"/>
              <w:right w:w="108" w:type="dxa"/>
            </w:tcMar>
            <w:vAlign w:val="center"/>
          </w:tcPr>
          <w:p w14:paraId="68CA93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法律服务机构</w:t>
            </w:r>
          </w:p>
        </w:tc>
        <w:tc>
          <w:tcPr>
            <w:tcW w:w="700" w:type="dxa"/>
            <w:tcBorders>
              <w:top w:val="single" w:color="auto" w:sz="8" w:space="0"/>
              <w:left w:val="nil"/>
              <w:bottom w:val="single" w:color="auto" w:sz="4" w:space="0"/>
              <w:right w:val="single" w:color="auto" w:sz="8" w:space="0"/>
            </w:tcBorders>
            <w:noWrap w:val="0"/>
            <w:tcMar>
              <w:left w:w="108" w:type="dxa"/>
              <w:right w:w="108" w:type="dxa"/>
            </w:tcMar>
            <w:vAlign w:val="center"/>
          </w:tcPr>
          <w:p w14:paraId="79A1A2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其他</w:t>
            </w:r>
          </w:p>
        </w:tc>
        <w:tc>
          <w:tcPr>
            <w:tcW w:w="742" w:type="dxa"/>
            <w:vMerge w:val="continue"/>
            <w:tcBorders>
              <w:top w:val="single" w:color="auto" w:sz="8" w:space="0"/>
              <w:left w:val="nil"/>
              <w:bottom w:val="single" w:color="auto" w:sz="4" w:space="0"/>
              <w:right w:val="single" w:color="auto" w:sz="8" w:space="0"/>
            </w:tcBorders>
            <w:noWrap w:val="0"/>
            <w:tcMar>
              <w:left w:w="108" w:type="dxa"/>
              <w:right w:w="108" w:type="dxa"/>
            </w:tcMar>
            <w:vAlign w:val="center"/>
          </w:tcPr>
          <w:p w14:paraId="7129240C">
            <w:pPr>
              <w:rPr>
                <w:rFonts w:hint="eastAsia" w:ascii="宋体"/>
                <w:sz w:val="22"/>
                <w:szCs w:val="22"/>
              </w:rPr>
            </w:pPr>
          </w:p>
        </w:tc>
      </w:tr>
      <w:tr w14:paraId="73126E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12E70F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sz w:val="22"/>
                <w:szCs w:val="22"/>
              </w:rPr>
            </w:pPr>
            <w:r>
              <w:rPr>
                <w:rFonts w:hint="eastAsia" w:ascii="宋体" w:hAnsi="宋体" w:eastAsia="宋体" w:cs="宋体"/>
                <w:kern w:val="0"/>
                <w:sz w:val="22"/>
                <w:szCs w:val="22"/>
                <w:lang w:val="en-US" w:eastAsia="zh-CN" w:bidi="ar"/>
              </w:rPr>
              <w:t>一、本年新收政府信息公开申请数量</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048A8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AAEDC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1A4A70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C4448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515B5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7115DD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14:paraId="676702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0E3B2A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single" w:color="auto" w:sz="4" w:space="0"/>
              <w:left w:val="single" w:color="auto" w:sz="8" w:space="0"/>
              <w:bottom w:val="single" w:color="auto" w:sz="4" w:space="0"/>
              <w:right w:val="single" w:color="auto" w:sz="8" w:space="0"/>
            </w:tcBorders>
            <w:noWrap w:val="0"/>
            <w:tcMar>
              <w:left w:w="108" w:type="dxa"/>
              <w:right w:w="108" w:type="dxa"/>
            </w:tcMar>
            <w:vAlign w:val="center"/>
          </w:tcPr>
          <w:p w14:paraId="116A3E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sz w:val="22"/>
                <w:szCs w:val="22"/>
              </w:rPr>
            </w:pPr>
            <w:r>
              <w:rPr>
                <w:rFonts w:hint="eastAsia" w:ascii="宋体" w:hAnsi="宋体" w:eastAsia="宋体" w:cs="宋体"/>
                <w:kern w:val="0"/>
                <w:sz w:val="22"/>
                <w:szCs w:val="22"/>
                <w:lang w:val="en-US" w:eastAsia="zh-CN" w:bidi="ar"/>
              </w:rPr>
              <w:t>二、上年结转政府信息公开申请数量</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2EA15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CD44C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9C035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3042F1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3E6917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148ACE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4DFA39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412270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restart"/>
            <w:tcBorders>
              <w:top w:val="single" w:color="auto" w:sz="4" w:space="0"/>
              <w:left w:val="single" w:color="auto" w:sz="4" w:space="0"/>
              <w:bottom w:val="single" w:color="auto" w:sz="8" w:space="0"/>
              <w:right w:val="single" w:color="auto" w:sz="4" w:space="0"/>
            </w:tcBorders>
            <w:noWrap w:val="0"/>
            <w:tcMar>
              <w:left w:w="108" w:type="dxa"/>
              <w:right w:w="108" w:type="dxa"/>
            </w:tcMar>
            <w:vAlign w:val="center"/>
          </w:tcPr>
          <w:p w14:paraId="083EFB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三、本年度办理结果</w:t>
            </w:r>
          </w:p>
        </w:tc>
        <w:tc>
          <w:tcPr>
            <w:tcW w:w="3258" w:type="dxa"/>
            <w:gridSpan w:val="3"/>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DE903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rPr>
            </w:pPr>
            <w:r>
              <w:rPr>
                <w:rFonts w:hint="eastAsia" w:ascii="宋体" w:hAnsi="宋体" w:eastAsia="宋体" w:cs="宋体"/>
                <w:kern w:val="0"/>
                <w:sz w:val="22"/>
                <w:szCs w:val="22"/>
                <w:lang w:val="en-US" w:eastAsia="zh-CN" w:bidi="ar"/>
              </w:rPr>
              <w:t>（一）予以公开</w:t>
            </w:r>
          </w:p>
        </w:tc>
        <w:tc>
          <w:tcPr>
            <w:tcW w:w="722" w:type="dxa"/>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1D68ED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188792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28DD2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2004B2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9F278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1498E3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14:paraId="3B4375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CEFA8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2E5635FD">
            <w:pPr>
              <w:jc w:val="both"/>
              <w:rPr>
                <w:rFonts w:hint="eastAsia" w:ascii="宋体"/>
                <w:sz w:val="24"/>
                <w:szCs w:val="24"/>
              </w:rPr>
            </w:pPr>
          </w:p>
        </w:tc>
        <w:tc>
          <w:tcPr>
            <w:tcW w:w="3258" w:type="dxa"/>
            <w:gridSpan w:val="3"/>
            <w:tcBorders>
              <w:top w:val="single" w:color="auto" w:sz="4" w:space="0"/>
              <w:left w:val="nil"/>
              <w:bottom w:val="single" w:color="auto" w:sz="8" w:space="0"/>
              <w:right w:val="single" w:color="auto" w:sz="4" w:space="0"/>
            </w:tcBorders>
            <w:noWrap w:val="0"/>
            <w:tcMar>
              <w:left w:w="108" w:type="dxa"/>
              <w:right w:w="108" w:type="dxa"/>
            </w:tcMar>
            <w:vAlign w:val="center"/>
          </w:tcPr>
          <w:p w14:paraId="3E3437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rPr>
            </w:pPr>
            <w:r>
              <w:rPr>
                <w:rFonts w:hint="eastAsia" w:ascii="宋体" w:hAnsi="宋体" w:eastAsia="宋体" w:cs="宋体"/>
                <w:kern w:val="0"/>
                <w:sz w:val="22"/>
                <w:szCs w:val="22"/>
                <w:lang w:val="en-US" w:eastAsia="zh-CN" w:bidi="ar"/>
              </w:rPr>
              <w:t>（二）部分公开（区分处理的，只计这一情形，不计其他情形）</w:t>
            </w:r>
          </w:p>
        </w:tc>
        <w:tc>
          <w:tcPr>
            <w:tcW w:w="722" w:type="dxa"/>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6E07DA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0DB1F9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F0C3A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7DA8B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465AC6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21A2E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699C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26C7D0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02C538ED">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14:paraId="2D92B1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（三）不予公开</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041489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1.属于国家秘密</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06E3F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F7A03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6B1912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751E05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D65E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4A47D9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A6FA6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03EA4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45392C3C">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55F6E5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BF1B0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2.其他法律行政法规禁止公开</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742617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0088D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659516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8B617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20FEF5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5DAF3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1ABF76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696CA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5746FFB8">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73849C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158276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3.危及“三安全一稳定”</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7D1D0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4D045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408162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26C420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11972E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33DA7C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0BDEC3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05854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477A8985">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44BC3D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7D3B84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4.保护第三方合法权益</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4075AB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D07DA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0FE8EF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0CACDC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75971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714160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1FE5D6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01A34A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45038F9B">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236936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511CE4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5.属于三类内部事务信息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28B9BC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C0470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27A649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0DF280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68C148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11319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6A2094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3DA97E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14A20798">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526E3A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65E527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6.属于四类过程性信息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6CF24E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22032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51F2C4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513ACB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0E4E3F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3273BA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6FEC15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28D1AE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7684942C">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9DB45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75B6CA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7.属于行政执法案卷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179704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61682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FB8D8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6A07C0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4BFDE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010B9F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2B4DF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20225D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1E28BF51">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4FDC5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0E26E5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8.属于行政查询事项</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9243E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6EACB5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4FB8E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32218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4FAE0B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17651F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0AC6EA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492BE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5F4C756A">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14:paraId="163D68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（四）无法提供</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5AA2BE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1.本机关不掌握相关政府信息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97AFD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739013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274CB0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691A9E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239EBC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11A00C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49567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4390A9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4" w:space="0"/>
              <w:right w:val="single" w:color="auto" w:sz="8" w:space="0"/>
            </w:tcBorders>
            <w:noWrap w:val="0"/>
            <w:tcMar>
              <w:left w:w="108" w:type="dxa"/>
              <w:right w:w="108" w:type="dxa"/>
            </w:tcMar>
            <w:vAlign w:val="center"/>
          </w:tcPr>
          <w:p w14:paraId="4CD9292C">
            <w:pPr>
              <w:rPr>
                <w:rFonts w:hint="eastAsia" w:ascii="宋体"/>
                <w:sz w:val="24"/>
                <w:szCs w:val="24"/>
              </w:rPr>
            </w:pPr>
          </w:p>
        </w:tc>
        <w:tc>
          <w:tcPr>
            <w:tcW w:w="881" w:type="dxa"/>
            <w:gridSpan w:val="2"/>
            <w:vMerge w:val="continue"/>
            <w:tcBorders>
              <w:top w:val="nil"/>
              <w:left w:val="nil"/>
              <w:bottom w:val="single" w:color="auto" w:sz="4" w:space="0"/>
              <w:right w:val="single" w:color="auto" w:sz="4" w:space="0"/>
            </w:tcBorders>
            <w:noWrap w:val="0"/>
            <w:tcMar>
              <w:left w:w="108" w:type="dxa"/>
              <w:right w:w="108" w:type="dxa"/>
            </w:tcMar>
            <w:vAlign w:val="center"/>
          </w:tcPr>
          <w:p w14:paraId="6D75D5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4" w:space="0"/>
              <w:right w:val="single" w:color="auto" w:sz="8" w:space="0"/>
            </w:tcBorders>
            <w:noWrap w:val="0"/>
            <w:tcMar>
              <w:left w:w="108" w:type="dxa"/>
              <w:right w:w="108" w:type="dxa"/>
            </w:tcMar>
            <w:vAlign w:val="center"/>
          </w:tcPr>
          <w:p w14:paraId="7251CC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2.没有现成信息需要另行制作</w:t>
            </w:r>
          </w:p>
        </w:tc>
        <w:tc>
          <w:tcPr>
            <w:tcW w:w="722" w:type="dxa"/>
            <w:tcBorders>
              <w:top w:val="nil"/>
              <w:left w:val="nil"/>
              <w:bottom w:val="single" w:color="auto" w:sz="4" w:space="0"/>
              <w:right w:val="single" w:color="auto" w:sz="8" w:space="0"/>
            </w:tcBorders>
            <w:noWrap w:val="0"/>
            <w:tcMar>
              <w:left w:w="108" w:type="dxa"/>
              <w:right w:w="108" w:type="dxa"/>
            </w:tcMar>
            <w:vAlign w:val="center"/>
          </w:tcPr>
          <w:p w14:paraId="79C717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4" w:space="0"/>
              <w:right w:val="single" w:color="auto" w:sz="8" w:space="0"/>
            </w:tcBorders>
            <w:noWrap w:val="0"/>
            <w:tcMar>
              <w:left w:w="108" w:type="dxa"/>
              <w:right w:w="108" w:type="dxa"/>
            </w:tcMar>
            <w:vAlign w:val="center"/>
          </w:tcPr>
          <w:p w14:paraId="3DFC77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4" w:space="0"/>
              <w:right w:val="single" w:color="auto" w:sz="8" w:space="0"/>
            </w:tcBorders>
            <w:noWrap w:val="0"/>
            <w:tcMar>
              <w:left w:w="108" w:type="dxa"/>
              <w:right w:w="108" w:type="dxa"/>
            </w:tcMar>
            <w:vAlign w:val="center"/>
          </w:tcPr>
          <w:p w14:paraId="49DFC5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4" w:space="0"/>
              <w:right w:val="single" w:color="auto" w:sz="8" w:space="0"/>
            </w:tcBorders>
            <w:noWrap w:val="0"/>
            <w:tcMar>
              <w:left w:w="108" w:type="dxa"/>
              <w:right w:w="108" w:type="dxa"/>
            </w:tcMar>
            <w:vAlign w:val="center"/>
          </w:tcPr>
          <w:p w14:paraId="785CF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4" w:space="0"/>
              <w:right w:val="single" w:color="auto" w:sz="8" w:space="0"/>
            </w:tcBorders>
            <w:noWrap w:val="0"/>
            <w:tcMar>
              <w:left w:w="108" w:type="dxa"/>
              <w:right w:w="108" w:type="dxa"/>
            </w:tcMar>
            <w:vAlign w:val="center"/>
          </w:tcPr>
          <w:p w14:paraId="0C011D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4" w:space="0"/>
              <w:right w:val="single" w:color="auto" w:sz="8" w:space="0"/>
            </w:tcBorders>
            <w:noWrap w:val="0"/>
            <w:tcMar>
              <w:left w:w="108" w:type="dxa"/>
              <w:right w:w="108" w:type="dxa"/>
            </w:tcMar>
            <w:vAlign w:val="center"/>
          </w:tcPr>
          <w:p w14:paraId="09A217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4" w:space="0"/>
              <w:right w:val="single" w:color="auto" w:sz="8" w:space="0"/>
            </w:tcBorders>
            <w:noWrap w:val="0"/>
            <w:tcMar>
              <w:left w:w="108" w:type="dxa"/>
              <w:right w:w="108" w:type="dxa"/>
            </w:tcMar>
            <w:vAlign w:val="center"/>
          </w:tcPr>
          <w:p w14:paraId="367C39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AD592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5E88DE89">
            <w:pPr>
              <w:rPr>
                <w:rFonts w:hint="eastAsia" w:ascii="宋体"/>
                <w:sz w:val="24"/>
                <w:szCs w:val="24"/>
              </w:rPr>
            </w:pPr>
          </w:p>
        </w:tc>
        <w:tc>
          <w:tcPr>
            <w:tcW w:w="881" w:type="dxa"/>
            <w:gridSpan w:val="2"/>
            <w:vMerge w:val="continue"/>
            <w:tcBorders>
              <w:top w:val="single" w:color="auto" w:sz="4" w:space="0"/>
              <w:left w:val="nil"/>
              <w:bottom w:val="single" w:color="auto" w:sz="8" w:space="0"/>
              <w:right w:val="single" w:color="auto" w:sz="4" w:space="0"/>
            </w:tcBorders>
            <w:noWrap w:val="0"/>
            <w:tcMar>
              <w:left w:w="108" w:type="dxa"/>
              <w:right w:w="108" w:type="dxa"/>
            </w:tcMar>
            <w:vAlign w:val="center"/>
          </w:tcPr>
          <w:p w14:paraId="3B55FB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6B86C5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3.补正后申请内容仍不明确</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1ECEB1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168AB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D35B3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EBF34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019C2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A668F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7CCA8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30BAF6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7EA422D2">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14:paraId="692320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（五）不予处理</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2085E0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1.信访举报投诉类申请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A806A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6160BE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04C05D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7D1D53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2C322B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64823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4E8D36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01245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1873C5D6">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EBDBD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F29F6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2.重复申请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491644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4A2C3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1D9009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651DF5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1A26A3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559C07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2843E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EDA3B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0BD3BF12">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8655EC8">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44879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3.要求提供公开出版物</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360DAC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21B9F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F87C1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432EA7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378C9A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2A9BF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6CF44F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71D3C7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2AA1B3C5">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185C50A9">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68EC67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4.无正当理由大量反复申请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EA358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55D73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50796B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7134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7CFBEC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3630DD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A907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7CFDD3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6E9EC652">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322C7F8D">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9DE35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5.要求行政机关确认或重新出具已获取信息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35F8DA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5F450E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092391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7B9C60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07F5B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7A9368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02E360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A7379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318" w:hRule="atLeast"/>
          <w:jc w:val="center"/>
        </w:trPr>
        <w:tc>
          <w:tcPr>
            <w:tcW w:w="656" w:type="dxa"/>
            <w:vMerge w:val="continue"/>
            <w:tcBorders>
              <w:top w:val="nil"/>
              <w:left w:val="single" w:color="auto" w:sz="4" w:space="0"/>
              <w:bottom w:val="single" w:color="auto" w:sz="4" w:space="0"/>
              <w:right w:val="single" w:color="auto" w:sz="8" w:space="0"/>
            </w:tcBorders>
            <w:noWrap w:val="0"/>
            <w:tcMar>
              <w:left w:w="108" w:type="dxa"/>
              <w:right w:w="108" w:type="dxa"/>
            </w:tcMar>
            <w:vAlign w:val="center"/>
          </w:tcPr>
          <w:p w14:paraId="2BFF2BDF">
            <w:pPr>
              <w:rPr>
                <w:rFonts w:hint="eastAsia" w:ascii="宋体"/>
                <w:sz w:val="24"/>
                <w:szCs w:val="24"/>
              </w:rPr>
            </w:pPr>
          </w:p>
        </w:tc>
        <w:tc>
          <w:tcPr>
            <w:tcW w:w="876" w:type="dxa"/>
            <w:vMerge w:val="restart"/>
            <w:tcBorders>
              <w:top w:val="nil"/>
              <w:left w:val="nil"/>
              <w:bottom w:val="single" w:color="auto" w:sz="4" w:space="0"/>
              <w:right w:val="single" w:color="auto" w:sz="4" w:space="0"/>
            </w:tcBorders>
            <w:noWrap w:val="0"/>
            <w:tcMar>
              <w:left w:w="108" w:type="dxa"/>
              <w:right w:w="108" w:type="dxa"/>
            </w:tcMar>
            <w:vAlign w:val="center"/>
          </w:tcPr>
          <w:p w14:paraId="3E573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（六）其他处理</w:t>
            </w:r>
          </w:p>
        </w:tc>
        <w:tc>
          <w:tcPr>
            <w:tcW w:w="2382" w:type="dxa"/>
            <w:gridSpan w:val="2"/>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5297ED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70E112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279D9B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56BA61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CCE60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7134C4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0AEF15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14:paraId="17EBE6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B3A0B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656" w:type="dxa"/>
            <w:vMerge w:val="continue"/>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3D06B448">
            <w:pPr>
              <w:rPr>
                <w:rFonts w:hint="eastAsia" w:ascii="宋体"/>
                <w:sz w:val="24"/>
                <w:szCs w:val="24"/>
              </w:rPr>
            </w:pPr>
          </w:p>
        </w:tc>
        <w:tc>
          <w:tcPr>
            <w:tcW w:w="876" w:type="dxa"/>
            <w:vMerge w:val="continue"/>
            <w:tcBorders>
              <w:top w:val="single" w:color="auto" w:sz="4" w:space="0"/>
              <w:left w:val="nil"/>
              <w:bottom w:val="single" w:color="auto" w:sz="4" w:space="0"/>
              <w:right w:val="single" w:color="auto" w:sz="4" w:space="0"/>
            </w:tcBorders>
            <w:noWrap w:val="0"/>
            <w:tcMar>
              <w:left w:w="108" w:type="dxa"/>
              <w:right w:w="108" w:type="dxa"/>
            </w:tcMar>
            <w:vAlign w:val="center"/>
          </w:tcPr>
          <w:p w14:paraId="4D8994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82" w:type="dxa"/>
            <w:gridSpan w:val="2"/>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2C90F8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337FD4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1153D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0813FF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C8391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5A4A4E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0F4DF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5F9637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BF321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1" w:hRule="atLeast"/>
          <w:jc w:val="center"/>
        </w:trPr>
        <w:tc>
          <w:tcPr>
            <w:tcW w:w="656" w:type="dxa"/>
            <w:vMerge w:val="continue"/>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5893F541">
            <w:pPr>
              <w:rPr>
                <w:rFonts w:hint="eastAsia" w:ascii="宋体"/>
                <w:sz w:val="24"/>
                <w:szCs w:val="24"/>
              </w:rPr>
            </w:pPr>
          </w:p>
        </w:tc>
        <w:tc>
          <w:tcPr>
            <w:tcW w:w="876" w:type="dxa"/>
            <w:vMerge w:val="continue"/>
            <w:tcBorders>
              <w:top w:val="single" w:color="auto" w:sz="4" w:space="0"/>
              <w:left w:val="nil"/>
              <w:bottom w:val="single" w:color="auto" w:sz="4" w:space="0"/>
              <w:right w:val="single" w:color="auto" w:sz="4" w:space="0"/>
            </w:tcBorders>
            <w:noWrap w:val="0"/>
            <w:tcMar>
              <w:left w:w="108" w:type="dxa"/>
              <w:right w:w="108" w:type="dxa"/>
            </w:tcMar>
            <w:vAlign w:val="center"/>
          </w:tcPr>
          <w:p w14:paraId="2C6483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p>
        </w:tc>
        <w:tc>
          <w:tcPr>
            <w:tcW w:w="2382" w:type="dxa"/>
            <w:gridSpan w:val="2"/>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55B3C6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3.其他</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1C1489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075EE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FB686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00866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50316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041799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462F1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4FE02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59CC7E03">
            <w:pPr>
              <w:rPr>
                <w:rFonts w:hint="eastAsia" w:ascii="宋体"/>
                <w:sz w:val="24"/>
                <w:szCs w:val="24"/>
              </w:rPr>
            </w:pPr>
          </w:p>
        </w:tc>
        <w:tc>
          <w:tcPr>
            <w:tcW w:w="3258" w:type="dxa"/>
            <w:gridSpan w:val="3"/>
            <w:tcBorders>
              <w:top w:val="nil"/>
              <w:left w:val="nil"/>
              <w:bottom w:val="single" w:color="auto" w:sz="8" w:space="0"/>
              <w:right w:val="single" w:color="auto" w:sz="8" w:space="0"/>
            </w:tcBorders>
            <w:noWrap w:val="0"/>
            <w:tcMar>
              <w:left w:w="108" w:type="dxa"/>
              <w:right w:w="108" w:type="dxa"/>
            </w:tcMar>
            <w:vAlign w:val="center"/>
          </w:tcPr>
          <w:p w14:paraId="7C4934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（七）总计</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158078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9EA17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6FD9D0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6AF6E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698CB8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7CA4AD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2D6DC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544320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nil"/>
              <w:left w:val="single" w:color="auto" w:sz="8" w:space="0"/>
              <w:bottom w:val="single" w:color="auto" w:sz="8" w:space="0"/>
              <w:right w:val="single" w:color="auto" w:sz="8" w:space="0"/>
            </w:tcBorders>
            <w:noWrap w:val="0"/>
            <w:tcMar>
              <w:left w:w="108" w:type="dxa"/>
              <w:right w:w="108" w:type="dxa"/>
            </w:tcMar>
            <w:vAlign w:val="center"/>
          </w:tcPr>
          <w:p w14:paraId="5480B9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四、结转下年度继续办理</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20C0D7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6AD41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A82A3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148A8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732139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237BCE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7F88C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sz w:val="24"/>
                <w:szCs w:val="24"/>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bl>
    <w:p w14:paraId="789D26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321" w:firstLineChars="1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四</w:t>
      </w:r>
      <w:r>
        <w:rPr>
          <w:rFonts w:hint="eastAsia" w:ascii="黑体" w:hAnsi="黑体" w:eastAsia="黑体" w:cs="黑体"/>
          <w:b/>
          <w:i w:val="0"/>
          <w:caps w:val="0"/>
          <w:color w:val="333333"/>
          <w:spacing w:val="0"/>
          <w:sz w:val="32"/>
          <w:szCs w:val="32"/>
          <w:shd w:val="clear" w:color="auto" w:fill="FFFFFF"/>
        </w:rPr>
        <w:t>、政府信息公开行政复议、行政诉讼情况</w:t>
      </w:r>
    </w:p>
    <w:p w14:paraId="45D367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4"/>
        <w:gridCol w:w="604"/>
        <w:gridCol w:w="606"/>
        <w:gridCol w:w="600"/>
        <w:gridCol w:w="585"/>
        <w:gridCol w:w="625"/>
        <w:gridCol w:w="605"/>
        <w:gridCol w:w="605"/>
        <w:gridCol w:w="605"/>
        <w:gridCol w:w="605"/>
        <w:gridCol w:w="605"/>
        <w:gridCol w:w="605"/>
        <w:gridCol w:w="605"/>
        <w:gridCol w:w="606"/>
        <w:gridCol w:w="606"/>
      </w:tblGrid>
      <w:tr w14:paraId="2D6365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9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2D86F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行政复议</w:t>
            </w:r>
          </w:p>
        </w:tc>
        <w:tc>
          <w:tcPr>
            <w:tcW w:w="6072"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648A0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行政诉讼</w:t>
            </w:r>
          </w:p>
        </w:tc>
      </w:tr>
      <w:tr w14:paraId="1DC7EA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4" w:space="0"/>
              <w:right w:val="single" w:color="auto" w:sz="8" w:space="0"/>
            </w:tcBorders>
            <w:noWrap w:val="0"/>
            <w:tcMar>
              <w:left w:w="108" w:type="dxa"/>
              <w:right w:w="108" w:type="dxa"/>
            </w:tcMar>
            <w:vAlign w:val="center"/>
          </w:tcPr>
          <w:p w14:paraId="20934A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4" w:type="dxa"/>
            <w:vMerge w:val="restart"/>
            <w:tcBorders>
              <w:top w:val="nil"/>
              <w:left w:val="nil"/>
              <w:bottom w:val="single" w:color="auto" w:sz="4" w:space="0"/>
              <w:right w:val="single" w:color="auto" w:sz="8" w:space="0"/>
            </w:tcBorders>
            <w:noWrap w:val="0"/>
            <w:tcMar>
              <w:left w:w="108" w:type="dxa"/>
              <w:right w:w="108" w:type="dxa"/>
            </w:tcMar>
            <w:vAlign w:val="center"/>
          </w:tcPr>
          <w:p w14:paraId="09F12A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6"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14:paraId="146851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0"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14:paraId="713E7C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585"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14:paraId="37AF55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c>
          <w:tcPr>
            <w:tcW w:w="3045" w:type="dxa"/>
            <w:gridSpan w:val="5"/>
            <w:tcBorders>
              <w:top w:val="single" w:color="auto" w:sz="8" w:space="0"/>
              <w:left w:val="nil"/>
              <w:bottom w:val="single" w:color="auto" w:sz="4" w:space="0"/>
              <w:right w:val="single" w:color="auto" w:sz="8" w:space="0"/>
            </w:tcBorders>
            <w:noWrap w:val="0"/>
            <w:tcMar>
              <w:left w:w="108" w:type="dxa"/>
              <w:right w:w="108" w:type="dxa"/>
            </w:tcMar>
            <w:vAlign w:val="center"/>
          </w:tcPr>
          <w:p w14:paraId="78A4C3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未经复议直接起诉</w:t>
            </w:r>
          </w:p>
        </w:tc>
        <w:tc>
          <w:tcPr>
            <w:tcW w:w="3027" w:type="dxa"/>
            <w:gridSpan w:val="5"/>
            <w:tcBorders>
              <w:top w:val="single" w:color="auto" w:sz="8" w:space="0"/>
              <w:left w:val="nil"/>
              <w:bottom w:val="single" w:color="auto" w:sz="4" w:space="0"/>
              <w:right w:val="single" w:color="auto" w:sz="8" w:space="0"/>
            </w:tcBorders>
            <w:noWrap w:val="0"/>
            <w:tcMar>
              <w:left w:w="108" w:type="dxa"/>
              <w:right w:w="108" w:type="dxa"/>
            </w:tcMar>
            <w:vAlign w:val="center"/>
          </w:tcPr>
          <w:p w14:paraId="431AB3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复议后起诉</w:t>
            </w:r>
          </w:p>
        </w:tc>
      </w:tr>
      <w:tr w14:paraId="64E0B9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single" w:color="auto" w:sz="4" w:space="0"/>
              <w:left w:val="single" w:color="auto" w:sz="8" w:space="0"/>
              <w:bottom w:val="single" w:color="auto" w:sz="8" w:space="0"/>
              <w:right w:val="single" w:color="auto" w:sz="8" w:space="0"/>
            </w:tcBorders>
            <w:noWrap w:val="0"/>
            <w:tcMar>
              <w:left w:w="108" w:type="dxa"/>
              <w:right w:w="108" w:type="dxa"/>
            </w:tcMar>
            <w:vAlign w:val="center"/>
          </w:tcPr>
          <w:p w14:paraId="2D88B9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4"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5EB7BD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6"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1F613E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0"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46334F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585"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034293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2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6207F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90725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11473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1AC68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9DBD4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D6509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08B0BD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35B041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5EF17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60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9BECD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r>
      <w:tr w14:paraId="77525F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A174E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666BAE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6BCFE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0" w:type="dxa"/>
            <w:tcBorders>
              <w:top w:val="nil"/>
              <w:left w:val="nil"/>
              <w:bottom w:val="single" w:color="auto" w:sz="8" w:space="0"/>
              <w:right w:val="single" w:color="auto" w:sz="8" w:space="0"/>
            </w:tcBorders>
            <w:noWrap w:val="0"/>
            <w:tcMar>
              <w:left w:w="108" w:type="dxa"/>
              <w:right w:w="108" w:type="dxa"/>
            </w:tcMar>
            <w:vAlign w:val="center"/>
          </w:tcPr>
          <w:p w14:paraId="6EE6E0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585" w:type="dxa"/>
            <w:tcBorders>
              <w:top w:val="nil"/>
              <w:left w:val="nil"/>
              <w:bottom w:val="single" w:color="auto" w:sz="8" w:space="0"/>
              <w:right w:val="single" w:color="auto" w:sz="8" w:space="0"/>
            </w:tcBorders>
            <w:noWrap w:val="0"/>
            <w:tcMar>
              <w:left w:w="108" w:type="dxa"/>
              <w:right w:w="108" w:type="dxa"/>
            </w:tcMar>
            <w:vAlign w:val="center"/>
          </w:tcPr>
          <w:p w14:paraId="28B4B5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25" w:type="dxa"/>
            <w:tcBorders>
              <w:top w:val="nil"/>
              <w:left w:val="nil"/>
              <w:bottom w:val="single" w:color="auto" w:sz="8" w:space="0"/>
              <w:right w:val="single" w:color="auto" w:sz="8" w:space="0"/>
            </w:tcBorders>
            <w:noWrap w:val="0"/>
            <w:tcMar>
              <w:left w:w="108" w:type="dxa"/>
              <w:right w:w="108" w:type="dxa"/>
            </w:tcMar>
            <w:vAlign w:val="center"/>
          </w:tcPr>
          <w:p w14:paraId="542FB7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801B9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76A50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D59BB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242713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7EC5C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47D18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78598A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70AFA2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7798FF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r>
    </w:tbl>
    <w:p w14:paraId="4EB0618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黑体" w:hAnsi="黑体" w:eastAsia="黑体" w:cs="黑体"/>
          <w:b/>
          <w:i w:val="0"/>
          <w:caps w:val="0"/>
          <w:color w:val="333333"/>
          <w:spacing w:val="0"/>
          <w:sz w:val="32"/>
          <w:szCs w:val="32"/>
          <w:shd w:val="clear" w:color="auto" w:fill="FFFFFF"/>
          <w:lang w:val="en-US" w:eastAsia="zh-CN"/>
        </w:rPr>
      </w:pPr>
    </w:p>
    <w:p w14:paraId="4E0C8B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643" w:firstLineChars="200"/>
        <w:jc w:val="both"/>
        <w:rPr>
          <w:rFonts w:hint="eastAsia" w:ascii="黑体" w:hAnsi="黑体" w:eastAsia="黑体" w:cs="黑体"/>
          <w:b/>
          <w:i w:val="0"/>
          <w:caps w:val="0"/>
          <w:color w:val="333333"/>
          <w:spacing w:val="0"/>
          <w:sz w:val="32"/>
          <w:szCs w:val="32"/>
          <w:shd w:val="clear" w:color="auto" w:fill="FFFFFF"/>
          <w:lang w:val="en-US" w:eastAsia="zh-CN"/>
        </w:rPr>
      </w:pPr>
      <w:r>
        <w:rPr>
          <w:rFonts w:hint="eastAsia" w:ascii="黑体" w:hAnsi="黑体" w:eastAsia="黑体" w:cs="黑体"/>
          <w:b/>
          <w:i w:val="0"/>
          <w:caps w:val="0"/>
          <w:color w:val="333333"/>
          <w:spacing w:val="0"/>
          <w:sz w:val="32"/>
          <w:szCs w:val="32"/>
          <w:shd w:val="clear" w:color="auto" w:fill="FFFFFF"/>
          <w:lang w:val="en-US" w:eastAsia="zh-CN"/>
        </w:rPr>
        <w:t>五、存在的主要问题及改进情况</w:t>
      </w:r>
    </w:p>
    <w:p w14:paraId="0F7D65C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2024年，区政数局信息公开工作取得了一定成效，但信息公开机制还不够健全，政策解读形式不多样，信息公开的内容有待进一步完善、信息更新还不够及时。目前以上问题已整改到位。</w:t>
      </w:r>
    </w:p>
    <w:p w14:paraId="410E5A71">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2025年，区政数局将认真落实政务公开相关规定，对照政务公开工作考评标准，加强对政务公开工作要点的相关信息梳理，不断提高政务公开工作能力水平，借鉴先进的经验做法，高质量做好政务信息发布和政务服务工作，通过专业培训和能力提升，不断提高政府信息依申请公开答复质量，全面提升政务公开工作水平。</w:t>
      </w:r>
    </w:p>
    <w:p w14:paraId="34C4889E">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黑体" w:hAnsi="黑体" w:eastAsia="黑体" w:cs="黑体"/>
          <w:b/>
          <w:i w:val="0"/>
          <w:caps w:val="0"/>
          <w:color w:val="333333"/>
          <w:spacing w:val="0"/>
          <w:sz w:val="32"/>
          <w:szCs w:val="32"/>
          <w:shd w:val="clear" w:color="auto" w:fill="FFFFFF"/>
          <w:lang w:val="en-US" w:eastAsia="zh-CN"/>
        </w:rPr>
      </w:pPr>
      <w:r>
        <w:rPr>
          <w:rFonts w:hint="eastAsia" w:ascii="黑体" w:hAnsi="黑体" w:eastAsia="黑体" w:cs="黑体"/>
          <w:b/>
          <w:i w:val="0"/>
          <w:caps w:val="0"/>
          <w:color w:val="333333"/>
          <w:spacing w:val="0"/>
          <w:sz w:val="32"/>
          <w:szCs w:val="32"/>
          <w:shd w:val="clear" w:color="auto" w:fill="FFFFFF"/>
          <w:lang w:val="en-US" w:eastAsia="zh-CN"/>
        </w:rPr>
        <w:t>六、其他需要报告的事项</w:t>
      </w:r>
    </w:p>
    <w:p w14:paraId="1FB239D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2024年区政数局政府信息公开工作没有收取信息处理费，另外，无其他需要报告的事项。</w:t>
      </w:r>
    </w:p>
    <w:p w14:paraId="74747256">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p>
    <w:p w14:paraId="028E8C49">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p>
    <w:p w14:paraId="11FB6037">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color w:val="333333"/>
          <w:sz w:val="32"/>
          <w:szCs w:val="32"/>
          <w:lang w:val="en-US" w:eastAsia="zh-CN"/>
        </w:rPr>
      </w:pPr>
    </w:p>
    <w:p w14:paraId="3B4A13F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南昌市青云谱区政务服务数据管理局</w:t>
      </w:r>
    </w:p>
    <w:p w14:paraId="35C07CE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center"/>
        <w:textAlignment w:val="auto"/>
        <w:rPr>
          <w:rFonts w:hint="default"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                2025年1月16日</w:t>
      </w: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E9CF6F"/>
    <w:multiLevelType w:val="singleLevel"/>
    <w:tmpl w:val="44E9CF6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YTc0YWQ4NWJhNGExNjcxNTNlZmM5NDg4ZTI3Y2UifQ=="/>
  </w:docVars>
  <w:rsids>
    <w:rsidRoot w:val="00563D1E"/>
    <w:rsid w:val="00563D1E"/>
    <w:rsid w:val="007B37CF"/>
    <w:rsid w:val="00C67CA2"/>
    <w:rsid w:val="00F24193"/>
    <w:rsid w:val="00FF486B"/>
    <w:rsid w:val="01791910"/>
    <w:rsid w:val="02FF665C"/>
    <w:rsid w:val="030873E7"/>
    <w:rsid w:val="045A3333"/>
    <w:rsid w:val="072F4BA5"/>
    <w:rsid w:val="0B6128A8"/>
    <w:rsid w:val="0BB772BD"/>
    <w:rsid w:val="0CB87790"/>
    <w:rsid w:val="0F42566A"/>
    <w:rsid w:val="0FE32618"/>
    <w:rsid w:val="100C1256"/>
    <w:rsid w:val="10163A89"/>
    <w:rsid w:val="113B0990"/>
    <w:rsid w:val="123744D1"/>
    <w:rsid w:val="13932620"/>
    <w:rsid w:val="141C0605"/>
    <w:rsid w:val="1525798D"/>
    <w:rsid w:val="1557566D"/>
    <w:rsid w:val="15F10E88"/>
    <w:rsid w:val="17534F7D"/>
    <w:rsid w:val="1AFB71CC"/>
    <w:rsid w:val="1B931963"/>
    <w:rsid w:val="1EFF0BFD"/>
    <w:rsid w:val="1F566EB8"/>
    <w:rsid w:val="200D4E05"/>
    <w:rsid w:val="20F338E6"/>
    <w:rsid w:val="21D37B8A"/>
    <w:rsid w:val="22001FBE"/>
    <w:rsid w:val="23B06487"/>
    <w:rsid w:val="23EC1891"/>
    <w:rsid w:val="2480713E"/>
    <w:rsid w:val="27C95CE4"/>
    <w:rsid w:val="2AA97813"/>
    <w:rsid w:val="2B587C5B"/>
    <w:rsid w:val="2B663B9E"/>
    <w:rsid w:val="2F6E0061"/>
    <w:rsid w:val="31B732C3"/>
    <w:rsid w:val="332845FB"/>
    <w:rsid w:val="34804D4D"/>
    <w:rsid w:val="36874FEB"/>
    <w:rsid w:val="36A11290"/>
    <w:rsid w:val="3A017816"/>
    <w:rsid w:val="3FB11C9A"/>
    <w:rsid w:val="400C5122"/>
    <w:rsid w:val="41E26F38"/>
    <w:rsid w:val="42AB29D0"/>
    <w:rsid w:val="42C27D1A"/>
    <w:rsid w:val="44444E9A"/>
    <w:rsid w:val="45D15F05"/>
    <w:rsid w:val="461952C0"/>
    <w:rsid w:val="466B169F"/>
    <w:rsid w:val="46B56BDD"/>
    <w:rsid w:val="46FF4734"/>
    <w:rsid w:val="48EF42A2"/>
    <w:rsid w:val="48FB47FB"/>
    <w:rsid w:val="4B0A5599"/>
    <w:rsid w:val="4B921868"/>
    <w:rsid w:val="4E6306CE"/>
    <w:rsid w:val="4F753D6B"/>
    <w:rsid w:val="508C3052"/>
    <w:rsid w:val="519D4381"/>
    <w:rsid w:val="52D049DF"/>
    <w:rsid w:val="53152746"/>
    <w:rsid w:val="541F427A"/>
    <w:rsid w:val="566E50F8"/>
    <w:rsid w:val="567C3B37"/>
    <w:rsid w:val="56857A37"/>
    <w:rsid w:val="570A4F4B"/>
    <w:rsid w:val="57C86BFB"/>
    <w:rsid w:val="57E8186C"/>
    <w:rsid w:val="58B242BD"/>
    <w:rsid w:val="59E73C6A"/>
    <w:rsid w:val="5B303CF0"/>
    <w:rsid w:val="5BF43D1A"/>
    <w:rsid w:val="5DD763CD"/>
    <w:rsid w:val="5E851141"/>
    <w:rsid w:val="5EC76CB6"/>
    <w:rsid w:val="5FCE6A83"/>
    <w:rsid w:val="60E80C54"/>
    <w:rsid w:val="62BF160D"/>
    <w:rsid w:val="63C02147"/>
    <w:rsid w:val="65213F11"/>
    <w:rsid w:val="65F86367"/>
    <w:rsid w:val="66D85D61"/>
    <w:rsid w:val="6796516B"/>
    <w:rsid w:val="68384726"/>
    <w:rsid w:val="68B440C4"/>
    <w:rsid w:val="68C20068"/>
    <w:rsid w:val="6A3C5AE7"/>
    <w:rsid w:val="6D9D7236"/>
    <w:rsid w:val="6DFD4599"/>
    <w:rsid w:val="6EB526D3"/>
    <w:rsid w:val="6EC41F3F"/>
    <w:rsid w:val="703702C8"/>
    <w:rsid w:val="70E0245E"/>
    <w:rsid w:val="72C94629"/>
    <w:rsid w:val="73DC213A"/>
    <w:rsid w:val="76B53384"/>
    <w:rsid w:val="7A3E76AA"/>
    <w:rsid w:val="7B2F5245"/>
    <w:rsid w:val="7B440FF1"/>
    <w:rsid w:val="7CAD2396"/>
    <w:rsid w:val="7D7A30EF"/>
    <w:rsid w:val="7D7C7DE7"/>
    <w:rsid w:val="7D926C74"/>
    <w:rsid w:val="7F637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Strong"/>
    <w:basedOn w:val="7"/>
    <w:autoRedefine/>
    <w:qFormat/>
    <w:uiPriority w:val="0"/>
    <w:rPr>
      <w:b/>
    </w:rPr>
  </w:style>
  <w:style w:type="character" w:styleId="9">
    <w:name w:val="Hyperlink"/>
    <w:basedOn w:val="7"/>
    <w:autoRedefine/>
    <w:qFormat/>
    <w:uiPriority w:val="0"/>
    <w:rPr>
      <w:color w:val="0000FF"/>
      <w:u w:val="single"/>
    </w:rPr>
  </w:style>
  <w:style w:type="character" w:customStyle="1" w:styleId="10">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1777</Words>
  <Characters>1862</Characters>
  <Lines>18</Lines>
  <Paragraphs>5</Paragraphs>
  <TotalTime>30</TotalTime>
  <ScaleCrop>false</ScaleCrop>
  <LinksUpToDate>false</LinksUpToDate>
  <CharactersWithSpaces>2037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2021-01-26T07:51:00Z</dcterms:created>
  <dc:creator>Administrator</dc:creator>
  <cp:lastModifiedBy>唯美、</cp:lastModifiedBy>
  <cp:lastPrinted>2022-01-18T02:54:00Z</cp:lastPrinted>
  <dcterms:modified xsi:type="dcterms:W3CDTF">2025-02-11T03:31:10Z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0329111A4D934DF7ADFF8FE5F21268C2</vt:lpwstr>
  </property>
  <property fmtid="{D5CDD505-2E9C-101B-9397-08002B2CF9AE}" pid="4" name="KSOTemplateDocerSaveRecord">
    <vt:lpwstr>eyJoZGlkIjoiNGQ2YTc0YWQ4NWJhNGExNjcxNTNlZmM5NDg4ZTI3Y2UiLCJ1c2VySWQiOiIxMTcxMDMyNjg4In0=</vt:lpwstr>
  </property>
</Properties>
</file>