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20BB" w:rsidRDefault="001E20BB">
      <w:pPr>
        <w:rPr>
          <w:color w:val="000000" w:themeColor="text1"/>
        </w:rPr>
      </w:pPr>
    </w:p>
    <w:p w:rsidR="001E20BB" w:rsidRDefault="001E20BB">
      <w:pPr>
        <w:rPr>
          <w:color w:val="000000" w:themeColor="text1"/>
        </w:rPr>
      </w:pPr>
    </w:p>
    <w:p w:rsidR="001E20BB" w:rsidRDefault="00000000">
      <w:pPr>
        <w:widowControl w:val="0"/>
        <w:kinsoku/>
        <w:autoSpaceDE/>
        <w:autoSpaceDN/>
        <w:adjustRightInd/>
        <w:snapToGrid/>
        <w:spacing w:line="580" w:lineRule="exact"/>
        <w:jc w:val="center"/>
        <w:textAlignment w:val="auto"/>
        <w:rPr>
          <w:rFonts w:ascii="黑体" w:eastAsia="黑体" w:hAnsi="Times New Roman" w:cs="Times New Roman"/>
          <w:b/>
          <w:bCs/>
          <w:snapToGrid/>
          <w:color w:val="000000" w:themeColor="text1"/>
          <w:kern w:val="2"/>
          <w:sz w:val="44"/>
          <w:szCs w:val="36"/>
        </w:rPr>
      </w:pPr>
      <w:r>
        <w:rPr>
          <w:rFonts w:ascii="黑体" w:eastAsia="黑体" w:hAnsi="Times New Roman" w:cs="Times New Roman" w:hint="eastAsia"/>
          <w:b/>
          <w:bCs/>
          <w:snapToGrid/>
          <w:color w:val="000000" w:themeColor="text1"/>
          <w:kern w:val="2"/>
          <w:sz w:val="44"/>
          <w:szCs w:val="36"/>
        </w:rPr>
        <w:t>青云谱区人民政府办公室2021年度      部门决算（本级）</w:t>
      </w:r>
    </w:p>
    <w:p w:rsidR="001E20BB" w:rsidRDefault="001E20BB">
      <w:pPr>
        <w:spacing w:line="580" w:lineRule="exact"/>
        <w:rPr>
          <w:color w:val="000000" w:themeColor="text1"/>
        </w:rPr>
      </w:pPr>
    </w:p>
    <w:p w:rsidR="001E20BB" w:rsidRDefault="00000000">
      <w:pPr>
        <w:widowControl w:val="0"/>
        <w:kinsoku/>
        <w:autoSpaceDE/>
        <w:autoSpaceDN/>
        <w:adjustRightInd/>
        <w:snapToGrid/>
        <w:spacing w:line="580" w:lineRule="exact"/>
        <w:jc w:val="center"/>
        <w:textAlignment w:val="auto"/>
        <w:rPr>
          <w:rFonts w:ascii="黑体" w:eastAsia="黑体" w:hAnsi="Times New Roman" w:cs="Times New Roman"/>
          <w:snapToGrid/>
          <w:color w:val="000000" w:themeColor="text1"/>
          <w:kern w:val="2"/>
          <w:sz w:val="40"/>
          <w:szCs w:val="36"/>
        </w:rPr>
      </w:pPr>
      <w:r>
        <w:rPr>
          <w:rFonts w:ascii="黑体" w:eastAsia="黑体" w:hAnsi="Times New Roman" w:cs="Times New Roman" w:hint="eastAsia"/>
          <w:snapToGrid/>
          <w:color w:val="000000" w:themeColor="text1"/>
          <w:kern w:val="2"/>
          <w:sz w:val="40"/>
          <w:szCs w:val="36"/>
        </w:rPr>
        <w:t>目     录</w:t>
      </w:r>
    </w:p>
    <w:p w:rsidR="001E20BB" w:rsidRDefault="001E20BB">
      <w:pPr>
        <w:widowControl w:val="0"/>
        <w:kinsoku/>
        <w:autoSpaceDE/>
        <w:autoSpaceDN/>
        <w:adjustRightInd/>
        <w:snapToGrid/>
        <w:spacing w:line="580" w:lineRule="exact"/>
        <w:jc w:val="center"/>
        <w:textAlignment w:val="auto"/>
        <w:rPr>
          <w:rFonts w:ascii="黑体" w:eastAsia="黑体" w:hAnsi="Times New Roman" w:cs="Times New Roman"/>
          <w:snapToGrid/>
          <w:color w:val="000000" w:themeColor="text1"/>
          <w:kern w:val="2"/>
          <w:sz w:val="40"/>
          <w:szCs w:val="36"/>
        </w:rPr>
      </w:pPr>
    </w:p>
    <w:p w:rsidR="001E20BB" w:rsidRDefault="00000000">
      <w:pPr>
        <w:widowControl w:val="0"/>
        <w:autoSpaceDE/>
        <w:autoSpaceDN/>
        <w:adjustRightInd/>
        <w:snapToGrid/>
        <w:spacing w:line="580" w:lineRule="exact"/>
        <w:ind w:firstLine="640"/>
        <w:textAlignment w:val="center"/>
        <w:rPr>
          <w:rFonts w:ascii="黑体" w:eastAsia="黑体" w:hAnsi="黑体" w:cs="Times New Roman"/>
          <w:b/>
          <w:snapToGrid/>
          <w:color w:val="000000" w:themeColor="text1"/>
          <w:kern w:val="2"/>
          <w:sz w:val="32"/>
          <w:szCs w:val="32"/>
        </w:rPr>
      </w:pPr>
      <w:r>
        <w:rPr>
          <w:rFonts w:ascii="黑体" w:eastAsia="黑体" w:hAnsi="黑体" w:cs="Times New Roman" w:hint="eastAsia"/>
          <w:b/>
          <w:snapToGrid/>
          <w:color w:val="000000" w:themeColor="text1"/>
          <w:kern w:val="2"/>
          <w:sz w:val="32"/>
          <w:szCs w:val="32"/>
        </w:rPr>
        <w:t>第一部分  青云谱区人民政府办公室概况</w:t>
      </w:r>
    </w:p>
    <w:p w:rsidR="001E20BB" w:rsidRDefault="00000000">
      <w:pPr>
        <w:widowControl w:val="0"/>
        <w:autoSpaceDE/>
        <w:autoSpaceDN/>
        <w:adjustRightInd/>
        <w:snapToGrid/>
        <w:spacing w:line="580" w:lineRule="exact"/>
        <w:ind w:firstLineChars="200" w:firstLine="604"/>
        <w:textAlignment w:val="center"/>
        <w:rPr>
          <w:rFonts w:ascii="仿宋" w:eastAsia="仿宋" w:hAnsi="仿宋" w:cs="Times New Roman"/>
          <w:snapToGrid/>
          <w:color w:val="000000" w:themeColor="text1"/>
          <w:kern w:val="2"/>
          <w:sz w:val="32"/>
          <w:szCs w:val="30"/>
        </w:rPr>
      </w:pPr>
      <w:r>
        <w:rPr>
          <w:rFonts w:ascii="仿宋" w:eastAsia="仿宋" w:hAnsi="仿宋" w:cs="仿宋"/>
          <w:color w:val="000000" w:themeColor="text1"/>
          <w:spacing w:val="11"/>
          <w:sz w:val="28"/>
          <w:szCs w:val="28"/>
        </w:rPr>
        <w:t>一、</w:t>
      </w:r>
      <w:r>
        <w:rPr>
          <w:rFonts w:ascii="仿宋" w:eastAsia="仿宋" w:hAnsi="仿宋" w:cs="Times New Roman" w:hint="eastAsia"/>
          <w:snapToGrid/>
          <w:color w:val="000000" w:themeColor="text1"/>
          <w:kern w:val="2"/>
          <w:sz w:val="32"/>
          <w:szCs w:val="30"/>
        </w:rPr>
        <w:t>单位主要职责</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二、单位基本情况</w:t>
      </w:r>
    </w:p>
    <w:p w:rsidR="001E20BB" w:rsidRDefault="00000000">
      <w:pPr>
        <w:widowControl w:val="0"/>
        <w:autoSpaceDE/>
        <w:autoSpaceDN/>
        <w:adjustRightInd/>
        <w:snapToGrid/>
        <w:spacing w:line="580" w:lineRule="exact"/>
        <w:ind w:firstLine="640"/>
        <w:textAlignment w:val="center"/>
        <w:rPr>
          <w:rFonts w:ascii="黑体" w:eastAsia="黑体" w:hAnsi="黑体" w:cs="Times New Roman"/>
          <w:b/>
          <w:snapToGrid/>
          <w:color w:val="000000" w:themeColor="text1"/>
          <w:kern w:val="2"/>
          <w:sz w:val="32"/>
          <w:szCs w:val="32"/>
        </w:rPr>
      </w:pPr>
      <w:r>
        <w:rPr>
          <w:rFonts w:ascii="黑体" w:eastAsia="黑体" w:hAnsi="黑体" w:cs="Times New Roman" w:hint="eastAsia"/>
          <w:b/>
          <w:snapToGrid/>
          <w:color w:val="000000" w:themeColor="text1"/>
          <w:kern w:val="2"/>
          <w:sz w:val="32"/>
          <w:szCs w:val="32"/>
        </w:rPr>
        <w:t>第二部分  2021年度单位决算表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一、收入支出决算总表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二、收入决算表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三、支出决算表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四、财政拨款收入支出决算总表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五、一般公共预算财政拨款支出决算表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六、一般公共预算财政拨款基本支出决算表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七、一般公共预算财政拨款“三公”经费支出决算表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八、政府性基金预算财政拨款收入支出决算表</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九、国有资本经营预算财政拨款收入支出决算表</w:t>
      </w:r>
    </w:p>
    <w:p w:rsidR="001E20BB" w:rsidRDefault="00000000">
      <w:pPr>
        <w:widowControl w:val="0"/>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十、国有资产占用情况表</w:t>
      </w:r>
    </w:p>
    <w:p w:rsidR="001E20BB" w:rsidRDefault="00000000">
      <w:pPr>
        <w:widowControl w:val="0"/>
        <w:spacing w:line="580" w:lineRule="exact"/>
        <w:ind w:leftChars="304" w:left="638"/>
        <w:textAlignment w:val="center"/>
        <w:rPr>
          <w:rFonts w:ascii="仿宋" w:eastAsia="仿宋" w:hAnsi="仿宋" w:cs="Times New Roman"/>
          <w:snapToGrid/>
          <w:color w:val="000000" w:themeColor="text1"/>
          <w:kern w:val="2"/>
          <w:sz w:val="32"/>
          <w:szCs w:val="30"/>
        </w:rPr>
      </w:pPr>
      <w:r>
        <w:rPr>
          <w:rFonts w:ascii="黑体" w:eastAsia="黑体" w:hAnsi="黑体" w:cs="Times New Roman" w:hint="eastAsia"/>
          <w:b/>
          <w:snapToGrid/>
          <w:color w:val="000000" w:themeColor="text1"/>
          <w:kern w:val="2"/>
          <w:sz w:val="32"/>
          <w:szCs w:val="32"/>
        </w:rPr>
        <w:t>第三部分  2021年度部门决算情况说明</w:t>
      </w:r>
      <w:r>
        <w:rPr>
          <w:rFonts w:ascii="黑体" w:eastAsia="黑体" w:hAnsi="黑体" w:cs="Times New Roman" w:hint="eastAsia"/>
          <w:b/>
          <w:snapToGrid/>
          <w:color w:val="000000" w:themeColor="text1"/>
          <w:kern w:val="2"/>
          <w:sz w:val="32"/>
          <w:szCs w:val="32"/>
        </w:rPr>
        <w:br/>
      </w:r>
      <w:r>
        <w:rPr>
          <w:rFonts w:ascii="仿宋" w:eastAsia="仿宋" w:hAnsi="仿宋" w:cs="Times New Roman" w:hint="eastAsia"/>
          <w:snapToGrid/>
          <w:color w:val="000000" w:themeColor="text1"/>
          <w:kern w:val="2"/>
          <w:sz w:val="32"/>
          <w:szCs w:val="30"/>
        </w:rPr>
        <w:t>一、收入决算情况说明</w:t>
      </w:r>
    </w:p>
    <w:p w:rsidR="001E20BB" w:rsidRDefault="00000000">
      <w:pPr>
        <w:widowControl w:val="0"/>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二、支出决算情况说明</w:t>
      </w:r>
    </w:p>
    <w:p w:rsidR="001E20BB" w:rsidRDefault="00000000">
      <w:pPr>
        <w:widowControl w:val="0"/>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三、财政拨款支出决算情况说明</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lastRenderedPageBreak/>
        <w:t>四、一般公共预算财政拨款基本支出决算情况说明</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五、一般公共预算财政拨款“三公”经费支出决算 情况说明</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六、机关运行经费支出情况说明</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七、政府采购支出情况说明</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八、国有资产占用情况说明</w:t>
      </w:r>
    </w:p>
    <w:p w:rsidR="001E20BB" w:rsidRDefault="00000000">
      <w:pPr>
        <w:widowControl w:val="0"/>
        <w:autoSpaceDE/>
        <w:autoSpaceDN/>
        <w:adjustRightInd/>
        <w:snapToGrid/>
        <w:spacing w:line="580" w:lineRule="exact"/>
        <w:ind w:firstLineChars="200" w:firstLine="640"/>
        <w:textAlignment w:val="center"/>
        <w:rPr>
          <w:rFonts w:ascii="仿宋" w:eastAsia="仿宋" w:hAnsi="仿宋" w:cs="Times New Roman"/>
          <w:snapToGrid/>
          <w:color w:val="000000" w:themeColor="text1"/>
          <w:kern w:val="2"/>
          <w:sz w:val="32"/>
          <w:szCs w:val="30"/>
        </w:rPr>
      </w:pPr>
      <w:r>
        <w:rPr>
          <w:rFonts w:ascii="仿宋" w:eastAsia="仿宋" w:hAnsi="仿宋" w:cs="Times New Roman" w:hint="eastAsia"/>
          <w:snapToGrid/>
          <w:color w:val="000000" w:themeColor="text1"/>
          <w:kern w:val="2"/>
          <w:sz w:val="32"/>
          <w:szCs w:val="30"/>
        </w:rPr>
        <w:t>九、预算绩效情况说明</w:t>
      </w:r>
    </w:p>
    <w:p w:rsidR="001E20BB" w:rsidRDefault="00000000">
      <w:pPr>
        <w:widowControl w:val="0"/>
        <w:autoSpaceDE/>
        <w:autoSpaceDN/>
        <w:adjustRightInd/>
        <w:snapToGrid/>
        <w:spacing w:line="580" w:lineRule="exact"/>
        <w:ind w:firstLine="640"/>
        <w:textAlignment w:val="center"/>
        <w:rPr>
          <w:rFonts w:ascii="黑体" w:eastAsia="黑体" w:hAnsi="黑体" w:cs="Times New Roman"/>
          <w:b/>
          <w:snapToGrid/>
          <w:color w:val="000000" w:themeColor="text1"/>
          <w:kern w:val="2"/>
          <w:sz w:val="32"/>
          <w:szCs w:val="32"/>
        </w:rPr>
        <w:sectPr w:rsidR="001E20BB">
          <w:footerReference w:type="default" r:id="rId7"/>
          <w:pgSz w:w="11940" w:h="16870"/>
          <w:pgMar w:top="1433" w:right="1791" w:bottom="1507" w:left="1791" w:header="0" w:footer="1377" w:gutter="0"/>
          <w:pgNumType w:start="1"/>
          <w:cols w:space="720"/>
        </w:sectPr>
      </w:pPr>
      <w:r>
        <w:rPr>
          <w:rFonts w:ascii="黑体" w:eastAsia="黑体" w:hAnsi="黑体" w:cs="Times New Roman" w:hint="eastAsia"/>
          <w:b/>
          <w:snapToGrid/>
          <w:color w:val="000000" w:themeColor="text1"/>
          <w:kern w:val="2"/>
          <w:sz w:val="32"/>
          <w:szCs w:val="32"/>
        </w:rPr>
        <w:t>第四部分 名词解释</w:t>
      </w:r>
    </w:p>
    <w:p w:rsidR="001E20BB" w:rsidRDefault="001E20BB">
      <w:pPr>
        <w:spacing w:line="580" w:lineRule="exact"/>
        <w:rPr>
          <w:color w:val="000000" w:themeColor="text1"/>
        </w:rPr>
      </w:pPr>
    </w:p>
    <w:p w:rsidR="001E20BB" w:rsidRDefault="00000000">
      <w:pPr>
        <w:kinsoku/>
        <w:autoSpaceDE/>
        <w:autoSpaceDN/>
        <w:adjustRightInd/>
        <w:snapToGrid/>
        <w:spacing w:line="580" w:lineRule="exact"/>
        <w:jc w:val="center"/>
        <w:textAlignment w:val="auto"/>
        <w:rPr>
          <w:rFonts w:ascii="宋体" w:eastAsia="宋体" w:hAnsi="宋体" w:cs="Times New Roman"/>
          <w:b/>
          <w:snapToGrid/>
          <w:color w:val="000000" w:themeColor="text1"/>
          <w:kern w:val="2"/>
          <w:sz w:val="44"/>
          <w:szCs w:val="44"/>
        </w:rPr>
      </w:pPr>
      <w:r>
        <w:rPr>
          <w:rFonts w:ascii="宋体" w:eastAsia="宋体" w:hAnsi="宋体" w:cs="Times New Roman" w:hint="eastAsia"/>
          <w:b/>
          <w:snapToGrid/>
          <w:color w:val="000000" w:themeColor="text1"/>
          <w:kern w:val="2"/>
          <w:sz w:val="44"/>
          <w:szCs w:val="44"/>
        </w:rPr>
        <w:t>第一部分  青云谱区人民政府办公室     单位概况</w:t>
      </w:r>
    </w:p>
    <w:p w:rsidR="001E20BB" w:rsidRDefault="001E20BB">
      <w:pPr>
        <w:spacing w:line="580" w:lineRule="exact"/>
        <w:rPr>
          <w:color w:val="000000" w:themeColor="text1"/>
        </w:rPr>
      </w:pPr>
    </w:p>
    <w:p w:rsidR="001E20BB" w:rsidRDefault="00000000">
      <w:pPr>
        <w:widowControl w:val="0"/>
        <w:kinsoku/>
        <w:autoSpaceDE/>
        <w:autoSpaceDN/>
        <w:adjustRightInd/>
        <w:snapToGrid/>
        <w:spacing w:line="580" w:lineRule="exact"/>
        <w:textAlignment w:val="auto"/>
        <w:rPr>
          <w:rFonts w:ascii="仿宋_GB2312" w:eastAsia="仿宋_GB2312" w:hAnsi="仿宋"/>
          <w:sz w:val="32"/>
          <w:szCs w:val="32"/>
        </w:rPr>
      </w:pPr>
      <w:r>
        <w:rPr>
          <w:rFonts w:asciiTheme="majorEastAsia" w:eastAsiaTheme="majorEastAsia" w:hAnsiTheme="majorEastAsia" w:cstheme="majorEastAsia" w:hint="eastAsia"/>
          <w:b/>
          <w:bCs/>
          <w:snapToGrid/>
          <w:color w:val="000000" w:themeColor="text1"/>
          <w:kern w:val="2"/>
          <w:sz w:val="30"/>
          <w:szCs w:val="30"/>
        </w:rPr>
        <w:t>一、单位主要职能</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1．负责上级党委、政府和区委及其各部门文电的签收、分发、传阅及有关文电办理工作。</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2．研究审核各街办、镇、园、区政府各部门、区直各单位报送区政府的文电，提出处理意见，报区政府领导审批。</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3．负责区政府和区政府办公室文电的草拟、审核和制发工作。</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4．负责区政府会议的会务工作，协助区政府领导组织实施会议的决定，督促检查执行情况。</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5．督促检查区政府各部门和各街办、区属各单位对市委、市政府和区委、区政府文件以及领导同志重要批示的执行情况。</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6．根据区政府的部署和安排，组织调查研究全区改革和发展中的重大问题，协助和参与领导决策。</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7．根据区政府领导指示或办理文件的需要，组织协调区政府各部门间、街办间、部门与</w:t>
      </w:r>
      <w:proofErr w:type="gramStart"/>
      <w:r>
        <w:rPr>
          <w:rFonts w:ascii="仿宋_GB2312" w:eastAsia="仿宋_GB2312" w:hAnsi="仿宋_GB2312" w:hint="eastAsia"/>
          <w:sz w:val="32"/>
          <w:szCs w:val="32"/>
        </w:rPr>
        <w:t>街办间的</w:t>
      </w:r>
      <w:proofErr w:type="gramEnd"/>
      <w:r>
        <w:rPr>
          <w:rFonts w:ascii="仿宋_GB2312" w:eastAsia="仿宋_GB2312" w:hAnsi="仿宋_GB2312" w:hint="eastAsia"/>
          <w:sz w:val="32"/>
          <w:szCs w:val="32"/>
        </w:rPr>
        <w:t>工作，对有争议的问题提出处理意见，报区政府领导审定。</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8．负责与区人大办公室、区政协办公室的联系，组织督促有关部门和单位及时办理人大代表建议和政协委员提案。</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9．负责区政府和区政府办公室的文书档案工作。</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10．负责区政府办公室机关的精神文明建设和公务员队伍建设，做好思想政治工作。</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lastRenderedPageBreak/>
        <w:t>11．负责全区政府系统信息工作，撰写青云谱区人民政府大事记；负责收集、分析、</w:t>
      </w:r>
      <w:proofErr w:type="gramStart"/>
      <w:r>
        <w:rPr>
          <w:rFonts w:ascii="仿宋_GB2312" w:eastAsia="仿宋_GB2312" w:hAnsi="仿宋_GB2312" w:hint="eastAsia"/>
          <w:sz w:val="32"/>
          <w:szCs w:val="32"/>
        </w:rPr>
        <w:t>编发区</w:t>
      </w:r>
      <w:proofErr w:type="gramEnd"/>
      <w:r>
        <w:rPr>
          <w:rFonts w:ascii="仿宋_GB2312" w:eastAsia="仿宋_GB2312" w:hAnsi="仿宋_GB2312" w:hint="eastAsia"/>
          <w:sz w:val="32"/>
          <w:szCs w:val="32"/>
        </w:rPr>
        <w:t>政府各部门、区直各单位报送的政务信息。</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12．负责全区外事工作。贯彻执行党和国家外事工作方针政策、法规；负责外事接待，配合做好独资、合资、合作企业的等工作。</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13．负责全区信息化建设和管理工作。承担区与省、市信息网联网建设，负责区网站应用系统总体规划并组织实施，协调管理各街道、镇、园、区直各单位之间有关网络等工作。</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14负责全区公共机构节能。</w:t>
      </w:r>
    </w:p>
    <w:p w:rsidR="001E20BB" w:rsidRDefault="00000000">
      <w:pPr>
        <w:spacing w:line="520" w:lineRule="exact"/>
        <w:ind w:firstLineChars="200" w:firstLine="640"/>
        <w:rPr>
          <w:rFonts w:ascii="仿宋_GB2312" w:eastAsia="仿宋_GB2312" w:hAnsi="仿宋_GB2312"/>
          <w:sz w:val="32"/>
          <w:szCs w:val="32"/>
        </w:rPr>
      </w:pPr>
      <w:r>
        <w:rPr>
          <w:rFonts w:ascii="仿宋_GB2312" w:eastAsia="仿宋_GB2312" w:hAnsi="仿宋_GB2312" w:hint="eastAsia"/>
          <w:sz w:val="32"/>
          <w:szCs w:val="32"/>
        </w:rPr>
        <w:t>15．承办区人民政府交办的其他事项。</w:t>
      </w:r>
    </w:p>
    <w:p w:rsidR="001E20BB" w:rsidRDefault="00000000">
      <w:pPr>
        <w:widowControl w:val="0"/>
        <w:kinsoku/>
        <w:autoSpaceDE/>
        <w:autoSpaceDN/>
        <w:adjustRightInd/>
        <w:snapToGrid/>
        <w:spacing w:line="580" w:lineRule="exact"/>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二、单位基本情况</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纳入本套部门决算汇编范围的单位共1个，包括：青云谱区人民政府办公室。</w:t>
      </w:r>
    </w:p>
    <w:p w:rsidR="001E20BB" w:rsidRDefault="00000000">
      <w:pPr>
        <w:ind w:firstLine="630"/>
        <w:rPr>
          <w:rFonts w:ascii="仿宋" w:eastAsia="仿宋" w:hAnsi="仿宋"/>
          <w:color w:val="auto"/>
          <w:sz w:val="30"/>
          <w:szCs w:val="30"/>
        </w:rPr>
      </w:pPr>
      <w:r>
        <w:rPr>
          <w:rFonts w:ascii="仿宋" w:eastAsia="仿宋" w:hAnsi="仿宋" w:cs="仿宋" w:hint="eastAsia"/>
          <w:color w:val="000000" w:themeColor="text1"/>
          <w:sz w:val="30"/>
          <w:szCs w:val="30"/>
        </w:rPr>
        <w:t>本部门2021年年末实有人数22人，其中在职人员17人，离休人员0人，退休人员5人；年末其他人员0人；年末学生人数0人。</w:t>
      </w:r>
      <w:r>
        <w:rPr>
          <w:rFonts w:ascii="仿宋" w:eastAsia="仿宋" w:hAnsi="仿宋" w:hint="eastAsia"/>
          <w:color w:val="auto"/>
          <w:sz w:val="30"/>
          <w:szCs w:val="30"/>
        </w:rPr>
        <w:t>由养老保险基金发放养老金的离退休人员 0 人。</w:t>
      </w:r>
    </w:p>
    <w:p w:rsidR="001E20BB" w:rsidRDefault="001E20BB">
      <w:pPr>
        <w:spacing w:line="580" w:lineRule="exact"/>
        <w:ind w:firstLine="630"/>
        <w:rPr>
          <w:rFonts w:ascii="仿宋" w:eastAsia="仿宋" w:hAnsi="仿宋" w:cs="仿宋"/>
          <w:snapToGrid/>
          <w:color w:val="000000" w:themeColor="text1"/>
          <w:kern w:val="2"/>
          <w:sz w:val="32"/>
          <w:szCs w:val="30"/>
        </w:rPr>
        <w:sectPr w:rsidR="001E20BB">
          <w:footerReference w:type="default" r:id="rId8"/>
          <w:pgSz w:w="11910" w:h="16850"/>
          <w:pgMar w:top="1432" w:right="1578" w:bottom="1430" w:left="1786" w:header="0" w:footer="1313" w:gutter="0"/>
          <w:cols w:space="720" w:equalWidth="0">
            <w:col w:w="8545"/>
          </w:cols>
        </w:sectPr>
      </w:pPr>
    </w:p>
    <w:p w:rsidR="001E20BB" w:rsidRDefault="001E20BB">
      <w:pPr>
        <w:rPr>
          <w:color w:val="000000" w:themeColor="text1"/>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rFonts w:asciiTheme="minorEastAsia" w:eastAsiaTheme="minorEastAsia" w:hAnsiTheme="minorEastAsia" w:cstheme="minorEastAsia" w:hint="eastAsia"/>
          <w:noProof/>
          <w:color w:val="000000" w:themeColor="text1"/>
          <w:sz w:val="44"/>
          <w:szCs w:val="44"/>
        </w:rPr>
        <mc:AlternateContent>
          <mc:Choice Requires="wps">
            <w:drawing>
              <wp:anchor distT="0" distB="0" distL="114300" distR="114300" simplePos="0" relativeHeight="251660288" behindDoc="1" locked="0" layoutInCell="0" allowOverlap="1">
                <wp:simplePos x="0" y="0"/>
                <wp:positionH relativeFrom="page">
                  <wp:posOffset>1200150</wp:posOffset>
                </wp:positionH>
                <wp:positionV relativeFrom="page">
                  <wp:posOffset>7835265</wp:posOffset>
                </wp:positionV>
                <wp:extent cx="12700" cy="70485"/>
                <wp:effectExtent l="0" t="0" r="635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ahLst/>
                          <a:cxnLst/>
                          <a:rect l="0" t="0" r="0" b="0"/>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polyline w14:anchorId="244FB6F9" id="任意多边形 8" o:spid="_x0000_s1026" style="position:absolute;left:0;text-align:left;z-index:-251656192;visibility:visible;mso-wrap-style:square;mso-wrap-distance-left:9pt;mso-wrap-distance-top:0;mso-wrap-distance-right:9pt;mso-wrap-distance-bottom:0;mso-position-horizontal:absolute;mso-position-horizontal-relative:page;mso-position-vertical:absolute;mso-position-vertical-relative:page;v-text-anchor:top" points="95pt,616.95pt,95pt,622.45pt" coordsize="20,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" o:allowincell="f" filled="f" strokeweight="1pt">
                <v:stroke miterlimit="10" joinstyle="miter"/>
                <v:path arrowok="t" textboxrect="0,0,20,111"/>
                <w10:wrap anchorx="page" anchory="page"/>
              </v:polyline>
            </w:pict>
          </mc:Fallback>
        </mc:AlternateContent>
      </w:r>
      <w:r>
        <w:rPr>
          <w:rFonts w:asciiTheme="minorEastAsia" w:eastAsiaTheme="minorEastAsia" w:hAnsiTheme="minorEastAsia" w:cstheme="minorEastAsia" w:hint="eastAsia"/>
          <w:b/>
          <w:snapToGrid/>
          <w:color w:val="000000" w:themeColor="text1"/>
          <w:kern w:val="2"/>
          <w:sz w:val="44"/>
          <w:szCs w:val="44"/>
        </w:rPr>
        <w:t>第二部分  2021年度单位决算表</w:t>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drawing>
          <wp:inline distT="0" distB="0" distL="114300" distR="114300">
            <wp:extent cx="5273040" cy="5100955"/>
            <wp:effectExtent l="0" t="0" r="3810" b="4445"/>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9"/>
                    <a:stretch>
                      <a:fillRect/>
                    </a:stretch>
                  </pic:blipFill>
                  <pic:spPr>
                    <a:xfrm>
                      <a:off x="0" y="0"/>
                      <a:ext cx="5273040" cy="5100955"/>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drawing>
          <wp:inline distT="0" distB="0" distL="114300" distR="114300">
            <wp:extent cx="5267960" cy="1823720"/>
            <wp:effectExtent l="0" t="0" r="8890" b="508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10"/>
                    <a:stretch>
                      <a:fillRect/>
                    </a:stretch>
                  </pic:blipFill>
                  <pic:spPr>
                    <a:xfrm>
                      <a:off x="0" y="0"/>
                      <a:ext cx="5267960" cy="1823720"/>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both"/>
        <w:rPr>
          <w:rFonts w:asciiTheme="minorEastAsia" w:eastAsiaTheme="minorEastAsia" w:hAnsiTheme="minorEastAsia" w:cstheme="minorEastAsia"/>
          <w:b/>
          <w:snapToGrid/>
          <w:color w:val="000000" w:themeColor="text1"/>
          <w:kern w:val="2"/>
          <w:sz w:val="44"/>
          <w:szCs w:val="44"/>
        </w:rPr>
      </w:pPr>
      <w:r>
        <w:rPr>
          <w:noProof/>
        </w:rPr>
        <w:drawing>
          <wp:inline distT="0" distB="0" distL="114300" distR="114300">
            <wp:extent cx="5270500" cy="2284730"/>
            <wp:effectExtent l="0" t="0" r="6350" b="127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11"/>
                    <a:stretch>
                      <a:fillRect/>
                    </a:stretch>
                  </pic:blipFill>
                  <pic:spPr>
                    <a:xfrm>
                      <a:off x="0" y="0"/>
                      <a:ext cx="5270500" cy="2284730"/>
                    </a:xfrm>
                    <a:prstGeom prst="rect">
                      <a:avLst/>
                    </a:prstGeom>
                    <a:noFill/>
                    <a:ln>
                      <a:noFill/>
                    </a:ln>
                  </pic:spPr>
                </pic:pic>
              </a:graphicData>
            </a:graphic>
          </wp:inline>
        </w:drawing>
      </w:r>
    </w:p>
    <w:p w:rsidR="001E20BB" w:rsidRDefault="001E20BB">
      <w:pPr>
        <w:jc w:val="both"/>
        <w:rPr>
          <w:rFonts w:asciiTheme="minorEastAsia" w:eastAsiaTheme="minorEastAsia" w:hAnsiTheme="minorEastAsia" w:cstheme="minorEastAsia"/>
          <w:b/>
          <w:snapToGrid/>
          <w:color w:val="000000" w:themeColor="text1"/>
          <w:kern w:val="2"/>
          <w:sz w:val="44"/>
          <w:szCs w:val="44"/>
        </w:rPr>
      </w:pPr>
    </w:p>
    <w:p w:rsidR="001E20BB" w:rsidRDefault="001E20BB">
      <w:pPr>
        <w:jc w:val="both"/>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drawing>
          <wp:inline distT="0" distB="0" distL="114300" distR="114300">
            <wp:extent cx="5274310" cy="3860800"/>
            <wp:effectExtent l="0" t="0" r="2540" b="635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12"/>
                    <a:stretch>
                      <a:fillRect/>
                    </a:stretch>
                  </pic:blipFill>
                  <pic:spPr>
                    <a:xfrm>
                      <a:off x="0" y="0"/>
                      <a:ext cx="5274310" cy="3860800"/>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drawing>
          <wp:inline distT="0" distB="0" distL="114300" distR="114300">
            <wp:extent cx="5270500" cy="3310890"/>
            <wp:effectExtent l="0" t="0" r="6350" b="3810"/>
            <wp:docPr id="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pic:cNvPicPr>
                      <a:picLocks noChangeAspect="1"/>
                    </pic:cNvPicPr>
                  </pic:nvPicPr>
                  <pic:blipFill>
                    <a:blip r:embed="rId13"/>
                    <a:stretch>
                      <a:fillRect/>
                    </a:stretch>
                  </pic:blipFill>
                  <pic:spPr>
                    <a:xfrm>
                      <a:off x="0" y="0"/>
                      <a:ext cx="5270500" cy="3310890"/>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BB6AB8">
      <w:pPr>
        <w:jc w:val="center"/>
        <w:rPr>
          <w:rFonts w:asciiTheme="minorEastAsia" w:eastAsiaTheme="minorEastAsia" w:hAnsiTheme="minorEastAsia" w:cstheme="minorEastAsia"/>
          <w:b/>
          <w:snapToGrid/>
          <w:color w:val="000000" w:themeColor="text1"/>
          <w:kern w:val="2"/>
          <w:sz w:val="44"/>
          <w:szCs w:val="44"/>
        </w:rPr>
      </w:pPr>
      <w:r>
        <w:rPr>
          <w:noProof/>
        </w:rPr>
        <w:lastRenderedPageBreak/>
        <w:drawing>
          <wp:inline distT="0" distB="0" distL="0" distR="0">
            <wp:extent cx="5274310" cy="8654415"/>
            <wp:effectExtent l="0" t="0" r="2540" b="0"/>
            <wp:docPr id="572597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8654415"/>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drawing>
          <wp:inline distT="0" distB="0" distL="114300" distR="114300">
            <wp:extent cx="5271135" cy="4881880"/>
            <wp:effectExtent l="0" t="0" r="5715" b="13970"/>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15"/>
                    <a:stretch>
                      <a:fillRect/>
                    </a:stretch>
                  </pic:blipFill>
                  <pic:spPr>
                    <a:xfrm>
                      <a:off x="0" y="0"/>
                      <a:ext cx="5271135" cy="4881880"/>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lastRenderedPageBreak/>
        <w:drawing>
          <wp:inline distT="0" distB="0" distL="114300" distR="114300">
            <wp:extent cx="5271770" cy="1839595"/>
            <wp:effectExtent l="0" t="0" r="5080" b="8255"/>
            <wp:docPr id="2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pic:cNvPicPr>
                      <a:picLocks noChangeAspect="1"/>
                    </pic:cNvPicPr>
                  </pic:nvPicPr>
                  <pic:blipFill>
                    <a:blip r:embed="rId16"/>
                    <a:stretch>
                      <a:fillRect/>
                    </a:stretch>
                  </pic:blipFill>
                  <pic:spPr>
                    <a:xfrm>
                      <a:off x="0" y="0"/>
                      <a:ext cx="5271770" cy="1839595"/>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drawing>
          <wp:inline distT="0" distB="0" distL="114300" distR="114300">
            <wp:extent cx="5272405" cy="2404110"/>
            <wp:effectExtent l="0" t="0" r="4445" b="15240"/>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17"/>
                    <a:stretch>
                      <a:fillRect/>
                    </a:stretch>
                  </pic:blipFill>
                  <pic:spPr>
                    <a:xfrm>
                      <a:off x="0" y="0"/>
                      <a:ext cx="5272405" cy="2404110"/>
                    </a:xfrm>
                    <a:prstGeom prst="rect">
                      <a:avLst/>
                    </a:prstGeom>
                    <a:noFill/>
                    <a:ln>
                      <a:noFill/>
                    </a:ln>
                  </pic:spPr>
                </pic:pic>
              </a:graphicData>
            </a:graphic>
          </wp:inline>
        </w:drawing>
      </w: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1E20BB">
      <w:pPr>
        <w:jc w:val="center"/>
        <w:rPr>
          <w:rFonts w:asciiTheme="minorEastAsia" w:eastAsiaTheme="minorEastAsia" w:hAnsiTheme="minorEastAsia" w:cstheme="minorEastAsia"/>
          <w:b/>
          <w:snapToGrid/>
          <w:color w:val="000000" w:themeColor="text1"/>
          <w:kern w:val="2"/>
          <w:sz w:val="44"/>
          <w:szCs w:val="44"/>
        </w:rPr>
      </w:pPr>
    </w:p>
    <w:p w:rsidR="001E20BB" w:rsidRDefault="00000000">
      <w:pPr>
        <w:jc w:val="center"/>
        <w:rPr>
          <w:rFonts w:asciiTheme="minorEastAsia" w:eastAsiaTheme="minorEastAsia" w:hAnsiTheme="minorEastAsia" w:cstheme="minorEastAsia"/>
          <w:b/>
          <w:snapToGrid/>
          <w:color w:val="000000" w:themeColor="text1"/>
          <w:kern w:val="2"/>
          <w:sz w:val="44"/>
          <w:szCs w:val="44"/>
        </w:rPr>
      </w:pPr>
      <w:r>
        <w:rPr>
          <w:noProof/>
        </w:rPr>
        <w:lastRenderedPageBreak/>
        <w:drawing>
          <wp:inline distT="0" distB="0" distL="114300" distR="114300">
            <wp:extent cx="5269230" cy="2663190"/>
            <wp:effectExtent l="0" t="0" r="7620" b="3810"/>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18"/>
                    <a:stretch>
                      <a:fillRect/>
                    </a:stretch>
                  </pic:blipFill>
                  <pic:spPr>
                    <a:xfrm>
                      <a:off x="0" y="0"/>
                      <a:ext cx="5269230" cy="2663190"/>
                    </a:xfrm>
                    <a:prstGeom prst="rect">
                      <a:avLst/>
                    </a:prstGeom>
                    <a:noFill/>
                    <a:ln>
                      <a:noFill/>
                    </a:ln>
                  </pic:spPr>
                </pic:pic>
              </a:graphicData>
            </a:graphic>
          </wp:inline>
        </w:drawing>
      </w:r>
    </w:p>
    <w:p w:rsidR="001E20BB" w:rsidRDefault="00000000">
      <w:pPr>
        <w:kinsoku/>
        <w:autoSpaceDE/>
        <w:autoSpaceDN/>
        <w:adjustRightInd/>
        <w:snapToGrid/>
        <w:spacing w:line="580" w:lineRule="exact"/>
        <w:jc w:val="center"/>
        <w:textAlignment w:val="auto"/>
        <w:rPr>
          <w:rFonts w:asciiTheme="majorEastAsia" w:eastAsiaTheme="majorEastAsia" w:hAnsiTheme="majorEastAsia" w:cstheme="majorEastAsia"/>
          <w:b/>
          <w:snapToGrid/>
          <w:color w:val="000000" w:themeColor="text1"/>
          <w:kern w:val="2"/>
          <w:sz w:val="44"/>
          <w:szCs w:val="44"/>
        </w:rPr>
      </w:pPr>
      <w:r>
        <w:rPr>
          <w:rFonts w:asciiTheme="majorEastAsia" w:eastAsiaTheme="majorEastAsia" w:hAnsiTheme="majorEastAsia" w:cstheme="majorEastAsia" w:hint="eastAsia"/>
          <w:b/>
          <w:snapToGrid/>
          <w:color w:val="000000" w:themeColor="text1"/>
          <w:kern w:val="2"/>
          <w:sz w:val="44"/>
          <w:szCs w:val="44"/>
        </w:rPr>
        <w:t>第三部分    2021年度单位决算情况说明</w:t>
      </w:r>
    </w:p>
    <w:p w:rsidR="001E20BB" w:rsidRDefault="001E20BB">
      <w:pPr>
        <w:spacing w:line="580" w:lineRule="exact"/>
        <w:rPr>
          <w:color w:val="000000" w:themeColor="text1"/>
        </w:rPr>
      </w:pPr>
    </w:p>
    <w:p w:rsidR="001E20BB" w:rsidRDefault="00000000">
      <w:pPr>
        <w:widowControl w:val="0"/>
        <w:kinsoku/>
        <w:autoSpaceDE/>
        <w:autoSpaceDN/>
        <w:adjustRightInd/>
        <w:snapToGrid/>
        <w:spacing w:line="580" w:lineRule="exact"/>
        <w:ind w:firstLineChars="200" w:firstLine="602"/>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一、收入决算情况说明</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本单位2021年度收入总计581.60万元，其中年初结转和结余0.00万元，较2020年减少14.2万元，下降100%;本年收入合计581.60万元，较2020年减少21.60万元，下降3.7%，主要原因是：尽量使用现有资金。</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本年收入的具体构成为：财政拨款收入581.60万元，占100%;事业收入0万元，占0%;经营收入0万元，占0%;其他收入0万元，占0%。</w:t>
      </w:r>
    </w:p>
    <w:p w:rsidR="001E20BB" w:rsidRDefault="00000000">
      <w:pPr>
        <w:widowControl w:val="0"/>
        <w:kinsoku/>
        <w:autoSpaceDE/>
        <w:autoSpaceDN/>
        <w:adjustRightInd/>
        <w:snapToGrid/>
        <w:spacing w:line="580" w:lineRule="exact"/>
        <w:ind w:firstLineChars="200" w:firstLine="602"/>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二、支出决算情况说明</w:t>
      </w:r>
    </w:p>
    <w:p w:rsidR="001E20BB" w:rsidRDefault="00000000">
      <w:pPr>
        <w:widowControl w:val="0"/>
        <w:kinsoku/>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本单位2021年度支出总计581.60万元，其中本年支出合计581.60万元，较2020年减少21.60万元，下降3.7%，主要原因是加强了资金预算执行管理；年末结转和结余0.00万元，较2020年无变化。</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lastRenderedPageBreak/>
        <w:t>本年支出的具体构成为：基本支出564.15万元，占96.9%； 项目支出17.45万元，占3.1%：经营支出0万元，占0%；其他支出（对附属单位补助支出、上缴上级支出）0万元，占0%。</w:t>
      </w:r>
    </w:p>
    <w:p w:rsidR="001E20BB" w:rsidRDefault="00000000">
      <w:pPr>
        <w:widowControl w:val="0"/>
        <w:kinsoku/>
        <w:autoSpaceDE/>
        <w:autoSpaceDN/>
        <w:adjustRightInd/>
        <w:snapToGrid/>
        <w:spacing w:line="580" w:lineRule="exact"/>
        <w:ind w:firstLineChars="200" w:firstLine="602"/>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三、财政拨款支出决算情况说明</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本单位2021年度财政拨款本年支出年初预算数为402.33万元，决算数为581.60万元，完成年初预算的144%。其中：</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（一）一般公共服务支出年初预算数为388.89万元，决算数为568.98万元，完成年初预算的146%，主要原因是：增加了机构职能。</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（二）公共安全支出年初预算数为0万元，决算数为0万元，完成年初预算的0%，主要原因是：没有开展此项工作。</w:t>
      </w:r>
    </w:p>
    <w:p w:rsidR="001E20BB" w:rsidRDefault="00000000">
      <w:pPr>
        <w:widowControl w:val="0"/>
        <w:kinsoku/>
        <w:autoSpaceDE/>
        <w:autoSpaceDN/>
        <w:adjustRightInd/>
        <w:snapToGrid/>
        <w:spacing w:line="580" w:lineRule="exact"/>
        <w:ind w:firstLineChars="200" w:firstLine="602"/>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四、一般公共预算财政拨款基本支出决算情况说明</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本单位2021年度一般公共预算财政拨款基本支出564.15万元，其中：</w:t>
      </w:r>
    </w:p>
    <w:p w:rsidR="001E20BB" w:rsidRDefault="00000000">
      <w:pPr>
        <w:widowControl w:val="0"/>
        <w:kinsoku/>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（一）工资福利支出460万元，较 2020年减少5万元，下降1%，主要原因是：</w:t>
      </w:r>
      <w:r>
        <w:rPr>
          <w:rFonts w:ascii="仿宋" w:eastAsia="仿宋" w:hAnsi="仿宋" w:cs="仿宋" w:hint="eastAsia"/>
          <w:color w:val="000000" w:themeColor="text1"/>
          <w:sz w:val="32"/>
          <w:szCs w:val="32"/>
        </w:rPr>
        <w:t>与往年相比人员结构发生变化，在工资、奖金、福利都有所下降。</w:t>
      </w:r>
      <w:r>
        <w:rPr>
          <w:rFonts w:ascii="仿宋" w:eastAsia="仿宋" w:hAnsi="仿宋" w:cs="仿宋" w:hint="eastAsia"/>
          <w:snapToGrid/>
          <w:color w:val="000000" w:themeColor="text1"/>
          <w:kern w:val="2"/>
          <w:sz w:val="32"/>
          <w:szCs w:val="30"/>
        </w:rPr>
        <w:br/>
        <w:t xml:space="preserve">    （二）商品和服务支出94.63万元，较2020年减少31.49万元，下降24.9%，主要原因是：</w:t>
      </w:r>
      <w:r>
        <w:rPr>
          <w:rFonts w:ascii="仿宋" w:eastAsia="仿宋" w:hAnsi="仿宋" w:cs="仿宋" w:hint="eastAsia"/>
          <w:color w:val="000000" w:themeColor="text1"/>
          <w:sz w:val="32"/>
          <w:szCs w:val="32"/>
        </w:rPr>
        <w:t>在保证工作完成的前提下，尽量压缩支出。</w:t>
      </w:r>
    </w:p>
    <w:p w:rsidR="001E20BB" w:rsidRDefault="00000000">
      <w:pPr>
        <w:widowControl w:val="0"/>
        <w:kinsoku/>
        <w:snapToGrid/>
        <w:spacing w:line="580" w:lineRule="exact"/>
        <w:ind w:firstLineChars="200" w:firstLine="640"/>
        <w:textAlignment w:val="auto"/>
        <w:rPr>
          <w:rFonts w:ascii="仿宋" w:eastAsia="仿宋" w:hAnsi="仿宋" w:cs="仿宋"/>
          <w:color w:val="000000" w:themeColor="text1"/>
          <w:sz w:val="32"/>
          <w:szCs w:val="32"/>
        </w:rPr>
      </w:pPr>
      <w:r>
        <w:rPr>
          <w:rFonts w:ascii="仿宋" w:eastAsia="仿宋" w:hAnsi="仿宋" w:cs="仿宋" w:hint="eastAsia"/>
          <w:snapToGrid/>
          <w:color w:val="000000" w:themeColor="text1"/>
          <w:kern w:val="2"/>
          <w:sz w:val="32"/>
          <w:szCs w:val="30"/>
        </w:rPr>
        <w:t>（三）对个人和家庭补助支出5.6万元，较2020年减少11.59万元，下降67.4%，主要原因是：</w:t>
      </w:r>
      <w:r>
        <w:rPr>
          <w:rFonts w:ascii="仿宋" w:eastAsia="仿宋" w:hAnsi="仿宋" w:cs="仿宋" w:hint="eastAsia"/>
          <w:color w:val="000000" w:themeColor="text1"/>
          <w:sz w:val="32"/>
          <w:szCs w:val="32"/>
        </w:rPr>
        <w:t>压缩支出。</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lastRenderedPageBreak/>
        <w:t>（四）资本性支出3.93万元，较2020年增加3.93万元，主要原因是：购置</w:t>
      </w:r>
      <w:r>
        <w:rPr>
          <w:rFonts w:ascii="仿宋" w:eastAsia="仿宋" w:hAnsi="仿宋" w:cs="仿宋" w:hint="eastAsia"/>
          <w:color w:val="000000" w:themeColor="text1"/>
          <w:sz w:val="32"/>
          <w:szCs w:val="32"/>
        </w:rPr>
        <w:t>办公设备</w:t>
      </w:r>
      <w:r>
        <w:rPr>
          <w:rFonts w:ascii="仿宋" w:eastAsia="仿宋" w:hAnsi="仿宋" w:cs="仿宋" w:hint="eastAsia"/>
          <w:snapToGrid/>
          <w:color w:val="000000" w:themeColor="text1"/>
          <w:kern w:val="2"/>
          <w:sz w:val="32"/>
          <w:szCs w:val="30"/>
        </w:rPr>
        <w:t>。</w:t>
      </w:r>
    </w:p>
    <w:p w:rsidR="001E20BB" w:rsidRDefault="00000000">
      <w:pPr>
        <w:widowControl w:val="0"/>
        <w:kinsoku/>
        <w:autoSpaceDE/>
        <w:autoSpaceDN/>
        <w:adjustRightInd/>
        <w:snapToGrid/>
        <w:spacing w:line="580" w:lineRule="exact"/>
        <w:ind w:firstLineChars="200" w:firstLine="602"/>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五、一般公共预算财政拨款“三公”经费支出决算情况说明</w:t>
      </w:r>
    </w:p>
    <w:p w:rsidR="001E20BB" w:rsidRDefault="00000000">
      <w:pPr>
        <w:widowControl w:val="0"/>
        <w:kinsoku/>
        <w:snapToGrid/>
        <w:spacing w:line="580" w:lineRule="exact"/>
        <w:ind w:firstLineChars="200" w:firstLine="640"/>
        <w:textAlignment w:val="auto"/>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本单位2021年度一般公共预算财政拨款“三公”经费支出年初预算数为 89 万元，决算数为 0.46 万元，完成预算的 0.51 %，决算数较2020年减少6.8万元，下降 93.71 %，其中：</w:t>
      </w:r>
    </w:p>
    <w:p w:rsidR="001E20BB" w:rsidRDefault="00000000">
      <w:pPr>
        <w:widowControl w:val="0"/>
        <w:kinsoku/>
        <w:snapToGrid/>
        <w:spacing w:line="580" w:lineRule="exact"/>
        <w:ind w:firstLineChars="200" w:firstLine="640"/>
        <w:textAlignment w:val="auto"/>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（一）因公出国（境）支出年初预算数为60万元，决算数为 0万元，完成预算的0 %，决算数较2020年减少7.05万元，下降100 %，主要原因是疫情原因，未因公出国。全年安排因公出国（境）团组  0个，累计0  人次。</w:t>
      </w:r>
    </w:p>
    <w:p w:rsidR="001E20BB" w:rsidRDefault="00000000">
      <w:pPr>
        <w:ind w:firstLine="63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（二）公务接待费支出年初预算数为 29万元，决算数为  0.46万元，完成预算的1.57%，决算数较2020年增加0.25万元，增长124.96%，主要原因是必要经费支出。全年国内公务接待  1批，累计接待38  人次，其中外事接待  0 批，累计接待 0 人次。</w:t>
      </w:r>
      <w:r>
        <w:rPr>
          <w:rFonts w:ascii="仿宋" w:eastAsia="仿宋" w:hAnsi="仿宋" w:hint="eastAsia"/>
          <w:color w:val="auto"/>
          <w:sz w:val="30"/>
          <w:szCs w:val="30"/>
        </w:rPr>
        <w:t>主要为：按照市外办要求接待外国友人。</w:t>
      </w:r>
    </w:p>
    <w:p w:rsidR="001E20BB" w:rsidRDefault="00000000">
      <w:pPr>
        <w:ind w:firstLine="630"/>
        <w:rPr>
          <w:rFonts w:ascii="仿宋" w:eastAsia="仿宋" w:hAnsi="仿宋"/>
          <w:color w:val="auto"/>
          <w:sz w:val="30"/>
          <w:szCs w:val="30"/>
        </w:rPr>
      </w:pPr>
      <w:r>
        <w:rPr>
          <w:rFonts w:ascii="仿宋" w:eastAsia="仿宋" w:hAnsi="仿宋" w:hint="eastAsia"/>
          <w:color w:val="auto"/>
          <w:sz w:val="30"/>
          <w:szCs w:val="30"/>
        </w:rPr>
        <w:t>（三）公务用车购置及运行维护费支出 0  万元，其中公务用车购置年初预算数为 0  万元，决算数为  0万元，完成预算的0 %，决算数较2020年增加（减少）0  万元，增长（下降） 0 %，</w:t>
      </w:r>
      <w:r>
        <w:rPr>
          <w:rFonts w:ascii="仿宋" w:eastAsia="仿宋" w:hAnsi="仿宋" w:cs="Times New Roman" w:hint="eastAsia"/>
          <w:color w:val="auto"/>
          <w:sz w:val="30"/>
          <w:szCs w:val="30"/>
        </w:rPr>
        <w:t>主要原因是没有此项开支</w:t>
      </w:r>
      <w:r>
        <w:rPr>
          <w:rFonts w:ascii="仿宋" w:eastAsia="仿宋" w:hAnsi="仿宋" w:hint="eastAsia"/>
          <w:color w:val="auto"/>
          <w:sz w:val="30"/>
          <w:szCs w:val="30"/>
        </w:rPr>
        <w:t>，全年购置公务用车  0 辆。决算数较年初预算数增加（减少）的主要原因是：</w:t>
      </w:r>
      <w:r>
        <w:rPr>
          <w:rFonts w:ascii="仿宋" w:eastAsia="仿宋" w:hAnsi="仿宋" w:cs="Times New Roman" w:hint="eastAsia"/>
          <w:color w:val="auto"/>
          <w:sz w:val="30"/>
          <w:szCs w:val="30"/>
        </w:rPr>
        <w:t>没有此项开支</w:t>
      </w:r>
      <w:r>
        <w:rPr>
          <w:rFonts w:ascii="仿宋" w:eastAsia="仿宋" w:hAnsi="仿宋" w:hint="eastAsia"/>
          <w:color w:val="auto"/>
          <w:sz w:val="30"/>
          <w:szCs w:val="30"/>
        </w:rPr>
        <w:t>；公务用车运行维护费支出年初预算数为  0 万元，决算数为 0 万元，完成预算的 0%，决算数较2020年增加（减少） 0 万元，增长（下降）0  %，</w:t>
      </w:r>
      <w:r>
        <w:rPr>
          <w:rFonts w:ascii="仿宋" w:eastAsia="仿宋" w:hAnsi="仿宋" w:cs="Times New Roman" w:hint="eastAsia"/>
          <w:color w:val="auto"/>
          <w:sz w:val="30"/>
          <w:szCs w:val="30"/>
        </w:rPr>
        <w:t>主要原因是没有公务用车.</w:t>
      </w:r>
      <w:r>
        <w:rPr>
          <w:rFonts w:ascii="仿宋" w:eastAsia="仿宋" w:hAnsi="仿宋" w:hint="eastAsia"/>
          <w:color w:val="auto"/>
          <w:sz w:val="30"/>
          <w:szCs w:val="30"/>
        </w:rPr>
        <w:t>，年末公务用车保有  0辆。决算数较年初预算数增加（减少）的主要原因是：</w:t>
      </w:r>
      <w:r>
        <w:rPr>
          <w:rFonts w:ascii="仿宋" w:eastAsia="仿宋" w:hAnsi="仿宋" w:cs="Times New Roman" w:hint="eastAsia"/>
          <w:color w:val="auto"/>
          <w:sz w:val="30"/>
          <w:szCs w:val="30"/>
        </w:rPr>
        <w:t>没有公务用车</w:t>
      </w:r>
      <w:r>
        <w:rPr>
          <w:rFonts w:ascii="仿宋" w:eastAsia="仿宋" w:hAnsi="仿宋" w:hint="eastAsia"/>
          <w:color w:val="auto"/>
          <w:sz w:val="30"/>
          <w:szCs w:val="30"/>
        </w:rPr>
        <w:t>。</w:t>
      </w:r>
    </w:p>
    <w:p w:rsidR="001E20BB" w:rsidRDefault="00000000">
      <w:pPr>
        <w:widowControl w:val="0"/>
        <w:kinsoku/>
        <w:autoSpaceDE/>
        <w:autoSpaceDN/>
        <w:adjustRightInd/>
        <w:snapToGrid/>
        <w:spacing w:line="580" w:lineRule="exact"/>
        <w:ind w:firstLineChars="200" w:firstLine="602"/>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六、机关运行经费支出情况说明</w:t>
      </w:r>
    </w:p>
    <w:p w:rsidR="001E20BB" w:rsidRDefault="00000000">
      <w:pPr>
        <w:widowControl w:val="0"/>
        <w:kinsoku/>
        <w:snapToGrid/>
        <w:spacing w:line="580" w:lineRule="exact"/>
        <w:ind w:firstLineChars="200" w:firstLine="640"/>
        <w:textAlignment w:val="auto"/>
        <w:rPr>
          <w:rFonts w:ascii="仿宋" w:eastAsia="仿宋" w:hAnsi="仿宋" w:cs="仿宋"/>
          <w:color w:val="000000" w:themeColor="text1"/>
          <w:sz w:val="32"/>
          <w:szCs w:val="32"/>
        </w:rPr>
      </w:pPr>
      <w:r>
        <w:rPr>
          <w:rFonts w:ascii="仿宋" w:eastAsia="仿宋" w:hAnsi="仿宋" w:cs="仿宋" w:hint="eastAsia"/>
          <w:snapToGrid/>
          <w:color w:val="000000" w:themeColor="text1"/>
          <w:kern w:val="2"/>
          <w:sz w:val="32"/>
          <w:szCs w:val="30"/>
        </w:rPr>
        <w:t>本单位 2021年度机关运行经费支出551.53万元（与部</w:t>
      </w:r>
      <w:r>
        <w:rPr>
          <w:rFonts w:ascii="仿宋" w:eastAsia="仿宋" w:hAnsi="仿宋" w:cs="仿宋" w:hint="eastAsia"/>
          <w:snapToGrid/>
          <w:color w:val="000000" w:themeColor="text1"/>
          <w:kern w:val="2"/>
          <w:sz w:val="32"/>
          <w:szCs w:val="30"/>
        </w:rPr>
        <w:lastRenderedPageBreak/>
        <w:t xml:space="preserve">门决算 中行政单位和参照公务员法管理事业单位一般公共预算财政拨款基本支出中公用经费之和保持一致），较年初预算数减少6.07万元，下降1%，主要原因是∶ </w:t>
      </w:r>
      <w:r>
        <w:rPr>
          <w:rFonts w:ascii="仿宋" w:eastAsia="仿宋" w:hAnsi="仿宋" w:cs="仿宋" w:hint="eastAsia"/>
          <w:color w:val="000000" w:themeColor="text1"/>
          <w:sz w:val="32"/>
          <w:szCs w:val="32"/>
        </w:rPr>
        <w:t>尽量压缩开支。</w:t>
      </w:r>
    </w:p>
    <w:p w:rsidR="001E20BB" w:rsidRDefault="00000000">
      <w:pPr>
        <w:widowControl w:val="0"/>
        <w:kinsoku/>
        <w:autoSpaceDE/>
        <w:autoSpaceDN/>
        <w:adjustRightInd/>
        <w:snapToGrid/>
        <w:spacing w:line="580" w:lineRule="exact"/>
        <w:ind w:firstLineChars="200" w:firstLine="602"/>
        <w:jc w:val="both"/>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七、政府采购支出情况说明</w:t>
      </w:r>
    </w:p>
    <w:p w:rsidR="001E20BB" w:rsidRDefault="00000000">
      <w:pPr>
        <w:kinsoku/>
        <w:autoSpaceDE/>
        <w:autoSpaceDN/>
        <w:adjustRightInd/>
        <w:snapToGrid/>
        <w:spacing w:line="580" w:lineRule="exact"/>
        <w:ind w:firstLineChars="200" w:firstLine="640"/>
        <w:textAlignment w:val="auto"/>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本单位2021年度政府采购支出总额3.93万元，其中：政府采购货物支出3.93万元、政府采购工程支出0万元、政府采购服务支出0万元。授予中小企业合同金额3.93万元，占政府采购支出总额的100%，其中：授予小</w:t>
      </w:r>
      <w:proofErr w:type="gramStart"/>
      <w:r>
        <w:rPr>
          <w:rFonts w:ascii="仿宋" w:eastAsia="仿宋" w:hAnsi="仿宋" w:cs="仿宋" w:hint="eastAsia"/>
          <w:snapToGrid/>
          <w:color w:val="000000" w:themeColor="text1"/>
          <w:kern w:val="2"/>
          <w:sz w:val="32"/>
          <w:szCs w:val="30"/>
        </w:rPr>
        <w:t>微企业</w:t>
      </w:r>
      <w:proofErr w:type="gramEnd"/>
      <w:r>
        <w:rPr>
          <w:rFonts w:ascii="仿宋" w:eastAsia="仿宋" w:hAnsi="仿宋" w:cs="仿宋" w:hint="eastAsia"/>
          <w:snapToGrid/>
          <w:color w:val="000000" w:themeColor="text1"/>
          <w:kern w:val="2"/>
          <w:sz w:val="32"/>
          <w:szCs w:val="30"/>
        </w:rPr>
        <w:t>合同金额3.93万元，占政府采购支出总额的100%。</w:t>
      </w:r>
      <w:r>
        <w:rPr>
          <w:rFonts w:ascii="仿宋" w:eastAsia="仿宋" w:hAnsi="仿宋" w:hint="eastAsia"/>
          <w:color w:val="auto"/>
          <w:sz w:val="30"/>
          <w:szCs w:val="30"/>
        </w:rPr>
        <w:t>货物采购授予中小企业合同金额占货物支出金额的  100  %，工程采购授予中小企业合同金额占工程支出金额的   0 %，服务采购授予中小企业合同金额占服务支出金额的  0   %。</w:t>
      </w:r>
      <w:r>
        <w:rPr>
          <w:rFonts w:ascii="仿宋" w:eastAsia="仿宋" w:hAnsi="仿宋" w:cs="仿宋" w:hint="eastAsia"/>
          <w:snapToGrid/>
          <w:color w:val="000000" w:themeColor="text1"/>
          <w:kern w:val="2"/>
          <w:sz w:val="32"/>
          <w:szCs w:val="30"/>
        </w:rPr>
        <w:t>（部门公开的政府采购金额的计算口径为∶本部门纳入2021年部门预算范围的各项政府采购支出金额之和，不包括涉密采购项目的支出金额。）</w:t>
      </w:r>
    </w:p>
    <w:p w:rsidR="001E20BB" w:rsidRDefault="00000000">
      <w:pPr>
        <w:widowControl w:val="0"/>
        <w:kinsoku/>
        <w:autoSpaceDE/>
        <w:autoSpaceDN/>
        <w:adjustRightInd/>
        <w:snapToGrid/>
        <w:spacing w:line="580" w:lineRule="exact"/>
        <w:ind w:firstLineChars="200" w:firstLine="602"/>
        <w:textAlignment w:val="auto"/>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snapToGrid/>
          <w:color w:val="000000" w:themeColor="text1"/>
          <w:kern w:val="2"/>
          <w:sz w:val="30"/>
          <w:szCs w:val="30"/>
        </w:rPr>
        <w:t>八、国有资产占用情况说明</w:t>
      </w:r>
    </w:p>
    <w:p w:rsidR="001E20BB" w:rsidRDefault="00000000">
      <w:pPr>
        <w:ind w:firstLine="630"/>
        <w:rPr>
          <w:rFonts w:ascii="仿宋" w:eastAsia="仿宋" w:hAnsi="仿宋" w:cs="仿宋"/>
          <w:snapToGrid/>
          <w:color w:val="000000" w:themeColor="text1"/>
          <w:kern w:val="2"/>
          <w:sz w:val="32"/>
          <w:szCs w:val="30"/>
        </w:rPr>
      </w:pPr>
      <w:r>
        <w:rPr>
          <w:rFonts w:ascii="仿宋" w:eastAsia="仿宋" w:hAnsi="仿宋" w:cs="仿宋" w:hint="eastAsia"/>
          <w:snapToGrid/>
          <w:color w:val="000000" w:themeColor="text1"/>
          <w:kern w:val="2"/>
          <w:sz w:val="32"/>
          <w:szCs w:val="30"/>
        </w:rPr>
        <w:t>截止2021 年12月31日，本部门国有资产占用情况</w:t>
      </w:r>
      <w:proofErr w:type="gramStart"/>
      <w:r>
        <w:rPr>
          <w:rFonts w:ascii="仿宋" w:eastAsia="仿宋" w:hAnsi="仿宋" w:cs="仿宋" w:hint="eastAsia"/>
          <w:snapToGrid/>
          <w:color w:val="000000" w:themeColor="text1"/>
          <w:kern w:val="2"/>
          <w:sz w:val="32"/>
          <w:szCs w:val="30"/>
        </w:rPr>
        <w:t>见公开</w:t>
      </w:r>
      <w:proofErr w:type="gramEnd"/>
      <w:r>
        <w:rPr>
          <w:rFonts w:ascii="仿宋" w:eastAsia="仿宋" w:hAnsi="仿宋" w:cs="仿宋" w:hint="eastAsia"/>
          <w:snapToGrid/>
          <w:color w:val="000000" w:themeColor="text1"/>
          <w:kern w:val="2"/>
          <w:sz w:val="32"/>
          <w:szCs w:val="30"/>
        </w:rPr>
        <w:t>10 表《国有资产占用情况表》。</w:t>
      </w:r>
      <w:r>
        <w:rPr>
          <w:rFonts w:ascii="仿宋" w:eastAsia="仿宋" w:hAnsi="仿宋" w:hint="eastAsia"/>
          <w:sz w:val="30"/>
          <w:szCs w:val="30"/>
        </w:rPr>
        <w:t>其中车辆中的其他用车主要是0。</w:t>
      </w:r>
    </w:p>
    <w:p w:rsidR="001E20BB" w:rsidRDefault="00000000">
      <w:pPr>
        <w:spacing w:line="580" w:lineRule="exact"/>
        <w:ind w:firstLineChars="300" w:firstLine="632"/>
        <w:rPr>
          <w:rFonts w:asciiTheme="majorEastAsia" w:eastAsiaTheme="majorEastAsia" w:hAnsiTheme="majorEastAsia" w:cstheme="majorEastAsia"/>
          <w:b/>
          <w:bCs/>
          <w:snapToGrid/>
          <w:color w:val="000000" w:themeColor="text1"/>
          <w:kern w:val="2"/>
          <w:sz w:val="30"/>
          <w:szCs w:val="30"/>
        </w:rPr>
      </w:pPr>
      <w:r>
        <w:rPr>
          <w:rFonts w:asciiTheme="majorEastAsia" w:eastAsiaTheme="majorEastAsia" w:hAnsiTheme="majorEastAsia" w:cstheme="majorEastAsia" w:hint="eastAsia"/>
          <w:b/>
          <w:bCs/>
          <w:noProof/>
          <w:color w:val="000000" w:themeColor="text1"/>
        </w:rPr>
        <mc:AlternateContent>
          <mc:Choice Requires="wps">
            <w:drawing>
              <wp:anchor distT="0" distB="0" distL="0" distR="0" simplePos="0" relativeHeight="251659264" behindDoc="0" locked="0" layoutInCell="0" allowOverlap="1">
                <wp:simplePos x="0" y="0"/>
                <wp:positionH relativeFrom="page">
                  <wp:posOffset>4937760</wp:posOffset>
                </wp:positionH>
                <wp:positionV relativeFrom="page">
                  <wp:posOffset>6992620</wp:posOffset>
                </wp:positionV>
                <wp:extent cx="32385" cy="277495"/>
                <wp:effectExtent l="0" t="0" r="0" b="0"/>
                <wp:wrapNone/>
                <wp:docPr id="3" name="TextBox 3"/>
                <wp:cNvGraphicFramePr/>
                <a:graphic xmlns:a="http://schemas.openxmlformats.org/drawingml/2006/main">
                  <a:graphicData uri="http://schemas.microsoft.com/office/word/2010/wordprocessingShape">
                    <wps:wsp>
                      <wps:cNvSpPr txBox="1"/>
                      <wps:spPr>
                        <a:xfrm rot="10800000">
                          <a:off x="4938030" y="6992828"/>
                          <a:ext cx="32384" cy="2774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rsidR="001E20BB" w:rsidRDefault="00000000">
                            <w:pPr>
                              <w:spacing w:before="20" w:line="225" w:lineRule="auto"/>
                              <w:ind w:firstLine="20"/>
                              <w:rPr>
                                <w:rFonts w:ascii="仿宋" w:eastAsia="仿宋" w:hAnsi="仿宋" w:cs="仿宋"/>
                                <w:sz w:val="28"/>
                                <w:szCs w:val="28"/>
                              </w:rPr>
                            </w:pPr>
                            <w:r>
                              <w:rPr>
                                <w:rFonts w:ascii="仿宋" w:eastAsia="仿宋" w:hAnsi="仿宋" w:cs="仿宋"/>
                                <w:spacing w:val="-1"/>
                                <w:w w:val="4"/>
                                <w:sz w:val="28"/>
                                <w:szCs w:val="28"/>
                              </w:rPr>
                              <w:t>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left:0;text-align:left;margin-left:388.8pt;margin-top:550.6pt;width:2.55pt;height:21.85pt;rotation:180;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" o:allowincell="f" filled="f" stroked="f" strokeweight="0">
                <v:textbox inset="0,0,0,0">
                  <w:txbxContent>
                    <w:p w:rsidR="001E20BB" w:rsidRDefault="00000000">
                      <w:pPr>
                        <w:spacing w:before="20" w:line="225" w:lineRule="auto"/>
                        <w:ind w:firstLine="20"/>
                        <w:rPr>
                          <w:rFonts w:ascii="仿宋" w:eastAsia="仿宋" w:hAnsi="仿宋" w:cs="仿宋"/>
                          <w:sz w:val="28"/>
                          <w:szCs w:val="28"/>
                        </w:rPr>
                      </w:pPr>
                      <w:r>
                        <w:rPr>
                          <w:rFonts w:ascii="仿宋" w:eastAsia="仿宋" w:hAnsi="仿宋" w:cs="仿宋"/>
                          <w:spacing w:val="-1"/>
                          <w:w w:val="4"/>
                          <w:sz w:val="28"/>
                          <w:szCs w:val="28"/>
                        </w:rPr>
                        <w:t>及</w:t>
                      </w:r>
                    </w:p>
                  </w:txbxContent>
                </v:textbox>
                <w10:wrap anchorx="page" anchory="page"/>
              </v:shape>
            </w:pict>
          </mc:Fallback>
        </mc:AlternateContent>
      </w:r>
      <w:r>
        <w:rPr>
          <w:rFonts w:asciiTheme="majorEastAsia" w:eastAsiaTheme="majorEastAsia" w:hAnsiTheme="majorEastAsia" w:cstheme="majorEastAsia" w:hint="eastAsia"/>
          <w:b/>
          <w:bCs/>
          <w:snapToGrid/>
          <w:color w:val="000000" w:themeColor="text1"/>
          <w:kern w:val="2"/>
          <w:sz w:val="30"/>
          <w:szCs w:val="30"/>
        </w:rPr>
        <w:t>九、预算绩效情况说明</w:t>
      </w:r>
    </w:p>
    <w:p w:rsidR="001E20BB" w:rsidRDefault="00000000">
      <w:pPr>
        <w:kinsoku/>
        <w:autoSpaceDE/>
        <w:autoSpaceDN/>
        <w:adjustRightInd/>
        <w:snapToGrid/>
        <w:spacing w:line="580" w:lineRule="exact"/>
        <w:ind w:firstLineChars="200" w:firstLine="643"/>
        <w:textAlignment w:val="auto"/>
        <w:rPr>
          <w:rFonts w:asciiTheme="majorEastAsia" w:eastAsiaTheme="majorEastAsia" w:hAnsiTheme="majorEastAsia" w:cstheme="majorEastAsia"/>
          <w:b/>
          <w:bCs/>
          <w:snapToGrid/>
          <w:color w:val="000000" w:themeColor="text1"/>
          <w:kern w:val="2"/>
          <w:sz w:val="32"/>
          <w:szCs w:val="30"/>
        </w:rPr>
      </w:pPr>
      <w:r>
        <w:rPr>
          <w:rFonts w:asciiTheme="majorEastAsia" w:eastAsiaTheme="majorEastAsia" w:hAnsiTheme="majorEastAsia" w:cstheme="majorEastAsia" w:hint="eastAsia"/>
          <w:b/>
          <w:bCs/>
          <w:snapToGrid/>
          <w:color w:val="000000" w:themeColor="text1"/>
          <w:kern w:val="2"/>
          <w:sz w:val="32"/>
          <w:szCs w:val="30"/>
        </w:rPr>
        <w:t>（一）绩效管理工作开展情况</w:t>
      </w:r>
    </w:p>
    <w:p w:rsidR="001E20BB" w:rsidRDefault="00000000">
      <w:pPr>
        <w:spacing w:line="580" w:lineRule="exact"/>
        <w:ind w:firstLineChars="200" w:firstLine="656"/>
        <w:rPr>
          <w:rFonts w:ascii="仿宋" w:eastAsia="仿宋" w:hAnsi="仿宋" w:cs="仿宋"/>
          <w:color w:val="000000" w:themeColor="text1"/>
          <w:sz w:val="32"/>
          <w:szCs w:val="32"/>
        </w:rPr>
      </w:pPr>
      <w:r>
        <w:rPr>
          <w:rFonts w:ascii="仿宋" w:eastAsia="仿宋" w:hAnsi="仿宋" w:cs="仿宋" w:hint="eastAsia"/>
          <w:color w:val="000000" w:themeColor="text1"/>
          <w:spacing w:val="4"/>
          <w:sz w:val="32"/>
          <w:szCs w:val="32"/>
        </w:rPr>
        <w:lastRenderedPageBreak/>
        <w:t>根</w:t>
      </w:r>
      <w:r>
        <w:rPr>
          <w:rFonts w:ascii="仿宋" w:eastAsia="仿宋" w:hAnsi="仿宋" w:cs="仿宋" w:hint="eastAsia"/>
          <w:color w:val="000000" w:themeColor="text1"/>
          <w:spacing w:val="2"/>
          <w:sz w:val="32"/>
          <w:szCs w:val="32"/>
        </w:rPr>
        <w:t>据预算绩效管理要求，</w:t>
      </w:r>
      <w:proofErr w:type="gramStart"/>
      <w:r>
        <w:rPr>
          <w:rFonts w:ascii="仿宋" w:eastAsia="仿宋" w:hAnsi="仿宋" w:cs="仿宋" w:hint="eastAsia"/>
          <w:color w:val="000000" w:themeColor="text1"/>
          <w:spacing w:val="2"/>
          <w:sz w:val="32"/>
          <w:szCs w:val="32"/>
        </w:rPr>
        <w:t>我部门</w:t>
      </w:r>
      <w:proofErr w:type="gramEnd"/>
      <w:r>
        <w:rPr>
          <w:rFonts w:ascii="仿宋" w:eastAsia="仿宋" w:hAnsi="仿宋" w:cs="仿宋" w:hint="eastAsia"/>
          <w:color w:val="000000" w:themeColor="text1"/>
          <w:spacing w:val="2"/>
          <w:sz w:val="32"/>
          <w:szCs w:val="32"/>
        </w:rPr>
        <w:t>组织对2021年度一般</w:t>
      </w:r>
      <w:r>
        <w:rPr>
          <w:rFonts w:ascii="仿宋" w:eastAsia="仿宋" w:hAnsi="仿宋" w:cs="仿宋" w:hint="eastAsia"/>
          <w:color w:val="000000" w:themeColor="text1"/>
          <w:spacing w:val="4"/>
          <w:sz w:val="32"/>
          <w:szCs w:val="32"/>
        </w:rPr>
        <w:t>公共预</w:t>
      </w:r>
      <w:r>
        <w:rPr>
          <w:rFonts w:ascii="仿宋" w:eastAsia="仿宋" w:hAnsi="仿宋" w:cs="仿宋" w:hint="eastAsia"/>
          <w:color w:val="000000" w:themeColor="text1"/>
          <w:spacing w:val="3"/>
          <w:sz w:val="32"/>
          <w:szCs w:val="32"/>
        </w:rPr>
        <w:t>算</w:t>
      </w:r>
      <w:r>
        <w:rPr>
          <w:rFonts w:ascii="仿宋" w:eastAsia="仿宋" w:hAnsi="仿宋" w:cs="仿宋" w:hint="eastAsia"/>
          <w:color w:val="000000" w:themeColor="text1"/>
          <w:spacing w:val="2"/>
          <w:sz w:val="32"/>
          <w:szCs w:val="32"/>
        </w:rPr>
        <w:t>项目支出所有二级项目1个全面开展绩效自评，共</w:t>
      </w:r>
      <w:r>
        <w:rPr>
          <w:rFonts w:ascii="仿宋" w:eastAsia="仿宋" w:hAnsi="仿宋" w:cs="仿宋" w:hint="eastAsia"/>
          <w:color w:val="000000" w:themeColor="text1"/>
          <w:spacing w:val="-6"/>
          <w:sz w:val="32"/>
          <w:szCs w:val="32"/>
        </w:rPr>
        <w:t>涉及资金60</w:t>
      </w:r>
      <w:r>
        <w:rPr>
          <w:rFonts w:ascii="仿宋" w:eastAsia="仿宋" w:hAnsi="仿宋" w:cs="仿宋" w:hint="eastAsia"/>
          <w:color w:val="000000" w:themeColor="text1"/>
          <w:spacing w:val="-3"/>
          <w:sz w:val="32"/>
          <w:szCs w:val="32"/>
        </w:rPr>
        <w:t>万元。</w:t>
      </w:r>
    </w:p>
    <w:p w:rsidR="001E20BB" w:rsidRDefault="00000000">
      <w:pPr>
        <w:widowControl w:val="0"/>
        <w:kinsoku/>
        <w:snapToGrid/>
        <w:spacing w:line="580" w:lineRule="exact"/>
        <w:ind w:firstLineChars="200" w:firstLine="656"/>
        <w:textAlignment w:val="auto"/>
        <w:rPr>
          <w:rFonts w:asciiTheme="majorEastAsia" w:eastAsiaTheme="majorEastAsia" w:hAnsiTheme="majorEastAsia" w:cstheme="majorEastAsia"/>
          <w:b/>
          <w:snapToGrid/>
          <w:color w:val="000000" w:themeColor="text1"/>
          <w:kern w:val="2"/>
          <w:sz w:val="44"/>
          <w:szCs w:val="44"/>
        </w:rPr>
      </w:pPr>
      <w:r>
        <w:rPr>
          <w:rFonts w:ascii="仿宋" w:eastAsia="仿宋" w:hAnsi="仿宋" w:cs="仿宋" w:hint="eastAsia"/>
          <w:color w:val="000000" w:themeColor="text1"/>
          <w:spacing w:val="4"/>
          <w:sz w:val="32"/>
          <w:szCs w:val="32"/>
        </w:rPr>
        <w:t>组织对</w:t>
      </w:r>
      <w:r>
        <w:rPr>
          <w:rFonts w:ascii="仿宋" w:eastAsia="仿宋" w:hAnsi="仿宋" w:cs="仿宋" w:hint="eastAsia"/>
          <w:color w:val="000000" w:themeColor="text1"/>
          <w:spacing w:val="2"/>
          <w:sz w:val="32"/>
          <w:szCs w:val="32"/>
        </w:rPr>
        <w:t>“因公出国（境）费用”项目开展了部门评价，涉及一般公共预算支</w:t>
      </w:r>
      <w:r>
        <w:rPr>
          <w:rFonts w:ascii="仿宋" w:eastAsia="仿宋" w:hAnsi="仿宋" w:cs="仿宋" w:hint="eastAsia"/>
          <w:color w:val="000000" w:themeColor="text1"/>
          <w:spacing w:val="-4"/>
          <w:sz w:val="32"/>
          <w:szCs w:val="32"/>
        </w:rPr>
        <w:t>出0</w:t>
      </w:r>
      <w:r>
        <w:rPr>
          <w:rFonts w:ascii="仿宋" w:eastAsia="仿宋" w:hAnsi="仿宋" w:cs="仿宋" w:hint="eastAsia"/>
          <w:color w:val="000000" w:themeColor="text1"/>
          <w:spacing w:val="-2"/>
          <w:sz w:val="32"/>
          <w:szCs w:val="32"/>
        </w:rPr>
        <w:t>万元，政府性基金预算支出0万元。</w:t>
      </w:r>
      <w:r>
        <w:rPr>
          <w:rFonts w:ascii="仿宋" w:eastAsia="仿宋" w:hAnsi="仿宋" w:cs="仿宋" w:hint="eastAsia"/>
          <w:color w:val="000000" w:themeColor="text1"/>
          <w:sz w:val="32"/>
          <w:szCs w:val="32"/>
        </w:rPr>
        <w:t>因该项目的是为了保障全区公务出国需求而设立的专项经费，近两年由于疫情原因，无法开展相关活动，故该资金无法使用。</w:t>
      </w:r>
    </w:p>
    <w:p w:rsidR="001E20BB" w:rsidRDefault="001E20BB">
      <w:pPr>
        <w:kinsoku/>
        <w:autoSpaceDE/>
        <w:autoSpaceDN/>
        <w:adjustRightInd/>
        <w:snapToGrid/>
        <w:spacing w:line="580" w:lineRule="exact"/>
        <w:jc w:val="center"/>
        <w:textAlignment w:val="auto"/>
        <w:rPr>
          <w:rFonts w:asciiTheme="majorEastAsia" w:eastAsiaTheme="majorEastAsia" w:hAnsiTheme="majorEastAsia" w:cstheme="majorEastAsia"/>
          <w:b/>
          <w:snapToGrid/>
          <w:color w:val="000000" w:themeColor="text1"/>
          <w:kern w:val="2"/>
          <w:sz w:val="44"/>
          <w:szCs w:val="44"/>
        </w:rPr>
      </w:pPr>
    </w:p>
    <w:p w:rsidR="001E20BB" w:rsidRDefault="001E20BB">
      <w:pPr>
        <w:kinsoku/>
        <w:autoSpaceDE/>
        <w:autoSpaceDN/>
        <w:adjustRightInd/>
        <w:snapToGrid/>
        <w:spacing w:line="580" w:lineRule="exact"/>
        <w:jc w:val="center"/>
        <w:textAlignment w:val="auto"/>
        <w:rPr>
          <w:rFonts w:asciiTheme="majorEastAsia" w:eastAsiaTheme="majorEastAsia" w:hAnsiTheme="majorEastAsia" w:cstheme="majorEastAsia"/>
          <w:b/>
          <w:snapToGrid/>
          <w:color w:val="000000" w:themeColor="text1"/>
          <w:kern w:val="2"/>
          <w:sz w:val="44"/>
          <w:szCs w:val="44"/>
        </w:rPr>
      </w:pPr>
    </w:p>
    <w:p w:rsidR="001E20BB" w:rsidRDefault="001E20BB">
      <w:pPr>
        <w:kinsoku/>
        <w:autoSpaceDE/>
        <w:autoSpaceDN/>
        <w:adjustRightInd/>
        <w:snapToGrid/>
        <w:spacing w:line="580" w:lineRule="exact"/>
        <w:jc w:val="center"/>
        <w:textAlignment w:val="auto"/>
        <w:rPr>
          <w:rFonts w:asciiTheme="majorEastAsia" w:eastAsiaTheme="majorEastAsia" w:hAnsiTheme="majorEastAsia" w:cstheme="majorEastAsia"/>
          <w:b/>
          <w:snapToGrid/>
          <w:color w:val="000000" w:themeColor="text1"/>
          <w:kern w:val="2"/>
          <w:sz w:val="44"/>
          <w:szCs w:val="44"/>
        </w:rPr>
      </w:pPr>
    </w:p>
    <w:p w:rsidR="001E20BB" w:rsidRDefault="00000000">
      <w:pPr>
        <w:kinsoku/>
        <w:autoSpaceDE/>
        <w:autoSpaceDN/>
        <w:adjustRightInd/>
        <w:snapToGrid/>
        <w:spacing w:line="580" w:lineRule="exact"/>
        <w:jc w:val="center"/>
        <w:textAlignment w:val="auto"/>
        <w:rPr>
          <w:rFonts w:asciiTheme="majorEastAsia" w:eastAsiaTheme="majorEastAsia" w:hAnsiTheme="majorEastAsia" w:cstheme="majorEastAsia"/>
          <w:b/>
          <w:snapToGrid/>
          <w:color w:val="000000" w:themeColor="text1"/>
          <w:kern w:val="2"/>
          <w:sz w:val="44"/>
          <w:szCs w:val="44"/>
        </w:rPr>
      </w:pPr>
      <w:r>
        <w:rPr>
          <w:rFonts w:asciiTheme="majorEastAsia" w:eastAsiaTheme="majorEastAsia" w:hAnsiTheme="majorEastAsia" w:cstheme="majorEastAsia" w:hint="eastAsia"/>
          <w:b/>
          <w:snapToGrid/>
          <w:color w:val="000000" w:themeColor="text1"/>
          <w:kern w:val="2"/>
          <w:sz w:val="44"/>
          <w:szCs w:val="44"/>
        </w:rPr>
        <w:t>第四部分 名词解释</w:t>
      </w:r>
    </w:p>
    <w:p w:rsidR="001E20BB" w:rsidRDefault="001E20BB">
      <w:pPr>
        <w:spacing w:line="580" w:lineRule="exact"/>
        <w:rPr>
          <w:rFonts w:asciiTheme="majorEastAsia" w:eastAsiaTheme="majorEastAsia" w:hAnsiTheme="majorEastAsia" w:cstheme="majorEastAsia"/>
          <w:color w:val="000000" w:themeColor="text1"/>
        </w:rPr>
      </w:pPr>
    </w:p>
    <w:p w:rsidR="001E20BB" w:rsidRDefault="00000000">
      <w:pPr>
        <w:kinsoku/>
        <w:snapToGrid/>
        <w:spacing w:line="580" w:lineRule="exact"/>
        <w:ind w:firstLine="600"/>
        <w:textAlignment w:val="auto"/>
        <w:rPr>
          <w:rFonts w:ascii="仿宋" w:eastAsia="仿宋" w:hAnsi="仿宋" w:cs="仿宋"/>
          <w:sz w:val="32"/>
          <w:szCs w:val="32"/>
        </w:rPr>
      </w:pPr>
      <w:r>
        <w:rPr>
          <w:rFonts w:ascii="仿宋" w:eastAsia="仿宋" w:hAnsi="仿宋" w:cs="仿宋" w:hint="eastAsia"/>
          <w:snapToGrid/>
          <w:color w:val="000000" w:themeColor="text1"/>
          <w:kern w:val="2"/>
          <w:sz w:val="32"/>
          <w:szCs w:val="32"/>
        </w:rPr>
        <w:t>名词解释应以财务会计制度、政府收支分类科目以及部门预 算管理等规定为基本说明，可在此基础上结合部门实际情况适当细化。“三公”经费支出和机关运行经费支出口径必需予以说明。</w:t>
      </w:r>
      <w:r>
        <w:rPr>
          <w:rFonts w:ascii="仿宋" w:eastAsia="仿宋" w:hAnsi="仿宋" w:cs="仿宋" w:hint="eastAsia"/>
          <w:sz w:val="32"/>
          <w:szCs w:val="32"/>
        </w:rPr>
        <w:t>“三公”经费支出：指用一般公共预算财政拨款安排的因公出国（境）费、公务用车购置及运行维护费和公务接待费。其中，因公出国（境）</w:t>
      </w:r>
      <w:proofErr w:type="gramStart"/>
      <w:r>
        <w:rPr>
          <w:rFonts w:ascii="仿宋" w:eastAsia="仿宋" w:hAnsi="仿宋" w:cs="仿宋" w:hint="eastAsia"/>
          <w:sz w:val="32"/>
          <w:szCs w:val="32"/>
        </w:rPr>
        <w:t>费反映</w:t>
      </w:r>
      <w:proofErr w:type="gramEnd"/>
      <w:r>
        <w:rPr>
          <w:rFonts w:ascii="仿宋" w:eastAsia="仿宋" w:hAnsi="仿宋" w:cs="仿宋" w:hint="eastAsia"/>
          <w:sz w:val="32"/>
          <w:szCs w:val="32"/>
        </w:rPr>
        <w:t>单位公务出国（境）的国际旅费、国外城市间交通费、住宿费、伙食费、培训费、公杂费等支出；公务用车购置及运行维护费反映单位公务用车车辆购置支出（</w:t>
      </w:r>
      <w:proofErr w:type="gramStart"/>
      <w:r>
        <w:rPr>
          <w:rFonts w:ascii="仿宋" w:eastAsia="仿宋" w:hAnsi="仿宋" w:cs="仿宋" w:hint="eastAsia"/>
          <w:sz w:val="32"/>
          <w:szCs w:val="32"/>
        </w:rPr>
        <w:t>含车辆</w:t>
      </w:r>
      <w:proofErr w:type="gramEnd"/>
      <w:r>
        <w:rPr>
          <w:rFonts w:ascii="仿宋" w:eastAsia="仿宋" w:hAnsi="仿宋" w:cs="仿宋" w:hint="eastAsia"/>
          <w:sz w:val="32"/>
          <w:szCs w:val="32"/>
        </w:rPr>
        <w:t>购置税、牌照费），按规定保留的公务用车燃料费、维修费、过桥过路费、保险费、</w:t>
      </w:r>
      <w:r>
        <w:rPr>
          <w:rFonts w:ascii="仿宋" w:eastAsia="仿宋" w:hAnsi="仿宋" w:cs="仿宋" w:hint="eastAsia"/>
          <w:sz w:val="32"/>
          <w:szCs w:val="32"/>
        </w:rPr>
        <w:lastRenderedPageBreak/>
        <w:t>安全奖励费用等支出；公务接待</w:t>
      </w:r>
      <w:proofErr w:type="gramStart"/>
      <w:r>
        <w:rPr>
          <w:rFonts w:ascii="仿宋" w:eastAsia="仿宋" w:hAnsi="仿宋" w:cs="仿宋" w:hint="eastAsia"/>
          <w:sz w:val="32"/>
          <w:szCs w:val="32"/>
        </w:rPr>
        <w:t>费反映</w:t>
      </w:r>
      <w:proofErr w:type="gramEnd"/>
      <w:r>
        <w:rPr>
          <w:rFonts w:ascii="仿宋" w:eastAsia="仿宋" w:hAnsi="仿宋" w:cs="仿宋" w:hint="eastAsia"/>
          <w:sz w:val="32"/>
          <w:szCs w:val="32"/>
        </w:rPr>
        <w:t>单位按规定开支的各类公务接待（含外宾接待）支出。</w:t>
      </w:r>
    </w:p>
    <w:p w:rsidR="001E20BB" w:rsidRDefault="00000000">
      <w:pPr>
        <w:kinsoku/>
        <w:snapToGrid/>
        <w:spacing w:line="580" w:lineRule="exact"/>
        <w:ind w:firstLine="600"/>
        <w:textAlignment w:val="auto"/>
        <w:rPr>
          <w:rFonts w:ascii="仿宋" w:eastAsia="仿宋" w:hAnsi="仿宋" w:cs="仿宋"/>
          <w:color w:val="000000" w:themeColor="text1"/>
          <w:sz w:val="32"/>
          <w:szCs w:val="32"/>
        </w:rPr>
      </w:pPr>
      <w:r>
        <w:rPr>
          <w:rFonts w:ascii="仿宋" w:eastAsia="仿宋" w:hAnsi="仿宋" w:cs="仿宋" w:hint="eastAsia"/>
          <w:sz w:val="32"/>
          <w:szCs w:val="32"/>
        </w:rPr>
        <w:t>机关运行经费支出：指用一般公共预算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sectPr w:rsidR="001E20BB">
      <w:headerReference w:type="default" r:id="rId19"/>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735B" w:rsidRDefault="002F735B">
      <w:r>
        <w:separator/>
      </w:r>
    </w:p>
  </w:endnote>
  <w:endnote w:type="continuationSeparator" w:id="0">
    <w:p w:rsidR="002F735B" w:rsidRDefault="002F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20BB" w:rsidRDefault="001E20BB">
    <w:pPr>
      <w:spacing w:line="129" w:lineRule="exact"/>
      <w:ind w:firstLine="229"/>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20BB" w:rsidRDefault="001E20BB">
    <w:pPr>
      <w:spacing w:line="116" w:lineRule="exact"/>
      <w:ind w:firstLine="8033"/>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20BB" w:rsidRDefault="001E20BB">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735B" w:rsidRDefault="002F735B">
      <w:r>
        <w:separator/>
      </w:r>
    </w:p>
  </w:footnote>
  <w:footnote w:type="continuationSeparator" w:id="0">
    <w:p w:rsidR="002F735B" w:rsidRDefault="002F7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20BB" w:rsidRDefault="001E20BB">
    <w:pPr>
      <w:pStyle w:val="a5"/>
      <w:pBdr>
        <w:bottom w:val="none" w:sz="0" w:space="0" w:color="auto"/>
      </w:pBdr>
      <w:spacing w:line="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MyZjljODk4MjBjM2Y3NGVlOWJhNTllMTRiNTlmYjYifQ=="/>
  </w:docVars>
  <w:rsids>
    <w:rsidRoot w:val="39096735"/>
    <w:rsid w:val="001E20BB"/>
    <w:rsid w:val="002F735B"/>
    <w:rsid w:val="00BB6AB8"/>
    <w:rsid w:val="01B3243E"/>
    <w:rsid w:val="07D37AB3"/>
    <w:rsid w:val="08D65032"/>
    <w:rsid w:val="0B8A2C7F"/>
    <w:rsid w:val="104B26BB"/>
    <w:rsid w:val="1616084F"/>
    <w:rsid w:val="176267FF"/>
    <w:rsid w:val="1A6C71E2"/>
    <w:rsid w:val="1D694B90"/>
    <w:rsid w:val="21932A3C"/>
    <w:rsid w:val="223700F7"/>
    <w:rsid w:val="25220B67"/>
    <w:rsid w:val="2A23543F"/>
    <w:rsid w:val="2C147790"/>
    <w:rsid w:val="2FC20B96"/>
    <w:rsid w:val="39096735"/>
    <w:rsid w:val="408B24EB"/>
    <w:rsid w:val="46EB66AE"/>
    <w:rsid w:val="4A711E76"/>
    <w:rsid w:val="4E48180D"/>
    <w:rsid w:val="50152E79"/>
    <w:rsid w:val="518F1850"/>
    <w:rsid w:val="553B5262"/>
    <w:rsid w:val="59C83CDC"/>
    <w:rsid w:val="5E653F23"/>
    <w:rsid w:val="639734A4"/>
    <w:rsid w:val="64764B54"/>
    <w:rsid w:val="66F4382B"/>
    <w:rsid w:val="67665232"/>
    <w:rsid w:val="6AC37B45"/>
    <w:rsid w:val="6D67095C"/>
    <w:rsid w:val="6D96212B"/>
    <w:rsid w:val="6F6D428D"/>
    <w:rsid w:val="7AA268AD"/>
    <w:rsid w:val="7D9F7EAC"/>
    <w:rsid w:val="7E620C48"/>
    <w:rsid w:val="7F081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96846545-DFCA-47E8-80BE-B31233EDF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semiHidden/>
    <w:qFormat/>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pPr>
      <w:spacing w:after="120"/>
    </w:pPr>
    <w:rPr>
      <w:szCs w:val="24"/>
    </w:rPr>
  </w:style>
  <w:style w:type="paragraph" w:styleId="a4">
    <w:name w:val="footer"/>
    <w:basedOn w:val="a"/>
    <w:pPr>
      <w:tabs>
        <w:tab w:val="center" w:pos="4153"/>
        <w:tab w:val="right" w:pos="8306"/>
      </w:tabs>
    </w:pPr>
    <w:rPr>
      <w:sz w:val="18"/>
      <w:szCs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Body Text First Indent"/>
    <w:basedOn w:val="a0"/>
    <w:qFormat/>
    <w:pPr>
      <w:ind w:firstLineChars="100" w:firstLine="420"/>
    </w:pPr>
  </w:style>
  <w:style w:type="table" w:customStyle="1" w:styleId="TableNormal">
    <w:name w:val="Table Normal"/>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612</Words>
  <Characters>3492</Characters>
  <Application>Microsoft Office Word</Application>
  <DocSecurity>0</DocSecurity>
  <Lines>29</Lines>
  <Paragraphs>8</Paragraphs>
  <ScaleCrop>false</ScaleCrop>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慎独</dc:creator>
  <cp:lastModifiedBy>吴 庆珊</cp:lastModifiedBy>
  <cp:revision>2</cp:revision>
  <dcterms:created xsi:type="dcterms:W3CDTF">2023-05-26T09:22:00Z</dcterms:created>
  <dcterms:modified xsi:type="dcterms:W3CDTF">2023-05-26T09:22:00Z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EE3C686AE44C4764B47B4CC0ED0B556F</vt:lpwstr>
  </property>
</Properties>
</file>