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217953">
      <w:pPr>
        <w:pStyle w:val="19"/>
        <w:bidi w:val="0"/>
        <w:rPr>
          <w:rFonts w:hint="eastAsia"/>
        </w:rPr>
      </w:pPr>
      <w:r>
        <w:rPr>
          <w:rFonts w:hint="eastAsia"/>
          <w:lang w:eastAsia="zh-CN"/>
        </w:rPr>
        <w:t>南昌市青云谱区人民政府办公室2026</w:t>
      </w:r>
      <w:r>
        <w:rPr>
          <w:rFonts w:hint="eastAsia"/>
        </w:rPr>
        <w:t>年部门预算</w:t>
      </w:r>
    </w:p>
    <w:p w14:paraId="3A34B6A9">
      <w:pPr>
        <w:pStyle w:val="16"/>
        <w:spacing w:line="600" w:lineRule="atLeast"/>
        <w:jc w:val="center"/>
        <w:rPr>
          <w:rFonts w:ascii="黑体" w:hAnsi="黑体" w:eastAsia="黑体"/>
          <w:color w:val="000000"/>
          <w:sz w:val="32"/>
          <w:szCs w:val="32"/>
        </w:rPr>
      </w:pPr>
    </w:p>
    <w:p w14:paraId="668C2449">
      <w:pPr>
        <w:pStyle w:val="16"/>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0FDBB773">
      <w:pPr>
        <w:pStyle w:val="16"/>
        <w:rPr>
          <w:rFonts w:ascii="宋体" w:hAnsi="宋体"/>
          <w:color w:val="000000"/>
        </w:rPr>
      </w:pPr>
    </w:p>
    <w:p w14:paraId="75E1C287">
      <w:pPr>
        <w:pStyle w:val="20"/>
        <w:numPr>
          <w:ilvl w:val="0"/>
          <w:numId w:val="0"/>
        </w:numPr>
        <w:bidi w:val="0"/>
        <w:ind w:left="420" w:leftChars="200"/>
        <w:jc w:val="left"/>
        <w:rPr>
          <w:rFonts w:hint="eastAsia"/>
          <w:lang w:eastAsia="zh-CN"/>
        </w:rPr>
      </w:pPr>
      <w:r>
        <w:rPr>
          <w:rFonts w:hint="eastAsia"/>
          <w:lang w:val="en-US" w:eastAsia="zh-CN"/>
        </w:rPr>
        <w:t>第一部分  南昌市青云谱区人民政府办公室概况</w:t>
      </w:r>
    </w:p>
    <w:p w14:paraId="23483C06">
      <w:pPr>
        <w:pStyle w:val="21"/>
        <w:bidi w:val="0"/>
        <w:rPr>
          <w:rFonts w:hint="eastAsia" w:ascii="仿宋_GB2312" w:hAnsi="仿宋_GB2312" w:eastAsia="仿宋_GB2312" w:cs="仿宋_GB2312"/>
        </w:rPr>
      </w:pPr>
      <w:r>
        <w:rPr>
          <w:rFonts w:hint="eastAsia" w:ascii="仿宋_GB2312" w:hAnsi="仿宋_GB2312" w:eastAsia="仿宋_GB2312" w:cs="仿宋_GB2312"/>
        </w:rPr>
        <w:t>一、部门主要职责</w:t>
      </w:r>
    </w:p>
    <w:p w14:paraId="4025A4A3">
      <w:pPr>
        <w:pStyle w:val="21"/>
        <w:bidi w:val="0"/>
        <w:rPr>
          <w:rFonts w:hint="eastAsia" w:ascii="仿宋_GB2312" w:hAnsi="仿宋_GB2312" w:eastAsia="仿宋_GB2312" w:cs="仿宋_GB2312"/>
        </w:rPr>
      </w:pPr>
      <w:r>
        <w:rPr>
          <w:rFonts w:hint="eastAsia" w:ascii="仿宋_GB2312" w:hAnsi="仿宋_GB2312" w:eastAsia="仿宋_GB2312" w:cs="仿宋_GB2312"/>
        </w:rPr>
        <w:t>二、机构设置及人员情况</w:t>
      </w:r>
    </w:p>
    <w:p w14:paraId="35FB5C58">
      <w:pPr>
        <w:pStyle w:val="20"/>
        <w:numPr>
          <w:ilvl w:val="0"/>
          <w:numId w:val="0"/>
        </w:numPr>
        <w:bidi w:val="0"/>
        <w:ind w:left="420" w:leftChars="200"/>
        <w:jc w:val="left"/>
        <w:rPr>
          <w:rFonts w:hint="eastAsia"/>
        </w:rPr>
      </w:pPr>
      <w:r>
        <w:rPr>
          <w:rFonts w:hint="eastAsia"/>
        </w:rPr>
        <w:t xml:space="preserve">第二部分  </w:t>
      </w:r>
      <w:r>
        <w:rPr>
          <w:rFonts w:hint="eastAsia"/>
          <w:lang w:eastAsia="zh-CN"/>
        </w:rPr>
        <w:t>南昌市青云谱区人民政府办公室2026</w:t>
      </w:r>
      <w:r>
        <w:rPr>
          <w:rFonts w:hint="eastAsia"/>
        </w:rPr>
        <w:t>年部门预算表</w:t>
      </w:r>
    </w:p>
    <w:p w14:paraId="4FC16039">
      <w:pPr>
        <w:pStyle w:val="21"/>
        <w:bidi w:val="0"/>
        <w:rPr>
          <w:rFonts w:hint="eastAsia" w:ascii="仿宋_GB2312" w:hAnsi="仿宋_GB2312" w:eastAsia="仿宋_GB2312" w:cs="仿宋_GB2312"/>
        </w:rPr>
      </w:pPr>
      <w:r>
        <w:rPr>
          <w:rFonts w:hint="eastAsia" w:ascii="仿宋_GB2312" w:hAnsi="仿宋_GB2312" w:eastAsia="仿宋_GB2312" w:cs="仿宋_GB2312"/>
        </w:rPr>
        <w:t>一、《收支预算总表》</w:t>
      </w:r>
    </w:p>
    <w:p w14:paraId="3F1033C3">
      <w:pPr>
        <w:pStyle w:val="21"/>
        <w:bidi w:val="0"/>
        <w:rPr>
          <w:rFonts w:hint="eastAsia" w:ascii="仿宋_GB2312" w:hAnsi="仿宋_GB2312" w:eastAsia="仿宋_GB2312" w:cs="仿宋_GB2312"/>
        </w:rPr>
      </w:pPr>
      <w:r>
        <w:rPr>
          <w:rFonts w:hint="eastAsia" w:ascii="仿宋_GB2312" w:hAnsi="仿宋_GB2312" w:eastAsia="仿宋_GB2312" w:cs="仿宋_GB2312"/>
        </w:rPr>
        <w:t>二、《部门收入总表》</w:t>
      </w:r>
    </w:p>
    <w:p w14:paraId="05487A83">
      <w:pPr>
        <w:pStyle w:val="21"/>
        <w:bidi w:val="0"/>
        <w:rPr>
          <w:rFonts w:hint="eastAsia" w:ascii="仿宋_GB2312" w:hAnsi="仿宋_GB2312" w:eastAsia="仿宋_GB2312" w:cs="仿宋_GB2312"/>
        </w:rPr>
      </w:pPr>
      <w:r>
        <w:rPr>
          <w:rFonts w:hint="eastAsia" w:ascii="仿宋_GB2312" w:hAnsi="仿宋_GB2312" w:eastAsia="仿宋_GB2312" w:cs="仿宋_GB2312"/>
        </w:rPr>
        <w:t>三、《部门支出总表》</w:t>
      </w:r>
    </w:p>
    <w:p w14:paraId="08534EEB">
      <w:pPr>
        <w:pStyle w:val="21"/>
        <w:bidi w:val="0"/>
        <w:rPr>
          <w:rFonts w:hint="eastAsia" w:ascii="仿宋_GB2312" w:hAnsi="仿宋_GB2312" w:eastAsia="仿宋_GB2312" w:cs="仿宋_GB2312"/>
        </w:rPr>
      </w:pPr>
      <w:r>
        <w:rPr>
          <w:rFonts w:hint="eastAsia" w:ascii="仿宋_GB2312" w:hAnsi="仿宋_GB2312" w:eastAsia="仿宋_GB2312" w:cs="仿宋_GB2312"/>
        </w:rPr>
        <w:t>四、《财政拨款收支总表》</w:t>
      </w:r>
    </w:p>
    <w:p w14:paraId="1CAB1C12">
      <w:pPr>
        <w:pStyle w:val="21"/>
        <w:bidi w:val="0"/>
        <w:rPr>
          <w:rFonts w:hint="eastAsia" w:ascii="仿宋_GB2312" w:hAnsi="仿宋_GB2312" w:eastAsia="仿宋_GB2312" w:cs="仿宋_GB2312"/>
        </w:rPr>
      </w:pPr>
      <w:r>
        <w:rPr>
          <w:rFonts w:hint="eastAsia" w:ascii="仿宋_GB2312" w:hAnsi="仿宋_GB2312" w:eastAsia="仿宋_GB2312" w:cs="仿宋_GB2312"/>
        </w:rPr>
        <w:t>五、《一般公共预算支出表》</w:t>
      </w:r>
    </w:p>
    <w:p w14:paraId="2DADAE9A">
      <w:pPr>
        <w:pStyle w:val="21"/>
        <w:bidi w:val="0"/>
        <w:rPr>
          <w:rFonts w:hint="eastAsia" w:ascii="仿宋_GB2312" w:hAnsi="仿宋_GB2312" w:eastAsia="仿宋_GB2312" w:cs="仿宋_GB2312"/>
        </w:rPr>
      </w:pPr>
      <w:r>
        <w:rPr>
          <w:rFonts w:hint="eastAsia" w:ascii="仿宋_GB2312" w:hAnsi="仿宋_GB2312" w:eastAsia="仿宋_GB2312" w:cs="仿宋_GB2312"/>
        </w:rPr>
        <w:t>六、《一般公共预算基本支出表》</w:t>
      </w:r>
    </w:p>
    <w:p w14:paraId="0748522E">
      <w:pPr>
        <w:pStyle w:val="21"/>
        <w:bidi w:val="0"/>
        <w:rPr>
          <w:rFonts w:hint="eastAsia" w:ascii="仿宋_GB2312" w:hAnsi="仿宋_GB2312" w:eastAsia="仿宋_GB2312" w:cs="仿宋_GB2312"/>
        </w:rPr>
      </w:pPr>
      <w:r>
        <w:rPr>
          <w:rFonts w:hint="eastAsia" w:ascii="仿宋_GB2312" w:hAnsi="仿宋_GB2312" w:eastAsia="仿宋_GB2312" w:cs="仿宋_GB2312"/>
        </w:rPr>
        <w:t>七、《财政拨款“三公”经费支出表》</w:t>
      </w:r>
    </w:p>
    <w:p w14:paraId="08B3CDAA">
      <w:pPr>
        <w:pStyle w:val="21"/>
        <w:bidi w:val="0"/>
        <w:rPr>
          <w:rFonts w:hint="eastAsia" w:ascii="仿宋_GB2312" w:hAnsi="仿宋_GB2312" w:eastAsia="仿宋_GB2312" w:cs="仿宋_GB2312"/>
        </w:rPr>
      </w:pPr>
      <w:r>
        <w:rPr>
          <w:rFonts w:hint="eastAsia" w:ascii="仿宋_GB2312" w:hAnsi="仿宋_GB2312" w:eastAsia="仿宋_GB2312" w:cs="仿宋_GB2312"/>
        </w:rPr>
        <w:t>八、《政府性基金预算支出表》</w:t>
      </w:r>
    </w:p>
    <w:p w14:paraId="7A6EDFAB">
      <w:pPr>
        <w:pStyle w:val="21"/>
        <w:bidi w:val="0"/>
        <w:rPr>
          <w:rFonts w:hint="eastAsia" w:ascii="仿宋_GB2312" w:hAnsi="仿宋_GB2312" w:eastAsia="仿宋_GB2312" w:cs="仿宋_GB2312"/>
        </w:rPr>
      </w:pPr>
      <w:r>
        <w:rPr>
          <w:rFonts w:hint="eastAsia" w:ascii="仿宋_GB2312" w:hAnsi="仿宋_GB2312" w:eastAsia="仿宋_GB2312" w:cs="仿宋_GB2312"/>
        </w:rPr>
        <w:t>九、《国有资本经营预算支出表》</w:t>
      </w:r>
      <w:r>
        <w:rPr>
          <w:rFonts w:hint="eastAsia" w:ascii="仿宋_GB2312" w:hAnsi="仿宋_GB2312" w:eastAsia="仿宋_GB2312" w:cs="仿宋_GB2312"/>
        </w:rPr>
        <w:tab/>
      </w:r>
    </w:p>
    <w:p w14:paraId="20661EF8">
      <w:pPr>
        <w:pStyle w:val="21"/>
        <w:bidi w:val="0"/>
        <w:rPr>
          <w:rFonts w:hint="eastAsia" w:ascii="仿宋_GB2312" w:hAnsi="仿宋_GB2312" w:eastAsia="仿宋_GB2312" w:cs="仿宋_GB2312"/>
        </w:rPr>
      </w:pPr>
      <w:r>
        <w:rPr>
          <w:rFonts w:hint="eastAsia" w:ascii="仿宋_GB2312" w:hAnsi="仿宋_GB2312" w:eastAsia="仿宋_GB2312" w:cs="仿宋_GB2312"/>
        </w:rPr>
        <w:t>十、《部门整体绩效目标》</w:t>
      </w:r>
    </w:p>
    <w:p w14:paraId="2FF4C21C">
      <w:pPr>
        <w:pStyle w:val="21"/>
        <w:bidi w:val="0"/>
        <w:rPr>
          <w:rFonts w:hint="eastAsia" w:ascii="仿宋_GB2312" w:hAnsi="仿宋_GB2312" w:eastAsia="仿宋_GB2312" w:cs="仿宋_GB2312"/>
        </w:rPr>
      </w:pPr>
      <w:r>
        <w:rPr>
          <w:rFonts w:hint="eastAsia" w:ascii="仿宋_GB2312" w:hAnsi="仿宋_GB2312" w:eastAsia="仿宋_GB2312" w:cs="仿宋_GB2312"/>
        </w:rPr>
        <w:t>十一、《项目绩效目标</w:t>
      </w:r>
      <w:r>
        <w:rPr>
          <w:rFonts w:hint="eastAsia" w:cs="仿宋_GB2312"/>
          <w:lang w:val="en-US" w:eastAsia="zh-CN"/>
        </w:rPr>
        <w:t>表</w:t>
      </w:r>
      <w:r>
        <w:rPr>
          <w:rFonts w:hint="eastAsia" w:ascii="仿宋_GB2312" w:hAnsi="仿宋_GB2312" w:eastAsia="仿宋_GB2312" w:cs="仿宋_GB2312"/>
        </w:rPr>
        <w:t>》</w:t>
      </w:r>
    </w:p>
    <w:p w14:paraId="36920C17">
      <w:pPr>
        <w:pStyle w:val="20"/>
        <w:numPr>
          <w:ilvl w:val="0"/>
          <w:numId w:val="0"/>
        </w:numPr>
        <w:bidi w:val="0"/>
        <w:ind w:left="420" w:leftChars="200"/>
        <w:jc w:val="left"/>
        <w:rPr>
          <w:rFonts w:hint="eastAsia"/>
          <w:lang w:eastAsia="zh-CN"/>
        </w:rPr>
      </w:pPr>
      <w:r>
        <w:rPr>
          <w:rFonts w:hint="eastAsia"/>
          <w:lang w:eastAsia="zh-CN"/>
        </w:rPr>
        <w:t>第三部分 南昌市青云谱区人民政府办公室 2026年部门预算情况说明</w:t>
      </w:r>
    </w:p>
    <w:p w14:paraId="7604891E">
      <w:pPr>
        <w:pStyle w:val="21"/>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lang w:eastAsia="zh-CN"/>
        </w:rPr>
        <w:t>2026</w:t>
      </w:r>
      <w:r>
        <w:rPr>
          <w:rFonts w:hint="eastAsia" w:ascii="仿宋_GB2312" w:hAnsi="仿宋_GB2312" w:eastAsia="仿宋_GB2312" w:cs="仿宋_GB2312"/>
        </w:rPr>
        <w:t>年部门预算收支情况说明</w:t>
      </w:r>
    </w:p>
    <w:p w14:paraId="2F8F7ED5">
      <w:pPr>
        <w:pStyle w:val="21"/>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ascii="仿宋_GB2312" w:hAnsi="仿宋_GB2312" w:eastAsia="仿宋_GB2312" w:cs="仿宋_GB2312"/>
          <w:lang w:val="en-US" w:eastAsia="zh-CN"/>
        </w:rPr>
        <w:t>财政拨款</w:t>
      </w:r>
      <w:r>
        <w:rPr>
          <w:rFonts w:hint="eastAsia" w:ascii="仿宋_GB2312" w:hAnsi="仿宋_GB2312" w:eastAsia="仿宋_GB2312" w:cs="仿宋_GB2312"/>
        </w:rPr>
        <w:t>“三公”经费预算情况说明</w:t>
      </w:r>
    </w:p>
    <w:p w14:paraId="04DDA788">
      <w:pPr>
        <w:pStyle w:val="16"/>
        <w:tabs>
          <w:tab w:val="left" w:pos="6546"/>
        </w:tabs>
        <w:spacing w:line="600" w:lineRule="atLeast"/>
        <w:ind w:firstLine="1280"/>
        <w:jc w:val="left"/>
        <w:rPr>
          <w:rFonts w:ascii="Adobe 仿宋 Std R" w:hAnsi="Adobe 仿宋 Std R" w:eastAsia="Adobe 仿宋 Std R" w:cstheme="minorBidi"/>
          <w:kern w:val="2"/>
          <w:sz w:val="32"/>
          <w:szCs w:val="30"/>
        </w:rPr>
      </w:pPr>
    </w:p>
    <w:p w14:paraId="00C19316">
      <w:pPr>
        <w:pStyle w:val="20"/>
        <w:numPr>
          <w:ilvl w:val="0"/>
          <w:numId w:val="0"/>
        </w:numPr>
        <w:bidi w:val="0"/>
        <w:ind w:left="420" w:leftChars="200"/>
        <w:jc w:val="left"/>
        <w:rPr>
          <w:rFonts w:hint="eastAsia"/>
          <w:lang w:eastAsia="zh-CN"/>
        </w:rPr>
      </w:pPr>
      <w:r>
        <w:rPr>
          <w:rFonts w:hint="eastAsia"/>
          <w:lang w:eastAsia="zh-CN"/>
        </w:rPr>
        <w:t>第四部分  名词解释</w:t>
      </w:r>
    </w:p>
    <w:p w14:paraId="558EF556">
      <w:pPr>
        <w:widowControl/>
        <w:spacing w:line="580" w:lineRule="exact"/>
        <w:jc w:val="center"/>
        <w:rPr>
          <w:rFonts w:ascii="仿宋_GB2312" w:eastAsia="仿宋_GB2312"/>
          <w:b/>
          <w:sz w:val="32"/>
          <w:szCs w:val="30"/>
        </w:rPr>
      </w:pPr>
    </w:p>
    <w:p w14:paraId="6A266875">
      <w:pPr>
        <w:widowControl/>
        <w:spacing w:line="580" w:lineRule="exact"/>
        <w:jc w:val="center"/>
        <w:rPr>
          <w:rFonts w:ascii="仿宋_GB2312" w:eastAsia="仿宋_GB2312"/>
          <w:b/>
          <w:sz w:val="32"/>
          <w:szCs w:val="30"/>
        </w:rPr>
      </w:pPr>
    </w:p>
    <w:p w14:paraId="33CF5136">
      <w:pPr>
        <w:pStyle w:val="20"/>
        <w:numPr>
          <w:ilvl w:val="0"/>
          <w:numId w:val="0"/>
        </w:numPr>
        <w:bidi w:val="0"/>
        <w:ind w:left="420" w:leftChars="200"/>
        <w:jc w:val="center"/>
        <w:rPr>
          <w:rFonts w:hint="eastAsia"/>
          <w:lang w:eastAsia="zh-CN"/>
        </w:rPr>
      </w:pPr>
      <w:r>
        <w:rPr>
          <w:rFonts w:hint="eastAsia"/>
          <w:lang w:eastAsia="zh-CN"/>
        </w:rPr>
        <w:t>第一部分  南昌市青云谱区人民政府办公室概况</w:t>
      </w:r>
    </w:p>
    <w:p w14:paraId="51A437BF">
      <w:pPr>
        <w:widowControl/>
        <w:spacing w:line="580" w:lineRule="exact"/>
        <w:jc w:val="left"/>
        <w:rPr>
          <w:rFonts w:asciiTheme="minorEastAsia" w:hAnsiTheme="minorEastAsia"/>
          <w:b/>
          <w:sz w:val="36"/>
          <w:szCs w:val="36"/>
        </w:rPr>
      </w:pPr>
    </w:p>
    <w:p w14:paraId="20376D51">
      <w:pPr>
        <w:pStyle w:val="20"/>
        <w:numPr>
          <w:ilvl w:val="0"/>
          <w:numId w:val="0"/>
        </w:numPr>
        <w:bidi w:val="0"/>
        <w:ind w:left="420" w:leftChars="200" w:firstLine="320" w:firstLineChars="100"/>
        <w:rPr>
          <w:rFonts w:hint="eastAsia"/>
        </w:rPr>
      </w:pPr>
      <w:r>
        <w:rPr>
          <w:rFonts w:hint="eastAsia"/>
        </w:rPr>
        <w:t>一、部门主要职责</w:t>
      </w:r>
    </w:p>
    <w:p w14:paraId="0849B5CA">
      <w:pPr>
        <w:pStyle w:val="21"/>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（1）负责上级党委、政府和区委及其各部门文电的签收、分发、传阅及有关文电办理工作。</w:t>
      </w:r>
    </w:p>
    <w:p w14:paraId="664FEA0C">
      <w:pPr>
        <w:pStyle w:val="21"/>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（2）研究审核各街办、镇、园、区政府各部门、区直各单位报送区政府的文电，提出处理意见，报区政府领导审批。</w:t>
      </w:r>
    </w:p>
    <w:p w14:paraId="59E2F7E2">
      <w:pPr>
        <w:pStyle w:val="21"/>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（3）负责区政府和区政府办公室文电的草拟、审核和制发工作。</w:t>
      </w:r>
    </w:p>
    <w:p w14:paraId="6B06E85E">
      <w:pPr>
        <w:pStyle w:val="21"/>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（4）负责区政府会议的会务工作，协助区政府领导组织实施会议的决定，督促检查执行情况。</w:t>
      </w:r>
    </w:p>
    <w:p w14:paraId="7D7529F2">
      <w:pPr>
        <w:pStyle w:val="21"/>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（5）督促检查区政府各部门和各街办、区属各单位对市委、市政府和区委、区政府文件以及领导同志重要批示的执行情况。</w:t>
      </w:r>
    </w:p>
    <w:p w14:paraId="47D5D0AF">
      <w:pPr>
        <w:pStyle w:val="21"/>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（6）根据区政府的部署和安排，组织调查研究全区改革和发展中的重大问题，协助和参与领导决策。</w:t>
      </w:r>
    </w:p>
    <w:p w14:paraId="5FE5014B">
      <w:pPr>
        <w:pStyle w:val="21"/>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（7）根据区政府领导指示或办理文件的需要，组织协调区政府各部门间、街办间、部门与街办间的工作，对有争议的问题提出处理意见，报区政府领导审定。</w:t>
      </w:r>
    </w:p>
    <w:p w14:paraId="6FCD3C96">
      <w:pPr>
        <w:pStyle w:val="21"/>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（8）负责与区人大办公室、区政协办公室的联系，组织督促有关部门和单位及时办理人大代表建议和政协委员提案。</w:t>
      </w:r>
    </w:p>
    <w:p w14:paraId="7C7145A6">
      <w:pPr>
        <w:pStyle w:val="21"/>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（9）负责区政府和区政府办公室的文书档案工作。</w:t>
      </w:r>
    </w:p>
    <w:p w14:paraId="170F6455">
      <w:pPr>
        <w:pStyle w:val="21"/>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（10）负责区政府办公室机关的精神文明建设和公务员队伍建设，做好思想政治工作。</w:t>
      </w:r>
    </w:p>
    <w:p w14:paraId="51B19CC5">
      <w:pPr>
        <w:pStyle w:val="21"/>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（11）负责全区政府系统信息工作，撰写青云谱区人民政府大事记；负责收集、分析、编发区政府各部门、区直各单位报送的政务信息。</w:t>
      </w:r>
    </w:p>
    <w:p w14:paraId="702F6B69">
      <w:pPr>
        <w:pStyle w:val="21"/>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（12）负责全区外事工作。贯彻执行党和国家外事工作方针政策、法规；负责外事接待，配合做好独资、合资、合作企业的等工作。</w:t>
      </w:r>
    </w:p>
    <w:p w14:paraId="354370E0">
      <w:pPr>
        <w:pStyle w:val="21"/>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（13)负责全区信息化建设和管理工作。承担区与省、市信息网联网建设，负责区网站应用系统总体规划并组织实施，协调管理各街道、镇、园、区直各单位之间有关网络等工作。</w:t>
      </w:r>
    </w:p>
    <w:p w14:paraId="31BA8776">
      <w:pPr>
        <w:pStyle w:val="21"/>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(14)负责</w:t>
      </w:r>
      <w:r>
        <w:rPr>
          <w:rFonts w:hint="eastAsia" w:cs="仿宋_GB2312"/>
          <w:lang w:val="en-US" w:eastAsia="zh-CN"/>
        </w:rPr>
        <w:t>政府办公室本级的</w:t>
      </w:r>
      <w:bookmarkStart w:id="0" w:name="_GoBack"/>
      <w:bookmarkEnd w:id="0"/>
      <w:r>
        <w:rPr>
          <w:rFonts w:hint="eastAsia" w:ascii="仿宋_GB2312" w:hAnsi="仿宋_GB2312" w:eastAsia="仿宋_GB2312" w:cs="仿宋_GB2312"/>
          <w:lang w:eastAsia="zh-CN"/>
        </w:rPr>
        <w:t>公共机构节能。</w:t>
      </w:r>
    </w:p>
    <w:p w14:paraId="783FF39D">
      <w:pPr>
        <w:pStyle w:val="21"/>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(15)承办区人民政府交办的其他事项。</w:t>
      </w:r>
    </w:p>
    <w:p w14:paraId="5114AE9F">
      <w:pPr>
        <w:pStyle w:val="20"/>
        <w:numPr>
          <w:ilvl w:val="0"/>
          <w:numId w:val="0"/>
        </w:numPr>
        <w:bidi w:val="0"/>
        <w:ind w:left="420" w:leftChars="200" w:firstLine="320" w:firstLineChars="100"/>
        <w:rPr>
          <w:rFonts w:hint="eastAsia"/>
        </w:rPr>
      </w:pPr>
      <w:r>
        <w:rPr>
          <w:rFonts w:hint="eastAsia"/>
        </w:rPr>
        <w:t>二、机构设置及人员情况</w:t>
      </w:r>
    </w:p>
    <w:p w14:paraId="274C0BFC">
      <w:pPr>
        <w:pStyle w:val="21"/>
        <w:bidi w:val="0"/>
        <w:rPr>
          <w:rFonts w:hint="eastAsia" w:ascii="仿宋_GB2312" w:hAnsi="仿宋_GB2312" w:eastAsia="仿宋_GB2312" w:cs="仿宋_GB2312"/>
        </w:rPr>
      </w:pPr>
      <w:r>
        <w:rPr>
          <w:rFonts w:hint="eastAsia" w:ascii="仿宋_GB2312" w:hAnsi="仿宋_GB2312" w:eastAsia="仿宋_GB2312" w:cs="仿宋_GB2312"/>
          <w:lang w:eastAsia="zh-CN"/>
        </w:rPr>
        <w:t>南昌市青云谱区人民政府办公室共有预算单位3个，包括南昌市青云谱区人民政府办公室和2个所属预算单位，所属预算单位具体包括：</w:t>
      </w:r>
      <w:r>
        <w:rPr>
          <w:rFonts w:hint="eastAsia" w:ascii="仿宋_GB2312" w:hAnsi="仿宋_GB2312" w:eastAsia="仿宋_GB2312" w:cs="仿宋_GB2312"/>
        </w:rPr>
        <w:t>南昌市青云谱区政务公开事务中心、南昌市青云谱区金融服务中心。</w:t>
      </w:r>
    </w:p>
    <w:p w14:paraId="167F280A">
      <w:pPr>
        <w:pStyle w:val="21"/>
        <w:bidi w:val="0"/>
        <w:rPr>
          <w:rFonts w:hint="eastAsia" w:ascii="仿宋_GB2312" w:hAnsi="仿宋_GB2312" w:eastAsia="仿宋_GB2312" w:cs="仿宋_GB2312"/>
        </w:rPr>
      </w:pP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${page400644146.ds532982397_REP_JX_BAS_AGENCY_INFO_ZYFRS_S_BZRSXJ}</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编制人数小计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46</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t>其中：</w:t>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${page400644146.ds532982397_REP_JX_BAS_AGENCY_INFO_ZYFRS_S_BZRSMX}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行政编制人数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19</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人，参照公务员管理的事业编制人数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人，全部补助事业编制人数</w:t>
      </w:r>
      <w:r>
        <w:rPr>
          <w:rFonts w:hint="eastAsia" w:cs="仿宋_GB2312"/>
          <w:kern w:val="0"/>
          <w:sz w:val="32"/>
          <w:szCs w:val="32"/>
          <w:highlight w:val="none"/>
          <w:u w:val="single"/>
          <w:lang w:val="en-US" w:eastAsia="zh-CN" w:bidi="ar-SA"/>
        </w:rPr>
        <w:t>27</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人，自收自支编制人数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${page400644146.ds532982397_REP_JX_BAS_AGENCY_INFO_ZYFRS_S_SYRSXJ}</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实有人数小计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33</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t>其中：</w:t>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${page400644146.ds532982397_REP_JX_BAS_AGENCY_INFO_ZYFRS_S_ZZRSXJ}</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在职人数小计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33</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${page400644146.ds532982397_REP_JX_BAS_AGENCY_INFO_ZYFRS_S_ZZRSMX}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行政在职人数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16</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人，参照公务员管理的事业部门在职人数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人，全部补助事业在职人数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17</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${page400644146.ds532982397_REP_JX_BAS_AGENCY_INFO_ZYFRS_S_QTRSMX}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离休人数小计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6</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人，退休人数小计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6</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人，退职人员</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en-US" w:eastAsia="zh-CN" w:bidi="ar-SA"/>
        </w:rPr>
        <w:t>，</w:t>
      </w:r>
      <w:r>
        <w:rPr>
          <w:rFonts w:hint="eastAsia" w:ascii="仿宋_GB2312" w:hAnsi="仿宋_GB2312" w:eastAsia="仿宋_GB2312" w:cs="仿宋_GB2312"/>
          <w:kern w:val="0"/>
          <w:sz w:val="32"/>
          <w:szCs w:val="32"/>
          <w:highlight w:val="none"/>
          <w:lang w:val="zh-CN" w:eastAsia="zh-CN" w:bidi="ar-SA"/>
        </w:rPr>
        <w:t>遗属人数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${page400644146.ds532982397_REP_JX_BAS_AGENCY_INFO_ZYFRS_S_ZXXSMX}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在校学生</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人，其中</w:t>
      </w:r>
      <w:r>
        <w:rPr>
          <w:rFonts w:hint="default" w:ascii="仿宋_GB2312" w:hAnsi="仿宋_GB2312" w:eastAsia="仿宋_GB2312" w:cs="仿宋_GB2312"/>
          <w:kern w:val="0"/>
          <w:sz w:val="32"/>
          <w:szCs w:val="32"/>
          <w:highlight w:val="none"/>
          <w:lang w:val="en-US" w:eastAsia="zh-CN" w:bidi="ar-SA"/>
        </w:rPr>
        <w:t>:</w:t>
      </w:r>
      <w:r>
        <w:rPr>
          <w:rFonts w:hint="eastAsia" w:ascii="仿宋_GB2312" w:hAnsi="仿宋_GB2312" w:eastAsia="仿宋_GB2312" w:cs="仿宋_GB2312"/>
          <w:kern w:val="0"/>
          <w:sz w:val="32"/>
          <w:szCs w:val="32"/>
          <w:highlight w:val="none"/>
          <w:lang w:val="en-US" w:eastAsia="zh-CN" w:bidi="ar-SA"/>
        </w:rPr>
        <w:t>小学</w:t>
      </w:r>
      <w:r>
        <w:rPr>
          <w:rFonts w:hint="eastAsia" w:ascii="仿宋_GB2312" w:hAnsi="仿宋_GB2312" w:eastAsia="仿宋_GB2312" w:cs="仿宋_GB2312"/>
          <w:kern w:val="0"/>
          <w:sz w:val="32"/>
          <w:szCs w:val="32"/>
          <w:highlight w:val="none"/>
          <w:lang w:val="zh-CN" w:eastAsia="zh-CN" w:bidi="ar-SA"/>
        </w:rPr>
        <w:t>生人数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人，初中生人数</w:t>
      </w:r>
      <w:r>
        <w:rPr>
          <w:rFonts w:hint="default" w:ascii="仿宋_GB2312" w:hAnsi="仿宋_GB2312" w:eastAsia="仿宋_GB2312" w:cs="仿宋_GB2312"/>
          <w:kern w:val="0"/>
          <w:sz w:val="32"/>
          <w:szCs w:val="32"/>
          <w:highlight w:val="none"/>
          <w:lang w:val="en-US" w:eastAsia="zh-CN" w:bidi="ar-SA"/>
        </w:rPr>
        <w:t xml:space="preserve"> </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p>
    <w:p w14:paraId="09DE7879">
      <w:pPr>
        <w:widowControl/>
        <w:spacing w:line="580" w:lineRule="exact"/>
        <w:jc w:val="both"/>
        <w:rPr>
          <w:rFonts w:ascii="仿宋_GB2312" w:eastAsia="仿宋_GB2312"/>
          <w:b/>
          <w:szCs w:val="30"/>
        </w:rPr>
      </w:pPr>
    </w:p>
    <w:p w14:paraId="1865749F">
      <w:pPr>
        <w:pStyle w:val="20"/>
        <w:numPr>
          <w:ilvl w:val="0"/>
          <w:numId w:val="0"/>
        </w:numPr>
        <w:bidi w:val="0"/>
        <w:ind w:left="420" w:leftChars="200"/>
        <w:jc w:val="center"/>
        <w:rPr>
          <w:rFonts w:hint="eastAsia"/>
          <w:lang w:eastAsia="zh-CN"/>
        </w:rPr>
      </w:pPr>
      <w:r>
        <w:rPr>
          <w:rFonts w:hint="eastAsia"/>
          <w:lang w:eastAsia="zh-CN"/>
        </w:rPr>
        <w:t>第二部分  南昌市青云谱区人民政府办公室2026年部门预算表</w:t>
      </w:r>
    </w:p>
    <w:p w14:paraId="0F5524B6">
      <w:pPr>
        <w:pStyle w:val="20"/>
        <w:numPr>
          <w:ilvl w:val="0"/>
          <w:numId w:val="0"/>
        </w:numPr>
        <w:bidi w:val="0"/>
        <w:ind w:left="420" w:leftChars="200"/>
        <w:jc w:val="center"/>
        <w:rPr>
          <w:rFonts w:hint="eastAsia"/>
          <w:lang w:val="en-US" w:eastAsia="zh-CN"/>
        </w:rPr>
      </w:pPr>
    </w:p>
    <w:p w14:paraId="3D3D8C65">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highlight w:val="none"/>
          <w:lang w:val="zh-CN" w:eastAsia="zh-CN" w:bidi="ar-SA"/>
        </w:rPr>
      </w:pPr>
      <w:r>
        <w:rPr>
          <w:rFonts w:hint="eastAsia" w:ascii="仿宋_GB2312" w:hAnsi="仿宋_GB2312" w:eastAsia="仿宋_GB2312" w:cs="仿宋_GB2312"/>
          <w:kern w:val="0"/>
          <w:sz w:val="32"/>
          <w:szCs w:val="32"/>
          <w:highlight w:val="none"/>
          <w:lang w:val="zh-CN" w:eastAsia="zh-CN" w:bidi="ar-SA"/>
        </w:rPr>
        <w:t>（详见附表）</w:t>
      </w:r>
    </w:p>
    <w:p w14:paraId="31565CE9">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highlight w:val="none"/>
          <w:lang w:val="zh-CN" w:eastAsia="zh-CN" w:bidi="ar-SA"/>
        </w:rPr>
      </w:pPr>
      <w:r>
        <w:rPr>
          <w:rFonts w:hint="eastAsia" w:ascii="仿宋_GB2312" w:hAnsi="仿宋_GB2312" w:eastAsia="仿宋_GB2312" w:cs="仿宋_GB2312"/>
          <w:kern w:val="0"/>
          <w:sz w:val="32"/>
          <w:szCs w:val="32"/>
          <w:highlight w:val="none"/>
          <w:lang w:val="en-US" w:eastAsia="en-US" w:bidi="ar-SA"/>
        </w:rPr>
        <w:t>（注：①由于本说明中数据四舍五入原因，部分汇总数据与分项加总之和可能存在尾差；②表格详见附件，若其中某张表为空表或表中数据为0，则说明没有相关收支预算安排。）</w:t>
      </w:r>
    </w:p>
    <w:p w14:paraId="4B37049B">
      <w:pPr>
        <w:rPr>
          <w:rFonts w:hint="eastAsia"/>
          <w:lang w:val="en-US" w:eastAsia="zh-CN"/>
        </w:rPr>
      </w:pPr>
    </w:p>
    <w:p w14:paraId="41DD89A5">
      <w:pPr>
        <w:pStyle w:val="20"/>
        <w:numPr>
          <w:ilvl w:val="0"/>
          <w:numId w:val="0"/>
        </w:numPr>
        <w:bidi w:val="0"/>
        <w:jc w:val="both"/>
        <w:rPr>
          <w:rFonts w:hint="eastAsia"/>
          <w:lang w:val="en-US" w:eastAsia="zh-CN"/>
        </w:rPr>
      </w:pPr>
    </w:p>
    <w:p w14:paraId="5552041C">
      <w:pPr>
        <w:pStyle w:val="20"/>
        <w:numPr>
          <w:ilvl w:val="0"/>
          <w:numId w:val="0"/>
        </w:numPr>
        <w:bidi w:val="0"/>
        <w:ind w:left="420" w:leftChars="200"/>
        <w:jc w:val="center"/>
        <w:rPr>
          <w:rFonts w:hint="eastAsia"/>
          <w:lang w:eastAsia="zh-CN"/>
        </w:rPr>
      </w:pPr>
      <w:r>
        <w:rPr>
          <w:rFonts w:hint="eastAsia"/>
          <w:lang w:val="en-US" w:eastAsia="zh-CN"/>
        </w:rPr>
        <w:t>第三部分  南昌市青云谱区人民政府办公室2026年部门预算情况说明</w:t>
      </w:r>
    </w:p>
    <w:p w14:paraId="64CD6F80">
      <w:pPr>
        <w:pStyle w:val="20"/>
        <w:numPr>
          <w:ilvl w:val="0"/>
          <w:numId w:val="0"/>
        </w:numPr>
        <w:bidi w:val="0"/>
        <w:ind w:left="420" w:leftChars="200"/>
        <w:jc w:val="center"/>
        <w:rPr>
          <w:rFonts w:hint="eastAsia"/>
          <w:lang w:eastAsia="zh-CN"/>
        </w:rPr>
      </w:pPr>
    </w:p>
    <w:p w14:paraId="67F244E4">
      <w:pPr>
        <w:pStyle w:val="20"/>
        <w:numPr>
          <w:ilvl w:val="0"/>
          <w:numId w:val="0"/>
        </w:numPr>
        <w:bidi w:val="0"/>
        <w:ind w:left="420" w:leftChars="200" w:firstLine="321" w:firstLineChars="100"/>
        <w:rPr>
          <w:rFonts w:ascii="楷体_GB2312" w:eastAsia="楷体_GB2312"/>
          <w:b/>
          <w:sz w:val="32"/>
          <w:szCs w:val="30"/>
        </w:rPr>
      </w:pPr>
      <w:r>
        <w:rPr>
          <w:rFonts w:hint="eastAsia" w:ascii="楷体_GB2312" w:eastAsia="楷体_GB2312"/>
          <w:b/>
          <w:sz w:val="32"/>
          <w:szCs w:val="30"/>
        </w:rPr>
        <w:t>一、</w:t>
      </w:r>
      <w:r>
        <w:rPr>
          <w:rFonts w:hint="eastAsia" w:ascii="楷体_GB2312" w:eastAsia="楷体_GB2312"/>
          <w:b/>
          <w:sz w:val="32"/>
          <w:szCs w:val="30"/>
          <w:lang w:eastAsia="zh-CN"/>
        </w:rPr>
        <w:t>2026</w:t>
      </w:r>
      <w:r>
        <w:rPr>
          <w:rFonts w:hint="eastAsia" w:ascii="楷体_GB2312" w:eastAsia="楷体_GB2312"/>
          <w:b/>
          <w:sz w:val="32"/>
          <w:szCs w:val="30"/>
        </w:rPr>
        <w:t>年部门预算收支情况说明</w:t>
      </w:r>
    </w:p>
    <w:p w14:paraId="06975F9C">
      <w:pPr>
        <w:pStyle w:val="22"/>
        <w:numPr>
          <w:ilvl w:val="0"/>
          <w:numId w:val="0"/>
        </w:numPr>
        <w:bidi w:val="0"/>
        <w:ind w:left="420" w:leftChars="200"/>
        <w:rPr>
          <w:rFonts w:hint="eastAsia"/>
        </w:rPr>
      </w:pPr>
      <w:r>
        <w:rPr>
          <w:rFonts w:hint="eastAsia"/>
        </w:rPr>
        <w:t xml:space="preserve"> (一)收入预算情况</w:t>
      </w:r>
    </w:p>
    <w:p w14:paraId="70BE13F8">
      <w:pPr>
        <w:pStyle w:val="21"/>
        <w:bidi w:val="0"/>
        <w:rPr>
          <w:rFonts w:hint="eastAsia"/>
        </w:rPr>
      </w:pPr>
      <w:r>
        <w:rPr>
          <w:rFonts w:hint="eastAsia"/>
          <w:lang w:eastAsia="zh-CN"/>
        </w:rPr>
        <w:t>2026</w:t>
      </w:r>
      <w:r>
        <w:rPr>
          <w:rFonts w:hint="eastAsia"/>
        </w:rPr>
        <w:t>年</w:t>
      </w:r>
      <w:r>
        <w:rPr>
          <w:rFonts w:hint="eastAsia"/>
          <w:lang w:eastAsia="zh-CN"/>
        </w:rPr>
        <w:t>南昌市青云谱区人民政府办公室</w:t>
      </w:r>
      <w:r>
        <w:rPr>
          <w:rFonts w:hint="eastAsia"/>
        </w:rPr>
        <w:t>收入预算总额为953.96万元</w:t>
      </w:r>
      <w:r>
        <w:rPr>
          <w:rFonts w:hint="eastAsia"/>
          <w:lang w:eastAsia="zh-CN"/>
        </w:rPr>
        <w:t>，</w:t>
      </w:r>
      <w:r>
        <w:rPr>
          <w:rFonts w:hint="eastAsia"/>
        </w:rPr>
        <w:t>较上年预算安排减少</w:t>
      </w:r>
      <w:r>
        <w:rPr>
          <w:rFonts w:hint="eastAsia"/>
          <w:u w:val="single"/>
          <w:lang w:val="en-US" w:eastAsia="zh-CN"/>
        </w:rPr>
        <w:t>73.04</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收入预算总额</w:t>
      </w:r>
      <w:r>
        <w:rPr>
          <w:rFonts w:hint="eastAsia"/>
          <w:lang w:eastAsia="zh-CN"/>
        </w:rPr>
        <w:t>；本年收入合计953.96万元，较上年预算安排</w:t>
      </w:r>
      <w:r>
        <w:rPr>
          <w:rFonts w:hint="eastAsia"/>
        </w:rPr>
        <w:t>减少</w:t>
      </w:r>
      <w:r>
        <w:rPr>
          <w:rFonts w:hint="eastAsia"/>
          <w:u w:val="single"/>
          <w:lang w:val="en-US" w:eastAsia="zh-CN"/>
        </w:rPr>
        <w:t>73.04</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lang w:eastAsia="zh-CN"/>
        </w:rPr>
        <w:t>本年收入合计</w:t>
      </w:r>
      <w:r>
        <w:rPr>
          <w:rFonts w:hint="eastAsia"/>
          <w:lang w:eastAsia="zh-CN"/>
        </w:rPr>
        <w:t>；包括：财政拨款收入878.96万元，较上年预算安排增加</w:t>
      </w:r>
      <w:r>
        <w:rPr>
          <w:rFonts w:hint="eastAsia"/>
          <w:u w:val="single"/>
          <w:lang w:val="en-US" w:eastAsia="zh-CN"/>
        </w:rPr>
        <w:t>45.78</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本部门因业务需要，故增加</w:t>
      </w:r>
      <w:r>
        <w:rPr>
          <w:rFonts w:hint="eastAsia"/>
          <w:u w:val="single"/>
          <w:lang w:eastAsia="zh-CN"/>
        </w:rPr>
        <w:t>财政拨款收入</w:t>
      </w:r>
      <w:r>
        <w:rPr>
          <w:rFonts w:hint="eastAsia"/>
          <w:lang w:eastAsia="zh-CN"/>
        </w:rPr>
        <w:t>；其他收入75.00万元，较上年预算安排减少</w:t>
      </w:r>
      <w:r>
        <w:rPr>
          <w:rFonts w:hint="eastAsia"/>
          <w:u w:val="single"/>
          <w:lang w:val="en-US" w:eastAsia="zh-CN"/>
        </w:rPr>
        <w:t>75.00</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lang w:eastAsia="zh-CN"/>
        </w:rPr>
        <w:t>其他收入</w:t>
      </w:r>
      <w:r>
        <w:rPr>
          <w:rFonts w:hint="eastAsia"/>
          <w:lang w:eastAsia="zh-CN"/>
        </w:rPr>
        <w:t>。</w:t>
      </w:r>
      <w:r>
        <w:rPr>
          <w:rFonts w:hint="eastAsia"/>
          <w:lang w:val="en-US" w:eastAsia="zh-CN"/>
        </w:rPr>
        <w:t>上年结转（结余）0万元，</w:t>
      </w:r>
      <w:r>
        <w:rPr>
          <w:rFonts w:hint="eastAsia"/>
          <w:lang w:eastAsia="zh-CN"/>
        </w:rPr>
        <w:t>较上年预算安排减</w:t>
      </w:r>
      <w:r>
        <w:rPr>
          <w:rFonts w:hint="eastAsia"/>
          <w:lang w:val="en-US" w:eastAsia="zh-CN"/>
        </w:rPr>
        <w:t>少</w:t>
      </w:r>
      <w:r>
        <w:rPr>
          <w:rFonts w:hint="eastAsia"/>
          <w:u w:val="single"/>
          <w:lang w:val="en-US" w:eastAsia="zh-CN"/>
        </w:rPr>
        <w:t>43.82</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lang w:val="en-US" w:eastAsia="zh-CN"/>
        </w:rPr>
        <w:t>上年结转（结余）</w:t>
      </w:r>
      <w:r>
        <w:rPr>
          <w:rFonts w:hint="eastAsia"/>
          <w:lang w:val="en-US" w:eastAsia="zh-CN"/>
        </w:rPr>
        <w:t>。</w:t>
      </w:r>
    </w:p>
    <w:p w14:paraId="71C9E87E">
      <w:pPr>
        <w:pStyle w:val="22"/>
        <w:numPr>
          <w:ilvl w:val="0"/>
          <w:numId w:val="0"/>
        </w:numPr>
        <w:bidi w:val="0"/>
        <w:ind w:left="420" w:leftChars="200"/>
        <w:rPr>
          <w:rFonts w:hint="eastAsia"/>
        </w:rPr>
      </w:pPr>
      <w:r>
        <w:rPr>
          <w:rFonts w:hint="eastAsia"/>
        </w:rPr>
        <w:t xml:space="preserve"> </w:t>
      </w:r>
      <w:r>
        <w:rPr>
          <w:rFonts w:hint="eastAsia"/>
          <w:lang w:val="en-US" w:eastAsia="zh-CN"/>
        </w:rPr>
        <w:t>(二)支出预算情况</w:t>
      </w:r>
    </w:p>
    <w:p w14:paraId="2B356817">
      <w:pPr>
        <w:pStyle w:val="21"/>
        <w:bidi w:val="0"/>
        <w:rPr>
          <w:rFonts w:hint="eastAsia"/>
        </w:rPr>
      </w:pPr>
      <w:r>
        <w:rPr>
          <w:rFonts w:hint="eastAsia"/>
          <w:lang w:eastAsia="zh-CN"/>
        </w:rPr>
        <w:t>2026</w:t>
      </w:r>
      <w:r>
        <w:rPr>
          <w:rFonts w:hint="eastAsia"/>
        </w:rPr>
        <w:t>年</w:t>
      </w:r>
      <w:r>
        <w:rPr>
          <w:rFonts w:hint="eastAsia"/>
          <w:lang w:eastAsia="zh-CN"/>
        </w:rPr>
        <w:t>南昌市青云谱区人民政府办公室</w:t>
      </w:r>
      <w:r>
        <w:rPr>
          <w:rFonts w:hint="eastAsia"/>
        </w:rPr>
        <w:t>支出预算总额为953.96万元</w:t>
      </w:r>
      <w:r>
        <w:rPr>
          <w:rFonts w:hint="eastAsia"/>
          <w:lang w:eastAsia="zh-CN"/>
        </w:rPr>
        <w:t>，</w:t>
      </w:r>
      <w:r>
        <w:rPr>
          <w:rFonts w:hint="eastAsia"/>
        </w:rPr>
        <w:t>较上年预算安排减少</w:t>
      </w:r>
      <w:r>
        <w:rPr>
          <w:rFonts w:hint="eastAsia"/>
          <w:u w:val="single"/>
          <w:lang w:val="en-US" w:eastAsia="zh-CN"/>
        </w:rPr>
        <w:t>73.04</w:t>
      </w:r>
      <w:r>
        <w:rPr>
          <w:rFonts w:hint="eastAsia"/>
        </w:rPr>
        <w:t xml:space="preserve">万元。 </w:t>
      </w:r>
    </w:p>
    <w:p w14:paraId="6FA2556E">
      <w:pPr>
        <w:pStyle w:val="21"/>
        <w:bidi w:val="0"/>
        <w:rPr>
          <w:rFonts w:hint="eastAsia"/>
        </w:rPr>
      </w:pPr>
      <w:r>
        <w:rPr>
          <w:rFonts w:hint="eastAsia"/>
        </w:rPr>
        <w:t>按支出项目类别划分：基本支出921.76万元</w:t>
      </w:r>
      <w:r>
        <w:rPr>
          <w:rFonts w:hint="eastAsia"/>
          <w:lang w:eastAsia="zh-CN"/>
        </w:rPr>
        <w:t>，</w:t>
      </w:r>
      <w:r>
        <w:rPr>
          <w:rFonts w:hint="eastAsia"/>
        </w:rPr>
        <w:t>较上年预算安排减少</w:t>
      </w:r>
      <w:r>
        <w:rPr>
          <w:rFonts w:hint="eastAsia"/>
          <w:u w:val="single"/>
          <w:lang w:val="en-US" w:eastAsia="zh-CN"/>
        </w:rPr>
        <w:t>61.53</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rPr>
        <w:t>基</w:t>
      </w:r>
      <w:r>
        <w:rPr>
          <w:rFonts w:hint="eastAsia"/>
          <w:u w:val="single"/>
        </w:rPr>
        <w:t>本支出</w:t>
      </w:r>
      <w:r>
        <w:rPr>
          <w:rFonts w:hint="eastAsia" w:cs="仿宋_GB2312"/>
          <w:kern w:val="0"/>
          <w:sz w:val="32"/>
          <w:szCs w:val="32"/>
          <w:highlight w:val="none"/>
          <w:u w:val="single"/>
          <w:lang w:val="en-US" w:eastAsia="zh-CN" w:bidi="ar-SA"/>
        </w:rPr>
        <w:t>，</w:t>
      </w:r>
      <w:r>
        <w:rPr>
          <w:rFonts w:hint="eastAsia" w:ascii="仿宋_GB2312" w:hAnsi="仿宋_GB2312" w:eastAsia="仿宋_GB2312" w:cs="仿宋_GB2312"/>
          <w:kern w:val="0"/>
          <w:sz w:val="32"/>
          <w:szCs w:val="32"/>
          <w:highlight w:val="none"/>
          <w:lang w:val="zh-CN" w:eastAsia="zh-CN" w:bidi="ar-SA"/>
        </w:rPr>
        <w:t>其中：工资福利支出</w:t>
      </w:r>
      <w:r>
        <w:rPr>
          <w:rFonts w:hint="eastAsia" w:cs="仿宋_GB2312"/>
          <w:kern w:val="0"/>
          <w:sz w:val="32"/>
          <w:szCs w:val="32"/>
          <w:highlight w:val="none"/>
          <w:u w:val="single"/>
          <w:lang w:val="en-US" w:eastAsia="zh-CN" w:bidi="ar-SA"/>
        </w:rPr>
        <w:t>696.74</w:t>
      </w:r>
      <w:r>
        <w:rPr>
          <w:rFonts w:hint="eastAsia" w:ascii="仿宋_GB2312" w:hAnsi="仿宋_GB2312" w:eastAsia="仿宋_GB2312" w:cs="仿宋_GB2312"/>
          <w:kern w:val="0"/>
          <w:sz w:val="32"/>
          <w:szCs w:val="32"/>
          <w:highlight w:val="none"/>
          <w:lang w:val="zh-CN" w:eastAsia="zh-CN" w:bidi="ar-SA"/>
        </w:rPr>
        <w:t>万元，商品和服务支出</w:t>
      </w:r>
      <w:r>
        <w:rPr>
          <w:rFonts w:hint="eastAsia" w:cs="仿宋_GB2312"/>
          <w:kern w:val="0"/>
          <w:sz w:val="32"/>
          <w:szCs w:val="32"/>
          <w:highlight w:val="none"/>
          <w:u w:val="single"/>
          <w:lang w:val="en-US" w:eastAsia="zh-CN" w:bidi="ar-SA"/>
        </w:rPr>
        <w:t>221.09</w:t>
      </w:r>
      <w:r>
        <w:rPr>
          <w:rFonts w:hint="eastAsia" w:ascii="仿宋_GB2312" w:hAnsi="仿宋_GB2312" w:eastAsia="仿宋_GB2312" w:cs="仿宋_GB2312"/>
          <w:kern w:val="0"/>
          <w:sz w:val="32"/>
          <w:szCs w:val="32"/>
          <w:highlight w:val="none"/>
          <w:lang w:val="zh-CN" w:eastAsia="zh-CN" w:bidi="ar-SA"/>
        </w:rPr>
        <w:t>万元，对个人和家庭的补助</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1.92</w:t>
      </w:r>
      <w:r>
        <w:rPr>
          <w:rFonts w:hint="eastAsia" w:ascii="仿宋_GB2312" w:hAnsi="仿宋_GB2312" w:eastAsia="仿宋_GB2312" w:cs="仿宋_GB2312"/>
          <w:kern w:val="0"/>
          <w:sz w:val="32"/>
          <w:szCs w:val="32"/>
          <w:highlight w:val="none"/>
          <w:lang w:val="zh-CN" w:eastAsia="zh-CN" w:bidi="ar-SA"/>
        </w:rPr>
        <w:t>万元，资本性支出</w:t>
      </w:r>
      <w:r>
        <w:rPr>
          <w:rFonts w:hint="eastAsia" w:cs="仿宋_GB2312"/>
          <w:kern w:val="0"/>
          <w:sz w:val="32"/>
          <w:szCs w:val="32"/>
          <w:highlight w:val="none"/>
          <w:u w:val="single"/>
          <w:lang w:val="en-US" w:eastAsia="zh-CN" w:bidi="ar-SA"/>
        </w:rPr>
        <w:t>2.00</w:t>
      </w:r>
      <w:r>
        <w:rPr>
          <w:rFonts w:hint="eastAsia" w:ascii="仿宋_GB2312" w:hAnsi="仿宋_GB2312" w:eastAsia="仿宋_GB2312" w:cs="仿宋_GB2312"/>
          <w:kern w:val="0"/>
          <w:sz w:val="32"/>
          <w:szCs w:val="32"/>
          <w:highlight w:val="none"/>
          <w:lang w:val="zh-CN" w:eastAsia="zh-CN" w:bidi="ar-SA"/>
        </w:rPr>
        <w:t>万元</w:t>
      </w:r>
      <w:r>
        <w:rPr>
          <w:rFonts w:hint="eastAsia"/>
          <w:lang w:eastAsia="zh-CN"/>
        </w:rPr>
        <w:t>；</w:t>
      </w:r>
      <w:r>
        <w:rPr>
          <w:rFonts w:hint="eastAsia"/>
        </w:rPr>
        <w:t>项目支出32.20万元</w:t>
      </w:r>
      <w:r>
        <w:rPr>
          <w:rFonts w:hint="eastAsia"/>
          <w:lang w:eastAsia="zh-CN"/>
        </w:rPr>
        <w:t>，</w:t>
      </w:r>
      <w:r>
        <w:rPr>
          <w:rFonts w:hint="eastAsia"/>
        </w:rPr>
        <w:t>较上年预算安排减</w:t>
      </w:r>
      <w:r>
        <w:rPr>
          <w:rFonts w:hint="eastAsia"/>
          <w:u w:val="single"/>
          <w:lang w:val="en-US" w:eastAsia="zh-CN"/>
        </w:rPr>
        <w:t>11.50</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项目支出</w:t>
      </w:r>
      <w:r>
        <w:rPr>
          <w:rFonts w:hint="eastAsia" w:cs="仿宋_GB2312"/>
          <w:kern w:val="0"/>
          <w:sz w:val="32"/>
          <w:szCs w:val="32"/>
          <w:highlight w:val="none"/>
          <w:u w:val="single"/>
          <w:lang w:val="en-US" w:eastAsia="zh-CN" w:bidi="ar-SA"/>
        </w:rPr>
        <w:t>，</w:t>
      </w:r>
      <w:r>
        <w:rPr>
          <w:rFonts w:hint="eastAsia" w:ascii="仿宋_GB2312" w:hAnsi="仿宋_GB2312" w:eastAsia="仿宋_GB2312" w:cs="仿宋_GB2312"/>
          <w:kern w:val="0"/>
          <w:sz w:val="32"/>
          <w:szCs w:val="32"/>
          <w:highlight w:val="none"/>
          <w:lang w:val="zh-CN" w:eastAsia="zh-CN" w:bidi="ar-SA"/>
        </w:rPr>
        <w:t>其中：商品和服务支出</w:t>
      </w:r>
      <w:r>
        <w:rPr>
          <w:rFonts w:hint="eastAsia"/>
          <w:i w:val="0"/>
          <w:iCs w:val="0"/>
          <w:u w:val="single"/>
        </w:rPr>
        <w:t>32.20</w:t>
      </w:r>
      <w:r>
        <w:rPr>
          <w:rFonts w:hint="eastAsia" w:ascii="仿宋_GB2312" w:hAnsi="仿宋_GB2312" w:eastAsia="仿宋_GB2312" w:cs="仿宋_GB2312"/>
          <w:kern w:val="0"/>
          <w:sz w:val="32"/>
          <w:szCs w:val="32"/>
          <w:highlight w:val="none"/>
          <w:lang w:val="zh-CN" w:eastAsia="zh-CN" w:bidi="ar-SA"/>
        </w:rPr>
        <w:t>万元</w:t>
      </w:r>
      <w:r>
        <w:rPr>
          <w:rFonts w:hint="eastAsia"/>
        </w:rPr>
        <w:t>。</w:t>
      </w:r>
    </w:p>
    <w:p w14:paraId="0818555A">
      <w:pPr>
        <w:pStyle w:val="21"/>
        <w:bidi w:val="0"/>
        <w:rPr>
          <w:rFonts w:hint="eastAsia"/>
        </w:rPr>
      </w:pPr>
      <w:r>
        <w:rPr>
          <w:rFonts w:hint="eastAsia"/>
        </w:rPr>
        <w:t>按支出功能科目划分：一般公共服务支出848.15万元，较上年预算安排减少</w:t>
      </w:r>
      <w:r>
        <w:rPr>
          <w:rFonts w:hint="eastAsia"/>
          <w:lang w:val="en-US" w:eastAsia="zh-CN"/>
        </w:rPr>
        <w:t>147.05</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一般公共服务支出</w:t>
      </w:r>
      <w:r>
        <w:rPr>
          <w:rFonts w:hint="eastAsia"/>
        </w:rPr>
        <w:t>；社会保障和就业支出23.80万元，较上年预算安排增加</w:t>
      </w:r>
      <w:r>
        <w:rPr>
          <w:rFonts w:hint="eastAsia"/>
          <w:lang w:val="en-US" w:eastAsia="zh-CN"/>
        </w:rPr>
        <w:t>21.75</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本部门因业务需要，故增加</w:t>
      </w:r>
      <w:r>
        <w:rPr>
          <w:rFonts w:hint="eastAsia"/>
          <w:u w:val="single"/>
        </w:rPr>
        <w:t>社会保障和就业支出</w:t>
      </w:r>
      <w:r>
        <w:rPr>
          <w:rFonts w:hint="eastAsia"/>
        </w:rPr>
        <w:t>；住房保障支出82.01万元，较上年预算安排增加</w:t>
      </w:r>
      <w:r>
        <w:rPr>
          <w:rFonts w:hint="eastAsia"/>
          <w:lang w:val="en-US" w:eastAsia="zh-CN"/>
        </w:rPr>
        <w:t>52.26</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本部门因公积金变动，故增加</w:t>
      </w:r>
      <w:r>
        <w:rPr>
          <w:rFonts w:hint="eastAsia"/>
          <w:u w:val="single"/>
        </w:rPr>
        <w:t>住房保障支出</w:t>
      </w:r>
      <w:r>
        <w:rPr>
          <w:rFonts w:hint="eastAsia"/>
        </w:rPr>
        <w:t>。</w:t>
      </w:r>
    </w:p>
    <w:p w14:paraId="2C5F67D6">
      <w:pPr>
        <w:pStyle w:val="21"/>
        <w:bidi w:val="0"/>
        <w:rPr>
          <w:rFonts w:hint="eastAsia"/>
        </w:rPr>
      </w:pPr>
      <w:r>
        <w:rPr>
          <w:rFonts w:hint="eastAsia"/>
        </w:rPr>
        <w:t>按支出经济分类划分：工资福利支出696.74万元，较上年预算安排增加</w:t>
      </w:r>
      <w:r>
        <w:rPr>
          <w:rFonts w:hint="eastAsia"/>
          <w:u w:val="single"/>
          <w:lang w:val="en-US" w:eastAsia="zh-CN"/>
        </w:rPr>
        <w:t>56.33</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本部门因业务需要，故增加</w:t>
      </w:r>
      <w:r>
        <w:rPr>
          <w:rFonts w:hint="eastAsia"/>
          <w:u w:val="single"/>
        </w:rPr>
        <w:t>工资福利支出</w:t>
      </w:r>
      <w:r>
        <w:rPr>
          <w:rFonts w:hint="eastAsia"/>
        </w:rPr>
        <w:t>；商品和服务支出253.29万元，较上年预算安排减少</w:t>
      </w:r>
      <w:r>
        <w:rPr>
          <w:rFonts w:hint="eastAsia"/>
          <w:u w:val="single"/>
          <w:lang w:val="en-US" w:eastAsia="zh-CN"/>
        </w:rPr>
        <w:t>128.06</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rPr>
        <w:t>商品和服务支出；对个人和家庭的补助1.92万元，较上年预算安排减少</w:t>
      </w:r>
      <w:r>
        <w:rPr>
          <w:rFonts w:hint="eastAsia"/>
          <w:u w:val="single"/>
          <w:lang w:val="en-US" w:eastAsia="zh-CN"/>
        </w:rPr>
        <w:t>0.31</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w:t>
      </w:r>
      <w:r>
        <w:rPr>
          <w:rFonts w:hint="eastAsia" w:cs="仿宋_GB2312"/>
          <w:kern w:val="0"/>
          <w:sz w:val="32"/>
          <w:szCs w:val="32"/>
          <w:highlight w:val="none"/>
          <w:u w:val="none"/>
          <w:lang w:val="en-US" w:eastAsia="zh-CN" w:bidi="ar-SA"/>
        </w:rPr>
        <w:t>缩减</w:t>
      </w:r>
      <w:r>
        <w:rPr>
          <w:rFonts w:hint="eastAsia"/>
          <w:u w:val="none"/>
        </w:rPr>
        <w:t>对个人和家庭的补助</w:t>
      </w:r>
      <w:r>
        <w:rPr>
          <w:rFonts w:hint="eastAsia"/>
        </w:rPr>
        <w:t>；资本性支出2.00万元，较上年预算安排减少</w:t>
      </w:r>
      <w:r>
        <w:rPr>
          <w:rFonts w:hint="eastAsia"/>
          <w:u w:val="single"/>
          <w:lang w:val="en-US" w:eastAsia="zh-CN"/>
        </w:rPr>
        <w:t>1.00</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w:t>
      </w:r>
      <w:r>
        <w:rPr>
          <w:rFonts w:hint="eastAsia" w:cs="仿宋_GB2312"/>
          <w:kern w:val="0"/>
          <w:sz w:val="32"/>
          <w:szCs w:val="32"/>
          <w:highlight w:val="none"/>
          <w:u w:val="none"/>
          <w:lang w:val="en-US" w:eastAsia="zh-CN" w:bidi="ar-SA"/>
        </w:rPr>
        <w:t>故缩减</w:t>
      </w:r>
      <w:r>
        <w:rPr>
          <w:rFonts w:hint="eastAsia"/>
          <w:u w:val="none"/>
        </w:rPr>
        <w:t>资本性支出</w:t>
      </w:r>
      <w:r>
        <w:rPr>
          <w:rFonts w:hint="eastAsia"/>
        </w:rPr>
        <w:t>。</w:t>
      </w:r>
    </w:p>
    <w:p w14:paraId="39347D32">
      <w:pPr>
        <w:pStyle w:val="22"/>
        <w:numPr>
          <w:ilvl w:val="0"/>
          <w:numId w:val="0"/>
        </w:numPr>
        <w:bidi w:val="0"/>
        <w:ind w:left="420" w:leftChars="200"/>
        <w:rPr>
          <w:rFonts w:hint="eastAsia"/>
          <w:lang w:val="en-US" w:eastAsia="zh-CN"/>
        </w:rPr>
      </w:pPr>
      <w:r>
        <w:rPr>
          <w:rFonts w:hint="eastAsia"/>
          <w:lang w:val="en-US" w:eastAsia="zh-CN"/>
        </w:rPr>
        <w:t xml:space="preserve"> (三)财政拨款支出情况</w:t>
      </w:r>
    </w:p>
    <w:p w14:paraId="293EAE77">
      <w:pPr>
        <w:pStyle w:val="21"/>
        <w:bidi w:val="0"/>
        <w:rPr>
          <w:rFonts w:hint="eastAsia"/>
        </w:rPr>
      </w:pPr>
      <w:r>
        <w:rPr>
          <w:rFonts w:hint="eastAsia"/>
          <w:lang w:eastAsia="zh-CN"/>
        </w:rPr>
        <w:t>2026</w:t>
      </w:r>
      <w:r>
        <w:rPr>
          <w:rFonts w:hint="eastAsia"/>
        </w:rPr>
        <w:t>年</w:t>
      </w:r>
      <w:r>
        <w:rPr>
          <w:rFonts w:hint="eastAsia"/>
          <w:lang w:eastAsia="zh-CN"/>
        </w:rPr>
        <w:t>南昌市青云谱区人民政府办公室</w:t>
      </w:r>
      <w:r>
        <w:rPr>
          <w:rFonts w:hint="eastAsia"/>
        </w:rPr>
        <w:t>财政拨款支出预算总额878.96万元,较上年预算安排增加</w:t>
      </w:r>
      <w:r>
        <w:rPr>
          <w:rFonts w:hint="eastAsia"/>
          <w:u w:val="single"/>
          <w:lang w:val="en-US" w:eastAsia="zh-CN"/>
        </w:rPr>
        <w:t>45.78</w:t>
      </w:r>
      <w:r>
        <w:rPr>
          <w:rFonts w:hint="eastAsia"/>
        </w:rPr>
        <w:t>万元。</w:t>
      </w:r>
    </w:p>
    <w:p w14:paraId="499726E7">
      <w:pPr>
        <w:pStyle w:val="21"/>
        <w:bidi w:val="0"/>
        <w:rPr>
          <w:rFonts w:hint="eastAsia"/>
        </w:rPr>
      </w:pPr>
      <w:r>
        <w:rPr>
          <w:rFonts w:hint="eastAsia"/>
        </w:rPr>
        <w:t>按支出功能科目划分：一般公共服务支出773.15万元，</w:t>
      </w:r>
      <w:r>
        <w:rPr>
          <w:rFonts w:hint="eastAsia" w:ascii="仿宋_GB2312" w:hAnsi="仿宋_GB2312" w:eastAsia="仿宋_GB2312" w:cs="仿宋_GB2312"/>
          <w:kern w:val="0"/>
          <w:sz w:val="32"/>
          <w:szCs w:val="32"/>
          <w:highlight w:val="none"/>
          <w:lang w:val="zh-CN" w:eastAsia="zh-CN" w:bidi="ar-SA"/>
        </w:rPr>
        <w:t>较上年预算安排减少</w:t>
      </w:r>
      <w:r>
        <w:rPr>
          <w:rFonts w:hint="eastAsia" w:cs="仿宋_GB2312"/>
          <w:kern w:val="0"/>
          <w:sz w:val="32"/>
          <w:szCs w:val="32"/>
          <w:highlight w:val="none"/>
          <w:u w:val="single"/>
          <w:lang w:val="en-US" w:eastAsia="zh-CN" w:bidi="ar-SA"/>
        </w:rPr>
        <w:t>28.22</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一般公共服务支出</w:t>
      </w:r>
      <w:r>
        <w:rPr>
          <w:rFonts w:hint="eastAsia" w:cs="仿宋_GB2312"/>
          <w:kern w:val="0"/>
          <w:sz w:val="32"/>
          <w:szCs w:val="32"/>
          <w:highlight w:val="none"/>
          <w:u w:val="single"/>
          <w:lang w:val="en-US" w:eastAsia="zh-CN" w:bidi="ar-SA"/>
        </w:rPr>
        <w:t>；</w:t>
      </w:r>
      <w:r>
        <w:rPr>
          <w:rFonts w:hint="eastAsia"/>
        </w:rPr>
        <w:t>社会保障和就业支出23.80万元，</w:t>
      </w:r>
      <w:r>
        <w:rPr>
          <w:rFonts w:hint="eastAsia" w:ascii="仿宋_GB2312" w:hAnsi="仿宋_GB2312" w:eastAsia="仿宋_GB2312" w:cs="仿宋_GB2312"/>
          <w:kern w:val="0"/>
          <w:sz w:val="32"/>
          <w:szCs w:val="32"/>
          <w:highlight w:val="none"/>
          <w:lang w:val="zh-CN" w:eastAsia="zh-CN" w:bidi="ar-SA"/>
        </w:rPr>
        <w:t>较上年预算安排增加</w:t>
      </w:r>
      <w:r>
        <w:rPr>
          <w:rFonts w:hint="eastAsia" w:cs="仿宋_GB2312"/>
          <w:kern w:val="0"/>
          <w:sz w:val="32"/>
          <w:szCs w:val="32"/>
          <w:highlight w:val="none"/>
          <w:u w:val="single"/>
          <w:lang w:val="en-US" w:eastAsia="zh-CN" w:bidi="ar-SA"/>
        </w:rPr>
        <w:t>21.75</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本部门因业务需要，故增加</w:t>
      </w:r>
      <w:r>
        <w:rPr>
          <w:rFonts w:hint="eastAsia"/>
          <w:u w:val="single"/>
        </w:rPr>
        <w:t>社会保障和就业支</w:t>
      </w:r>
      <w:r>
        <w:rPr>
          <w:rFonts w:hint="eastAsia"/>
          <w:u w:val="single"/>
          <w:lang w:val="en-US" w:eastAsia="zh-CN"/>
        </w:rPr>
        <w:t>出</w:t>
      </w:r>
      <w:r>
        <w:rPr>
          <w:rFonts w:hint="eastAsia" w:cs="仿宋_GB2312"/>
          <w:kern w:val="0"/>
          <w:sz w:val="32"/>
          <w:szCs w:val="32"/>
          <w:highlight w:val="none"/>
          <w:u w:val="single"/>
          <w:lang w:val="en-US" w:eastAsia="zh-CN" w:bidi="ar-SA"/>
        </w:rPr>
        <w:t>；</w:t>
      </w:r>
      <w:r>
        <w:rPr>
          <w:rFonts w:hint="eastAsia"/>
        </w:rPr>
        <w:t>住房保障支出82.01万元</w:t>
      </w:r>
      <w:r>
        <w:rPr>
          <w:rFonts w:hint="eastAsia"/>
          <w:lang w:eastAsia="zh-CN"/>
        </w:rPr>
        <w:t>，</w:t>
      </w:r>
      <w:r>
        <w:rPr>
          <w:rFonts w:hint="eastAsia" w:ascii="仿宋_GB2312" w:hAnsi="仿宋_GB2312" w:eastAsia="仿宋_GB2312" w:cs="仿宋_GB2312"/>
          <w:kern w:val="0"/>
          <w:sz w:val="32"/>
          <w:szCs w:val="32"/>
          <w:highlight w:val="none"/>
          <w:lang w:val="zh-CN" w:eastAsia="zh-CN" w:bidi="ar-SA"/>
        </w:rPr>
        <w:t>较上年预算安排增加</w:t>
      </w:r>
      <w:r>
        <w:rPr>
          <w:rFonts w:hint="eastAsia" w:cs="仿宋_GB2312"/>
          <w:kern w:val="0"/>
          <w:sz w:val="32"/>
          <w:szCs w:val="32"/>
          <w:highlight w:val="none"/>
          <w:u w:val="single"/>
          <w:lang w:val="en-US" w:eastAsia="zh-CN" w:bidi="ar-SA"/>
        </w:rPr>
        <w:t>52.26</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主要原因是是</w:t>
      </w:r>
      <w:r>
        <w:rPr>
          <w:rFonts w:hint="eastAsia" w:cs="仿宋_GB2312"/>
          <w:kern w:val="0"/>
          <w:sz w:val="32"/>
          <w:szCs w:val="32"/>
          <w:highlight w:val="none"/>
          <w:u w:val="single"/>
          <w:lang w:val="en-US" w:eastAsia="zh-CN" w:bidi="ar-SA"/>
        </w:rPr>
        <w:t>本部门因业务需要，故增加</w:t>
      </w:r>
      <w:r>
        <w:rPr>
          <w:rFonts w:hint="eastAsia"/>
          <w:u w:val="single"/>
        </w:rPr>
        <w:t>住房保障支出</w:t>
      </w:r>
      <w:r>
        <w:rPr>
          <w:rFonts w:hint="eastAsia"/>
        </w:rPr>
        <w:t>。</w:t>
      </w:r>
    </w:p>
    <w:p w14:paraId="2106623A">
      <w:pPr>
        <w:pStyle w:val="21"/>
        <w:bidi w:val="0"/>
        <w:rPr>
          <w:rFonts w:hint="eastAsia"/>
        </w:rPr>
      </w:pPr>
      <w:r>
        <w:rPr>
          <w:rFonts w:hint="eastAsia"/>
        </w:rPr>
        <w:t>按支出项目类别划分：基本支出846.76万元,项目支出32.20万元。</w:t>
      </w:r>
    </w:p>
    <w:p w14:paraId="4846DDB9">
      <w:pPr>
        <w:pStyle w:val="21"/>
        <w:bidi w:val="0"/>
        <w:rPr>
          <w:rFonts w:hint="eastAsia"/>
        </w:rPr>
      </w:pPr>
      <w:r>
        <w:rPr>
          <w:rFonts w:hint="eastAsia"/>
        </w:rPr>
        <w:t>按支</w:t>
      </w:r>
      <w:r>
        <w:rPr>
          <w:rFonts w:hint="eastAsia"/>
          <w:lang w:val="en-US" w:eastAsia="zh-CN"/>
        </w:rPr>
        <w:t>出经济分类</w:t>
      </w:r>
      <w:r>
        <w:rPr>
          <w:rFonts w:hint="eastAsia"/>
        </w:rPr>
        <w:t>划分：工资福利支出696.74万元，商品和服务支出178.29万元（其中委托业务费36.60万元），对个人和家庭的补助1.92万元，资本性支出2.00万元。</w:t>
      </w:r>
    </w:p>
    <w:p w14:paraId="771BF229">
      <w:pPr>
        <w:pStyle w:val="22"/>
        <w:numPr>
          <w:ilvl w:val="0"/>
          <w:numId w:val="0"/>
        </w:numPr>
        <w:bidi w:val="0"/>
        <w:ind w:firstLine="643" w:firstLineChars="200"/>
        <w:rPr>
          <w:rFonts w:hint="eastAsia"/>
          <w:lang w:val="en-US" w:eastAsia="zh-CN"/>
        </w:rPr>
      </w:pPr>
      <w:r>
        <w:rPr>
          <w:rFonts w:hint="eastAsia"/>
        </w:rPr>
        <w:t>(</w:t>
      </w:r>
      <w:r>
        <w:rPr>
          <w:rFonts w:hint="eastAsia"/>
          <w:lang w:val="en-US" w:eastAsia="zh-CN"/>
        </w:rPr>
        <w:t>四)政府性基金情况</w:t>
      </w:r>
    </w:p>
    <w:p w14:paraId="3953C499">
      <w:pPr>
        <w:pStyle w:val="21"/>
        <w:bidi w:val="0"/>
        <w:rPr>
          <w:rFonts w:hint="eastAsia"/>
        </w:rPr>
      </w:pPr>
      <w:r>
        <w:rPr>
          <w:rFonts w:hint="eastAsia"/>
        </w:rPr>
        <w:t>本部门没有使用政府性基金预算拨款安排的支出</w:t>
      </w:r>
      <w:r>
        <w:rPr>
          <w:rFonts w:hint="eastAsia"/>
          <w:lang w:eastAsia="zh-CN"/>
        </w:rPr>
        <w:t>。</w:t>
      </w:r>
    </w:p>
    <w:p w14:paraId="769AD959">
      <w:pPr>
        <w:pStyle w:val="22"/>
        <w:numPr>
          <w:ilvl w:val="0"/>
          <w:numId w:val="0"/>
        </w:numPr>
        <w:bidi w:val="0"/>
        <w:ind w:firstLine="643" w:firstLineChars="200"/>
        <w:rPr>
          <w:rFonts w:hint="eastAsia"/>
          <w:lang w:val="en-US" w:eastAsia="zh-CN"/>
        </w:rPr>
      </w:pPr>
      <w:r>
        <w:rPr>
          <w:rFonts w:hint="eastAsia"/>
          <w:lang w:val="en-US" w:eastAsia="zh-CN"/>
        </w:rPr>
        <w:t>(五)国有资本经营情况</w:t>
      </w:r>
    </w:p>
    <w:p w14:paraId="2630FC82">
      <w:pPr>
        <w:pStyle w:val="21"/>
        <w:bidi w:val="0"/>
        <w:rPr>
          <w:rFonts w:hint="eastAsia"/>
        </w:rPr>
      </w:pPr>
      <w:r>
        <w:rPr>
          <w:rFonts w:hint="eastAsia"/>
        </w:rPr>
        <w:t>本部门没有使用国有资本经营预算拨款安排的支出</w:t>
      </w:r>
      <w:r>
        <w:rPr>
          <w:rFonts w:hint="eastAsia"/>
          <w:lang w:eastAsia="zh-CN"/>
        </w:rPr>
        <w:t>。</w:t>
      </w:r>
    </w:p>
    <w:p w14:paraId="047C951A">
      <w:pPr>
        <w:pStyle w:val="22"/>
        <w:numPr>
          <w:ilvl w:val="0"/>
          <w:numId w:val="0"/>
        </w:numPr>
        <w:bidi w:val="0"/>
        <w:ind w:firstLine="643" w:firstLineChars="200"/>
        <w:rPr>
          <w:rFonts w:hint="eastAsia"/>
          <w:lang w:val="en-US" w:eastAsia="zh-CN"/>
        </w:rPr>
      </w:pPr>
      <w:r>
        <w:rPr>
          <w:rFonts w:hint="eastAsia"/>
          <w:lang w:val="en-US" w:eastAsia="zh-CN"/>
        </w:rPr>
        <w:t>(六)机关运行经费等重要事项的说明</w:t>
      </w:r>
    </w:p>
    <w:p w14:paraId="62A4C80F">
      <w:pPr>
        <w:pStyle w:val="21"/>
        <w:bidi w:val="0"/>
        <w:rPr>
          <w:rFonts w:hint="eastAsia"/>
        </w:rPr>
      </w:pPr>
      <w:r>
        <w:rPr>
          <w:rFonts w:hint="eastAsia"/>
          <w:lang w:eastAsia="zh-CN"/>
        </w:rPr>
        <w:t>2026</w:t>
      </w:r>
      <w:r>
        <w:rPr>
          <w:rFonts w:hint="eastAsia"/>
        </w:rPr>
        <w:t>年部门机关运行费预算</w:t>
      </w:r>
      <w:r>
        <w:rPr>
          <w:rFonts w:hint="eastAsia"/>
          <w:u w:val="single"/>
          <w:lang w:val="en-US" w:eastAsia="zh-CN"/>
        </w:rPr>
        <w:t>146.09</w:t>
      </w:r>
      <w:r>
        <w:rPr>
          <w:rFonts w:hint="eastAsia"/>
        </w:rPr>
        <w:t>万元，比2025年预算增加</w:t>
      </w:r>
      <w:r>
        <w:rPr>
          <w:rFonts w:hint="eastAsia"/>
          <w:u w:val="single"/>
          <w:lang w:val="en-US" w:eastAsia="zh-CN"/>
        </w:rPr>
        <w:t>1.49</w:t>
      </w:r>
      <w:r>
        <w:rPr>
          <w:rFonts w:hint="eastAsia"/>
          <w:u w:val="single"/>
        </w:rPr>
        <w:t>_</w:t>
      </w:r>
      <w:r>
        <w:rPr>
          <w:rFonts w:hint="eastAsia"/>
        </w:rPr>
        <w:t>万元，增长</w:t>
      </w:r>
      <w:r>
        <w:rPr>
          <w:rFonts w:hint="eastAsia"/>
          <w:u w:val="single"/>
          <w:lang w:val="en-US" w:eastAsia="zh-CN"/>
        </w:rPr>
        <w:t>1.0</w:t>
      </w:r>
      <w:r>
        <w:rPr>
          <w:rFonts w:hint="eastAsia"/>
        </w:rPr>
        <w:t>%。</w:t>
      </w:r>
    </w:p>
    <w:p w14:paraId="65CE8652">
      <w:pPr>
        <w:pStyle w:val="21"/>
        <w:bidi w:val="0"/>
        <w:rPr>
          <w:rFonts w:hint="eastAsia"/>
          <w:lang w:val="en-US" w:eastAsia="zh-CN"/>
        </w:rPr>
      </w:pPr>
      <w:r>
        <w:rPr>
          <w:rFonts w:hint="eastAsia"/>
          <w:lang w:val="en-US" w:eastAsia="zh-CN"/>
        </w:rPr>
        <w:t>(</w:t>
      </w:r>
      <w:r>
        <w:rPr>
          <w:rFonts w:hint="eastAsia" w:ascii="楷体_GB2312" w:hAnsi="楷体_GB2312" w:eastAsia="楷体_GB2312" w:cstheme="minorBidi"/>
          <w:b/>
          <w:kern w:val="2"/>
          <w:sz w:val="32"/>
          <w:szCs w:val="32"/>
          <w:lang w:val="en-US" w:eastAsia="zh-CN" w:bidi="ar-SA"/>
        </w:rPr>
        <w:t>七)政府采购情况</w:t>
      </w:r>
    </w:p>
    <w:p w14:paraId="098042EB">
      <w:pPr>
        <w:pStyle w:val="21"/>
        <w:bidi w:val="0"/>
        <w:rPr>
          <w:rFonts w:hint="eastAsia"/>
          <w:lang w:eastAsia="zh-CN"/>
        </w:rPr>
      </w:pPr>
      <w:r>
        <w:rPr>
          <w:rFonts w:hint="eastAsia"/>
          <w:lang w:eastAsia="zh-CN"/>
        </w:rPr>
        <w:t>2026年部门所属各单位政府采购总额 13.00</w:t>
      </w:r>
      <w:r>
        <w:rPr>
          <w:rFonts w:hint="eastAsia"/>
          <w:lang w:val="en-US" w:eastAsia="zh-CN"/>
        </w:rPr>
        <w:t xml:space="preserve"> </w:t>
      </w:r>
      <w:r>
        <w:rPr>
          <w:rFonts w:hint="eastAsia"/>
          <w:lang w:eastAsia="zh-CN"/>
        </w:rPr>
        <w:t>万元,其中: 政府采购货物预算13.00 万元, 政府采购工程预算0.00</w:t>
      </w:r>
      <w:r>
        <w:rPr>
          <w:rFonts w:hint="eastAsia"/>
          <w:lang w:val="en-US" w:eastAsia="zh-CN"/>
        </w:rPr>
        <w:t xml:space="preserve"> </w:t>
      </w:r>
      <w:r>
        <w:rPr>
          <w:rFonts w:hint="eastAsia"/>
          <w:lang w:eastAsia="zh-CN"/>
        </w:rPr>
        <w:t>万元, 政府采购服务预算0.00 万元。</w:t>
      </w:r>
    </w:p>
    <w:p w14:paraId="09927D1C">
      <w:pPr>
        <w:pStyle w:val="22"/>
        <w:numPr>
          <w:ilvl w:val="0"/>
          <w:numId w:val="0"/>
        </w:numPr>
        <w:bidi w:val="0"/>
        <w:ind w:firstLine="643" w:firstLineChars="200"/>
        <w:rPr>
          <w:rFonts w:hint="eastAsia"/>
          <w:lang w:val="en-US" w:eastAsia="zh-CN"/>
        </w:rPr>
      </w:pPr>
      <w:r>
        <w:rPr>
          <w:rFonts w:hint="eastAsia"/>
          <w:lang w:val="en-US" w:eastAsia="zh-CN"/>
        </w:rPr>
        <w:t>(八)国有资产占有使用情况</w:t>
      </w:r>
    </w:p>
    <w:p w14:paraId="67406DD1">
      <w:pPr>
        <w:pStyle w:val="21"/>
        <w:bidi w:val="0"/>
        <w:rPr>
          <w:rFonts w:hint="eastAsia"/>
          <w:lang w:eastAsia="zh-CN"/>
        </w:rPr>
      </w:pPr>
      <w:r>
        <w:rPr>
          <w:rFonts w:hint="eastAsia"/>
          <w:lang w:eastAsia="zh-CN"/>
        </w:rPr>
        <w:t>截至2025年7月31日, 部门共有车辆</w:t>
      </w:r>
      <w:r>
        <w:rPr>
          <w:rFonts w:hint="eastAsia"/>
          <w:lang w:val="en-US" w:eastAsia="zh-CN"/>
        </w:rPr>
        <w:t>1</w:t>
      </w:r>
      <w:r>
        <w:rPr>
          <w:rFonts w:hint="eastAsia"/>
          <w:lang w:eastAsia="zh-CN"/>
        </w:rPr>
        <w:t>辆,其中：一般公务用车实有数</w:t>
      </w:r>
      <w:r>
        <w:rPr>
          <w:rFonts w:hint="eastAsia"/>
          <w:lang w:val="en-US" w:eastAsia="zh-CN"/>
        </w:rPr>
        <w:t>1</w:t>
      </w:r>
      <w:r>
        <w:rPr>
          <w:rFonts w:hint="eastAsia"/>
          <w:lang w:eastAsia="zh-CN"/>
        </w:rPr>
        <w:t>辆。</w:t>
      </w:r>
    </w:p>
    <w:p w14:paraId="4A33B977">
      <w:pPr>
        <w:pStyle w:val="21"/>
        <w:bidi w:val="0"/>
        <w:rPr>
          <w:rFonts w:hint="eastAsia"/>
          <w:lang w:eastAsia="zh-CN"/>
        </w:rPr>
      </w:pPr>
      <w:r>
        <w:rPr>
          <w:rFonts w:hint="eastAsia"/>
          <w:lang w:eastAsia="zh-CN"/>
        </w:rPr>
        <w:t>2026年部门预算安排购置车辆</w:t>
      </w:r>
      <w:r>
        <w:rPr>
          <w:rFonts w:hint="eastAsia"/>
          <w:lang w:val="en-US" w:eastAsia="zh-CN"/>
        </w:rPr>
        <w:t>0</w:t>
      </w:r>
      <w:r>
        <w:rPr>
          <w:rFonts w:hint="eastAsia"/>
          <w:lang w:eastAsia="zh-CN"/>
        </w:rPr>
        <w:t>辆，安排购置单位价值200万元以上大型设备具体为：</w:t>
      </w:r>
      <w:r>
        <w:rPr>
          <w:rFonts w:hint="eastAsia"/>
          <w:u w:val="single"/>
          <w:lang w:val="en-US" w:eastAsia="zh-CN"/>
        </w:rPr>
        <w:t>无安排</w:t>
      </w:r>
      <w:r>
        <w:rPr>
          <w:rFonts w:hint="eastAsia"/>
          <w:lang w:eastAsia="zh-CN"/>
        </w:rPr>
        <w:t>。</w:t>
      </w:r>
    </w:p>
    <w:p w14:paraId="20ABD855">
      <w:pPr>
        <w:pStyle w:val="22"/>
        <w:numPr>
          <w:ilvl w:val="0"/>
          <w:numId w:val="0"/>
        </w:numPr>
        <w:bidi w:val="0"/>
        <w:ind w:firstLine="643" w:firstLineChars="200"/>
        <w:rPr>
          <w:rFonts w:hint="eastAsia"/>
          <w:lang w:val="en-US" w:eastAsia="zh-CN"/>
        </w:rPr>
      </w:pPr>
      <w:r>
        <w:rPr>
          <w:rFonts w:hint="eastAsia"/>
          <w:lang w:val="en-US" w:eastAsia="zh-CN"/>
        </w:rPr>
        <w:t>(九）部门项目情况说明</w:t>
      </w:r>
    </w:p>
    <w:p w14:paraId="52A1D69C">
      <w:pPr>
        <w:ind w:firstLine="640" w:firstLineChars="200"/>
        <w:jc w:val="left"/>
        <w:rPr>
          <w:rFonts w:ascii="仿宋" w:hAnsi="仿宋" w:eastAsia="仿宋"/>
          <w:bCs/>
          <w:sz w:val="32"/>
          <w:szCs w:val="32"/>
        </w:rPr>
      </w:pPr>
      <w:r>
        <w:rPr>
          <w:rFonts w:hint="eastAsia" w:ascii="Adobe 仿宋 Std R" w:hAnsi="Adobe 仿宋 Std R" w:eastAsia="Adobe 仿宋 Std R"/>
          <w:sz w:val="32"/>
          <w:szCs w:val="32"/>
        </w:rPr>
        <w:t xml:space="preserve">  </w:t>
      </w:r>
      <w:r>
        <w:rPr>
          <w:rFonts w:hint="eastAsia" w:ascii="仿宋" w:hAnsi="仿宋" w:eastAsia="仿宋"/>
          <w:bCs/>
          <w:sz w:val="32"/>
          <w:szCs w:val="32"/>
        </w:rPr>
        <w:t>1.外事专项业务经费_</w:t>
      </w:r>
    </w:p>
    <w:p w14:paraId="08CA5B6A">
      <w:pPr>
        <w:ind w:firstLine="640" w:firstLineChars="200"/>
        <w:jc w:val="left"/>
        <w:rPr>
          <w:rFonts w:ascii="仿宋" w:hAnsi="仿宋" w:eastAsia="仿宋"/>
          <w:bCs/>
          <w:sz w:val="32"/>
          <w:szCs w:val="32"/>
        </w:rPr>
      </w:pPr>
      <w:r>
        <w:rPr>
          <w:rFonts w:hint="eastAsia" w:ascii="仿宋" w:hAnsi="仿宋" w:eastAsia="仿宋"/>
          <w:bCs/>
          <w:sz w:val="32"/>
          <w:szCs w:val="32"/>
        </w:rPr>
        <w:t>1）项目概述：负责全区外事工作。贯彻执行党和国家外事工作方针政策，法规；负责外事接待，配合做好独资，合资，合作企业等工作。</w:t>
      </w:r>
      <w:r>
        <w:rPr>
          <w:rFonts w:ascii="仿宋" w:hAnsi="仿宋" w:eastAsia="仿宋"/>
          <w:bCs/>
          <w:sz w:val="32"/>
          <w:szCs w:val="32"/>
        </w:rPr>
        <w:t xml:space="preserve"> </w:t>
      </w:r>
    </w:p>
    <w:p w14:paraId="4A56D112">
      <w:pPr>
        <w:ind w:firstLine="640" w:firstLineChars="200"/>
        <w:jc w:val="left"/>
        <w:rPr>
          <w:rFonts w:ascii="仿宋" w:hAnsi="仿宋" w:eastAsia="仿宋"/>
          <w:bCs/>
          <w:sz w:val="32"/>
          <w:szCs w:val="32"/>
        </w:rPr>
      </w:pPr>
      <w:r>
        <w:rPr>
          <w:rFonts w:hint="eastAsia" w:ascii="仿宋" w:hAnsi="仿宋" w:eastAsia="仿宋"/>
          <w:bCs/>
          <w:sz w:val="32"/>
          <w:szCs w:val="32"/>
        </w:rPr>
        <w:t xml:space="preserve"> 2）立项依据：为深入融合“一带一路”，做好出（国）境交流访问活动，促进我区与沿线国家和区域的对接合作。</w:t>
      </w:r>
      <w:r>
        <w:rPr>
          <w:rFonts w:ascii="仿宋" w:hAnsi="仿宋" w:eastAsia="仿宋"/>
          <w:bCs/>
          <w:sz w:val="32"/>
          <w:szCs w:val="32"/>
        </w:rPr>
        <w:t xml:space="preserve"> </w:t>
      </w:r>
    </w:p>
    <w:p w14:paraId="082DB25F">
      <w:pPr>
        <w:ind w:firstLine="640" w:firstLineChars="200"/>
        <w:jc w:val="left"/>
        <w:rPr>
          <w:rFonts w:hint="eastAsia" w:ascii="仿宋" w:hAnsi="仿宋" w:eastAsia="仿宋"/>
          <w:bCs/>
          <w:sz w:val="32"/>
          <w:szCs w:val="32"/>
        </w:rPr>
      </w:pPr>
      <w:r>
        <w:rPr>
          <w:rFonts w:hint="eastAsia" w:ascii="仿宋" w:hAnsi="仿宋" w:eastAsia="仿宋"/>
          <w:bCs/>
          <w:sz w:val="32"/>
          <w:szCs w:val="32"/>
        </w:rPr>
        <w:t xml:space="preserve"> 3）实施主体：</w:t>
      </w:r>
      <w:r>
        <w:rPr>
          <w:rFonts w:hint="eastAsia" w:ascii="仿宋_GB2312" w:hAnsi="仿宋_GB2312" w:eastAsia="仿宋_GB2312" w:cs="仿宋_GB2312"/>
          <w:kern w:val="0"/>
          <w:sz w:val="32"/>
          <w:szCs w:val="32"/>
          <w:lang w:eastAsia="zh-CN"/>
        </w:rPr>
        <w:t>南昌市</w:t>
      </w:r>
      <w:r>
        <w:rPr>
          <w:rFonts w:hint="eastAsia" w:ascii="仿宋_GB2312" w:hAnsi="仿宋_GB2312" w:eastAsia="仿宋_GB2312" w:cs="仿宋_GB2312"/>
          <w:kern w:val="0"/>
          <w:sz w:val="32"/>
          <w:szCs w:val="32"/>
        </w:rPr>
        <w:t>青云谱区</w:t>
      </w:r>
      <w:r>
        <w:rPr>
          <w:rFonts w:hint="eastAsia" w:ascii="仿宋_GB2312" w:hAnsi="仿宋_GB2312" w:eastAsia="仿宋_GB2312" w:cs="仿宋_GB2312"/>
          <w:kern w:val="0"/>
          <w:sz w:val="32"/>
          <w:szCs w:val="32"/>
          <w:lang w:eastAsia="zh-CN"/>
        </w:rPr>
        <w:t>人民</w:t>
      </w:r>
      <w:r>
        <w:rPr>
          <w:rFonts w:hint="eastAsia" w:ascii="仿宋_GB2312" w:hAnsi="仿宋_GB2312" w:eastAsia="仿宋_GB2312" w:cs="仿宋_GB2312"/>
          <w:kern w:val="0"/>
          <w:sz w:val="32"/>
          <w:szCs w:val="32"/>
        </w:rPr>
        <w:t>政府办公室</w:t>
      </w:r>
      <w:r>
        <w:rPr>
          <w:rFonts w:hint="eastAsia" w:ascii="仿宋" w:hAnsi="仿宋" w:eastAsia="仿宋"/>
          <w:bCs/>
          <w:sz w:val="32"/>
          <w:szCs w:val="32"/>
        </w:rPr>
        <w:t xml:space="preserve"> </w:t>
      </w:r>
    </w:p>
    <w:p w14:paraId="37D0958E">
      <w:pPr>
        <w:ind w:firstLine="640" w:firstLineChars="200"/>
        <w:jc w:val="left"/>
        <w:rPr>
          <w:rFonts w:ascii="仿宋" w:hAnsi="仿宋" w:eastAsia="仿宋"/>
          <w:bCs/>
          <w:sz w:val="32"/>
          <w:szCs w:val="32"/>
        </w:rPr>
      </w:pPr>
      <w:r>
        <w:rPr>
          <w:rFonts w:hint="eastAsia" w:ascii="仿宋" w:hAnsi="仿宋" w:eastAsia="仿宋"/>
          <w:bCs/>
          <w:sz w:val="32"/>
          <w:szCs w:val="32"/>
        </w:rPr>
        <w:t xml:space="preserve"> 4）实施方案：一是完成项目申报，预算审批，资金拨付；二是完成培训计划；三是开展外事项目活动交流；四是年终考核，总结项目成效。</w:t>
      </w:r>
    </w:p>
    <w:p w14:paraId="4619A4E1">
      <w:pPr>
        <w:ind w:firstLine="640" w:firstLineChars="200"/>
        <w:jc w:val="left"/>
        <w:rPr>
          <w:rFonts w:hint="default" w:eastAsia="仿宋"/>
          <w:lang w:val="en-US" w:eastAsia="zh-CN"/>
        </w:rPr>
      </w:pPr>
      <w:r>
        <w:rPr>
          <w:rFonts w:hint="eastAsia" w:ascii="仿宋" w:hAnsi="仿宋" w:eastAsia="仿宋"/>
          <w:bCs/>
          <w:sz w:val="32"/>
          <w:szCs w:val="32"/>
        </w:rPr>
        <w:t xml:space="preserve"> 5）实施周期：</w:t>
      </w:r>
      <w:r>
        <w:rPr>
          <w:rFonts w:hint="eastAsia" w:ascii="仿宋" w:hAnsi="仿宋" w:eastAsia="仿宋"/>
          <w:bCs/>
          <w:sz w:val="32"/>
          <w:szCs w:val="32"/>
          <w:lang w:val="en-US" w:eastAsia="zh-CN"/>
        </w:rPr>
        <w:t>2026.01-2026.12</w:t>
      </w:r>
    </w:p>
    <w:p w14:paraId="27CC205C">
      <w:pPr>
        <w:ind w:firstLine="640" w:firstLineChars="200"/>
        <w:jc w:val="left"/>
        <w:rPr>
          <w:rFonts w:hint="default" w:ascii="仿宋" w:hAnsi="仿宋" w:eastAsia="仿宋"/>
          <w:bCs/>
          <w:sz w:val="32"/>
          <w:szCs w:val="32"/>
          <w:lang w:val="en-US" w:eastAsia="zh-CN"/>
        </w:rPr>
      </w:pPr>
      <w:r>
        <w:rPr>
          <w:rFonts w:hint="eastAsia" w:ascii="仿宋" w:hAnsi="仿宋" w:eastAsia="仿宋"/>
          <w:bCs/>
          <w:sz w:val="32"/>
          <w:szCs w:val="32"/>
        </w:rPr>
        <w:t xml:space="preserve"> 6）年度预算安排：</w:t>
      </w:r>
      <w:r>
        <w:rPr>
          <w:rFonts w:hint="eastAsia" w:ascii="仿宋" w:hAnsi="仿宋" w:eastAsia="仿宋"/>
          <w:bCs/>
          <w:sz w:val="32"/>
          <w:szCs w:val="32"/>
          <w:lang w:val="en-US" w:eastAsia="zh-CN"/>
        </w:rPr>
        <w:t>30万元</w:t>
      </w:r>
    </w:p>
    <w:p w14:paraId="43553E4E">
      <w:pPr>
        <w:ind w:firstLine="640" w:firstLineChars="200"/>
        <w:jc w:val="left"/>
        <w:rPr>
          <w:rFonts w:ascii="仿宋" w:hAnsi="仿宋" w:eastAsia="仿宋"/>
          <w:bCs/>
          <w:sz w:val="32"/>
          <w:szCs w:val="32"/>
        </w:rPr>
      </w:pPr>
      <w:r>
        <w:rPr>
          <w:rFonts w:hint="eastAsia" w:ascii="仿宋" w:hAnsi="仿宋" w:eastAsia="仿宋"/>
          <w:bCs/>
          <w:sz w:val="32"/>
          <w:szCs w:val="32"/>
        </w:rPr>
        <w:t>7）绩效目标和指标</w:t>
      </w:r>
    </w:p>
    <w:p w14:paraId="1E328F53">
      <w:pPr>
        <w:ind w:firstLine="640" w:firstLineChars="200"/>
        <w:jc w:val="left"/>
        <w:rPr>
          <w:rFonts w:ascii="仿宋" w:hAnsi="仿宋" w:eastAsia="仿宋"/>
          <w:bCs/>
          <w:sz w:val="32"/>
          <w:szCs w:val="32"/>
        </w:rPr>
      </w:pPr>
      <w:r>
        <w:rPr>
          <w:rFonts w:hint="eastAsia" w:ascii="仿宋" w:hAnsi="仿宋" w:eastAsia="仿宋"/>
          <w:bCs/>
          <w:sz w:val="32"/>
          <w:szCs w:val="32"/>
        </w:rPr>
        <w:t>数量指标：公务接待次数≥5次</w:t>
      </w:r>
      <w:r>
        <w:rPr>
          <w:rFonts w:hint="eastAsia" w:ascii="仿宋" w:hAnsi="仿宋" w:eastAsia="仿宋"/>
          <w:bCs/>
          <w:sz w:val="32"/>
          <w:szCs w:val="32"/>
          <w:lang w:eastAsia="zh-CN"/>
        </w:rPr>
        <w:t>，外事出国出境次数</w:t>
      </w:r>
      <w:r>
        <w:rPr>
          <w:rFonts w:hint="eastAsia" w:ascii="仿宋" w:hAnsi="仿宋" w:eastAsia="仿宋"/>
          <w:bCs/>
          <w:sz w:val="32"/>
          <w:szCs w:val="32"/>
        </w:rPr>
        <w:t>≥</w:t>
      </w:r>
      <w:r>
        <w:rPr>
          <w:rFonts w:hint="eastAsia" w:ascii="仿宋" w:hAnsi="仿宋" w:eastAsia="仿宋"/>
          <w:bCs/>
          <w:sz w:val="32"/>
          <w:szCs w:val="32"/>
          <w:lang w:val="en-US" w:eastAsia="zh-CN"/>
        </w:rPr>
        <w:t>2</w:t>
      </w:r>
      <w:r>
        <w:rPr>
          <w:rFonts w:hint="eastAsia" w:ascii="仿宋" w:hAnsi="仿宋" w:eastAsia="仿宋"/>
          <w:bCs/>
          <w:sz w:val="32"/>
          <w:szCs w:val="32"/>
        </w:rPr>
        <w:t>次</w:t>
      </w:r>
      <w:r>
        <w:rPr>
          <w:rFonts w:hint="eastAsia" w:ascii="仿宋" w:hAnsi="仿宋" w:eastAsia="仿宋"/>
          <w:bCs/>
          <w:sz w:val="32"/>
          <w:szCs w:val="32"/>
          <w:lang w:eastAsia="zh-CN"/>
        </w:rPr>
        <w:t>，制作宣传册总套数</w:t>
      </w:r>
      <w:r>
        <w:rPr>
          <w:rFonts w:hint="eastAsia" w:ascii="仿宋" w:hAnsi="仿宋" w:eastAsia="仿宋"/>
          <w:bCs/>
          <w:sz w:val="32"/>
          <w:szCs w:val="32"/>
        </w:rPr>
        <w:t>≥5</w:t>
      </w:r>
      <w:r>
        <w:rPr>
          <w:rFonts w:hint="eastAsia" w:ascii="仿宋" w:hAnsi="仿宋" w:eastAsia="仿宋"/>
          <w:bCs/>
          <w:sz w:val="32"/>
          <w:szCs w:val="32"/>
          <w:lang w:val="en-US" w:eastAsia="zh-CN"/>
        </w:rPr>
        <w:t>00套</w:t>
      </w:r>
      <w:r>
        <w:rPr>
          <w:rFonts w:hint="eastAsia" w:ascii="仿宋" w:hAnsi="仿宋" w:eastAsia="仿宋"/>
          <w:bCs/>
          <w:sz w:val="32"/>
          <w:szCs w:val="32"/>
        </w:rPr>
        <w:t>。</w:t>
      </w:r>
    </w:p>
    <w:p w14:paraId="551977BE">
      <w:pPr>
        <w:ind w:firstLine="640" w:firstLineChars="200"/>
        <w:jc w:val="left"/>
        <w:rPr>
          <w:rFonts w:ascii="仿宋" w:hAnsi="仿宋" w:eastAsia="仿宋"/>
          <w:bCs/>
          <w:sz w:val="32"/>
          <w:szCs w:val="32"/>
        </w:rPr>
      </w:pPr>
      <w:r>
        <w:rPr>
          <w:rFonts w:hint="eastAsia" w:ascii="仿宋" w:hAnsi="仿宋" w:eastAsia="仿宋"/>
          <w:bCs/>
          <w:sz w:val="32"/>
          <w:szCs w:val="32"/>
        </w:rPr>
        <w:t>质量指标：外事活动完成率≥</w:t>
      </w:r>
      <w:r>
        <w:rPr>
          <w:rFonts w:hint="eastAsia" w:ascii="仿宋" w:hAnsi="仿宋" w:eastAsia="仿宋"/>
          <w:bCs/>
          <w:sz w:val="32"/>
          <w:szCs w:val="32"/>
          <w:lang w:val="en-US" w:eastAsia="zh-CN"/>
        </w:rPr>
        <w:t>95%</w:t>
      </w:r>
      <w:r>
        <w:rPr>
          <w:rFonts w:hint="eastAsia" w:ascii="仿宋" w:hAnsi="仿宋" w:eastAsia="仿宋"/>
          <w:bCs/>
          <w:sz w:val="32"/>
          <w:szCs w:val="32"/>
        </w:rPr>
        <w:t>。</w:t>
      </w:r>
    </w:p>
    <w:p w14:paraId="28ADD4E0">
      <w:pPr>
        <w:ind w:firstLine="640" w:firstLineChars="200"/>
        <w:jc w:val="left"/>
        <w:rPr>
          <w:rFonts w:ascii="仿宋" w:hAnsi="仿宋" w:eastAsia="仿宋"/>
          <w:bCs/>
          <w:sz w:val="32"/>
          <w:szCs w:val="32"/>
        </w:rPr>
      </w:pPr>
      <w:r>
        <w:rPr>
          <w:rFonts w:hint="eastAsia" w:ascii="仿宋" w:hAnsi="仿宋" w:eastAsia="仿宋"/>
          <w:bCs/>
          <w:sz w:val="32"/>
          <w:szCs w:val="32"/>
        </w:rPr>
        <w:t>时效指标：项目开展及时性≥</w:t>
      </w:r>
      <w:r>
        <w:rPr>
          <w:rFonts w:hint="eastAsia" w:ascii="仿宋" w:hAnsi="仿宋" w:eastAsia="仿宋"/>
          <w:bCs/>
          <w:sz w:val="32"/>
          <w:szCs w:val="32"/>
          <w:lang w:val="en-US" w:eastAsia="zh-CN"/>
        </w:rPr>
        <w:t>95%</w:t>
      </w:r>
      <w:r>
        <w:rPr>
          <w:rFonts w:hint="eastAsia" w:ascii="仿宋" w:hAnsi="仿宋" w:eastAsia="仿宋"/>
          <w:bCs/>
          <w:sz w:val="32"/>
          <w:szCs w:val="32"/>
        </w:rPr>
        <w:t>。</w:t>
      </w:r>
    </w:p>
    <w:p w14:paraId="28402B5C">
      <w:pPr>
        <w:ind w:firstLine="640" w:firstLineChars="200"/>
        <w:jc w:val="left"/>
        <w:rPr>
          <w:rFonts w:ascii="仿宋" w:hAnsi="仿宋" w:eastAsia="仿宋"/>
          <w:bCs/>
          <w:sz w:val="32"/>
          <w:szCs w:val="32"/>
        </w:rPr>
      </w:pPr>
      <w:r>
        <w:rPr>
          <w:rFonts w:hint="eastAsia" w:ascii="仿宋" w:hAnsi="仿宋" w:eastAsia="仿宋"/>
          <w:bCs/>
          <w:sz w:val="32"/>
          <w:szCs w:val="32"/>
        </w:rPr>
        <w:t>社会效益指标：考察辅政水平提升定性有效提升。</w:t>
      </w:r>
    </w:p>
    <w:p w14:paraId="4F9CE20A">
      <w:pPr>
        <w:ind w:firstLine="640" w:firstLineChars="200"/>
        <w:jc w:val="left"/>
        <w:rPr>
          <w:rFonts w:hint="eastAsia" w:ascii="仿宋" w:hAnsi="仿宋" w:eastAsia="仿宋"/>
          <w:bCs/>
          <w:sz w:val="32"/>
          <w:szCs w:val="32"/>
        </w:rPr>
      </w:pPr>
      <w:r>
        <w:rPr>
          <w:rFonts w:hint="eastAsia" w:ascii="仿宋" w:hAnsi="仿宋" w:eastAsia="仿宋"/>
          <w:bCs/>
          <w:sz w:val="32"/>
          <w:szCs w:val="32"/>
        </w:rPr>
        <w:t>满意度指标：群众满意率≥95%。</w:t>
      </w:r>
    </w:p>
    <w:p w14:paraId="0E8A97EC">
      <w:pPr>
        <w:ind w:firstLine="640" w:firstLineChars="200"/>
        <w:jc w:val="left"/>
        <w:rPr>
          <w:rFonts w:hint="eastAsia" w:ascii="仿宋" w:hAnsi="仿宋" w:eastAsia="仿宋"/>
          <w:bCs/>
          <w:sz w:val="32"/>
          <w:szCs w:val="32"/>
        </w:rPr>
      </w:pPr>
      <w:r>
        <w:rPr>
          <w:rFonts w:hint="eastAsia" w:ascii="仿宋" w:hAnsi="仿宋" w:eastAsia="仿宋"/>
          <w:bCs/>
          <w:sz w:val="32"/>
          <w:szCs w:val="32"/>
          <w:lang w:val="en-US" w:eastAsia="zh-CN"/>
        </w:rPr>
        <w:t>2.</w:t>
      </w:r>
      <w:r>
        <w:rPr>
          <w:rFonts w:hint="eastAsia" w:ascii="仿宋" w:hAnsi="仿宋" w:eastAsia="仿宋"/>
          <w:bCs/>
          <w:sz w:val="32"/>
          <w:szCs w:val="32"/>
        </w:rPr>
        <w:t>综治工作经费_政府办综治专项经费、政务公开经费</w:t>
      </w:r>
    </w:p>
    <w:p w14:paraId="62EFECAF">
      <w:pPr>
        <w:ind w:firstLine="640" w:firstLineChars="200"/>
        <w:jc w:val="left"/>
        <w:rPr>
          <w:rFonts w:ascii="仿宋" w:hAnsi="仿宋" w:eastAsia="仿宋"/>
          <w:bCs/>
          <w:sz w:val="32"/>
          <w:szCs w:val="32"/>
        </w:rPr>
      </w:pPr>
      <w:r>
        <w:rPr>
          <w:rFonts w:hint="eastAsia" w:ascii="仿宋" w:hAnsi="仿宋" w:eastAsia="仿宋"/>
          <w:bCs/>
          <w:sz w:val="32"/>
          <w:szCs w:val="32"/>
        </w:rPr>
        <w:t>1）项目概述：保障本单位综治工作正常开展，保障相关挂点帮扶和综治宣传工作正常开展；保障区政府政务公开工作需求，实时发布相关政务信息。</w:t>
      </w:r>
      <w:r>
        <w:rPr>
          <w:rFonts w:ascii="仿宋" w:hAnsi="仿宋" w:eastAsia="仿宋"/>
          <w:bCs/>
          <w:sz w:val="32"/>
          <w:szCs w:val="32"/>
        </w:rPr>
        <w:t xml:space="preserve"> </w:t>
      </w:r>
    </w:p>
    <w:p w14:paraId="7B66DD1B">
      <w:pPr>
        <w:ind w:firstLine="640" w:firstLineChars="200"/>
        <w:jc w:val="left"/>
        <w:rPr>
          <w:rFonts w:hint="eastAsia" w:ascii="仿宋" w:hAnsi="仿宋" w:eastAsia="仿宋"/>
          <w:bCs/>
          <w:sz w:val="32"/>
          <w:szCs w:val="32"/>
        </w:rPr>
      </w:pPr>
      <w:r>
        <w:rPr>
          <w:rFonts w:hint="eastAsia" w:ascii="仿宋" w:hAnsi="仿宋" w:eastAsia="仿宋"/>
          <w:bCs/>
          <w:sz w:val="32"/>
          <w:szCs w:val="32"/>
        </w:rPr>
        <w:t>2）实施主体：</w:t>
      </w:r>
      <w:r>
        <w:rPr>
          <w:rFonts w:hint="eastAsia" w:ascii="仿宋_GB2312" w:hAnsi="仿宋_GB2312" w:eastAsia="仿宋_GB2312" w:cs="仿宋_GB2312"/>
          <w:kern w:val="0"/>
          <w:sz w:val="32"/>
          <w:szCs w:val="32"/>
          <w:lang w:eastAsia="zh-CN"/>
        </w:rPr>
        <w:t>南昌市</w:t>
      </w:r>
      <w:r>
        <w:rPr>
          <w:rFonts w:hint="eastAsia" w:ascii="仿宋_GB2312" w:hAnsi="仿宋_GB2312" w:eastAsia="仿宋_GB2312" w:cs="仿宋_GB2312"/>
          <w:kern w:val="0"/>
          <w:sz w:val="32"/>
          <w:szCs w:val="32"/>
        </w:rPr>
        <w:t>青云谱区</w:t>
      </w:r>
      <w:r>
        <w:rPr>
          <w:rFonts w:hint="eastAsia" w:ascii="仿宋_GB2312" w:hAnsi="仿宋_GB2312" w:eastAsia="仿宋_GB2312" w:cs="仿宋_GB2312"/>
          <w:kern w:val="0"/>
          <w:sz w:val="32"/>
          <w:szCs w:val="32"/>
          <w:lang w:eastAsia="zh-CN"/>
        </w:rPr>
        <w:t>人民</w:t>
      </w:r>
      <w:r>
        <w:rPr>
          <w:rFonts w:hint="eastAsia" w:ascii="仿宋_GB2312" w:hAnsi="仿宋_GB2312" w:eastAsia="仿宋_GB2312" w:cs="仿宋_GB2312"/>
          <w:kern w:val="0"/>
          <w:sz w:val="32"/>
          <w:szCs w:val="32"/>
        </w:rPr>
        <w:t>政府办公室</w:t>
      </w:r>
      <w:r>
        <w:rPr>
          <w:rFonts w:hint="eastAsia" w:ascii="仿宋" w:hAnsi="仿宋" w:eastAsia="仿宋"/>
          <w:bCs/>
          <w:sz w:val="32"/>
          <w:szCs w:val="32"/>
        </w:rPr>
        <w:t xml:space="preserve"> </w:t>
      </w:r>
    </w:p>
    <w:p w14:paraId="11C8E780">
      <w:pPr>
        <w:ind w:firstLine="640" w:firstLineChars="200"/>
        <w:jc w:val="left"/>
        <w:rPr>
          <w:rFonts w:ascii="仿宋" w:hAnsi="仿宋" w:eastAsia="仿宋"/>
          <w:bCs/>
          <w:sz w:val="32"/>
          <w:szCs w:val="32"/>
        </w:rPr>
      </w:pPr>
      <w:r>
        <w:rPr>
          <w:rFonts w:hint="eastAsia" w:ascii="仿宋" w:hAnsi="仿宋" w:eastAsia="仿宋"/>
          <w:bCs/>
          <w:sz w:val="32"/>
          <w:szCs w:val="32"/>
        </w:rPr>
        <w:t>3）实施方案：一是完成项目申报，预算审批，资金拨付；二是年终考核，总结项目成效。</w:t>
      </w:r>
    </w:p>
    <w:p w14:paraId="3F815312">
      <w:pPr>
        <w:ind w:firstLine="640" w:firstLineChars="200"/>
        <w:jc w:val="left"/>
        <w:rPr>
          <w:rFonts w:hint="default" w:ascii="仿宋" w:hAnsi="仿宋" w:eastAsia="仿宋"/>
          <w:bCs/>
          <w:sz w:val="32"/>
          <w:szCs w:val="32"/>
          <w:lang w:val="en-US" w:eastAsia="zh-CN"/>
        </w:rPr>
      </w:pPr>
      <w:r>
        <w:rPr>
          <w:rFonts w:hint="eastAsia" w:ascii="仿宋" w:hAnsi="仿宋" w:eastAsia="仿宋"/>
          <w:bCs/>
          <w:sz w:val="32"/>
          <w:szCs w:val="32"/>
        </w:rPr>
        <w:t>4）实施周期：</w:t>
      </w:r>
      <w:r>
        <w:rPr>
          <w:rFonts w:hint="eastAsia" w:ascii="仿宋" w:hAnsi="仿宋" w:eastAsia="仿宋"/>
          <w:bCs/>
          <w:sz w:val="32"/>
          <w:szCs w:val="32"/>
          <w:lang w:val="en-US" w:eastAsia="zh-CN"/>
        </w:rPr>
        <w:t>2026.01-2026.12</w:t>
      </w:r>
    </w:p>
    <w:p w14:paraId="230F4E72">
      <w:pPr>
        <w:ind w:firstLine="640" w:firstLineChars="200"/>
        <w:jc w:val="left"/>
        <w:rPr>
          <w:rFonts w:ascii="仿宋" w:hAnsi="仿宋" w:eastAsia="仿宋"/>
          <w:bCs/>
          <w:sz w:val="32"/>
          <w:szCs w:val="32"/>
        </w:rPr>
      </w:pPr>
      <w:r>
        <w:rPr>
          <w:rFonts w:hint="eastAsia" w:ascii="仿宋" w:hAnsi="仿宋" w:eastAsia="仿宋"/>
          <w:bCs/>
          <w:sz w:val="32"/>
          <w:szCs w:val="32"/>
        </w:rPr>
        <w:t>5）年度预算安排：</w:t>
      </w:r>
      <w:r>
        <w:rPr>
          <w:rFonts w:hint="eastAsia" w:ascii="仿宋" w:hAnsi="仿宋" w:eastAsia="仿宋"/>
          <w:bCs/>
          <w:sz w:val="32"/>
          <w:szCs w:val="32"/>
          <w:lang w:val="en-US" w:eastAsia="zh-CN"/>
        </w:rPr>
        <w:t>7.70</w:t>
      </w:r>
      <w:r>
        <w:rPr>
          <w:rFonts w:hint="eastAsia" w:ascii="仿宋" w:hAnsi="仿宋" w:eastAsia="仿宋"/>
          <w:bCs/>
          <w:sz w:val="32"/>
          <w:szCs w:val="32"/>
        </w:rPr>
        <w:t>万元</w:t>
      </w:r>
    </w:p>
    <w:p w14:paraId="2CE3BAAA">
      <w:pPr>
        <w:ind w:firstLine="640" w:firstLineChars="200"/>
        <w:jc w:val="left"/>
        <w:rPr>
          <w:rFonts w:hint="eastAsia" w:ascii="仿宋" w:hAnsi="仿宋" w:eastAsia="仿宋"/>
          <w:bCs/>
          <w:sz w:val="32"/>
          <w:szCs w:val="32"/>
        </w:rPr>
      </w:pPr>
      <w:r>
        <w:rPr>
          <w:rFonts w:hint="eastAsia" w:ascii="仿宋" w:hAnsi="仿宋" w:eastAsia="仿宋"/>
          <w:bCs/>
          <w:sz w:val="32"/>
          <w:szCs w:val="32"/>
        </w:rPr>
        <w:t>6）绩效目标和指标：</w:t>
      </w:r>
    </w:p>
    <w:p w14:paraId="0A2F8A3E">
      <w:pPr>
        <w:ind w:left="638" w:leftChars="304"/>
        <w:jc w:val="left"/>
        <w:rPr>
          <w:rFonts w:hint="eastAsia" w:ascii="仿宋" w:hAnsi="仿宋" w:eastAsia="仿宋"/>
          <w:bCs/>
          <w:sz w:val="32"/>
          <w:szCs w:val="32"/>
          <w:lang w:eastAsia="zh-CN"/>
        </w:rPr>
      </w:pPr>
      <w:r>
        <w:rPr>
          <w:rFonts w:hint="eastAsia" w:ascii="仿宋" w:hAnsi="仿宋" w:eastAsia="仿宋"/>
          <w:bCs/>
          <w:sz w:val="32"/>
          <w:szCs w:val="32"/>
        </w:rPr>
        <w:t>数量指标：购买宣传册总套数≥500套</w:t>
      </w:r>
      <w:r>
        <w:rPr>
          <w:rFonts w:hint="eastAsia" w:ascii="仿宋" w:hAnsi="仿宋" w:eastAsia="仿宋"/>
          <w:bCs/>
          <w:sz w:val="32"/>
          <w:szCs w:val="32"/>
          <w:lang w:eastAsia="zh-CN"/>
        </w:rPr>
        <w:t>制作宣传标语次数≥</w:t>
      </w:r>
      <w:r>
        <w:rPr>
          <w:rFonts w:hint="eastAsia" w:ascii="仿宋" w:hAnsi="仿宋" w:eastAsia="仿宋"/>
          <w:bCs/>
          <w:sz w:val="32"/>
          <w:szCs w:val="32"/>
          <w:lang w:val="en-US" w:eastAsia="zh-CN"/>
        </w:rPr>
        <w:t>10</w:t>
      </w:r>
      <w:r>
        <w:rPr>
          <w:rFonts w:hint="eastAsia" w:ascii="仿宋" w:hAnsi="仿宋" w:eastAsia="仿宋"/>
          <w:bCs/>
          <w:sz w:val="32"/>
          <w:szCs w:val="32"/>
          <w:lang w:eastAsia="zh-CN"/>
        </w:rPr>
        <w:t>次。</w:t>
      </w:r>
    </w:p>
    <w:p w14:paraId="66193720">
      <w:pPr>
        <w:ind w:left="638" w:leftChars="304"/>
        <w:jc w:val="left"/>
        <w:rPr>
          <w:rFonts w:ascii="仿宋" w:hAnsi="仿宋" w:eastAsia="仿宋"/>
          <w:bCs/>
          <w:sz w:val="32"/>
          <w:szCs w:val="32"/>
        </w:rPr>
      </w:pPr>
      <w:r>
        <w:rPr>
          <w:rFonts w:hint="eastAsia" w:ascii="仿宋" w:hAnsi="仿宋" w:eastAsia="仿宋"/>
          <w:bCs/>
          <w:sz w:val="32"/>
          <w:szCs w:val="32"/>
        </w:rPr>
        <w:t>质量指标：网络信息知晓率≥95%。</w:t>
      </w:r>
    </w:p>
    <w:p w14:paraId="491BBF2F">
      <w:pPr>
        <w:ind w:firstLine="640" w:firstLineChars="200"/>
        <w:jc w:val="left"/>
        <w:rPr>
          <w:rFonts w:ascii="仿宋" w:hAnsi="仿宋" w:eastAsia="仿宋"/>
          <w:bCs/>
          <w:sz w:val="32"/>
          <w:szCs w:val="32"/>
        </w:rPr>
      </w:pPr>
      <w:r>
        <w:rPr>
          <w:rFonts w:hint="eastAsia" w:ascii="仿宋" w:hAnsi="仿宋" w:eastAsia="仿宋"/>
          <w:bCs/>
          <w:sz w:val="32"/>
          <w:szCs w:val="32"/>
          <w:lang w:val="en-US" w:eastAsia="zh-CN"/>
        </w:rPr>
        <w:t>时效指标</w:t>
      </w:r>
      <w:r>
        <w:rPr>
          <w:rFonts w:hint="eastAsia" w:ascii="仿宋" w:hAnsi="仿宋" w:eastAsia="仿宋"/>
          <w:bCs/>
          <w:sz w:val="32"/>
          <w:szCs w:val="32"/>
        </w:rPr>
        <w:t>：项目完成时效定性2026年12月底前。。</w:t>
      </w:r>
    </w:p>
    <w:p w14:paraId="19B0E168">
      <w:pPr>
        <w:ind w:left="638" w:leftChars="304" w:firstLine="0" w:firstLineChars="0"/>
        <w:jc w:val="left"/>
        <w:rPr>
          <w:rFonts w:hint="eastAsia" w:ascii="仿宋" w:hAnsi="仿宋" w:eastAsia="仿宋"/>
          <w:bCs/>
          <w:sz w:val="32"/>
          <w:szCs w:val="32"/>
        </w:rPr>
      </w:pPr>
      <w:r>
        <w:rPr>
          <w:rFonts w:hint="eastAsia" w:ascii="仿宋" w:hAnsi="仿宋" w:eastAsia="仿宋"/>
          <w:bCs/>
          <w:sz w:val="32"/>
          <w:szCs w:val="32"/>
        </w:rPr>
        <w:t>社会效益指标：有效提升区域政务民主建设定性有效提升满意度指标：群众满意率≥95%。</w:t>
      </w:r>
    </w:p>
    <w:p w14:paraId="7CC713ED">
      <w:pPr>
        <w:pStyle w:val="21"/>
        <w:bidi w:val="0"/>
        <w:ind w:left="0" w:leftChars="0" w:firstLine="0" w:firstLineChars="0"/>
        <w:rPr>
          <w:rFonts w:hint="eastAsia"/>
          <w:lang w:eastAsia="zh-CN"/>
        </w:rPr>
      </w:pPr>
    </w:p>
    <w:p w14:paraId="17380B23">
      <w:pPr>
        <w:pStyle w:val="20"/>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w:t>
      </w:r>
      <w:r>
        <w:rPr>
          <w:rFonts w:hint="eastAsia" w:ascii="楷体_GB2312" w:eastAsia="楷体_GB2312"/>
          <w:b/>
          <w:sz w:val="32"/>
          <w:szCs w:val="30"/>
          <w:lang w:eastAsia="zh-CN"/>
        </w:rPr>
        <w:t>2026</w:t>
      </w:r>
      <w:r>
        <w:rPr>
          <w:rFonts w:hint="eastAsia" w:ascii="楷体_GB2312" w:eastAsia="楷体_GB2312"/>
          <w:b/>
          <w:sz w:val="32"/>
          <w:szCs w:val="30"/>
        </w:rPr>
        <w:t>年财政拨款“三公”经费预算情况说明</w:t>
      </w:r>
    </w:p>
    <w:p w14:paraId="6ED6F84F">
      <w:pPr>
        <w:pStyle w:val="21"/>
        <w:bidi w:val="0"/>
        <w:rPr>
          <w:rFonts w:hint="eastAsia"/>
          <w:lang w:eastAsia="zh-CN"/>
        </w:rPr>
      </w:pPr>
      <w:r>
        <w:rPr>
          <w:rFonts w:hint="eastAsia"/>
          <w:lang w:eastAsia="zh-CN"/>
        </w:rPr>
        <w:t>2026年南昌市青云谱区人民政府办公室财政拨款"三公"经费安排26.00万元，其中：</w:t>
      </w:r>
    </w:p>
    <w:p w14:paraId="61C30644">
      <w:pPr>
        <w:pStyle w:val="21"/>
        <w:bidi w:val="0"/>
        <w:rPr>
          <w:rFonts w:hint="eastAsia"/>
          <w:lang w:eastAsia="zh-CN"/>
        </w:rPr>
      </w:pPr>
      <w:r>
        <w:rPr>
          <w:rFonts w:hint="eastAsia"/>
          <w:lang w:eastAsia="zh-CN"/>
        </w:rPr>
        <w:t>因公出国26.00万元,比上年上年增（减）</w:t>
      </w:r>
      <w:r>
        <w:rPr>
          <w:rFonts w:hint="eastAsia"/>
          <w:lang w:val="en-US" w:eastAsia="zh-CN"/>
        </w:rPr>
        <w:t>10.00</w:t>
      </w:r>
      <w:r>
        <w:rPr>
          <w:rFonts w:hint="eastAsia"/>
          <w:lang w:eastAsia="zh-CN"/>
        </w:rPr>
        <w:t>万元，主要原因是：</w:t>
      </w:r>
      <w:r>
        <w:rPr>
          <w:rFonts w:hint="eastAsia"/>
          <w:u w:val="single"/>
          <w:lang w:val="en-US" w:eastAsia="zh-CN"/>
        </w:rPr>
        <w:t>本部门厉行节约，故缩减</w:t>
      </w:r>
      <w:r>
        <w:rPr>
          <w:rFonts w:hint="eastAsia"/>
          <w:u w:val="single"/>
          <w:lang w:eastAsia="zh-CN"/>
        </w:rPr>
        <w:t>因公出国</w:t>
      </w:r>
      <w:r>
        <w:rPr>
          <w:rFonts w:hint="eastAsia"/>
          <w:u w:val="single"/>
          <w:lang w:val="en-US" w:eastAsia="zh-CN"/>
        </w:rPr>
        <w:t>支出</w:t>
      </w:r>
      <w:r>
        <w:rPr>
          <w:rFonts w:hint="eastAsia"/>
          <w:lang w:eastAsia="zh-CN"/>
        </w:rPr>
        <w:t>。</w:t>
      </w:r>
    </w:p>
    <w:p w14:paraId="705EDC74">
      <w:pPr>
        <w:pStyle w:val="21"/>
        <w:bidi w:val="0"/>
        <w:rPr>
          <w:rFonts w:hint="eastAsia"/>
          <w:lang w:eastAsia="zh-CN"/>
        </w:rPr>
      </w:pPr>
      <w:r>
        <w:rPr>
          <w:rFonts w:hint="eastAsia"/>
          <w:lang w:eastAsia="zh-CN"/>
        </w:rPr>
        <w:t>公务接待0.00万元,比上年增（减）</w:t>
      </w:r>
      <w:r>
        <w:rPr>
          <w:rFonts w:hint="eastAsia"/>
          <w:u w:val="single"/>
          <w:lang w:val="en-US" w:eastAsia="zh-CN"/>
        </w:rPr>
        <w:t>0</w:t>
      </w:r>
      <w:r>
        <w:rPr>
          <w:rFonts w:hint="eastAsia"/>
          <w:lang w:eastAsia="zh-CN"/>
        </w:rPr>
        <w:t>万元，主要原因是：</w:t>
      </w:r>
      <w:r>
        <w:rPr>
          <w:rFonts w:hint="eastAsia"/>
          <w:u w:val="single"/>
          <w:lang w:eastAsia="zh-CN"/>
        </w:rPr>
        <w:t>与上年安排保持一致</w:t>
      </w:r>
      <w:r>
        <w:rPr>
          <w:rFonts w:hint="eastAsia"/>
          <w:lang w:eastAsia="zh-CN"/>
        </w:rPr>
        <w:t>。</w:t>
      </w:r>
    </w:p>
    <w:p w14:paraId="03B30B7F">
      <w:pPr>
        <w:pStyle w:val="21"/>
        <w:bidi w:val="0"/>
        <w:rPr>
          <w:rFonts w:hint="eastAsia"/>
          <w:lang w:eastAsia="zh-CN"/>
        </w:rPr>
      </w:pPr>
      <w:r>
        <w:rPr>
          <w:rFonts w:hint="eastAsia"/>
          <w:lang w:eastAsia="zh-CN"/>
        </w:rPr>
        <w:t>公务用车运行0.00万元,比上年增（减）</w:t>
      </w:r>
      <w:r>
        <w:rPr>
          <w:rFonts w:hint="eastAsia"/>
          <w:u w:val="single"/>
          <w:lang w:val="en-US" w:eastAsia="zh-CN"/>
        </w:rPr>
        <w:t>0</w:t>
      </w:r>
      <w:r>
        <w:rPr>
          <w:rFonts w:hint="eastAsia"/>
          <w:lang w:eastAsia="zh-CN"/>
        </w:rPr>
        <w:t>万元，主要原因是：</w:t>
      </w:r>
      <w:r>
        <w:rPr>
          <w:rFonts w:hint="eastAsia"/>
          <w:u w:val="single"/>
          <w:lang w:eastAsia="zh-CN"/>
        </w:rPr>
        <w:t>与上年安排保持一致</w:t>
      </w:r>
      <w:r>
        <w:rPr>
          <w:rFonts w:hint="eastAsia"/>
          <w:lang w:eastAsia="zh-CN"/>
        </w:rPr>
        <w:t>。</w:t>
      </w:r>
    </w:p>
    <w:p w14:paraId="531C0D5A">
      <w:pPr>
        <w:pStyle w:val="21"/>
        <w:bidi w:val="0"/>
        <w:rPr>
          <w:rFonts w:hint="eastAsia"/>
          <w:lang w:eastAsia="zh-CN"/>
        </w:rPr>
      </w:pPr>
      <w:r>
        <w:rPr>
          <w:rFonts w:hint="eastAsia"/>
          <w:lang w:eastAsia="zh-CN"/>
        </w:rPr>
        <w:t>公务用车购置0.00万元,比上年增（减）</w:t>
      </w:r>
      <w:r>
        <w:rPr>
          <w:rFonts w:hint="eastAsia"/>
          <w:u w:val="single"/>
          <w:lang w:val="en-US" w:eastAsia="zh-CN"/>
        </w:rPr>
        <w:t>0</w:t>
      </w:r>
      <w:r>
        <w:rPr>
          <w:rFonts w:hint="eastAsia"/>
          <w:lang w:eastAsia="zh-CN"/>
        </w:rPr>
        <w:t>万元，主要原因是：</w:t>
      </w:r>
      <w:r>
        <w:rPr>
          <w:rFonts w:hint="eastAsia"/>
          <w:u w:val="single"/>
          <w:lang w:eastAsia="zh-CN"/>
        </w:rPr>
        <w:t>与上年安排保持一致</w:t>
      </w:r>
      <w:r>
        <w:rPr>
          <w:rFonts w:hint="eastAsia"/>
          <w:lang w:eastAsia="zh-CN"/>
        </w:rPr>
        <w:t>。</w:t>
      </w:r>
    </w:p>
    <w:p w14:paraId="6032F95D">
      <w:pPr>
        <w:pStyle w:val="20"/>
        <w:numPr>
          <w:ilvl w:val="0"/>
          <w:numId w:val="0"/>
        </w:numPr>
        <w:bidi w:val="0"/>
        <w:ind w:left="420" w:leftChars="200"/>
        <w:jc w:val="center"/>
        <w:rPr>
          <w:rFonts w:hint="eastAsia"/>
          <w:lang w:val="en-US" w:eastAsia="zh-CN"/>
        </w:rPr>
      </w:pPr>
    </w:p>
    <w:p w14:paraId="4FEAADFE">
      <w:pPr>
        <w:pStyle w:val="20"/>
        <w:numPr>
          <w:ilvl w:val="0"/>
          <w:numId w:val="0"/>
        </w:numPr>
        <w:bidi w:val="0"/>
        <w:ind w:left="420" w:leftChars="200"/>
        <w:jc w:val="center"/>
        <w:rPr>
          <w:rFonts w:hint="eastAsia"/>
          <w:lang w:val="en-US" w:eastAsia="zh-CN"/>
        </w:rPr>
      </w:pPr>
      <w:r>
        <w:rPr>
          <w:rFonts w:hint="eastAsia"/>
          <w:lang w:val="en-US" w:eastAsia="zh-CN"/>
        </w:rPr>
        <w:t>第四部分   名词解释</w:t>
      </w:r>
    </w:p>
    <w:p w14:paraId="5C09F5EA">
      <w:pPr>
        <w:pStyle w:val="20"/>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一、收入科目</w:t>
      </w:r>
    </w:p>
    <w:p w14:paraId="098D828D">
      <w:pPr>
        <w:pStyle w:val="21"/>
        <w:bidi w:val="0"/>
        <w:rPr>
          <w:rFonts w:hint="eastAsia"/>
          <w:lang w:eastAsia="zh-CN"/>
        </w:rPr>
      </w:pPr>
      <w:r>
        <w:rPr>
          <w:rFonts w:hint="eastAsia"/>
          <w:lang w:eastAsia="zh-CN"/>
        </w:rPr>
        <w:t>各部门结合实际进行解释。</w:t>
      </w:r>
    </w:p>
    <w:p w14:paraId="7B836731">
      <w:pPr>
        <w:pStyle w:val="21"/>
        <w:bidi w:val="0"/>
        <w:rPr>
          <w:rFonts w:hint="eastAsia"/>
          <w:lang w:eastAsia="zh-CN"/>
        </w:rPr>
      </w:pPr>
      <w:r>
        <w:rPr>
          <w:rFonts w:hint="eastAsia"/>
          <w:lang w:eastAsia="zh-CN"/>
        </w:rPr>
        <w:t>（</w:t>
      </w:r>
      <w:r>
        <w:rPr>
          <w:rFonts w:hint="eastAsia"/>
          <w:lang w:val="en-US" w:eastAsia="zh-CN"/>
        </w:rPr>
        <w:t>一</w:t>
      </w:r>
      <w:r>
        <w:rPr>
          <w:rFonts w:hint="eastAsia"/>
          <w:lang w:eastAsia="zh-CN"/>
        </w:rPr>
        <w:t>）财政拨款：指省级财政当年拨付的资金。</w:t>
      </w:r>
    </w:p>
    <w:p w14:paraId="4FFFF293">
      <w:pPr>
        <w:pStyle w:val="21"/>
        <w:bidi w:val="0"/>
        <w:rPr>
          <w:rFonts w:hint="eastAsia"/>
          <w:lang w:eastAsia="zh-CN"/>
        </w:rPr>
      </w:pPr>
      <w:r>
        <w:rPr>
          <w:rFonts w:hint="eastAsia"/>
          <w:lang w:eastAsia="zh-CN"/>
        </w:rPr>
        <w:t>（</w:t>
      </w:r>
      <w:r>
        <w:rPr>
          <w:rFonts w:hint="eastAsia"/>
          <w:lang w:val="en-US" w:eastAsia="zh-CN"/>
        </w:rPr>
        <w:t>二</w:t>
      </w:r>
      <w:r>
        <w:rPr>
          <w:rFonts w:hint="eastAsia"/>
          <w:lang w:eastAsia="zh-CN"/>
        </w:rPr>
        <w:t>）教育收费资金收入：指实行专项管理的高中以上学费、住宿费，高校委托培养费，函大、电大、夜大及短训班培训费等教育收费取得的收入。</w:t>
      </w:r>
    </w:p>
    <w:p w14:paraId="5F65318F">
      <w:pPr>
        <w:pStyle w:val="21"/>
        <w:bidi w:val="0"/>
        <w:rPr>
          <w:rFonts w:hint="eastAsia"/>
          <w:lang w:eastAsia="zh-CN"/>
        </w:rPr>
      </w:pPr>
      <w:r>
        <w:rPr>
          <w:rFonts w:hint="eastAsia"/>
          <w:lang w:eastAsia="zh-CN"/>
        </w:rPr>
        <w:t>（三）事业收入：指事业单位开展专业业务活动及辅助活动取得的收入。</w:t>
      </w:r>
    </w:p>
    <w:p w14:paraId="55EA2258">
      <w:pPr>
        <w:pStyle w:val="21"/>
        <w:bidi w:val="0"/>
        <w:rPr>
          <w:rFonts w:hint="eastAsia"/>
          <w:lang w:eastAsia="zh-CN"/>
        </w:rPr>
      </w:pPr>
      <w:r>
        <w:rPr>
          <w:rFonts w:hint="eastAsia"/>
          <w:lang w:eastAsia="zh-CN"/>
        </w:rPr>
        <w:t>（四）事业单位经营收入：指事业单位在专业业务活动及辅助活动之外开展非独立核算经营活动取得的收入。</w:t>
      </w:r>
    </w:p>
    <w:p w14:paraId="0CB7F868">
      <w:pPr>
        <w:pStyle w:val="21"/>
        <w:bidi w:val="0"/>
        <w:rPr>
          <w:rFonts w:hint="eastAsia"/>
          <w:lang w:eastAsia="zh-CN"/>
        </w:rPr>
      </w:pPr>
      <w:r>
        <w:rPr>
          <w:rFonts w:hint="eastAsia"/>
          <w:lang w:eastAsia="zh-CN"/>
        </w:rPr>
        <w:t>（五）附属单位上缴收入：指事业单位附属的独立核算单位按规定标准或比例缴纳的各项收入。包括附属的事业单位上缴的收入和附属的企业上缴的利润等。</w:t>
      </w:r>
    </w:p>
    <w:p w14:paraId="28B51C27">
      <w:pPr>
        <w:pStyle w:val="21"/>
        <w:bidi w:val="0"/>
        <w:rPr>
          <w:rFonts w:hint="eastAsia"/>
          <w:lang w:eastAsia="zh-CN"/>
        </w:rPr>
      </w:pPr>
      <w:r>
        <w:rPr>
          <w:rFonts w:hint="eastAsia"/>
          <w:lang w:eastAsia="zh-CN"/>
        </w:rPr>
        <w:t>（六）上级补助收入：指事业单位从主管部门和上级单位取得的非财政补助收入。</w:t>
      </w:r>
    </w:p>
    <w:p w14:paraId="1986077F">
      <w:pPr>
        <w:pStyle w:val="21"/>
        <w:bidi w:val="0"/>
        <w:rPr>
          <w:rFonts w:hint="eastAsia"/>
          <w:lang w:eastAsia="zh-CN"/>
        </w:rPr>
      </w:pPr>
      <w:r>
        <w:rPr>
          <w:rFonts w:hint="eastAsia"/>
          <w:lang w:eastAsia="zh-CN"/>
        </w:rPr>
        <w:t>（七）其他收入：指除财政拨款、事业收入、事业单位经营收入等以外的各项收入。</w:t>
      </w:r>
    </w:p>
    <w:p w14:paraId="74D9C43F">
      <w:pPr>
        <w:pStyle w:val="21"/>
        <w:bidi w:val="0"/>
        <w:rPr>
          <w:rFonts w:hint="eastAsia"/>
          <w:lang w:eastAsia="zh-CN"/>
        </w:rPr>
      </w:pPr>
      <w:r>
        <w:rPr>
          <w:rFonts w:hint="eastAsia"/>
          <w:lang w:eastAsia="zh-CN"/>
        </w:rPr>
        <w:t>（八）使用非财政拨款结余：指历年滚存非限定用途的非财政拨款结余弥补本年度收支差额的数额。</w:t>
      </w:r>
    </w:p>
    <w:p w14:paraId="6DF107D0">
      <w:pPr>
        <w:pStyle w:val="21"/>
        <w:bidi w:val="0"/>
        <w:rPr>
          <w:rFonts w:hint="eastAsia"/>
          <w:lang w:eastAsia="zh-CN"/>
        </w:rPr>
      </w:pPr>
      <w:r>
        <w:rPr>
          <w:rFonts w:hint="eastAsia"/>
          <w:lang w:eastAsia="zh-CN"/>
        </w:rPr>
        <w:t>（九）上年结转和结余：指以前年度全部结转和结余的资金数，包括当年结转结余资金和历年滚存结转结余资金。</w:t>
      </w:r>
    </w:p>
    <w:p w14:paraId="78FA96D2">
      <w:pPr>
        <w:ind w:firstLine="640" w:firstLineChars="200"/>
        <w:rPr>
          <w:rFonts w:ascii="Adobe 仿宋 Std R" w:hAnsi="Adobe 仿宋 Std R" w:eastAsia="Adobe 仿宋 Std R"/>
          <w:sz w:val="32"/>
          <w:szCs w:val="32"/>
        </w:rPr>
      </w:pPr>
    </w:p>
    <w:p w14:paraId="1FF0F461">
      <w:pPr>
        <w:pStyle w:val="20"/>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二、支出科目</w:t>
      </w:r>
    </w:p>
    <w:p w14:paraId="50A6EAB4">
      <w:pPr>
        <w:pStyle w:val="21"/>
        <w:bidi w:val="0"/>
        <w:rPr>
          <w:rFonts w:hint="eastAsia"/>
          <w:lang w:eastAsia="zh-CN"/>
        </w:rPr>
      </w:pPr>
      <w:r>
        <w:rPr>
          <w:rFonts w:hint="eastAsia"/>
          <w:lang w:eastAsia="zh-CN"/>
        </w:rPr>
        <w:t>对部门预算中涉及的支出功能分类科目（明细到项级），结合部门实际，参照《2026年政府收支分类科目》的规范说明进行解释。</w:t>
      </w:r>
    </w:p>
    <w:p w14:paraId="0090AB32">
      <w:pPr>
        <w:widowControl/>
        <w:spacing w:line="600" w:lineRule="exact"/>
        <w:ind w:firstLine="640" w:firstLineChars="200"/>
        <w:jc w:val="left"/>
        <w:rPr>
          <w:rFonts w:ascii="仿宋_GB2312" w:eastAsia="仿宋_GB2312"/>
          <w:color w:val="000000"/>
          <w:sz w:val="32"/>
          <w:szCs w:val="30"/>
        </w:rPr>
      </w:pPr>
    </w:p>
    <w:p w14:paraId="3789C9E6">
      <w:pPr>
        <w:pStyle w:val="20"/>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三、相关专业名词</w:t>
      </w:r>
    </w:p>
    <w:p w14:paraId="1AE8191F">
      <w:pPr>
        <w:pStyle w:val="21"/>
        <w:bidi w:val="0"/>
        <w:ind w:left="0" w:leftChars="0" w:firstLine="640" w:firstLineChars="200"/>
        <w:rPr>
          <w:rFonts w:hint="eastAsia"/>
          <w:lang w:eastAsia="zh-CN"/>
        </w:rPr>
      </w:pPr>
      <w:r>
        <w:rPr>
          <w:rFonts w:hint="eastAsia"/>
          <w:lang w:eastAsia="zh-CN"/>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14:paraId="47EB8AA4">
      <w:pPr>
        <w:pStyle w:val="21"/>
        <w:bidi w:val="0"/>
        <w:rPr>
          <w:rFonts w:hint="eastAsia"/>
          <w:lang w:eastAsia="zh-CN"/>
        </w:rPr>
      </w:pPr>
      <w:r>
        <w:rPr>
          <w:rFonts w:hint="eastAsia"/>
          <w:lang w:eastAsia="zh-CN"/>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 用等支出；公务接待费反映单位按规定开支的各类公务接待（含外宾接待）支出。</w:t>
      </w:r>
    </w:p>
    <w:sectPr>
      <w:headerReference r:id="rId3" w:type="default"/>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C4889">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7D1273"/>
    <w:multiLevelType w:val="singleLevel"/>
    <w:tmpl w:val="0C7D1273"/>
    <w:lvl w:ilvl="0" w:tentative="0">
      <w:start w:val="1"/>
      <w:numFmt w:val="chineseCounting"/>
      <w:pStyle w:val="20"/>
      <w:suff w:val="nothing"/>
      <w:lvlText w:val="%1、"/>
      <w:lvlJc w:val="left"/>
      <w:pPr>
        <w:ind w:left="0" w:firstLine="420"/>
      </w:pPr>
      <w:rPr>
        <w:rFonts w:hint="eastAsia"/>
      </w:rPr>
    </w:lvl>
  </w:abstractNum>
  <w:abstractNum w:abstractNumId="1">
    <w:nsid w:val="79F6942D"/>
    <w:multiLevelType w:val="singleLevel"/>
    <w:tmpl w:val="79F6942D"/>
    <w:lvl w:ilvl="0" w:tentative="0">
      <w:start w:val="1"/>
      <w:numFmt w:val="chineseCounting"/>
      <w:pStyle w:val="22"/>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RjYzY5ZmMwZWEzMzQxOWIwM2QyODc3MDk3NDFhOWMifQ=="/>
  </w:docVars>
  <w:rsids>
    <w:rsidRoot w:val="00172A27"/>
    <w:rsid w:val="000001B2"/>
    <w:rsid w:val="00014049"/>
    <w:rsid w:val="0001648A"/>
    <w:rsid w:val="00022CB3"/>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823EA"/>
    <w:rsid w:val="00186709"/>
    <w:rsid w:val="00192620"/>
    <w:rsid w:val="00193C37"/>
    <w:rsid w:val="001C4ED5"/>
    <w:rsid w:val="001C6F31"/>
    <w:rsid w:val="001D2644"/>
    <w:rsid w:val="001E0EE7"/>
    <w:rsid w:val="001E2A0C"/>
    <w:rsid w:val="001E6FA2"/>
    <w:rsid w:val="001F1DED"/>
    <w:rsid w:val="0021331D"/>
    <w:rsid w:val="00213D4E"/>
    <w:rsid w:val="0022612A"/>
    <w:rsid w:val="00232A32"/>
    <w:rsid w:val="002436CD"/>
    <w:rsid w:val="00251AD0"/>
    <w:rsid w:val="00281E28"/>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378E3"/>
    <w:rsid w:val="00544895"/>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279D2"/>
    <w:rsid w:val="00631E83"/>
    <w:rsid w:val="00631FA4"/>
    <w:rsid w:val="00650900"/>
    <w:rsid w:val="00655E8B"/>
    <w:rsid w:val="00660CC3"/>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C42"/>
    <w:rsid w:val="00823697"/>
    <w:rsid w:val="00846526"/>
    <w:rsid w:val="008506D9"/>
    <w:rsid w:val="00863898"/>
    <w:rsid w:val="00865CCE"/>
    <w:rsid w:val="00872CE4"/>
    <w:rsid w:val="00875B04"/>
    <w:rsid w:val="00876D17"/>
    <w:rsid w:val="008827CA"/>
    <w:rsid w:val="00882C91"/>
    <w:rsid w:val="00884FAE"/>
    <w:rsid w:val="008979F6"/>
    <w:rsid w:val="00897CAC"/>
    <w:rsid w:val="008A2491"/>
    <w:rsid w:val="008B52E8"/>
    <w:rsid w:val="008C011F"/>
    <w:rsid w:val="008C01B1"/>
    <w:rsid w:val="008C6EEE"/>
    <w:rsid w:val="008D4367"/>
    <w:rsid w:val="008E1EFA"/>
    <w:rsid w:val="008F16EE"/>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F095D"/>
    <w:rsid w:val="00AF57C9"/>
    <w:rsid w:val="00AF62CD"/>
    <w:rsid w:val="00B0337F"/>
    <w:rsid w:val="00B128C8"/>
    <w:rsid w:val="00B169A7"/>
    <w:rsid w:val="00B348A8"/>
    <w:rsid w:val="00B51022"/>
    <w:rsid w:val="00B619F8"/>
    <w:rsid w:val="00B6242B"/>
    <w:rsid w:val="00B71EBE"/>
    <w:rsid w:val="00B82840"/>
    <w:rsid w:val="00B96CEB"/>
    <w:rsid w:val="00BA572C"/>
    <w:rsid w:val="00BA7CA7"/>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66BC"/>
    <w:rsid w:val="00D678E3"/>
    <w:rsid w:val="00D826D7"/>
    <w:rsid w:val="00D86F52"/>
    <w:rsid w:val="00DB0580"/>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D12A9"/>
    <w:rsid w:val="00EE5DE1"/>
    <w:rsid w:val="00EE6568"/>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CCF"/>
    <w:rsid w:val="00FF60EC"/>
    <w:rsid w:val="00FF6368"/>
    <w:rsid w:val="01671BDD"/>
    <w:rsid w:val="01861103"/>
    <w:rsid w:val="019127B6"/>
    <w:rsid w:val="01AC3A93"/>
    <w:rsid w:val="01EF572E"/>
    <w:rsid w:val="020411DA"/>
    <w:rsid w:val="02176B4D"/>
    <w:rsid w:val="0288005D"/>
    <w:rsid w:val="02C06A14"/>
    <w:rsid w:val="02F05C02"/>
    <w:rsid w:val="0313418A"/>
    <w:rsid w:val="03183089"/>
    <w:rsid w:val="033409AD"/>
    <w:rsid w:val="036543A8"/>
    <w:rsid w:val="03713379"/>
    <w:rsid w:val="03A26EFC"/>
    <w:rsid w:val="03C54F15"/>
    <w:rsid w:val="044C3E08"/>
    <w:rsid w:val="048760F2"/>
    <w:rsid w:val="04AB0032"/>
    <w:rsid w:val="04B50C64"/>
    <w:rsid w:val="04D1736D"/>
    <w:rsid w:val="0548762F"/>
    <w:rsid w:val="056335EC"/>
    <w:rsid w:val="058E403A"/>
    <w:rsid w:val="05A5357A"/>
    <w:rsid w:val="05A96FBC"/>
    <w:rsid w:val="067A6028"/>
    <w:rsid w:val="069027A8"/>
    <w:rsid w:val="06BE4E5C"/>
    <w:rsid w:val="06D10F0F"/>
    <w:rsid w:val="06EB090E"/>
    <w:rsid w:val="070F6488"/>
    <w:rsid w:val="072E0AA7"/>
    <w:rsid w:val="07493DE4"/>
    <w:rsid w:val="076646E5"/>
    <w:rsid w:val="07944DAE"/>
    <w:rsid w:val="07DA39BA"/>
    <w:rsid w:val="07FD6DF7"/>
    <w:rsid w:val="089B644D"/>
    <w:rsid w:val="08AA6372"/>
    <w:rsid w:val="0957140D"/>
    <w:rsid w:val="097430E9"/>
    <w:rsid w:val="09813405"/>
    <w:rsid w:val="098466E2"/>
    <w:rsid w:val="099A2423"/>
    <w:rsid w:val="09C63CB7"/>
    <w:rsid w:val="0A1A2AD5"/>
    <w:rsid w:val="0A3B59B5"/>
    <w:rsid w:val="0A522CFE"/>
    <w:rsid w:val="0A603A28"/>
    <w:rsid w:val="0A7E3AF3"/>
    <w:rsid w:val="0B2E6C33"/>
    <w:rsid w:val="0B471443"/>
    <w:rsid w:val="0B582596"/>
    <w:rsid w:val="0B776EC0"/>
    <w:rsid w:val="0B957097"/>
    <w:rsid w:val="0B964DA6"/>
    <w:rsid w:val="0BD22464"/>
    <w:rsid w:val="0C0F6191"/>
    <w:rsid w:val="0C210BDA"/>
    <w:rsid w:val="0C22507E"/>
    <w:rsid w:val="0C234952"/>
    <w:rsid w:val="0C97247A"/>
    <w:rsid w:val="0CE40340"/>
    <w:rsid w:val="0D1D3A97"/>
    <w:rsid w:val="0D7F0935"/>
    <w:rsid w:val="0D906017"/>
    <w:rsid w:val="0DB3098E"/>
    <w:rsid w:val="0DC46BAD"/>
    <w:rsid w:val="0E4868F2"/>
    <w:rsid w:val="0EC56195"/>
    <w:rsid w:val="0ECE5049"/>
    <w:rsid w:val="0ED334BB"/>
    <w:rsid w:val="0EED77D1"/>
    <w:rsid w:val="0EFA6FF3"/>
    <w:rsid w:val="0EFE5F92"/>
    <w:rsid w:val="0F2509E1"/>
    <w:rsid w:val="0F4C2412"/>
    <w:rsid w:val="0F77472F"/>
    <w:rsid w:val="0FA364D6"/>
    <w:rsid w:val="0FFC5BE6"/>
    <w:rsid w:val="10374E70"/>
    <w:rsid w:val="1042584C"/>
    <w:rsid w:val="10C76C75"/>
    <w:rsid w:val="10EC7A09"/>
    <w:rsid w:val="118C7F17"/>
    <w:rsid w:val="11A42091"/>
    <w:rsid w:val="11A83289"/>
    <w:rsid w:val="11BA18B5"/>
    <w:rsid w:val="12AB25F0"/>
    <w:rsid w:val="12C66037"/>
    <w:rsid w:val="12D71EE1"/>
    <w:rsid w:val="13024677"/>
    <w:rsid w:val="132316DC"/>
    <w:rsid w:val="13257202"/>
    <w:rsid w:val="137A24B0"/>
    <w:rsid w:val="13D322AC"/>
    <w:rsid w:val="146A26EA"/>
    <w:rsid w:val="146E386F"/>
    <w:rsid w:val="14972381"/>
    <w:rsid w:val="14DB226E"/>
    <w:rsid w:val="15216598"/>
    <w:rsid w:val="15F1786F"/>
    <w:rsid w:val="161C45A6"/>
    <w:rsid w:val="163E20B5"/>
    <w:rsid w:val="167909DF"/>
    <w:rsid w:val="16790A4B"/>
    <w:rsid w:val="16A62BCA"/>
    <w:rsid w:val="16B57185"/>
    <w:rsid w:val="16D72F09"/>
    <w:rsid w:val="16D73651"/>
    <w:rsid w:val="17201A96"/>
    <w:rsid w:val="175943AB"/>
    <w:rsid w:val="177B5642"/>
    <w:rsid w:val="183121A5"/>
    <w:rsid w:val="183D4FEE"/>
    <w:rsid w:val="187973A6"/>
    <w:rsid w:val="189E6FE8"/>
    <w:rsid w:val="18D62220"/>
    <w:rsid w:val="190A1374"/>
    <w:rsid w:val="1911314F"/>
    <w:rsid w:val="192341E3"/>
    <w:rsid w:val="19264D41"/>
    <w:rsid w:val="195E521C"/>
    <w:rsid w:val="198B71A1"/>
    <w:rsid w:val="19B228EF"/>
    <w:rsid w:val="19B72B7E"/>
    <w:rsid w:val="19BE5CBA"/>
    <w:rsid w:val="19DD5162"/>
    <w:rsid w:val="19F65454"/>
    <w:rsid w:val="1A584361"/>
    <w:rsid w:val="1A9E7E47"/>
    <w:rsid w:val="1AAC4E51"/>
    <w:rsid w:val="1AC217DA"/>
    <w:rsid w:val="1AEB4D0D"/>
    <w:rsid w:val="1B106CD9"/>
    <w:rsid w:val="1B1E744F"/>
    <w:rsid w:val="1B477CB6"/>
    <w:rsid w:val="1B513369"/>
    <w:rsid w:val="1B5543FC"/>
    <w:rsid w:val="1B9273FE"/>
    <w:rsid w:val="1D022362"/>
    <w:rsid w:val="1D156539"/>
    <w:rsid w:val="1D2E3157"/>
    <w:rsid w:val="1D683EAA"/>
    <w:rsid w:val="1D743E4F"/>
    <w:rsid w:val="1DC43CB7"/>
    <w:rsid w:val="1DE62972"/>
    <w:rsid w:val="1DED3012"/>
    <w:rsid w:val="1E002D45"/>
    <w:rsid w:val="1E332A67"/>
    <w:rsid w:val="1E58312C"/>
    <w:rsid w:val="1E5B2F38"/>
    <w:rsid w:val="1E74728F"/>
    <w:rsid w:val="1EAB2010"/>
    <w:rsid w:val="1EC370BA"/>
    <w:rsid w:val="1ED32208"/>
    <w:rsid w:val="1EDD4E34"/>
    <w:rsid w:val="1EDF4DDA"/>
    <w:rsid w:val="1F240CB5"/>
    <w:rsid w:val="1F647304"/>
    <w:rsid w:val="1FF163B0"/>
    <w:rsid w:val="206D0602"/>
    <w:rsid w:val="20757BCC"/>
    <w:rsid w:val="208D0D40"/>
    <w:rsid w:val="212A1E87"/>
    <w:rsid w:val="218C669E"/>
    <w:rsid w:val="21C916A0"/>
    <w:rsid w:val="221F7512"/>
    <w:rsid w:val="2230760B"/>
    <w:rsid w:val="22421D13"/>
    <w:rsid w:val="22430342"/>
    <w:rsid w:val="22601146"/>
    <w:rsid w:val="226F2247"/>
    <w:rsid w:val="22A5210D"/>
    <w:rsid w:val="22BD518D"/>
    <w:rsid w:val="23030973"/>
    <w:rsid w:val="230518A8"/>
    <w:rsid w:val="23F95523"/>
    <w:rsid w:val="2418246B"/>
    <w:rsid w:val="24407927"/>
    <w:rsid w:val="248511A6"/>
    <w:rsid w:val="24AA4730"/>
    <w:rsid w:val="2584425C"/>
    <w:rsid w:val="25B931E9"/>
    <w:rsid w:val="25CE54D7"/>
    <w:rsid w:val="25F4209D"/>
    <w:rsid w:val="265579A6"/>
    <w:rsid w:val="267A7ED7"/>
    <w:rsid w:val="267B565F"/>
    <w:rsid w:val="26BE72FA"/>
    <w:rsid w:val="26CB02AF"/>
    <w:rsid w:val="26FE5E6C"/>
    <w:rsid w:val="27DA63B5"/>
    <w:rsid w:val="27E234BC"/>
    <w:rsid w:val="27EE6A79"/>
    <w:rsid w:val="28020B08"/>
    <w:rsid w:val="2828673B"/>
    <w:rsid w:val="28F31C90"/>
    <w:rsid w:val="291678C1"/>
    <w:rsid w:val="29415831"/>
    <w:rsid w:val="295B01BA"/>
    <w:rsid w:val="29804E7F"/>
    <w:rsid w:val="299A22A0"/>
    <w:rsid w:val="299B130F"/>
    <w:rsid w:val="29A22F02"/>
    <w:rsid w:val="29D357B2"/>
    <w:rsid w:val="29F545C8"/>
    <w:rsid w:val="2A3B60E3"/>
    <w:rsid w:val="2A6B66A5"/>
    <w:rsid w:val="2A8962DA"/>
    <w:rsid w:val="2A9E289C"/>
    <w:rsid w:val="2AD4533E"/>
    <w:rsid w:val="2B5E72FD"/>
    <w:rsid w:val="2B6A1B7F"/>
    <w:rsid w:val="2B7D1E25"/>
    <w:rsid w:val="2B82123D"/>
    <w:rsid w:val="2BE124D6"/>
    <w:rsid w:val="2C245EB1"/>
    <w:rsid w:val="2C2D2A07"/>
    <w:rsid w:val="2C532DA0"/>
    <w:rsid w:val="2C57797E"/>
    <w:rsid w:val="2CA43435"/>
    <w:rsid w:val="2CA86A82"/>
    <w:rsid w:val="2CB371D5"/>
    <w:rsid w:val="2CBC42DB"/>
    <w:rsid w:val="2D0D5D1F"/>
    <w:rsid w:val="2D12214D"/>
    <w:rsid w:val="2D5E2035"/>
    <w:rsid w:val="2D864873"/>
    <w:rsid w:val="2DA96B06"/>
    <w:rsid w:val="2E051E23"/>
    <w:rsid w:val="2EA87308"/>
    <w:rsid w:val="2ED008F1"/>
    <w:rsid w:val="2EE1627B"/>
    <w:rsid w:val="2F221578"/>
    <w:rsid w:val="2F3276C7"/>
    <w:rsid w:val="2F656EAC"/>
    <w:rsid w:val="2F875DDB"/>
    <w:rsid w:val="30007685"/>
    <w:rsid w:val="300F4902"/>
    <w:rsid w:val="303A64D0"/>
    <w:rsid w:val="303B4255"/>
    <w:rsid w:val="30427C69"/>
    <w:rsid w:val="304765B2"/>
    <w:rsid w:val="30A0509E"/>
    <w:rsid w:val="30D065A7"/>
    <w:rsid w:val="31033135"/>
    <w:rsid w:val="311B06F3"/>
    <w:rsid w:val="31480833"/>
    <w:rsid w:val="317909ED"/>
    <w:rsid w:val="31D10739"/>
    <w:rsid w:val="31E5110E"/>
    <w:rsid w:val="31FA476A"/>
    <w:rsid w:val="32101599"/>
    <w:rsid w:val="3240775C"/>
    <w:rsid w:val="32827D75"/>
    <w:rsid w:val="32C510AF"/>
    <w:rsid w:val="32D911D9"/>
    <w:rsid w:val="33207934"/>
    <w:rsid w:val="3328400E"/>
    <w:rsid w:val="339B7340"/>
    <w:rsid w:val="33B273BE"/>
    <w:rsid w:val="33D60378"/>
    <w:rsid w:val="33EB1F16"/>
    <w:rsid w:val="34024CC3"/>
    <w:rsid w:val="34381A07"/>
    <w:rsid w:val="346F257B"/>
    <w:rsid w:val="34967B08"/>
    <w:rsid w:val="349A316D"/>
    <w:rsid w:val="34A226DE"/>
    <w:rsid w:val="34B57D75"/>
    <w:rsid w:val="34B63D06"/>
    <w:rsid w:val="34F95019"/>
    <w:rsid w:val="35123632"/>
    <w:rsid w:val="35132F06"/>
    <w:rsid w:val="35192EC2"/>
    <w:rsid w:val="35306BDB"/>
    <w:rsid w:val="354E3F3E"/>
    <w:rsid w:val="359B22B4"/>
    <w:rsid w:val="35C66E2C"/>
    <w:rsid w:val="35E11256"/>
    <w:rsid w:val="35E83F05"/>
    <w:rsid w:val="35FF348B"/>
    <w:rsid w:val="36015455"/>
    <w:rsid w:val="363E00C4"/>
    <w:rsid w:val="369B31B3"/>
    <w:rsid w:val="36C95F72"/>
    <w:rsid w:val="36CF1B72"/>
    <w:rsid w:val="371F5B92"/>
    <w:rsid w:val="375717D0"/>
    <w:rsid w:val="37692CB0"/>
    <w:rsid w:val="37773C20"/>
    <w:rsid w:val="377E2B92"/>
    <w:rsid w:val="37F44BF3"/>
    <w:rsid w:val="38193872"/>
    <w:rsid w:val="38C855EC"/>
    <w:rsid w:val="38FD49CD"/>
    <w:rsid w:val="39363AEB"/>
    <w:rsid w:val="397330FD"/>
    <w:rsid w:val="39827A59"/>
    <w:rsid w:val="39932267"/>
    <w:rsid w:val="399D4784"/>
    <w:rsid w:val="399F2FBB"/>
    <w:rsid w:val="39B20F40"/>
    <w:rsid w:val="39ED7FCB"/>
    <w:rsid w:val="39F647B9"/>
    <w:rsid w:val="3A811F62"/>
    <w:rsid w:val="3A841EE9"/>
    <w:rsid w:val="3A8D375B"/>
    <w:rsid w:val="3A9F1A72"/>
    <w:rsid w:val="3AC82A1D"/>
    <w:rsid w:val="3ACE216B"/>
    <w:rsid w:val="3AE72E6B"/>
    <w:rsid w:val="3B33742C"/>
    <w:rsid w:val="3B64626A"/>
    <w:rsid w:val="3B7346FF"/>
    <w:rsid w:val="3B7D1841"/>
    <w:rsid w:val="3BA50630"/>
    <w:rsid w:val="3BD333EF"/>
    <w:rsid w:val="3BE60A52"/>
    <w:rsid w:val="3BF740BD"/>
    <w:rsid w:val="3BF75330"/>
    <w:rsid w:val="3C1001A0"/>
    <w:rsid w:val="3C587148"/>
    <w:rsid w:val="3C62791F"/>
    <w:rsid w:val="3C7E3E84"/>
    <w:rsid w:val="3C965237"/>
    <w:rsid w:val="3CBE68E3"/>
    <w:rsid w:val="3CFB44C3"/>
    <w:rsid w:val="3D01676D"/>
    <w:rsid w:val="3D121CF5"/>
    <w:rsid w:val="3D2A5291"/>
    <w:rsid w:val="3D6A7D83"/>
    <w:rsid w:val="3D8449A1"/>
    <w:rsid w:val="3D8A2CB0"/>
    <w:rsid w:val="3D8F7591"/>
    <w:rsid w:val="3E272EE8"/>
    <w:rsid w:val="3E344619"/>
    <w:rsid w:val="3E534E03"/>
    <w:rsid w:val="3E864749"/>
    <w:rsid w:val="3E917C19"/>
    <w:rsid w:val="3EBE2135"/>
    <w:rsid w:val="3ED656D0"/>
    <w:rsid w:val="3F12422F"/>
    <w:rsid w:val="3F1F4BA2"/>
    <w:rsid w:val="3F383632"/>
    <w:rsid w:val="3F44662B"/>
    <w:rsid w:val="3F453306"/>
    <w:rsid w:val="3F740A45"/>
    <w:rsid w:val="3FAF58B0"/>
    <w:rsid w:val="3FFF47B3"/>
    <w:rsid w:val="400E7546"/>
    <w:rsid w:val="40183119"/>
    <w:rsid w:val="4052477A"/>
    <w:rsid w:val="4052753A"/>
    <w:rsid w:val="40B30B18"/>
    <w:rsid w:val="413E130B"/>
    <w:rsid w:val="41B7665D"/>
    <w:rsid w:val="421325B7"/>
    <w:rsid w:val="422514B1"/>
    <w:rsid w:val="426E79CE"/>
    <w:rsid w:val="42DE4B54"/>
    <w:rsid w:val="43422F5A"/>
    <w:rsid w:val="439416B6"/>
    <w:rsid w:val="4394233B"/>
    <w:rsid w:val="43B35A16"/>
    <w:rsid w:val="441308E0"/>
    <w:rsid w:val="448073A1"/>
    <w:rsid w:val="44E8432B"/>
    <w:rsid w:val="45B7128B"/>
    <w:rsid w:val="45C970A0"/>
    <w:rsid w:val="45EA198E"/>
    <w:rsid w:val="461E51EB"/>
    <w:rsid w:val="467D28D5"/>
    <w:rsid w:val="46902609"/>
    <w:rsid w:val="46B35164"/>
    <w:rsid w:val="46C430DC"/>
    <w:rsid w:val="46D1677D"/>
    <w:rsid w:val="475F022D"/>
    <w:rsid w:val="47704B50"/>
    <w:rsid w:val="48357205"/>
    <w:rsid w:val="48967C7F"/>
    <w:rsid w:val="48BC3499"/>
    <w:rsid w:val="493F20C4"/>
    <w:rsid w:val="49A3337A"/>
    <w:rsid w:val="49BE0F52"/>
    <w:rsid w:val="4A0A0193"/>
    <w:rsid w:val="4A3D4856"/>
    <w:rsid w:val="4A4A7897"/>
    <w:rsid w:val="4A6045F1"/>
    <w:rsid w:val="4A875AD1"/>
    <w:rsid w:val="4A9D48C2"/>
    <w:rsid w:val="4ABB15CA"/>
    <w:rsid w:val="4B0E1D4E"/>
    <w:rsid w:val="4BCC5D64"/>
    <w:rsid w:val="4BD50ABE"/>
    <w:rsid w:val="4BE40D01"/>
    <w:rsid w:val="4C363892"/>
    <w:rsid w:val="4C4023DB"/>
    <w:rsid w:val="4C632900"/>
    <w:rsid w:val="4C787DC7"/>
    <w:rsid w:val="4CA30BBC"/>
    <w:rsid w:val="4CB041A4"/>
    <w:rsid w:val="4D106251"/>
    <w:rsid w:val="4D1D271C"/>
    <w:rsid w:val="4D3073ED"/>
    <w:rsid w:val="4D824567"/>
    <w:rsid w:val="4DA22C22"/>
    <w:rsid w:val="4DC25072"/>
    <w:rsid w:val="4DDA284D"/>
    <w:rsid w:val="4E600F7F"/>
    <w:rsid w:val="4E946A0E"/>
    <w:rsid w:val="4ECB579F"/>
    <w:rsid w:val="4ED32A15"/>
    <w:rsid w:val="4EE554BC"/>
    <w:rsid w:val="4EFE20DA"/>
    <w:rsid w:val="4F136BAF"/>
    <w:rsid w:val="4F5C39D0"/>
    <w:rsid w:val="4F786330"/>
    <w:rsid w:val="4FA9337C"/>
    <w:rsid w:val="501F67AB"/>
    <w:rsid w:val="50852AB2"/>
    <w:rsid w:val="50B9275C"/>
    <w:rsid w:val="50D47596"/>
    <w:rsid w:val="50F15594"/>
    <w:rsid w:val="51000915"/>
    <w:rsid w:val="51025EB1"/>
    <w:rsid w:val="510D6DB7"/>
    <w:rsid w:val="519311FF"/>
    <w:rsid w:val="51A451BA"/>
    <w:rsid w:val="51A93D45"/>
    <w:rsid w:val="51D860AE"/>
    <w:rsid w:val="52313BAC"/>
    <w:rsid w:val="5245699D"/>
    <w:rsid w:val="527A416D"/>
    <w:rsid w:val="52B15DE1"/>
    <w:rsid w:val="52C00AB5"/>
    <w:rsid w:val="52CD6993"/>
    <w:rsid w:val="52D32C59"/>
    <w:rsid w:val="52D33227"/>
    <w:rsid w:val="52D7336D"/>
    <w:rsid w:val="52ED493F"/>
    <w:rsid w:val="53516268"/>
    <w:rsid w:val="53BA6F17"/>
    <w:rsid w:val="53C94501"/>
    <w:rsid w:val="54942314"/>
    <w:rsid w:val="54A315F0"/>
    <w:rsid w:val="551F080C"/>
    <w:rsid w:val="5573542B"/>
    <w:rsid w:val="557D01FC"/>
    <w:rsid w:val="558649E9"/>
    <w:rsid w:val="559B757A"/>
    <w:rsid w:val="55B21658"/>
    <w:rsid w:val="55EA46E3"/>
    <w:rsid w:val="560222CE"/>
    <w:rsid w:val="560A3E85"/>
    <w:rsid w:val="561E35DE"/>
    <w:rsid w:val="56423283"/>
    <w:rsid w:val="56C47F55"/>
    <w:rsid w:val="57127095"/>
    <w:rsid w:val="571B5E1C"/>
    <w:rsid w:val="57211FE5"/>
    <w:rsid w:val="572253C2"/>
    <w:rsid w:val="577D2735"/>
    <w:rsid w:val="57DB56AE"/>
    <w:rsid w:val="57E75E01"/>
    <w:rsid w:val="582B597E"/>
    <w:rsid w:val="586B76C2"/>
    <w:rsid w:val="587F428B"/>
    <w:rsid w:val="588A18E5"/>
    <w:rsid w:val="589A10C5"/>
    <w:rsid w:val="58A255C2"/>
    <w:rsid w:val="59154BEF"/>
    <w:rsid w:val="591D1B7F"/>
    <w:rsid w:val="592C090B"/>
    <w:rsid w:val="594B1686"/>
    <w:rsid w:val="59B57AB7"/>
    <w:rsid w:val="59BA66BC"/>
    <w:rsid w:val="5A113609"/>
    <w:rsid w:val="5A124512"/>
    <w:rsid w:val="5A3D61AC"/>
    <w:rsid w:val="5AD61C4C"/>
    <w:rsid w:val="5B063489"/>
    <w:rsid w:val="5B196FF7"/>
    <w:rsid w:val="5B2630E4"/>
    <w:rsid w:val="5B7A6F8C"/>
    <w:rsid w:val="5B852845"/>
    <w:rsid w:val="5B8D3163"/>
    <w:rsid w:val="5BCB45A3"/>
    <w:rsid w:val="5BF226BA"/>
    <w:rsid w:val="5C084598"/>
    <w:rsid w:val="5C2A6C04"/>
    <w:rsid w:val="5C2D0A9F"/>
    <w:rsid w:val="5C491815"/>
    <w:rsid w:val="5C78171D"/>
    <w:rsid w:val="5C986C68"/>
    <w:rsid w:val="5CCB4C52"/>
    <w:rsid w:val="5CD235A2"/>
    <w:rsid w:val="5D1256CE"/>
    <w:rsid w:val="5E2B7BEB"/>
    <w:rsid w:val="5EB629D1"/>
    <w:rsid w:val="5ED43404"/>
    <w:rsid w:val="5F28567D"/>
    <w:rsid w:val="5F5A15AE"/>
    <w:rsid w:val="5F7563E8"/>
    <w:rsid w:val="6025390F"/>
    <w:rsid w:val="602A730A"/>
    <w:rsid w:val="604A0FC0"/>
    <w:rsid w:val="6062071A"/>
    <w:rsid w:val="609E54CA"/>
    <w:rsid w:val="60B60A66"/>
    <w:rsid w:val="60FF065F"/>
    <w:rsid w:val="614348BF"/>
    <w:rsid w:val="61E909C7"/>
    <w:rsid w:val="628F77C1"/>
    <w:rsid w:val="629372B1"/>
    <w:rsid w:val="631906FD"/>
    <w:rsid w:val="638D7E1B"/>
    <w:rsid w:val="63D75C33"/>
    <w:rsid w:val="63E33020"/>
    <w:rsid w:val="63F313D6"/>
    <w:rsid w:val="641F4B74"/>
    <w:rsid w:val="64300B2F"/>
    <w:rsid w:val="644A7E43"/>
    <w:rsid w:val="644B29EB"/>
    <w:rsid w:val="646A14A1"/>
    <w:rsid w:val="647C5B23"/>
    <w:rsid w:val="649D2627"/>
    <w:rsid w:val="64C21A65"/>
    <w:rsid w:val="64D2036D"/>
    <w:rsid w:val="6503311C"/>
    <w:rsid w:val="651641C9"/>
    <w:rsid w:val="656D7047"/>
    <w:rsid w:val="65943DCC"/>
    <w:rsid w:val="6645502F"/>
    <w:rsid w:val="66592A75"/>
    <w:rsid w:val="66B33C62"/>
    <w:rsid w:val="66CB34B0"/>
    <w:rsid w:val="66CE552F"/>
    <w:rsid w:val="66F978FF"/>
    <w:rsid w:val="67005A4F"/>
    <w:rsid w:val="67010C05"/>
    <w:rsid w:val="674F1B70"/>
    <w:rsid w:val="67607CDE"/>
    <w:rsid w:val="67795450"/>
    <w:rsid w:val="67987117"/>
    <w:rsid w:val="67BA0013"/>
    <w:rsid w:val="67C33BC0"/>
    <w:rsid w:val="67FA392E"/>
    <w:rsid w:val="682C160E"/>
    <w:rsid w:val="6874548F"/>
    <w:rsid w:val="687F5F93"/>
    <w:rsid w:val="68B95597"/>
    <w:rsid w:val="68F41F57"/>
    <w:rsid w:val="69054339"/>
    <w:rsid w:val="6914022D"/>
    <w:rsid w:val="696C260A"/>
    <w:rsid w:val="699851AD"/>
    <w:rsid w:val="699B2EEF"/>
    <w:rsid w:val="699D6C67"/>
    <w:rsid w:val="69B84EDC"/>
    <w:rsid w:val="6A0339D1"/>
    <w:rsid w:val="6A2151A2"/>
    <w:rsid w:val="6ACC771E"/>
    <w:rsid w:val="6AE727FB"/>
    <w:rsid w:val="6B476A1E"/>
    <w:rsid w:val="6B4C44A1"/>
    <w:rsid w:val="6B755743"/>
    <w:rsid w:val="6BAA7419"/>
    <w:rsid w:val="6BE248E5"/>
    <w:rsid w:val="6C021003"/>
    <w:rsid w:val="6C1F1BB5"/>
    <w:rsid w:val="6C540873"/>
    <w:rsid w:val="6C6F1216"/>
    <w:rsid w:val="6C9A56E0"/>
    <w:rsid w:val="6CA82785"/>
    <w:rsid w:val="6CB20E55"/>
    <w:rsid w:val="6CE85848"/>
    <w:rsid w:val="6D15191A"/>
    <w:rsid w:val="6D246105"/>
    <w:rsid w:val="6D3A6CB4"/>
    <w:rsid w:val="6D6B4986"/>
    <w:rsid w:val="6DEA61F3"/>
    <w:rsid w:val="6DFC5FDF"/>
    <w:rsid w:val="6E0D2F46"/>
    <w:rsid w:val="6E3D6323"/>
    <w:rsid w:val="6E9E40AE"/>
    <w:rsid w:val="6EA97E5C"/>
    <w:rsid w:val="6ECC5FE7"/>
    <w:rsid w:val="6EDB6140"/>
    <w:rsid w:val="6F9E1043"/>
    <w:rsid w:val="6FB14B95"/>
    <w:rsid w:val="6FBB39A3"/>
    <w:rsid w:val="6FD42CB7"/>
    <w:rsid w:val="70077DE7"/>
    <w:rsid w:val="7029485D"/>
    <w:rsid w:val="70522F16"/>
    <w:rsid w:val="70B56644"/>
    <w:rsid w:val="710366B1"/>
    <w:rsid w:val="711A0B9D"/>
    <w:rsid w:val="71CF1988"/>
    <w:rsid w:val="71D13952"/>
    <w:rsid w:val="722021E3"/>
    <w:rsid w:val="723C4321"/>
    <w:rsid w:val="72800ED4"/>
    <w:rsid w:val="72F316A6"/>
    <w:rsid w:val="732B09DE"/>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747C3"/>
    <w:rsid w:val="758A0127"/>
    <w:rsid w:val="758B0767"/>
    <w:rsid w:val="75B275F6"/>
    <w:rsid w:val="761422CC"/>
    <w:rsid w:val="76224CCF"/>
    <w:rsid w:val="762F6E99"/>
    <w:rsid w:val="76530DD9"/>
    <w:rsid w:val="770B16B4"/>
    <w:rsid w:val="770E4B54"/>
    <w:rsid w:val="772E7150"/>
    <w:rsid w:val="77A15B74"/>
    <w:rsid w:val="77A86F03"/>
    <w:rsid w:val="77F0668A"/>
    <w:rsid w:val="785045C8"/>
    <w:rsid w:val="789456D9"/>
    <w:rsid w:val="79020895"/>
    <w:rsid w:val="79110AD8"/>
    <w:rsid w:val="791A1FD1"/>
    <w:rsid w:val="791A5BDE"/>
    <w:rsid w:val="79294073"/>
    <w:rsid w:val="79AE27CB"/>
    <w:rsid w:val="79AE6381"/>
    <w:rsid w:val="7AA535EF"/>
    <w:rsid w:val="7B2B0079"/>
    <w:rsid w:val="7B4C4049"/>
    <w:rsid w:val="7B4C6C5F"/>
    <w:rsid w:val="7B562E02"/>
    <w:rsid w:val="7B590514"/>
    <w:rsid w:val="7B5F2B22"/>
    <w:rsid w:val="7B833D31"/>
    <w:rsid w:val="7BAC2D3A"/>
    <w:rsid w:val="7BC71BE8"/>
    <w:rsid w:val="7BCE7F00"/>
    <w:rsid w:val="7BEE3352"/>
    <w:rsid w:val="7C0E12FE"/>
    <w:rsid w:val="7C213CD7"/>
    <w:rsid w:val="7C2F624D"/>
    <w:rsid w:val="7C6A15B3"/>
    <w:rsid w:val="7CFA01CB"/>
    <w:rsid w:val="7D2E5D91"/>
    <w:rsid w:val="7DA55C93"/>
    <w:rsid w:val="7DC66EEC"/>
    <w:rsid w:val="7DCD5C31"/>
    <w:rsid w:val="7E4D2CFE"/>
    <w:rsid w:val="7E741677"/>
    <w:rsid w:val="7E8D404B"/>
    <w:rsid w:val="7F46479C"/>
    <w:rsid w:val="7F6364A4"/>
    <w:rsid w:val="7FA75CF2"/>
    <w:rsid w:val="7FB7473A"/>
    <w:rsid w:val="7FF54C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0"/>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jc w:val="left"/>
    </w:pPr>
    <w:rPr>
      <w:rFonts w:cs="Times New Roman"/>
      <w:kern w:val="0"/>
      <w:sz w:val="24"/>
    </w:rPr>
  </w:style>
  <w:style w:type="character" w:styleId="10">
    <w:name w:val="Hyperlink"/>
    <w:basedOn w:val="9"/>
    <w:qFormat/>
    <w:uiPriority w:val="0"/>
    <w:rPr>
      <w:color w:val="0000FF"/>
      <w:u w:val="single"/>
    </w:rPr>
  </w:style>
  <w:style w:type="paragraph" w:customStyle="1" w:styleId="11">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character" w:customStyle="1" w:styleId="14">
    <w:name w:val="row_tree_level_3"/>
    <w:basedOn w:val="9"/>
    <w:qFormat/>
    <w:uiPriority w:val="0"/>
  </w:style>
  <w:style w:type="character" w:customStyle="1" w:styleId="15">
    <w:name w:val="row_tree_level_4"/>
    <w:basedOn w:val="9"/>
    <w:qFormat/>
    <w:uiPriority w:val="0"/>
  </w:style>
  <w:style w:type="paragraph" w:customStyle="1" w:styleId="16">
    <w:name w:val="p0"/>
    <w:basedOn w:val="1"/>
    <w:qFormat/>
    <w:uiPriority w:val="0"/>
    <w:pPr>
      <w:widowControl/>
    </w:pPr>
    <w:rPr>
      <w:rFonts w:ascii="Times New Roman" w:hAnsi="Times New Roman" w:eastAsia="宋体" w:cs="Times New Roman"/>
      <w:kern w:val="0"/>
      <w:szCs w:val="21"/>
    </w:rPr>
  </w:style>
  <w:style w:type="character" w:customStyle="1" w:styleId="17">
    <w:name w:val="15"/>
    <w:basedOn w:val="9"/>
    <w:qFormat/>
    <w:uiPriority w:val="0"/>
    <w:rPr>
      <w:rFonts w:hint="default" w:ascii="Times New Roman" w:hAnsi="Times New Roman" w:cs="Times New Roman"/>
      <w:sz w:val="20"/>
      <w:szCs w:val="20"/>
    </w:rPr>
  </w:style>
  <w:style w:type="character" w:customStyle="1" w:styleId="18">
    <w:name w:val="font01"/>
    <w:basedOn w:val="9"/>
    <w:qFormat/>
    <w:uiPriority w:val="0"/>
    <w:rPr>
      <w:rFonts w:hint="eastAsia" w:ascii="等线" w:hAnsi="等线" w:eastAsia="等线" w:cs="等线"/>
      <w:color w:val="000000"/>
      <w:sz w:val="22"/>
      <w:szCs w:val="22"/>
      <w:u w:val="none"/>
    </w:rPr>
  </w:style>
  <w:style w:type="paragraph" w:customStyle="1" w:styleId="19">
    <w:name w:val="标题 方正小标宋 二号 不加粗"/>
    <w:basedOn w:val="1"/>
    <w:qFormat/>
    <w:uiPriority w:val="0"/>
    <w:pPr>
      <w:spacing w:line="660" w:lineRule="exact"/>
      <w:ind w:firstLine="0" w:firstLineChars="0"/>
      <w:jc w:val="center"/>
    </w:pPr>
    <w:rPr>
      <w:rFonts w:hint="eastAsia" w:ascii="方正小标宋简体" w:hAnsi="方正小标宋简体" w:eastAsia="方正小标宋简体" w:cs="方正小标宋简体"/>
      <w:sz w:val="44"/>
      <w:szCs w:val="44"/>
    </w:rPr>
  </w:style>
  <w:style w:type="paragraph" w:customStyle="1" w:styleId="20">
    <w:name w:val="一级标题 黑体三号不加粗"/>
    <w:basedOn w:val="1"/>
    <w:next w:val="1"/>
    <w:qFormat/>
    <w:uiPriority w:val="0"/>
    <w:pPr>
      <w:keepNext/>
      <w:keepLines/>
      <w:numPr>
        <w:ilvl w:val="0"/>
        <w:numId w:val="1"/>
      </w:numPr>
      <w:spacing w:line="600" w:lineRule="exact"/>
      <w:ind w:firstLine="723" w:firstLineChars="200"/>
      <w:outlineLvl w:val="0"/>
    </w:pPr>
    <w:rPr>
      <w:rFonts w:ascii="黑体" w:hAnsi="黑体" w:eastAsia="黑体"/>
      <w:kern w:val="44"/>
      <w:sz w:val="32"/>
      <w:szCs w:val="32"/>
    </w:rPr>
  </w:style>
  <w:style w:type="paragraph" w:customStyle="1" w:styleId="21">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22">
    <w:name w:val="二级标题 楷体国标 三号不加粗"/>
    <w:basedOn w:val="1"/>
    <w:next w:val="1"/>
    <w:qFormat/>
    <w:uiPriority w:val="0"/>
    <w:pPr>
      <w:keepNext/>
      <w:keepLines/>
      <w:numPr>
        <w:ilvl w:val="0"/>
        <w:numId w:val="2"/>
      </w:numPr>
      <w:spacing w:beforeLines="0" w:afterLines="0" w:line="600" w:lineRule="exact"/>
      <w:ind w:firstLine="420" w:firstLineChars="200"/>
      <w:outlineLvl w:val="1"/>
    </w:pPr>
    <w:rPr>
      <w:rFonts w:ascii="楷体_GB2312" w:hAnsi="楷体_GB2312" w:eastAsia="楷体_GB2312"/>
      <w:b/>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4534</Words>
  <Characters>4917</Characters>
  <Lines>47</Lines>
  <Paragraphs>13</Paragraphs>
  <TotalTime>7</TotalTime>
  <ScaleCrop>false</ScaleCrop>
  <LinksUpToDate>false</LinksUpToDate>
  <CharactersWithSpaces>5003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2025-12-18T11:22:00Z</dcterms:created>
  <dc:creator>NTKO</dc:creator>
  <cp:lastModifiedBy>太平洋刺猬</cp:lastModifiedBy>
  <dcterms:modified xsi:type="dcterms:W3CDTF">2026-03-05T08:20:34Z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0F4DEB0981A241C5AF3E2E64BE88719E</vt:lpwstr>
  </property>
  <property fmtid="{D5CDD505-2E9C-101B-9397-08002B2CF9AE}" pid="3" name="KSOProductBuildVer">
    <vt:lpwstr>2052-12.1.0.25225</vt:lpwstr>
  </property>
  <property fmtid="{D5CDD505-2E9C-101B-9397-08002B2CF9AE}" pid="4" name="KSOTemplateDocerSaveRecord">
    <vt:lpwstr>eyJoZGlkIjoiMzE3MzczZmQxYjJjNzcxNjM2MjE5N2FjZGNhODY2MjMiLCJ1c2VySWQiOiIyNzM2OTc2MjYifQ==</vt:lpwstr>
  </property>
</Properties>
</file>