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041B537">
      <w:pPr>
        <w:pStyle w:val="9"/>
        <w:spacing w:before="0" w:after="0"/>
        <w:jc w:val="both"/>
        <w:rPr>
          <w:rFonts w:ascii="黑体" w:hAnsi="黑体" w:eastAsia="黑体" w:cs="黑体"/>
          <w:b w:val="0"/>
        </w:rPr>
      </w:pPr>
      <w:r>
        <w:rPr>
          <w:rFonts w:hint="eastAsia" w:ascii="黑体" w:hAnsi="黑体" w:eastAsia="黑体" w:cs="黑体"/>
          <w:b w:val="0"/>
        </w:rPr>
        <w:t>附件1：</w:t>
      </w:r>
    </w:p>
    <w:p w14:paraId="56029CC2">
      <w:pPr>
        <w:widowControl/>
        <w:spacing w:line="520" w:lineRule="atLeast"/>
        <w:rPr>
          <w:rFonts w:ascii="宋体" w:hAnsi="宋体" w:cs="宋体"/>
          <w:color w:val="000000"/>
          <w:kern w:val="0"/>
          <w:szCs w:val="21"/>
        </w:rPr>
      </w:pPr>
    </w:p>
    <w:p w14:paraId="1942FEEE">
      <w:pPr>
        <w:widowControl/>
        <w:spacing w:line="580" w:lineRule="exact"/>
        <w:jc w:val="center"/>
        <w:rPr>
          <w:rFonts w:ascii="黑体" w:hAnsi="黑体" w:eastAsia="黑体" w:cs="Times New Roman"/>
          <w:b/>
          <w:bCs/>
          <w:color w:val="000000"/>
          <w:kern w:val="0"/>
          <w:sz w:val="44"/>
          <w:szCs w:val="44"/>
        </w:rPr>
      </w:pPr>
      <w:r>
        <w:rPr>
          <w:rFonts w:hint="eastAsia" w:ascii="黑体" w:hAnsi="黑体" w:eastAsia="黑体" w:cs="Times New Roman"/>
          <w:b/>
          <w:bCs/>
          <w:color w:val="000000"/>
          <w:kern w:val="0"/>
          <w:sz w:val="44"/>
          <w:szCs w:val="44"/>
        </w:rPr>
        <w:t>青云谱区发改委2026年预算编制说明</w:t>
      </w:r>
    </w:p>
    <w:p w14:paraId="3FDB711B">
      <w:pPr>
        <w:pStyle w:val="19"/>
        <w:spacing w:line="600" w:lineRule="atLeast"/>
        <w:jc w:val="center"/>
        <w:rPr>
          <w:rFonts w:ascii="黑体" w:hAnsi="黑体" w:eastAsia="黑体"/>
          <w:color w:val="000000"/>
          <w:sz w:val="32"/>
          <w:szCs w:val="32"/>
        </w:rPr>
      </w:pPr>
    </w:p>
    <w:p w14:paraId="032CF119">
      <w:pPr>
        <w:pStyle w:val="19"/>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14:paraId="07720459">
      <w:pPr>
        <w:pStyle w:val="19"/>
        <w:rPr>
          <w:rFonts w:ascii="宋体" w:hAnsi="宋体"/>
          <w:color w:val="000000"/>
        </w:rPr>
      </w:pPr>
    </w:p>
    <w:p w14:paraId="0680DD54">
      <w:pPr>
        <w:pStyle w:val="19"/>
        <w:tabs>
          <w:tab w:val="right" w:pos="8306"/>
        </w:tabs>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第一部分</w:t>
      </w:r>
      <w:r>
        <w:rPr>
          <w:rFonts w:hint="eastAsia" w:ascii="仿宋_GB2312" w:hAnsi="仿宋_GB2312" w:eastAsia="仿宋_GB2312" w:cs="仿宋_GB2312"/>
          <w:b/>
          <w:bCs/>
          <w:color w:val="auto"/>
          <w:sz w:val="32"/>
          <w:szCs w:val="32"/>
        </w:rPr>
        <w:t xml:space="preserve">  青云谱区发改委概况</w:t>
      </w:r>
      <w:r>
        <w:rPr>
          <w:rFonts w:hint="eastAsia" w:ascii="仿宋_GB2312" w:hAnsi="仿宋_GB2312" w:eastAsia="仿宋_GB2312" w:cs="仿宋_GB2312"/>
          <w:b/>
          <w:bCs/>
          <w:color w:val="000000"/>
          <w:sz w:val="32"/>
          <w:szCs w:val="32"/>
        </w:rPr>
        <w:tab/>
      </w:r>
    </w:p>
    <w:p w14:paraId="13CBB2B4">
      <w:pPr>
        <w:pStyle w:val="19"/>
        <w:spacing w:line="600" w:lineRule="atLeast"/>
        <w:ind w:firstLine="1120" w:firstLineChars="35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 一、部门主要职责</w:t>
      </w:r>
    </w:p>
    <w:p w14:paraId="21F8ABD6">
      <w:pPr>
        <w:pStyle w:val="19"/>
        <w:spacing w:line="600" w:lineRule="atLeast"/>
        <w:ind w:firstLine="1280" w:firstLineChars="40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二、部门2026年主要工作任务</w:t>
      </w:r>
    </w:p>
    <w:p w14:paraId="69D4AA54">
      <w:pPr>
        <w:pStyle w:val="19"/>
        <w:spacing w:line="600" w:lineRule="atLeast"/>
        <w:ind w:firstLine="1280" w:firstLineChars="40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三、机构设置及人员情况</w:t>
      </w:r>
      <w:bookmarkStart w:id="10" w:name="_GoBack"/>
      <w:bookmarkEnd w:id="10"/>
    </w:p>
    <w:p w14:paraId="7C581AB2">
      <w:pPr>
        <w:pStyle w:val="19"/>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第二部分  青云谱区发改委2026年预算表</w:t>
      </w:r>
    </w:p>
    <w:p w14:paraId="51227277">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一、《收支预算总表》</w:t>
      </w:r>
    </w:p>
    <w:p w14:paraId="51BEDD60">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二、《部门收入总表》</w:t>
      </w:r>
    </w:p>
    <w:p w14:paraId="3AFB6047">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三、《部门支出总表》</w:t>
      </w:r>
    </w:p>
    <w:p w14:paraId="4959BC34">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四、《财政拨款收支总表》</w:t>
      </w:r>
    </w:p>
    <w:p w14:paraId="1F779B97">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五、《一般公共预算支出表》</w:t>
      </w:r>
    </w:p>
    <w:p w14:paraId="36386C82">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六、《一般公共预算基本支出表》</w:t>
      </w:r>
    </w:p>
    <w:p w14:paraId="6D941018">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七、《财政拨款“三公”经费支出表》</w:t>
      </w:r>
    </w:p>
    <w:p w14:paraId="4265DA11">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八、《政府性基金预算支出表》</w:t>
      </w:r>
    </w:p>
    <w:p w14:paraId="6685BD7D">
      <w:pPr>
        <w:pStyle w:val="1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九、《国有资本经营预算支出表》</w:t>
      </w:r>
      <w:r>
        <w:rPr>
          <w:rFonts w:hint="eastAsia" w:ascii="仿宋_GB2312" w:hAnsi="仿宋_GB2312" w:eastAsia="仿宋_GB2312" w:cs="仿宋_GB2312"/>
          <w:kern w:val="2"/>
          <w:sz w:val="32"/>
          <w:szCs w:val="30"/>
        </w:rPr>
        <w:tab/>
      </w:r>
    </w:p>
    <w:p w14:paraId="4CAD3C03">
      <w:pPr>
        <w:pStyle w:val="1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十、《部门整体支出绩效目标表》</w:t>
      </w:r>
    </w:p>
    <w:p w14:paraId="16CA68C6">
      <w:pPr>
        <w:pStyle w:val="1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十一、《项目支出绩效目标表》</w:t>
      </w:r>
    </w:p>
    <w:p w14:paraId="1AF8DCBD">
      <w:pPr>
        <w:pStyle w:val="19"/>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第三部分 青云谱区发改委2026年预算情况说明</w:t>
      </w:r>
    </w:p>
    <w:p w14:paraId="77A89DA2">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一、2026年部门预算收支情况说明</w:t>
      </w:r>
    </w:p>
    <w:p w14:paraId="0D0FBEE2">
      <w:pPr>
        <w:pStyle w:val="19"/>
        <w:spacing w:line="600" w:lineRule="atLeast"/>
        <w:ind w:firstLine="64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    二、2026年“三公”经费预算情况说明</w:t>
      </w:r>
    </w:p>
    <w:p w14:paraId="024F64C6">
      <w:pPr>
        <w:pStyle w:val="19"/>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第四部分  名词解释</w:t>
      </w:r>
    </w:p>
    <w:p w14:paraId="1455D442">
      <w:pPr>
        <w:widowControl/>
        <w:spacing w:line="580" w:lineRule="exact"/>
        <w:jc w:val="center"/>
        <w:rPr>
          <w:rFonts w:ascii="仿宋_GB2312" w:eastAsia="仿宋_GB2312"/>
          <w:b/>
          <w:sz w:val="32"/>
          <w:szCs w:val="30"/>
        </w:rPr>
      </w:pPr>
    </w:p>
    <w:p w14:paraId="4EEB451E">
      <w:pPr>
        <w:widowControl/>
        <w:spacing w:line="580" w:lineRule="exact"/>
        <w:jc w:val="center"/>
        <w:rPr>
          <w:rFonts w:ascii="仿宋_GB2312" w:eastAsia="仿宋_GB2312"/>
          <w:b/>
          <w:sz w:val="32"/>
          <w:szCs w:val="30"/>
        </w:rPr>
      </w:pPr>
    </w:p>
    <w:p w14:paraId="65920928">
      <w:pPr>
        <w:widowControl/>
        <w:spacing w:line="580" w:lineRule="exact"/>
        <w:jc w:val="center"/>
        <w:rPr>
          <w:rFonts w:ascii="黑体" w:hAnsi="黑体" w:eastAsia="黑体"/>
          <w:bCs/>
          <w:sz w:val="32"/>
          <w:szCs w:val="30"/>
        </w:rPr>
      </w:pPr>
      <w:r>
        <w:rPr>
          <w:rFonts w:hint="eastAsia" w:ascii="黑体" w:hAnsi="黑体" w:eastAsia="黑体"/>
          <w:bCs/>
          <w:sz w:val="32"/>
          <w:szCs w:val="30"/>
        </w:rPr>
        <w:t>第一部分  青云谱区发改委概况</w:t>
      </w:r>
    </w:p>
    <w:p w14:paraId="39B8D176">
      <w:pPr>
        <w:widowControl/>
        <w:spacing w:line="580" w:lineRule="exact"/>
        <w:jc w:val="left"/>
        <w:rPr>
          <w:rFonts w:ascii="宋体" w:hAnsi="宋体"/>
          <w:b/>
          <w:sz w:val="36"/>
          <w:szCs w:val="36"/>
        </w:rPr>
      </w:pPr>
    </w:p>
    <w:p w14:paraId="0E07E9C0">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一、部门主要职责</w:t>
      </w:r>
    </w:p>
    <w:p w14:paraId="79380EA4">
      <w:pPr>
        <w:spacing w:line="580" w:lineRule="exact"/>
        <w:ind w:left="-6" w:firstLine="643" w:firstLineChars="201"/>
        <w:rPr>
          <w:rFonts w:eastAsia="仿宋_GB2312"/>
          <w:sz w:val="32"/>
          <w:szCs w:val="32"/>
        </w:rPr>
      </w:pPr>
      <w:r>
        <w:rPr>
          <w:rFonts w:eastAsia="仿宋_GB2312"/>
          <w:sz w:val="32"/>
          <w:szCs w:val="32"/>
        </w:rPr>
        <w:t>区发展和改革委员会是区政府工作部门，主要职责是：</w:t>
      </w:r>
    </w:p>
    <w:p w14:paraId="666EF35F">
      <w:pPr>
        <w:spacing w:line="580" w:lineRule="exact"/>
        <w:ind w:left="-6" w:firstLine="643" w:firstLineChars="201"/>
        <w:rPr>
          <w:rFonts w:eastAsia="仿宋_GB2312"/>
          <w:sz w:val="32"/>
          <w:szCs w:val="32"/>
        </w:rPr>
      </w:pPr>
      <w:r>
        <w:rPr>
          <w:rFonts w:eastAsia="仿宋_GB2312"/>
          <w:sz w:val="32"/>
          <w:szCs w:val="32"/>
        </w:rPr>
        <w:t>（一）负责拟订并组织实施全区重大发展战略和中长期发展规划，提出全区经济社会和城市发展的定位目标任务以及产业发展布局；组织项目评审；指导协调全区专项发展规划和区域发展规划的编制工作，对各专项（行业）规划、区域规划组织协调；组织对接国家和省市相关规划工作。</w:t>
      </w:r>
    </w:p>
    <w:p w14:paraId="1A76A82A">
      <w:pPr>
        <w:spacing w:line="580" w:lineRule="exact"/>
        <w:ind w:left="-6" w:firstLine="643" w:firstLineChars="201"/>
        <w:rPr>
          <w:rFonts w:eastAsia="仿宋_GB2312"/>
          <w:sz w:val="32"/>
          <w:szCs w:val="32"/>
        </w:rPr>
      </w:pPr>
      <w:r>
        <w:rPr>
          <w:rFonts w:eastAsia="仿宋_GB2312"/>
          <w:sz w:val="32"/>
          <w:szCs w:val="32"/>
        </w:rPr>
        <w:t>（二）拟订国民经济和社会发展年度计划，负责各领域年度计划的衔接协调，受区政府委托向区人大提交计划报告。</w:t>
      </w:r>
    </w:p>
    <w:p w14:paraId="1711FA65">
      <w:pPr>
        <w:spacing w:line="580" w:lineRule="exact"/>
        <w:ind w:left="-6" w:firstLine="640" w:firstLineChars="200"/>
        <w:rPr>
          <w:rFonts w:eastAsia="仿宋_GB2312"/>
          <w:sz w:val="32"/>
          <w:szCs w:val="32"/>
        </w:rPr>
      </w:pPr>
      <w:r>
        <w:rPr>
          <w:rFonts w:eastAsia="仿宋_GB2312"/>
          <w:sz w:val="32"/>
          <w:szCs w:val="32"/>
        </w:rPr>
        <w:t>（三）组织参与起草全区国民经济和社会发展、经济体制改革和对外开放的有关重大政策，参与拟定全区重大政策措施。负责监测全区经济社会和城市发展态势，综合分析评估区域经济发展情况，研究协调全区经济发展、产业提升和可持续发展等重要问题，促进结构优化升级和重要经济社会发展目标、限制性指标的实现，促进经济与社会和谐发展。</w:t>
      </w:r>
    </w:p>
    <w:p w14:paraId="29506DBE">
      <w:pPr>
        <w:spacing w:line="580" w:lineRule="exact"/>
        <w:ind w:left="-6" w:firstLine="640" w:firstLineChars="200"/>
        <w:rPr>
          <w:rFonts w:eastAsia="仿宋_GB2312"/>
          <w:sz w:val="32"/>
          <w:szCs w:val="32"/>
        </w:rPr>
      </w:pPr>
      <w:r>
        <w:rPr>
          <w:rFonts w:eastAsia="仿宋_GB2312"/>
          <w:sz w:val="32"/>
          <w:szCs w:val="32"/>
        </w:rPr>
        <w:t>（四）负责全区社会发展与国民经济发展的有效衔接，组织拟订全区社会发展和人口发展战略、总体规划和年度计划，参与拟订科学技术、教育、文化、卫生、民政等发展政策，研究提出促进就业、调整收入分配、完善社会保障与经济协调发展的政策建议，协调社会事业发展和改革中的问题及政策，推进民生工程和社会事业发展。</w:t>
      </w:r>
    </w:p>
    <w:p w14:paraId="50437C82">
      <w:pPr>
        <w:spacing w:line="580" w:lineRule="exact"/>
        <w:ind w:left="-6" w:firstLine="640" w:firstLineChars="200"/>
        <w:rPr>
          <w:rFonts w:eastAsia="仿宋_GB2312"/>
          <w:sz w:val="32"/>
          <w:szCs w:val="32"/>
        </w:rPr>
      </w:pPr>
      <w:r>
        <w:rPr>
          <w:rFonts w:eastAsia="仿宋_GB2312"/>
          <w:sz w:val="32"/>
          <w:szCs w:val="32"/>
        </w:rPr>
        <w:t>（五）承担指导推进和综合协调经济体制改革的责任，研究全区经济体制改革和对外开放的重大问题，组织拟订综合性经济体制改革方案。</w:t>
      </w:r>
    </w:p>
    <w:p w14:paraId="3CF40BF5">
      <w:pPr>
        <w:spacing w:line="580" w:lineRule="exact"/>
        <w:ind w:left="-6" w:firstLine="640" w:firstLineChars="200"/>
        <w:rPr>
          <w:rFonts w:eastAsia="仿宋_GB2312"/>
          <w:sz w:val="32"/>
          <w:szCs w:val="32"/>
        </w:rPr>
      </w:pPr>
      <w:r>
        <w:rPr>
          <w:rFonts w:eastAsia="仿宋_GB2312"/>
          <w:sz w:val="32"/>
          <w:szCs w:val="32"/>
        </w:rPr>
        <w:t>（六）按国家、省和市政府规定权限对建设项目进行审批、核准、审核、备案，引导民间投资的方向；统筹组织全区争取国家和省市有关项目、资金和政策支持工作。指导全区公共资源交易市场管理工作。</w:t>
      </w:r>
    </w:p>
    <w:p w14:paraId="717B448D">
      <w:pPr>
        <w:pStyle w:val="5"/>
        <w:spacing w:line="580" w:lineRule="exact"/>
        <w:ind w:left="0" w:leftChars="0" w:firstLine="640" w:firstLineChars="200"/>
        <w:rPr>
          <w:rFonts w:eastAsia="仿宋_GB2312"/>
          <w:sz w:val="32"/>
          <w:szCs w:val="32"/>
        </w:rPr>
      </w:pPr>
      <w:r>
        <w:rPr>
          <w:rFonts w:eastAsia="仿宋_GB2312"/>
          <w:sz w:val="32"/>
          <w:szCs w:val="32"/>
        </w:rPr>
        <w:t>（七）负责协调一、二、三次产业发展，组织拟订全区综合性产业政策和新型战略产业规划，推动规划实施和产业结构优化调整；指导协调全区服务业发展，参与拟订现代服务业、物流业发展战略、规划。</w:t>
      </w:r>
    </w:p>
    <w:p w14:paraId="719F5D39">
      <w:pPr>
        <w:spacing w:line="580" w:lineRule="exact"/>
        <w:ind w:left="-6" w:firstLine="640" w:firstLineChars="200"/>
        <w:rPr>
          <w:rFonts w:eastAsia="仿宋_GB2312"/>
          <w:sz w:val="32"/>
          <w:szCs w:val="32"/>
        </w:rPr>
      </w:pPr>
      <w:r>
        <w:rPr>
          <w:rFonts w:eastAsia="仿宋_GB2312"/>
          <w:sz w:val="32"/>
          <w:szCs w:val="32"/>
        </w:rPr>
        <w:t>（八）组织拟订发展循环经济、能源资源节约和综合利用规划及清洁生产促进政策措施并协调实施，参与编制生态建设、环境保护规划，协调生态建设、能源资源节约和综合利用的重大问题，综合协调推进环保产业和清洁生产促进有关工作；协调推进全区低碳经济发展和低碳城区建设工作。</w:t>
      </w:r>
    </w:p>
    <w:p w14:paraId="6FF58ACB">
      <w:pPr>
        <w:spacing w:line="580" w:lineRule="exact"/>
        <w:ind w:left="-6" w:firstLine="640" w:firstLineChars="200"/>
        <w:rPr>
          <w:rFonts w:eastAsia="仿宋_GB2312"/>
          <w:sz w:val="32"/>
          <w:szCs w:val="32"/>
        </w:rPr>
      </w:pPr>
      <w:r>
        <w:rPr>
          <w:rFonts w:eastAsia="仿宋_GB2312"/>
          <w:sz w:val="32"/>
          <w:szCs w:val="32"/>
        </w:rPr>
        <w:t>（九）组织拟订全区能源发展规划、产业政策并组织实施，组织实施国家和省市关于能源方面的规划、政策，负责能源节能和资源综合利用。按国家和省市政府规定权限，审批、核准、审核规划内和年度计划规模内能源固定资产投资项目。</w:t>
      </w:r>
    </w:p>
    <w:p w14:paraId="23533034">
      <w:pPr>
        <w:spacing w:line="580" w:lineRule="exact"/>
        <w:ind w:left="-6" w:firstLine="640" w:firstLineChars="200"/>
        <w:jc w:val="left"/>
        <w:rPr>
          <w:rFonts w:eastAsia="仿宋_GB2312"/>
          <w:sz w:val="32"/>
          <w:szCs w:val="32"/>
        </w:rPr>
      </w:pPr>
      <w:r>
        <w:rPr>
          <w:rFonts w:eastAsia="仿宋_GB2312"/>
          <w:sz w:val="32"/>
          <w:szCs w:val="32"/>
        </w:rPr>
        <w:t>（十）贯彻执行国家和省市有关价格方面的法律、法规、方针、政策，负责国家和省市有关价格改革和价格调整方案在我区的实施；研究提出全区价格总水平调控目标及相应的调控措施，并组织实施。</w:t>
      </w:r>
    </w:p>
    <w:p w14:paraId="40E218BA">
      <w:pPr>
        <w:spacing w:line="580" w:lineRule="exact"/>
        <w:ind w:left="-6" w:firstLine="640" w:firstLineChars="200"/>
        <w:rPr>
          <w:rFonts w:eastAsia="仿宋_GB2312"/>
          <w:sz w:val="32"/>
          <w:szCs w:val="32"/>
        </w:rPr>
      </w:pPr>
      <w:r>
        <w:rPr>
          <w:rFonts w:eastAsia="仿宋_GB2312"/>
          <w:sz w:val="32"/>
          <w:szCs w:val="32"/>
        </w:rPr>
        <w:t>（十一）负责全区价格总水平、市场价格动态以及重要商品、服务价格和收费的监测、分析和预测工作，提出价格调控及相关经济政策建议；负责价格监测、价格认定、价格信息服务、价格成本调查和价格研究工作。</w:t>
      </w:r>
    </w:p>
    <w:p w14:paraId="3C4D6350">
      <w:pPr>
        <w:spacing w:line="580" w:lineRule="exact"/>
        <w:ind w:left="-6" w:firstLine="640" w:firstLineChars="200"/>
        <w:rPr>
          <w:rFonts w:eastAsia="仿宋_GB2312"/>
          <w:sz w:val="32"/>
          <w:szCs w:val="32"/>
        </w:rPr>
      </w:pPr>
      <w:r>
        <w:rPr>
          <w:rFonts w:eastAsia="仿宋_GB2312"/>
          <w:sz w:val="32"/>
          <w:szCs w:val="32"/>
        </w:rPr>
        <w:t>（十二）组织实施国民经济动员有关工作，协助上级部门组织煤、电、油、粮食等重要物资的紧急调度。</w:t>
      </w:r>
    </w:p>
    <w:p w14:paraId="6D143479">
      <w:pPr>
        <w:spacing w:line="580" w:lineRule="exact"/>
        <w:ind w:left="-6" w:firstLine="640" w:firstLineChars="200"/>
        <w:rPr>
          <w:rFonts w:eastAsia="仿宋_GB2312"/>
          <w:sz w:val="32"/>
          <w:szCs w:val="32"/>
        </w:rPr>
      </w:pPr>
      <w:r>
        <w:rPr>
          <w:rFonts w:hint="eastAsia" w:eastAsia="仿宋_GB2312"/>
          <w:sz w:val="32"/>
          <w:szCs w:val="32"/>
        </w:rPr>
        <w:t>（十三）负责本系统安全管理工作，负责职责范围内的安全生产监管工作。</w:t>
      </w:r>
    </w:p>
    <w:p w14:paraId="3855717C">
      <w:pPr>
        <w:spacing w:line="580" w:lineRule="exact"/>
        <w:ind w:firstLine="640" w:firstLineChars="200"/>
        <w:rPr>
          <w:rFonts w:eastAsia="仿宋_GB2312"/>
          <w:sz w:val="32"/>
          <w:szCs w:val="32"/>
        </w:rPr>
      </w:pPr>
      <w:r>
        <w:rPr>
          <w:rFonts w:eastAsia="仿宋_GB2312"/>
          <w:sz w:val="32"/>
          <w:szCs w:val="32"/>
        </w:rPr>
        <w:t>（十</w:t>
      </w:r>
      <w:r>
        <w:rPr>
          <w:rFonts w:hint="eastAsia" w:eastAsia="仿宋_GB2312"/>
          <w:sz w:val="32"/>
          <w:szCs w:val="32"/>
        </w:rPr>
        <w:t>四</w:t>
      </w:r>
      <w:r>
        <w:rPr>
          <w:rFonts w:eastAsia="仿宋_GB2312"/>
          <w:sz w:val="32"/>
          <w:szCs w:val="32"/>
        </w:rPr>
        <w:t>）完成区委和区政府交办的其他任务。</w:t>
      </w:r>
    </w:p>
    <w:p w14:paraId="5CD34737">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二、部门2026年主要工作任务</w:t>
      </w:r>
    </w:p>
    <w:p w14:paraId="79856584">
      <w:pPr>
        <w:spacing w:line="560" w:lineRule="exact"/>
        <w:ind w:firstLine="640" w:firstLineChars="200"/>
        <w:rPr>
          <w:rFonts w:ascii="仿宋" w:hAnsi="仿宋" w:eastAsia="仿宋" w:cs="仿宋"/>
          <w:snapToGrid w:val="0"/>
          <w:kern w:val="0"/>
          <w:sz w:val="32"/>
          <w:szCs w:val="32"/>
        </w:rPr>
      </w:pPr>
      <w:r>
        <w:rPr>
          <w:rFonts w:hint="eastAsia" w:ascii="仿宋" w:hAnsi="仿宋" w:eastAsia="仿宋" w:cs="仿宋"/>
          <w:snapToGrid w:val="0"/>
          <w:kern w:val="0"/>
          <w:sz w:val="32"/>
          <w:szCs w:val="32"/>
        </w:rPr>
        <w:t>2026年是全面实施“十五五”规划的开局之年，也是我区加快打造新时代南昌中心城区新样板的关键一年。区发改委将紧紧围绕区委、区政府决策部署，紧扣“生态人文都市区、产业创新未来城”战略定位，坚持稳中求进工作总基调，以扩大有效投资为主抓手，以重大项目建设为主战场，以改革创新为主动力，全力推动规划落地、项目见效、发展提质，为全区经济社会高质量发展贡献发改力量。</w:t>
      </w:r>
    </w:p>
    <w:p w14:paraId="59FB1E01">
      <w:pPr>
        <w:spacing w:line="560" w:lineRule="exact"/>
        <w:ind w:firstLine="643" w:firstLineChars="200"/>
        <w:rPr>
          <w:rFonts w:hint="eastAsia" w:ascii="楷体" w:hAnsi="楷体" w:eastAsia="楷体" w:cs="楷体"/>
          <w:b/>
          <w:bCs/>
          <w:snapToGrid w:val="0"/>
          <w:kern w:val="0"/>
          <w:sz w:val="32"/>
          <w:szCs w:val="32"/>
        </w:rPr>
      </w:pPr>
      <w:r>
        <w:rPr>
          <w:rFonts w:hint="eastAsia" w:ascii="楷体" w:hAnsi="楷体" w:eastAsia="楷体" w:cs="楷体"/>
          <w:b/>
          <w:bCs/>
          <w:snapToGrid w:val="0"/>
          <w:kern w:val="0"/>
          <w:sz w:val="32"/>
          <w:szCs w:val="32"/>
        </w:rPr>
        <w:t>（一）聚焦规划引领，在推动“十五五”开局起步上展现新作为</w:t>
      </w:r>
    </w:p>
    <w:p w14:paraId="7CC4A150">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一是高标准完成规划编制与衔接。</w:t>
      </w:r>
      <w:r>
        <w:rPr>
          <w:rFonts w:hint="eastAsia" w:ascii="仿宋_GB2312" w:hAnsi="仿宋_GB2312" w:eastAsia="仿宋_GB2312" w:cs="仿宋_GB2312"/>
          <w:sz w:val="32"/>
          <w:szCs w:val="32"/>
        </w:rPr>
        <w:t>紧密对接国家、省、市“十五五”规划体系，高质量完成《青云谱区国民经济和社会发展第十五个五年规划纲要》报批工作，构建定位清晰、功能互补、衔接有效的规划体系，确保规划既符合上级要求，又贴合青云谱发展实际。</w:t>
      </w:r>
      <w:r>
        <w:rPr>
          <w:rFonts w:hint="eastAsia" w:ascii="仿宋_GB2312" w:hAnsi="仿宋_GB2312" w:eastAsia="仿宋_GB2312" w:cs="仿宋_GB2312"/>
          <w:b/>
          <w:bCs/>
          <w:sz w:val="32"/>
          <w:szCs w:val="32"/>
        </w:rPr>
        <w:t>二是强化规划任务分解与监测。</w:t>
      </w:r>
      <w:r>
        <w:rPr>
          <w:rFonts w:hint="eastAsia" w:ascii="仿宋_GB2312" w:hAnsi="仿宋_GB2312" w:eastAsia="仿宋_GB2312" w:cs="仿宋_GB2312"/>
          <w:sz w:val="32"/>
          <w:szCs w:val="32"/>
        </w:rPr>
        <w:t>建立健全“十五五”规划主要目标、重点任务和重大项目分解落实机制，加强规划实施情况动态监测，定期开展中期评估，根据发展形势及时调整优化，确保规划确定的目标任务有序推进、落地生根。</w:t>
      </w:r>
      <w:r>
        <w:rPr>
          <w:rFonts w:hint="eastAsia" w:ascii="仿宋_GB2312" w:hAnsi="仿宋_GB2312" w:eastAsia="仿宋_GB2312" w:cs="仿宋_GB2312"/>
          <w:b/>
          <w:bCs/>
          <w:sz w:val="32"/>
          <w:szCs w:val="32"/>
        </w:rPr>
        <w:t>三是加强政策研究与前瞻谋划。</w:t>
      </w:r>
      <w:r>
        <w:rPr>
          <w:rFonts w:hint="eastAsia" w:ascii="仿宋_GB2312" w:hAnsi="仿宋_GB2312" w:eastAsia="仿宋_GB2312" w:cs="仿宋_GB2312"/>
          <w:sz w:val="32"/>
          <w:szCs w:val="32"/>
        </w:rPr>
        <w:t>紧盯宏观政策导向和区域发展战略机遇，围绕发展新质生产力、深化改革开放、促进共同富裕等重大课题开展深度调研，结合我区产业基础和资源禀赋，提出具有针对性、可操作性的政策建议，为区委、区政府科学决策提供有力支撑。</w:t>
      </w:r>
    </w:p>
    <w:p w14:paraId="66CA4888">
      <w:pPr>
        <w:spacing w:line="560" w:lineRule="exact"/>
        <w:ind w:firstLine="643" w:firstLineChars="200"/>
        <w:rPr>
          <w:rFonts w:hint="eastAsia" w:ascii="楷体" w:hAnsi="楷体" w:eastAsia="楷体" w:cs="楷体"/>
          <w:b/>
          <w:bCs/>
          <w:snapToGrid w:val="0"/>
          <w:kern w:val="0"/>
          <w:sz w:val="32"/>
          <w:szCs w:val="32"/>
        </w:rPr>
      </w:pPr>
      <w:r>
        <w:rPr>
          <w:rFonts w:hint="eastAsia" w:ascii="楷体" w:hAnsi="楷体" w:eastAsia="楷体" w:cs="楷体"/>
          <w:b/>
          <w:bCs/>
          <w:snapToGrid w:val="0"/>
          <w:kern w:val="0"/>
          <w:sz w:val="32"/>
          <w:szCs w:val="32"/>
        </w:rPr>
        <w:t>（二）聚焦扩大有效投资，在项目大会战攻坚中实现新突破</w:t>
      </w:r>
    </w:p>
    <w:p w14:paraId="20A1A6DD">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1、全力扩大有效投资规模。</w:t>
      </w:r>
      <w:r>
        <w:rPr>
          <w:rFonts w:hint="eastAsia" w:ascii="仿宋_GB2312" w:hAnsi="仿宋_GB2312" w:eastAsia="仿宋_GB2312" w:cs="仿宋_GB2312"/>
          <w:sz w:val="32"/>
          <w:szCs w:val="32"/>
        </w:rPr>
        <w:t>牢牢抓住项目建设“牛鼻子”，深入实施“项目大会战”，将扩大有效投资作为稳增长、调结构、惠民生的核心抓手。全年聚焦科技创新、先进制造、基础设施、民生保障等关键领域，谋划推进重大重点项目240个以上，总投资超500亿元，年度计划投资260亿元，重点推进28个省大中型项目，年度投资计划44.1亿元，确保开工率100%、投资完成率超序时进度。</w:t>
      </w:r>
      <w:r>
        <w:rPr>
          <w:rFonts w:hint="eastAsia" w:ascii="仿宋_GB2312" w:hAnsi="仿宋_GB2312" w:eastAsia="仿宋_GB2312" w:cs="仿宋_GB2312"/>
          <w:sz w:val="32"/>
          <w:szCs w:val="32"/>
        </w:rPr>
        <w:tab/>
      </w:r>
    </w:p>
    <w:p w14:paraId="0114563F">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2、围绕基础设施建设抓项目促投资。</w:t>
      </w:r>
      <w:r>
        <w:rPr>
          <w:rFonts w:hint="eastAsia" w:ascii="仿宋_GB2312" w:hAnsi="仿宋_GB2312" w:eastAsia="仿宋_GB2312" w:cs="仿宋_GB2312"/>
          <w:sz w:val="32"/>
          <w:szCs w:val="32"/>
        </w:rPr>
        <w:t>紧扣超长期特别国债、专项债等资金支持方向，集中推进打基础、增后劲的优质项目，以项目实效增进群众福祉。</w:t>
      </w:r>
      <w:r>
        <w:rPr>
          <w:rFonts w:hint="eastAsia" w:ascii="仿宋_GB2312" w:hAnsi="仿宋_GB2312" w:eastAsia="仿宋_GB2312" w:cs="仿宋_GB2312"/>
          <w:b/>
          <w:bCs/>
          <w:sz w:val="32"/>
          <w:szCs w:val="32"/>
        </w:rPr>
        <w:t>一是城市更新方面，</w:t>
      </w:r>
      <w:r>
        <w:rPr>
          <w:rFonts w:hint="eastAsia" w:ascii="仿宋_GB2312" w:hAnsi="仿宋_GB2312" w:eastAsia="仿宋_GB2312" w:cs="仿宋_GB2312"/>
          <w:sz w:val="32"/>
          <w:szCs w:val="32"/>
        </w:rPr>
        <w:t>推进14个城中村改造和老旧街区、厂区改造工程，配套建设养老、托育等嵌入式服务设施。</w:t>
      </w:r>
      <w:r>
        <w:rPr>
          <w:rFonts w:hint="eastAsia" w:ascii="仿宋_GB2312" w:hAnsi="仿宋_GB2312" w:eastAsia="仿宋_GB2312" w:cs="仿宋_GB2312"/>
          <w:b/>
          <w:bCs/>
          <w:sz w:val="32"/>
          <w:szCs w:val="32"/>
        </w:rPr>
        <w:t>二是路网完善方面，</w:t>
      </w:r>
      <w:r>
        <w:rPr>
          <w:rFonts w:hint="eastAsia" w:ascii="仿宋_GB2312" w:hAnsi="仿宋_GB2312" w:eastAsia="仿宋_GB2312" w:cs="仿宋_GB2312"/>
          <w:sz w:val="32"/>
          <w:szCs w:val="32"/>
        </w:rPr>
        <w:t>谋划江铃老厂区周边约10公里路网，洪都老厂区生产区约7公里路网建设，推进云章路等5条市政道路建设项目，配合地铁5号线建设，优化公交站点布局，完善“四横六纵”路网。</w:t>
      </w:r>
      <w:r>
        <w:rPr>
          <w:rFonts w:hint="eastAsia" w:ascii="仿宋_GB2312" w:hAnsi="仿宋_GB2312" w:eastAsia="仿宋_GB2312" w:cs="仿宋_GB2312"/>
          <w:b/>
          <w:bCs/>
          <w:sz w:val="32"/>
          <w:szCs w:val="32"/>
        </w:rPr>
        <w:t>三是公共服务方面，</w:t>
      </w:r>
      <w:r>
        <w:rPr>
          <w:rFonts w:hint="eastAsia" w:ascii="仿宋_GB2312" w:hAnsi="仿宋_GB2312" w:eastAsia="仿宋_GB2312" w:cs="仿宋_GB2312"/>
          <w:sz w:val="32"/>
          <w:szCs w:val="32"/>
        </w:rPr>
        <w:t>加快万溪学校建设扩大优质学位，推进南大二附院江铃分院二期工程，升级“15分钟中医药健康圈”。</w:t>
      </w:r>
    </w:p>
    <w:p w14:paraId="3632F38E">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3、围绕</w:t>
      </w:r>
      <w:r>
        <w:rPr>
          <w:rFonts w:hint="eastAsia" w:ascii="楷体" w:hAnsi="楷体" w:eastAsia="楷体" w:cs="楷体"/>
          <w:b/>
          <w:bCs/>
          <w:snapToGrid w:val="0"/>
          <w:kern w:val="0"/>
          <w:sz w:val="32"/>
          <w:szCs w:val="32"/>
        </w:rPr>
        <w:t>产业能级跃升</w:t>
      </w:r>
      <w:r>
        <w:rPr>
          <w:rFonts w:hint="eastAsia" w:ascii="仿宋_GB2312" w:hAnsi="仿宋_GB2312" w:eastAsia="仿宋_GB2312" w:cs="仿宋_GB2312"/>
          <w:b/>
          <w:bCs/>
          <w:sz w:val="32"/>
          <w:szCs w:val="32"/>
        </w:rPr>
        <w:t>抓项目促投资。一是工业投资方面，</w:t>
      </w:r>
      <w:r>
        <w:rPr>
          <w:rFonts w:hint="eastAsia" w:ascii="仿宋_GB2312" w:hAnsi="仿宋_GB2312" w:eastAsia="仿宋_GB2312" w:cs="仿宋_GB2312"/>
          <w:sz w:val="32"/>
          <w:szCs w:val="32"/>
        </w:rPr>
        <w:t>加快推动都市工业项目的实施。推动低效工业用地的提容增效项目，争取标准厂房二期项目开工建设，力促京华高端数字制造产业园、兆恒智慧供应链产业园年内竣工投产。加快工业技改类项目的实施。支持江铃华翔、绿色制药、先禾服饰等企业数字化水平提升项目。</w:t>
      </w:r>
      <w:r>
        <w:rPr>
          <w:rFonts w:hint="eastAsia" w:ascii="仿宋_GB2312" w:hAnsi="仿宋_GB2312" w:eastAsia="仿宋_GB2312" w:cs="仿宋_GB2312"/>
          <w:b/>
          <w:bCs/>
          <w:sz w:val="32"/>
          <w:szCs w:val="32"/>
        </w:rPr>
        <w:t>二是文旅投资方面，</w:t>
      </w:r>
      <w:r>
        <w:rPr>
          <w:rFonts w:hint="eastAsia" w:ascii="仿宋_GB2312" w:hAnsi="仿宋_GB2312" w:eastAsia="仿宋_GB2312" w:cs="仿宋_GB2312"/>
          <w:sz w:val="32"/>
          <w:szCs w:val="32"/>
        </w:rPr>
        <w:t>推动文旅产业提质扩容。加快推进洪都老厂区保护性开发利用和新中国第一架飞机生产车间旧址修缮；积极配合南昌市非遗馆、陆军博物馆装备展示区、豫章书院二期南院北院等省市重点文化项目建设；</w:t>
      </w:r>
      <w:r>
        <w:rPr>
          <w:rFonts w:hint="eastAsia" w:ascii="仿宋_GB2312" w:hAnsi="仿宋_GB2312" w:eastAsia="仿宋_GB2312" w:cs="仿宋_GB2312"/>
          <w:b/>
          <w:bCs/>
          <w:sz w:val="32"/>
          <w:szCs w:val="32"/>
        </w:rPr>
        <w:t>三是生命健康产业投资方面</w:t>
      </w:r>
      <w:r>
        <w:rPr>
          <w:rFonts w:hint="eastAsia" w:ascii="仿宋_GB2312" w:hAnsi="仿宋_GB2312" w:eastAsia="仿宋_GB2312" w:cs="仿宋_GB2312"/>
          <w:sz w:val="32"/>
          <w:szCs w:val="32"/>
        </w:rPr>
        <w:t>，以昌南医药物流园为载体，依托九州通等龙头企业，推动上下游产业链集聚，加快九州通医药物流园三期项目的实施，推动智慧煎药中心等生命健康产业配套项目建设。</w:t>
      </w:r>
      <w:r>
        <w:rPr>
          <w:rFonts w:hint="eastAsia" w:ascii="仿宋_GB2312" w:hAnsi="仿宋_GB2312" w:eastAsia="仿宋_GB2312" w:cs="仿宋_GB2312"/>
          <w:b/>
          <w:bCs/>
          <w:sz w:val="32"/>
          <w:szCs w:val="32"/>
        </w:rPr>
        <w:t>四是商贸物流产业投资方面</w:t>
      </w:r>
      <w:r>
        <w:rPr>
          <w:rFonts w:hint="eastAsia" w:ascii="仿宋_GB2312" w:hAnsi="仿宋_GB2312" w:eastAsia="仿宋_GB2312" w:cs="仿宋_GB2312"/>
          <w:sz w:val="32"/>
          <w:szCs w:val="32"/>
        </w:rPr>
        <w:t>，全力推动兆恒智慧供应链产业园等项目。</w:t>
      </w:r>
      <w:r>
        <w:rPr>
          <w:rFonts w:hint="eastAsia" w:ascii="仿宋_GB2312" w:hAnsi="仿宋_GB2312" w:eastAsia="仿宋_GB2312" w:cs="仿宋_GB2312"/>
          <w:b/>
          <w:bCs/>
          <w:sz w:val="32"/>
          <w:szCs w:val="32"/>
        </w:rPr>
        <w:t>五是数字创意产业投资方面，</w:t>
      </w:r>
      <w:r>
        <w:rPr>
          <w:rFonts w:hint="eastAsia" w:ascii="仿宋_GB2312" w:hAnsi="仿宋_GB2312" w:eastAsia="仿宋_GB2312" w:cs="仿宋_GB2312"/>
          <w:sz w:val="32"/>
          <w:szCs w:val="32"/>
        </w:rPr>
        <w:t>依托云观、颐高数字经济大楼，聚焦工业互联网、数据服务、平台经济等重点领域招引项目，在区里落地见效。</w:t>
      </w:r>
    </w:p>
    <w:p w14:paraId="6E652F4A">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4、强化项目全周期管理。一是</w:t>
      </w:r>
      <w:r>
        <w:rPr>
          <w:rFonts w:hint="eastAsia" w:ascii="仿宋_GB2312" w:hAnsi="仿宋_GB2312" w:eastAsia="仿宋_GB2312" w:cs="仿宋_GB2312"/>
          <w:sz w:val="32"/>
          <w:szCs w:val="32"/>
        </w:rPr>
        <w:t>完善“谋划储备—前期推进—开工建设—竣工投产”闭环管理，动态充实重大项目储备库，力争储备规模保持300亿元以上，形成“建储并举、滚动发展”的良性循环。健全“要素跟着项目走”保障机制，统筹协调土地、资金、能耗等要素供给，建立重大项目要素保障清单，实行挂图作战、销号管理，扫清项目推进障碍。</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强化项目全流程管控。深化并联审批、容缺受理改革，最大限度压缩项目审批时限。全面推行项目建设“挂图作战”模式，常态化开展项目调度会商与现场督导检查，健全完善考核激励机制，将项目推进成效纳入年度绩效考核体系，强化奖惩问责力度，充分调动各方工作积极性，全力推动项目早开工、快建设、早达效。</w:t>
      </w:r>
    </w:p>
    <w:p w14:paraId="3F45D26C">
      <w:pPr>
        <w:spacing w:line="560" w:lineRule="exact"/>
        <w:ind w:firstLine="643" w:firstLineChars="200"/>
        <w:rPr>
          <w:rFonts w:hint="eastAsia" w:ascii="楷体" w:hAnsi="楷体" w:eastAsia="楷体" w:cs="楷体"/>
          <w:b/>
          <w:bCs/>
          <w:snapToGrid w:val="0"/>
          <w:kern w:val="0"/>
          <w:sz w:val="32"/>
          <w:szCs w:val="32"/>
        </w:rPr>
      </w:pPr>
      <w:r>
        <w:rPr>
          <w:rFonts w:hint="eastAsia" w:ascii="楷体" w:hAnsi="楷体" w:eastAsia="楷体" w:cs="楷体"/>
          <w:b/>
          <w:bCs/>
          <w:snapToGrid w:val="0"/>
          <w:kern w:val="0"/>
          <w:sz w:val="32"/>
          <w:szCs w:val="32"/>
        </w:rPr>
        <w:t>（三）聚焦改革创新，在激发市场主体活力上营造新环境</w:t>
      </w:r>
    </w:p>
    <w:p w14:paraId="148884E8">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1、深化重点领域改革。</w:t>
      </w:r>
      <w:r>
        <w:rPr>
          <w:rFonts w:hint="eastAsia" w:ascii="仿宋_GB2312" w:hAnsi="仿宋_GB2312" w:eastAsia="仿宋_GB2312" w:cs="仿宋_GB2312"/>
          <w:sz w:val="32"/>
          <w:szCs w:val="32"/>
        </w:rPr>
        <w:t>推进要素市场化配置改革，促进技术、数据等要素高效流转。深化投融资体制改革，规范推广政府和社会资本合作模式。持续优化营商环境，做响“青松办”政务服务品牌，提升服务效率与水平。</w:t>
      </w:r>
    </w:p>
    <w:p w14:paraId="4FF45C3B">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2、激发各类市场主体活力。</w:t>
      </w:r>
      <w:r>
        <w:rPr>
          <w:rFonts w:hint="eastAsia" w:ascii="仿宋_GB2312" w:hAnsi="仿宋_GB2312" w:eastAsia="仿宋_GB2312" w:cs="仿宋_GB2312"/>
          <w:sz w:val="32"/>
          <w:szCs w:val="32"/>
        </w:rPr>
        <w:t>落实民营经济发展政策，破除发展壁垒，完善中小企业服务体系。深化区属国企改革，完善现代企业制度，推动国有资本向关键领域和重点项目集中，提升服务产业发展能力。</w:t>
      </w:r>
    </w:p>
    <w:p w14:paraId="424FFC95">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3、提升集聚区发展能级。</w:t>
      </w:r>
      <w:r>
        <w:rPr>
          <w:rFonts w:hint="eastAsia" w:ascii="仿宋_GB2312" w:hAnsi="仿宋_GB2312" w:eastAsia="仿宋_GB2312" w:cs="仿宋_GB2312"/>
          <w:sz w:val="32"/>
          <w:szCs w:val="32"/>
        </w:rPr>
        <w:t>以都市工业集聚区为重点，推进低效用地再开发和“工业上楼”，完善交通、能源等基础设施，建设标准化厂房、人才公寓等配套设施，推动产业集约集聚、特色化发展。</w:t>
      </w:r>
    </w:p>
    <w:p w14:paraId="74832496">
      <w:pPr>
        <w:spacing w:line="560" w:lineRule="exact"/>
        <w:ind w:firstLine="960" w:firstLineChars="3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下一步，区发改委将在区委、区政府的坚强领导下，以“自信、发奋、齐心”的精神状态，凝心聚力、锐意进取，奋力推动发展改革工作再上新台阶，为谱写青云谱区现代化建设新篇章作出更大贡献！</w:t>
      </w:r>
    </w:p>
    <w:p w14:paraId="7E0E108E">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三、机构设置及人员情况</w:t>
      </w:r>
    </w:p>
    <w:p w14:paraId="3B96BB6E">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2025年青云谱区发改委共有预算单位__2_个，包括：（南昌市青云谱区发展和改革委员会、南昌市青云谱区现代服务业和价格认定监测中心）。</w:t>
      </w:r>
    </w:p>
    <w:p w14:paraId="53FF3266">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${page400644146.ds532982397_REP_JX_BAS_AGENCY_INFO_ZYFRS_S_BZRSXJ}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编制人数小计</w:t>
      </w:r>
      <w:r>
        <w:rPr>
          <w:rFonts w:hint="eastAsia" w:ascii="仿宋_GB2312" w:hAnsi="仿宋_GB2312" w:eastAsia="仿宋_GB2312" w:cs="仿宋_GB2312"/>
          <w:sz w:val="32"/>
          <w:szCs w:val="30"/>
          <w:u w:val="single"/>
        </w:rPr>
        <w:t xml:space="preserve">  32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${page400644146.ds532982397_REP_JX_BAS_AGENCY_INFO_ZYFRS_S_BZRSMX}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行政编制人数</w:t>
      </w:r>
      <w:r>
        <w:rPr>
          <w:rFonts w:hint="eastAsia" w:ascii="仿宋_GB2312" w:hAnsi="仿宋_GB2312" w:eastAsia="仿宋_GB2312" w:cs="仿宋_GB2312"/>
          <w:sz w:val="32"/>
          <w:szCs w:val="30"/>
          <w:u w:val="single"/>
        </w:rPr>
        <w:t xml:space="preserve">  12  </w:t>
      </w:r>
      <w:r>
        <w:rPr>
          <w:rFonts w:hint="eastAsia" w:ascii="仿宋_GB2312" w:hAnsi="仿宋_GB2312" w:eastAsia="仿宋_GB2312" w:cs="仿宋_GB2312"/>
          <w:sz w:val="32"/>
          <w:szCs w:val="32"/>
        </w:rPr>
        <w:t>人,参照公务员管理的事业编制人数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人,全部补助事业编制人数</w:t>
      </w:r>
      <w:r>
        <w:rPr>
          <w:rFonts w:hint="eastAsia" w:ascii="仿宋" w:hAnsi="仿宋" w:eastAsia="仿宋" w:cs="仿宋"/>
          <w:kern w:val="0"/>
          <w:sz w:val="32"/>
          <w:szCs w:val="32"/>
        </w:rPr>
        <w:t>__20_</w:t>
      </w:r>
      <w:r>
        <w:rPr>
          <w:rFonts w:hint="eastAsia" w:ascii="仿宋_GB2312" w:hAnsi="仿宋_GB2312" w:eastAsia="仿宋_GB2312" w:cs="仿宋_GB2312"/>
          <w:sz w:val="32"/>
          <w:szCs w:val="32"/>
        </w:rPr>
        <w:t>人,</w:t>
      </w:r>
      <w:bookmarkStart w:id="0" w:name="OLE_LINK7"/>
      <w:bookmarkStart w:id="1" w:name="OLE_LINK8"/>
      <w:r>
        <w:rPr>
          <w:rFonts w:hint="eastAsia" w:ascii="仿宋_GB2312" w:hAnsi="仿宋_GB2312" w:eastAsia="仿宋_GB2312" w:cs="仿宋_GB2312"/>
          <w:sz w:val="32"/>
          <w:szCs w:val="32"/>
        </w:rPr>
        <w:t>自收自支</w:t>
      </w:r>
      <w:bookmarkEnd w:id="0"/>
      <w:bookmarkEnd w:id="1"/>
      <w:r>
        <w:rPr>
          <w:rFonts w:hint="eastAsia" w:ascii="仿宋_GB2312" w:hAnsi="仿宋_GB2312" w:eastAsia="仿宋_GB2312" w:cs="仿宋_GB2312"/>
          <w:sz w:val="32"/>
          <w:szCs w:val="32"/>
        </w:rPr>
        <w:t>编制人数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${page400644146.ds532982397_REP_JX_BAS_AGENCY_INFO_ZYFRS_S_SYRSXJ}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实有人数小计47</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${page400644146.ds532982397_REP_JX_BAS_AGENCY_INFO_ZYFRS_S_ZZRSXJ}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在职人数小计</w:t>
      </w:r>
      <w:r>
        <w:rPr>
          <w:rFonts w:hint="eastAsia" w:ascii="仿宋_GB2312" w:hAnsi="仿宋_GB2312" w:eastAsia="仿宋_GB2312" w:cs="仿宋_GB2312"/>
          <w:sz w:val="32"/>
          <w:szCs w:val="30"/>
          <w:u w:val="single"/>
        </w:rPr>
        <w:t xml:space="preserve"> 32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${page400644146.ds532982397_REP_JX_BAS_AGENCY_INFO_ZYFRS_S_ZZRSMX}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行政在职人数</w:t>
      </w:r>
      <w:r>
        <w:rPr>
          <w:rFonts w:hint="eastAsia" w:ascii="仿宋_GB2312" w:hAnsi="仿宋_GB2312" w:eastAsia="仿宋_GB2312" w:cs="仿宋_GB2312"/>
          <w:sz w:val="32"/>
          <w:szCs w:val="30"/>
          <w:u w:val="single"/>
        </w:rPr>
        <w:t xml:space="preserve">  12  </w:t>
      </w:r>
      <w:r>
        <w:rPr>
          <w:rFonts w:hint="eastAsia" w:ascii="仿宋_GB2312" w:hAnsi="仿宋_GB2312" w:eastAsia="仿宋_GB2312" w:cs="仿宋_GB2312"/>
          <w:sz w:val="32"/>
          <w:szCs w:val="32"/>
        </w:rPr>
        <w:t>人,参照公务员管理的事业单位在职人数</w:t>
      </w:r>
      <w:r>
        <w:rPr>
          <w:rFonts w:hint="eastAsia" w:ascii="仿宋_GB2312" w:hAnsi="仿宋_GB2312" w:eastAsia="仿宋_GB2312" w:cs="仿宋_GB2312"/>
          <w:sz w:val="32"/>
          <w:szCs w:val="30"/>
          <w:u w:val="single"/>
        </w:rPr>
        <w:t xml:space="preserve"> </w:t>
      </w:r>
      <w:bookmarkStart w:id="2" w:name="OLE_LINK9"/>
      <w:bookmarkStart w:id="3" w:name="OLE_LINK10"/>
      <w:r>
        <w:rPr>
          <w:rFonts w:hint="eastAsia" w:ascii="仿宋_GB2312" w:hAnsi="仿宋_GB2312" w:eastAsia="仿宋_GB2312" w:cs="仿宋_GB2312"/>
          <w:sz w:val="32"/>
          <w:szCs w:val="30"/>
          <w:u w:val="single"/>
        </w:rPr>
        <w:t xml:space="preserve"> 1  </w:t>
      </w:r>
      <w:r>
        <w:rPr>
          <w:rFonts w:hint="eastAsia" w:ascii="仿宋_GB2312" w:hAnsi="仿宋_GB2312" w:eastAsia="仿宋_GB2312" w:cs="仿宋_GB2312"/>
          <w:sz w:val="32"/>
          <w:szCs w:val="32"/>
        </w:rPr>
        <w:t>人</w:t>
      </w:r>
      <w:bookmarkEnd w:id="2"/>
      <w:bookmarkEnd w:id="3"/>
      <w:r>
        <w:rPr>
          <w:rFonts w:hint="eastAsia" w:ascii="仿宋_GB2312" w:hAnsi="仿宋_GB2312" w:eastAsia="仿宋_GB2312" w:cs="仿宋_GB2312"/>
          <w:sz w:val="32"/>
          <w:szCs w:val="32"/>
        </w:rPr>
        <w:t>,全部补助事业在职人数</w:t>
      </w:r>
      <w:r>
        <w:rPr>
          <w:rFonts w:hint="eastAsia" w:ascii="仿宋" w:hAnsi="仿宋" w:eastAsia="仿宋" w:cs="仿宋"/>
          <w:kern w:val="0"/>
          <w:sz w:val="32"/>
          <w:szCs w:val="32"/>
        </w:rPr>
        <w:t>__19__</w:t>
      </w:r>
      <w:r>
        <w:rPr>
          <w:rFonts w:hint="eastAsia" w:ascii="仿宋_GB2312" w:hAnsi="仿宋_GB2312" w:eastAsia="仿宋_GB2312" w:cs="仿宋_GB2312"/>
          <w:sz w:val="32"/>
          <w:szCs w:val="32"/>
        </w:rPr>
        <w:t>人，自收自支</w:t>
      </w:r>
      <w:r>
        <w:rPr>
          <w:rFonts w:hint="eastAsia" w:ascii="仿宋_GB2312" w:hAnsi="仿宋_GB2312" w:eastAsia="仿宋_GB2312" w:cs="仿宋_GB2312"/>
          <w:sz w:val="32"/>
          <w:szCs w:val="30"/>
          <w:u w:val="single"/>
        </w:rPr>
        <w:t>0</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${page400644146.ds532982397_REP_JX_BAS_AGENCY_INFO_ZYFRS_S_QTRSMX}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离休人数小计</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人,退休人数小计</w:t>
      </w:r>
      <w:r>
        <w:rPr>
          <w:rFonts w:hint="eastAsia" w:ascii="仿宋_GB2312" w:hAnsi="仿宋_GB2312" w:eastAsia="仿宋_GB2312" w:cs="仿宋_GB2312"/>
          <w:sz w:val="32"/>
          <w:szCs w:val="30"/>
          <w:u w:val="single"/>
        </w:rPr>
        <w:t xml:space="preserve"> 15 </w:t>
      </w:r>
      <w:r>
        <w:rPr>
          <w:rFonts w:hint="eastAsia" w:ascii="仿宋_GB2312" w:hAnsi="仿宋_GB2312" w:eastAsia="仿宋_GB2312" w:cs="仿宋_GB2312"/>
          <w:sz w:val="32"/>
          <w:szCs w:val="32"/>
        </w:rPr>
        <w:t>人,退职人员</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人,遗属人数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${page400644146.ds532982397_REP_JX_BAS_AGENCY_INFO_ZYFRS_S_ZXXSMX}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在校学生</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人,其中：本科生人数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人，专科生人数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p>
    <w:p w14:paraId="78CEC940">
      <w:pPr>
        <w:widowControl/>
        <w:spacing w:line="580" w:lineRule="exact"/>
        <w:jc w:val="center"/>
        <w:rPr>
          <w:rFonts w:ascii="仿宋_GB2312" w:eastAsia="仿宋_GB2312"/>
          <w:b/>
          <w:szCs w:val="30"/>
        </w:rPr>
      </w:pPr>
    </w:p>
    <w:p w14:paraId="532BB5DD">
      <w:pPr>
        <w:widowControl/>
        <w:spacing w:line="580" w:lineRule="exact"/>
        <w:jc w:val="center"/>
        <w:rPr>
          <w:rFonts w:ascii="黑体" w:hAnsi="黑体" w:eastAsia="黑体"/>
          <w:bCs/>
          <w:sz w:val="32"/>
          <w:szCs w:val="30"/>
        </w:rPr>
      </w:pPr>
      <w:r>
        <w:rPr>
          <w:rFonts w:hint="eastAsia" w:ascii="黑体" w:hAnsi="黑体" w:eastAsia="黑体"/>
          <w:bCs/>
          <w:sz w:val="32"/>
          <w:szCs w:val="30"/>
        </w:rPr>
        <w:t>第二部分  青云谱区发改委2026年部门预算表</w:t>
      </w:r>
    </w:p>
    <w:p w14:paraId="76252D8D">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一、《收支预算总表》</w:t>
      </w:r>
    </w:p>
    <w:p w14:paraId="2FAA7B55">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二、《部门收入总表》</w:t>
      </w:r>
    </w:p>
    <w:p w14:paraId="689FE018">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三、《部门支出总表》</w:t>
      </w:r>
    </w:p>
    <w:p w14:paraId="064306CD">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四、《财政拨款收支总表》</w:t>
      </w:r>
    </w:p>
    <w:p w14:paraId="39247F74">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五、《一般公共预算支出表》</w:t>
      </w:r>
    </w:p>
    <w:p w14:paraId="5CE8191D">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六、《一般公共预算基本支出表》</w:t>
      </w:r>
    </w:p>
    <w:p w14:paraId="4AE943E5">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七、《财政拨款“三公”经费支出表》</w:t>
      </w:r>
    </w:p>
    <w:p w14:paraId="69135442">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八、《政府性基金预算支出表》</w:t>
      </w:r>
    </w:p>
    <w:p w14:paraId="63E6067A">
      <w:pPr>
        <w:pStyle w:val="1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九、《国有资本经营预算支出表》</w:t>
      </w:r>
      <w:r>
        <w:rPr>
          <w:rFonts w:hint="eastAsia" w:ascii="仿宋_GB2312" w:hAnsi="仿宋_GB2312" w:eastAsia="仿宋_GB2312" w:cs="仿宋_GB2312"/>
          <w:kern w:val="2"/>
          <w:sz w:val="32"/>
          <w:szCs w:val="30"/>
        </w:rPr>
        <w:tab/>
      </w:r>
    </w:p>
    <w:p w14:paraId="1C2E5573">
      <w:pPr>
        <w:pStyle w:val="1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十、《部门整体支出绩效目标表》</w:t>
      </w:r>
    </w:p>
    <w:p w14:paraId="6F751230">
      <w:pPr>
        <w:pStyle w:val="1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十一、《项目支出绩效目标表》</w:t>
      </w:r>
    </w:p>
    <w:p w14:paraId="3BC07962">
      <w:pPr>
        <w:spacing w:line="560" w:lineRule="exact"/>
        <w:ind w:firstLine="640" w:firstLineChars="200"/>
        <w:rPr>
          <w:rStyle w:val="18"/>
          <w:rFonts w:ascii="仿宋_GB2312" w:hAnsi="仿宋_GB2312" w:eastAsia="仿宋_GB2312" w:cs="仿宋_GB2312"/>
          <w:bCs/>
          <w:sz w:val="32"/>
          <w:szCs w:val="32"/>
        </w:rPr>
      </w:pPr>
      <w:r>
        <w:rPr>
          <w:rFonts w:hint="eastAsia" w:ascii="仿宋_GB2312" w:hAnsi="仿宋_GB2312" w:eastAsia="仿宋_GB2312" w:cs="仿宋_GB2312"/>
          <w:sz w:val="32"/>
          <w:szCs w:val="30"/>
        </w:rPr>
        <w:t>（详见附表，若其中某张表为空表或表中数据为0，则说明没有相关收支预算安排。）</w:t>
      </w:r>
    </w:p>
    <w:p w14:paraId="26C977A0">
      <w:pPr>
        <w:ind w:firstLine="640" w:firstLineChars="200"/>
        <w:jc w:val="left"/>
        <w:rPr>
          <w:rStyle w:val="18"/>
          <w:rFonts w:ascii="仿宋" w:hAnsi="仿宋" w:eastAsia="仿宋"/>
          <w:bCs/>
          <w:sz w:val="32"/>
          <w:szCs w:val="32"/>
        </w:rPr>
      </w:pPr>
    </w:p>
    <w:p w14:paraId="7737E673">
      <w:pPr>
        <w:widowControl/>
        <w:spacing w:line="580" w:lineRule="exact"/>
        <w:jc w:val="center"/>
        <w:rPr>
          <w:rFonts w:ascii="黑体" w:hAnsi="黑体" w:eastAsia="黑体"/>
          <w:bCs/>
          <w:sz w:val="32"/>
          <w:szCs w:val="30"/>
        </w:rPr>
      </w:pPr>
      <w:r>
        <w:rPr>
          <w:rFonts w:hint="eastAsia" w:ascii="黑体" w:hAnsi="黑体" w:eastAsia="黑体"/>
          <w:bCs/>
          <w:sz w:val="32"/>
          <w:szCs w:val="30"/>
        </w:rPr>
        <w:t>第三部分  青云谱区发改委2026年预算情况说明</w:t>
      </w:r>
    </w:p>
    <w:p w14:paraId="18B822F0">
      <w:pPr>
        <w:widowControl/>
        <w:spacing w:line="580" w:lineRule="exact"/>
        <w:jc w:val="center"/>
        <w:rPr>
          <w:rFonts w:ascii="仿宋_GB2312" w:eastAsia="仿宋_GB2312"/>
          <w:b/>
          <w:sz w:val="32"/>
          <w:szCs w:val="30"/>
        </w:rPr>
      </w:pPr>
    </w:p>
    <w:p w14:paraId="76E0EA95">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一、2026年部门预算收支情况说明</w:t>
      </w:r>
    </w:p>
    <w:p w14:paraId="01F54376">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(一)收入预算情况</w:t>
      </w:r>
    </w:p>
    <w:p w14:paraId="1978E3C6">
      <w:pPr>
        <w:widowControl/>
        <w:ind w:firstLine="640" w:firstLineChars="200"/>
        <w:rPr>
          <w:rFonts w:ascii="仿宋" w:hAnsi="仿宋" w:eastAsia="仿宋" w:cs="Times New Roman"/>
          <w:kern w:val="0"/>
          <w:sz w:val="32"/>
        </w:rPr>
      </w:pPr>
      <w:r>
        <w:rPr>
          <w:rFonts w:hint="eastAsia" w:ascii="仿宋_GB2312" w:hAnsi="仿宋_GB2312" w:eastAsia="仿宋_GB2312" w:cs="仿宋_GB2312"/>
          <w:kern w:val="0"/>
          <w:sz w:val="32"/>
          <w:szCs w:val="32"/>
        </w:rPr>
        <w:t>2026年青云谱区发改委</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${page400644146.ds509943833_V_BGT_DEP_INCOME_DXQ01_ZJ}</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收入预算总额为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1530.57</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167.74</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${page400644146.ds509943833_V_BGT_DEP_INCOME_DXQ01_SRXMMX}</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财政拨款收入</w:t>
      </w:r>
      <w:r>
        <w:rPr>
          <w:rFonts w:hint="eastAsia" w:ascii="仿宋_GB2312" w:hAnsi="仿宋_GB2312" w:eastAsia="仿宋_GB2312" w:cs="仿宋_GB2312"/>
          <w:sz w:val="32"/>
          <w:szCs w:val="30"/>
          <w:u w:val="single"/>
        </w:rPr>
        <w:t xml:space="preserve">     1062.42</w:t>
      </w:r>
      <w:r>
        <w:rPr>
          <w:rFonts w:hint="eastAsia" w:ascii="仿宋_GB2312" w:hAnsi="仿宋_GB2312" w:eastAsia="仿宋_GB2312" w:cs="仿宋_GB2312"/>
          <w:kern w:val="0"/>
          <w:sz w:val="32"/>
          <w:szCs w:val="32"/>
        </w:rPr>
        <w:t>万元,较上年预算安排减少</w:t>
      </w:r>
      <w:r>
        <w:rPr>
          <w:rFonts w:hint="eastAsia" w:ascii="仿宋_GB2312" w:hAnsi="仿宋_GB2312" w:eastAsia="仿宋_GB2312" w:cs="仿宋_GB2312"/>
          <w:kern w:val="0"/>
          <w:sz w:val="32"/>
          <w:szCs w:val="32"/>
          <w:u w:val="single"/>
        </w:rPr>
        <w:t>74.62</w:t>
      </w:r>
      <w:r>
        <w:rPr>
          <w:rFonts w:hint="eastAsia" w:ascii="仿宋_GB2312" w:hAnsi="仿宋_GB2312" w:eastAsia="仿宋_GB2312" w:cs="仿宋_GB2312"/>
          <w:kern w:val="0"/>
          <w:sz w:val="32"/>
          <w:szCs w:val="32"/>
        </w:rPr>
        <w:t>万元;教育收费资金收入</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万元,较上年预算安排增加（减少）</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万元;事业单位经营收入</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万元,较上年预算安排增加（减少）</w:t>
      </w:r>
      <w:r>
        <w:rPr>
          <w:rFonts w:hint="eastAsia" w:ascii="仿宋" w:hAnsi="仿宋" w:eastAsia="仿宋" w:cs="仿宋"/>
          <w:kern w:val="0"/>
          <w:sz w:val="32"/>
          <w:szCs w:val="32"/>
        </w:rPr>
        <w:t>___0___</w:t>
      </w:r>
      <w:r>
        <w:rPr>
          <w:rFonts w:hint="eastAsia" w:ascii="仿宋_GB2312" w:hAnsi="仿宋_GB2312" w:eastAsia="仿宋_GB2312" w:cs="仿宋_GB2312"/>
          <w:kern w:val="0"/>
          <w:sz w:val="32"/>
          <w:szCs w:val="32"/>
        </w:rPr>
        <w:t>万元;国库集中支付网上结转</w:t>
      </w:r>
      <w:bookmarkStart w:id="4" w:name="OLE_LINK15"/>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w:t>
      </w:r>
      <w:bookmarkEnd w:id="4"/>
      <w:r>
        <w:rPr>
          <w:rFonts w:hint="eastAsia" w:ascii="仿宋_GB2312" w:hAnsi="仿宋_GB2312" w:eastAsia="仿宋_GB2312" w:cs="仿宋_GB2312"/>
          <w:kern w:val="0"/>
          <w:sz w:val="32"/>
          <w:szCs w:val="32"/>
        </w:rPr>
        <w:t>,较上年预算安排增加（减少）</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万元，其他收入</w:t>
      </w:r>
      <w:r>
        <w:rPr>
          <w:rFonts w:hint="eastAsia" w:ascii="仿宋_GB2312" w:hAnsi="仿宋_GB2312" w:eastAsia="仿宋_GB2312" w:cs="仿宋_GB2312"/>
          <w:sz w:val="32"/>
          <w:szCs w:val="32"/>
        </w:rPr>
        <w:fldChar w:fldCharType="end"/>
      </w:r>
      <w:bookmarkStart w:id="5" w:name="OLE_LINK17"/>
      <w:bookmarkStart w:id="6" w:name="OLE_LINK16"/>
      <w:r>
        <w:rPr>
          <w:rFonts w:hint="eastAsia" w:ascii="仿宋_GB2312" w:hAnsi="仿宋_GB2312" w:eastAsia="仿宋_GB2312" w:cs="仿宋_GB2312"/>
          <w:sz w:val="32"/>
          <w:szCs w:val="30"/>
          <w:u w:val="single"/>
        </w:rPr>
        <w:t xml:space="preserve">  50   </w:t>
      </w:r>
      <w:r>
        <w:rPr>
          <w:rFonts w:hint="eastAsia" w:ascii="仿宋_GB2312" w:hAnsi="仿宋_GB2312" w:eastAsia="仿宋_GB2312" w:cs="仿宋_GB2312"/>
          <w:kern w:val="0"/>
          <w:sz w:val="32"/>
          <w:szCs w:val="32"/>
        </w:rPr>
        <w:t>万元</w:t>
      </w:r>
      <w:bookmarkEnd w:id="5"/>
      <w:bookmarkEnd w:id="6"/>
      <w:r>
        <w:rPr>
          <w:rFonts w:hint="eastAsia" w:ascii="仿宋_GB2312" w:hAnsi="仿宋_GB2312" w:eastAsia="仿宋_GB2312" w:cs="仿宋_GB2312"/>
          <w:kern w:val="0"/>
          <w:sz w:val="32"/>
          <w:szCs w:val="32"/>
        </w:rPr>
        <w:t>，上年结转（结余）</w:t>
      </w:r>
      <w:r>
        <w:rPr>
          <w:rFonts w:hint="eastAsia" w:ascii="仿宋_GB2312" w:hAnsi="仿宋_GB2312" w:eastAsia="仿宋_GB2312" w:cs="仿宋_GB2312"/>
          <w:sz w:val="32"/>
          <w:szCs w:val="30"/>
          <w:u w:val="single"/>
        </w:rPr>
        <w:t xml:space="preserve">  418.15</w:t>
      </w:r>
      <w:r>
        <w:rPr>
          <w:rFonts w:hint="eastAsia" w:ascii="仿宋_GB2312" w:hAnsi="仿宋_GB2312" w:eastAsia="仿宋_GB2312" w:cs="仿宋_GB2312"/>
          <w:kern w:val="0"/>
          <w:sz w:val="32"/>
          <w:szCs w:val="32"/>
        </w:rPr>
        <w:t>万元</w:t>
      </w:r>
    </w:p>
    <w:p w14:paraId="68ED4D13">
      <w:pPr>
        <w:widowControl/>
        <w:spacing w:line="580" w:lineRule="exact"/>
        <w:ind w:firstLine="643" w:firstLineChars="200"/>
        <w:jc w:val="left"/>
        <w:rPr>
          <w:rFonts w:hint="eastAsia" w:ascii="仿宋_GB2312" w:hAnsi="仿宋_GB2312" w:eastAsia="仿宋_GB2312" w:cs="仿宋_GB2312"/>
          <w:kern w:val="0"/>
          <w:sz w:val="32"/>
          <w:szCs w:val="32"/>
        </w:rPr>
      </w:pPr>
      <w:r>
        <w:rPr>
          <w:rFonts w:hint="eastAsia" w:ascii="楷体_GB2312" w:hAnsi="楷体_GB2312" w:eastAsia="楷体_GB2312" w:cs="楷体_GB2312"/>
          <w:b/>
          <w:sz w:val="32"/>
          <w:szCs w:val="32"/>
        </w:rPr>
        <w:t>(二)</w:t>
      </w:r>
      <w:r>
        <w:rPr>
          <w:rFonts w:hint="eastAsia" w:ascii="仿宋_GB2312" w:hAnsi="仿宋_GB2312" w:eastAsia="仿宋_GB2312" w:cs="仿宋_GB2312"/>
          <w:kern w:val="0"/>
          <w:sz w:val="32"/>
          <w:szCs w:val="32"/>
        </w:rPr>
        <w:t>支出预算情况</w:t>
      </w:r>
    </w:p>
    <w:p w14:paraId="24AC8718">
      <w:pPr>
        <w:ind w:firstLine="640" w:firstLineChars="200"/>
        <w:rPr>
          <w:rStyle w:val="18"/>
          <w:rFonts w:ascii="仿宋_GB2312" w:hAnsi="仿宋_GB2312" w:eastAsia="仿宋_GB2312" w:cs="仿宋_GB2312"/>
          <w:sz w:val="32"/>
          <w:szCs w:val="32"/>
        </w:rPr>
      </w:pPr>
      <w:r>
        <w:rPr>
          <w:rFonts w:hint="eastAsia" w:ascii="仿宋_GB2312" w:hAnsi="仿宋_GB2312" w:eastAsia="仿宋_GB2312" w:cs="仿宋_GB2312"/>
          <w:kern w:val="0"/>
          <w:sz w:val="32"/>
          <w:szCs w:val="32"/>
        </w:rPr>
        <w:t>2026年青云谱区发改委</w:t>
      </w:r>
      <w:r>
        <w:rPr>
          <w:rStyle w:val="18"/>
          <w:rFonts w:hint="eastAsia" w:ascii="仿宋_GB2312" w:hAnsi="仿宋_GB2312" w:eastAsia="仿宋_GB2312" w:cs="仿宋_GB2312"/>
          <w:sz w:val="32"/>
          <w:szCs w:val="32"/>
        </w:rPr>
        <w:t>支出预算总额为</w:t>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${page400644146.ds215660413_REP_BGT_T_HC1100002019_DXQ02_S_ZJ}</w:instrText>
      </w:r>
      <w:r>
        <w:rPr>
          <w:rFonts w:hint="eastAsia" w:ascii="仿宋_GB2312" w:hAnsi="仿宋_GB2312" w:eastAsia="仿宋_GB2312" w:cs="仿宋_GB2312"/>
          <w:sz w:val="32"/>
          <w:szCs w:val="32"/>
        </w:rPr>
        <w:fldChar w:fldCharType="separate"/>
      </w:r>
      <w:r>
        <w:rPr>
          <w:rStyle w:val="18"/>
          <w:rFonts w:hint="eastAsia" w:ascii="仿宋_GB2312" w:hAnsi="仿宋_GB2312" w:eastAsia="仿宋_GB2312" w:cs="仿宋_GB2312"/>
          <w:sz w:val="32"/>
          <w:szCs w:val="32"/>
        </w:rPr>
        <w:t>支出预算总额为</w:t>
      </w:r>
      <w:r>
        <w:rPr>
          <w:rFonts w:hint="eastAsia" w:ascii="仿宋_GB2312" w:hAnsi="仿宋_GB2312" w:eastAsia="仿宋_GB2312" w:cs="仿宋_GB2312"/>
          <w:sz w:val="32"/>
          <w:szCs w:val="30"/>
          <w:u w:val="single"/>
        </w:rPr>
        <w:t>1530.57</w:t>
      </w:r>
      <w:r>
        <w:rPr>
          <w:rStyle w:val="18"/>
          <w:rFonts w:hint="eastAsia" w:ascii="仿宋_GB2312" w:hAnsi="仿宋_GB2312" w:eastAsia="仿宋_GB2312" w:cs="仿宋_GB2312"/>
          <w:sz w:val="32"/>
          <w:szCs w:val="32"/>
        </w:rPr>
        <w:t>万元,较上年预算安排</w:t>
      </w:r>
      <w:r>
        <w:rPr>
          <w:rFonts w:hint="eastAsia" w:ascii="仿宋_GB2312" w:hAnsi="仿宋_GB2312" w:eastAsia="仿宋_GB2312" w:cs="仿宋_GB2312"/>
          <w:kern w:val="0"/>
          <w:sz w:val="32"/>
          <w:szCs w:val="32"/>
        </w:rPr>
        <w:t>减少</w:t>
      </w:r>
      <w:r>
        <w:rPr>
          <w:rFonts w:hint="eastAsia" w:ascii="仿宋_GB2312" w:hAnsi="仿宋_GB2312" w:eastAsia="仿宋_GB2312" w:cs="仿宋_GB2312"/>
          <w:kern w:val="0"/>
          <w:sz w:val="32"/>
          <w:szCs w:val="32"/>
          <w:u w:val="single"/>
        </w:rPr>
        <w:t>167.74</w:t>
      </w:r>
      <w:r>
        <w:rPr>
          <w:rStyle w:val="18"/>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Style w:val="18"/>
          <w:rFonts w:hint="eastAsia" w:ascii="仿宋_GB2312" w:hAnsi="仿宋_GB2312" w:eastAsia="仿宋_GB2312" w:cs="仿宋_GB2312"/>
          <w:sz w:val="32"/>
          <w:szCs w:val="32"/>
        </w:rPr>
        <w:t>其中：</w:t>
      </w:r>
    </w:p>
    <w:p w14:paraId="32AF7985">
      <w:pPr>
        <w:ind w:firstLine="640" w:firstLineChars="200"/>
        <w:rPr>
          <w:rStyle w:val="18"/>
          <w:rFonts w:ascii="仿宋_GB2312" w:hAnsi="仿宋_GB2312" w:eastAsia="仿宋_GB2312" w:cs="仿宋_GB2312"/>
          <w:sz w:val="32"/>
          <w:szCs w:val="32"/>
        </w:rPr>
      </w:pPr>
      <w:r>
        <w:rPr>
          <w:rStyle w:val="18"/>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${page400644146.ds215660413_REP_BGT_T_HC1100002019_DXQ02_JBZCQK}</w:instrText>
      </w:r>
      <w:r>
        <w:rPr>
          <w:rFonts w:hint="eastAsia" w:ascii="仿宋_GB2312" w:hAnsi="仿宋_GB2312" w:eastAsia="仿宋_GB2312" w:cs="仿宋_GB2312"/>
          <w:sz w:val="32"/>
          <w:szCs w:val="32"/>
        </w:rPr>
        <w:fldChar w:fldCharType="separate"/>
      </w:r>
      <w:r>
        <w:rPr>
          <w:rStyle w:val="18"/>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814.42</w:t>
      </w:r>
      <w:r>
        <w:rPr>
          <w:rStyle w:val="18"/>
          <w:rFonts w:hint="eastAsia" w:ascii="仿宋_GB2312" w:hAnsi="仿宋_GB2312" w:eastAsia="仿宋_GB2312" w:cs="仿宋_GB2312"/>
          <w:sz w:val="32"/>
          <w:szCs w:val="32"/>
        </w:rPr>
        <w:t>万元,较上年预算安排减少</w:t>
      </w:r>
      <w:r>
        <w:rPr>
          <w:rStyle w:val="18"/>
          <w:rFonts w:hint="eastAsia" w:ascii="仿宋_GB2312" w:hAnsi="仿宋_GB2312" w:eastAsia="仿宋_GB2312" w:cs="仿宋_GB2312"/>
          <w:sz w:val="32"/>
          <w:szCs w:val="32"/>
          <w:u w:val="single"/>
          <w:lang w:val="en-US" w:eastAsia="zh-CN"/>
        </w:rPr>
        <w:t>5.02</w:t>
      </w:r>
      <w:r>
        <w:rPr>
          <w:rStyle w:val="18"/>
          <w:rFonts w:hint="eastAsia" w:ascii="仿宋_GB2312" w:hAnsi="仿宋_GB2312" w:eastAsia="仿宋_GB2312" w:cs="仿宋_GB2312"/>
          <w:sz w:val="32"/>
          <w:szCs w:val="32"/>
        </w:rPr>
        <w:t>万元;其中：工资福利支出</w:t>
      </w:r>
      <w:r>
        <w:rPr>
          <w:rFonts w:hint="eastAsia" w:ascii="仿宋_GB2312" w:hAnsi="仿宋_GB2312" w:eastAsia="仿宋_GB2312" w:cs="仿宋_GB2312"/>
          <w:sz w:val="32"/>
          <w:szCs w:val="30"/>
          <w:u w:val="single"/>
        </w:rPr>
        <w:t xml:space="preserve">     693.11</w:t>
      </w:r>
      <w:r>
        <w:rPr>
          <w:rStyle w:val="18"/>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58.45 </w:t>
      </w:r>
      <w:r>
        <w:rPr>
          <w:rStyle w:val="18"/>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5.85</w:t>
      </w:r>
      <w:r>
        <w:rPr>
          <w:rStyle w:val="18"/>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7 </w:t>
      </w:r>
      <w:r>
        <w:rPr>
          <w:rStyle w:val="18"/>
          <w:rFonts w:hint="eastAsia" w:ascii="仿宋_GB2312" w:hAnsi="仿宋_GB2312" w:eastAsia="仿宋_GB2312" w:cs="仿宋_GB2312"/>
          <w:sz w:val="32"/>
          <w:szCs w:val="32"/>
        </w:rPr>
        <w:t>万元</w:t>
      </w:r>
      <w:r>
        <w:rPr>
          <w:rStyle w:val="18"/>
          <w:rFonts w:hint="eastAsia" w:ascii="仿宋_GB2312" w:hAnsi="仿宋_GB2312" w:eastAsia="仿宋_GB2312" w:cs="仿宋_GB2312"/>
          <w:sz w:val="32"/>
          <w:szCs w:val="32"/>
          <w:lang w:eastAsia="zh-CN"/>
        </w:rPr>
        <w:t>万元，其他支出</w:t>
      </w:r>
      <w:r>
        <w:rPr>
          <w:rStyle w:val="18"/>
          <w:rFonts w:hint="eastAsia" w:ascii="仿宋_GB2312" w:hAnsi="仿宋_GB2312" w:eastAsia="仿宋_GB2312" w:cs="仿宋_GB2312"/>
          <w:sz w:val="32"/>
          <w:szCs w:val="32"/>
          <w:lang w:val="en-US" w:eastAsia="zh-CN"/>
        </w:rPr>
        <w:t>50</w:t>
      </w:r>
      <w:r>
        <w:rPr>
          <w:rStyle w:val="18"/>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${page400644146.ds215660413_REP_BGT_T_HC1100002019_DXQ02_XMZCQK}</w:instrText>
      </w:r>
      <w:r>
        <w:rPr>
          <w:rFonts w:hint="eastAsia" w:ascii="仿宋_GB2312" w:hAnsi="仿宋_GB2312" w:eastAsia="仿宋_GB2312" w:cs="仿宋_GB2312"/>
          <w:sz w:val="32"/>
          <w:szCs w:val="32"/>
        </w:rPr>
        <w:fldChar w:fldCharType="separate"/>
      </w:r>
      <w:r>
        <w:rPr>
          <w:rStyle w:val="18"/>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0"/>
          <w:u w:val="single"/>
          <w:lang w:val="en-US" w:eastAsia="zh-CN"/>
        </w:rPr>
        <w:t>716.15</w:t>
      </w:r>
      <w:r>
        <w:rPr>
          <w:rStyle w:val="18"/>
          <w:rFonts w:hint="eastAsia" w:ascii="仿宋_GB2312" w:hAnsi="仿宋_GB2312" w:eastAsia="仿宋_GB2312" w:cs="仿宋_GB2312"/>
          <w:sz w:val="32"/>
          <w:szCs w:val="32"/>
        </w:rPr>
        <w:t>万元,较上年预算安排减少</w:t>
      </w:r>
      <w:r>
        <w:rPr>
          <w:rStyle w:val="18"/>
          <w:rFonts w:hint="eastAsia" w:ascii="仿宋_GB2312" w:hAnsi="仿宋_GB2312" w:eastAsia="仿宋_GB2312" w:cs="仿宋_GB2312"/>
          <w:sz w:val="32"/>
          <w:szCs w:val="32"/>
          <w:u w:val="single"/>
        </w:rPr>
        <w:t>580.87</w:t>
      </w:r>
      <w:r>
        <w:rPr>
          <w:rStyle w:val="18"/>
          <w:rFonts w:hint="eastAsia" w:ascii="仿宋_GB2312" w:hAnsi="仿宋_GB2312" w:eastAsia="仿宋_GB2312" w:cs="仿宋_GB2312"/>
          <w:sz w:val="32"/>
          <w:szCs w:val="32"/>
        </w:rPr>
        <w:t>万元;其中：工资福利支出</w:t>
      </w:r>
      <w:r>
        <w:rPr>
          <w:rFonts w:hint="eastAsia" w:ascii="仿宋_GB2312" w:hAnsi="仿宋_GB2312" w:eastAsia="仿宋_GB2312" w:cs="仿宋_GB2312"/>
          <w:sz w:val="32"/>
          <w:szCs w:val="30"/>
          <w:u w:val="single"/>
        </w:rPr>
        <w:t xml:space="preserve">      0</w:t>
      </w:r>
      <w:r>
        <w:rPr>
          <w:rStyle w:val="18"/>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2</w:t>
      </w:r>
      <w:r>
        <w:rPr>
          <w:rFonts w:hint="eastAsia" w:ascii="仿宋_GB2312" w:hAnsi="仿宋_GB2312" w:eastAsia="仿宋_GB2312" w:cs="仿宋_GB2312"/>
          <w:sz w:val="32"/>
          <w:szCs w:val="30"/>
          <w:u w:val="single"/>
          <w:lang w:val="en-US" w:eastAsia="zh-CN"/>
        </w:rPr>
        <w:t>9</w:t>
      </w:r>
      <w:r>
        <w:rPr>
          <w:rFonts w:hint="eastAsia" w:ascii="仿宋_GB2312" w:hAnsi="仿宋_GB2312" w:eastAsia="仿宋_GB2312" w:cs="仿宋_GB2312"/>
          <w:sz w:val="32"/>
          <w:szCs w:val="30"/>
          <w:u w:val="single"/>
        </w:rPr>
        <w:t>8</w:t>
      </w:r>
      <w:r>
        <w:rPr>
          <w:rStyle w:val="18"/>
          <w:rFonts w:hint="eastAsia" w:ascii="仿宋_GB2312" w:hAnsi="仿宋_GB2312" w:eastAsia="仿宋_GB2312" w:cs="仿宋_GB2312"/>
          <w:sz w:val="32"/>
          <w:szCs w:val="32"/>
        </w:rPr>
        <w:t>万元,对个人和家庭的补助</w:t>
      </w:r>
      <w:r>
        <w:rPr>
          <w:rFonts w:hint="eastAsia" w:ascii="仿宋" w:hAnsi="仿宋" w:eastAsia="仿宋" w:cs="仿宋"/>
          <w:kern w:val="0"/>
          <w:sz w:val="32"/>
          <w:szCs w:val="32"/>
        </w:rPr>
        <w:t>__0__</w:t>
      </w:r>
      <w:r>
        <w:rPr>
          <w:rStyle w:val="18"/>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418.15</w:t>
      </w:r>
      <w:r>
        <w:rPr>
          <w:rFonts w:hint="eastAsia" w:ascii="仿宋_GB2312" w:hAnsi="仿宋_GB2312" w:eastAsia="仿宋_GB2312" w:cs="仿宋_GB2312"/>
          <w:sz w:val="32"/>
          <w:szCs w:val="30"/>
          <w:u w:val="single"/>
        </w:rPr>
        <w:t xml:space="preserve">  </w:t>
      </w:r>
      <w:r>
        <w:rPr>
          <w:rStyle w:val="18"/>
          <w:rFonts w:hint="eastAsia" w:ascii="仿宋_GB2312" w:hAnsi="仿宋_GB2312" w:eastAsia="仿宋_GB2312" w:cs="仿宋_GB2312"/>
          <w:sz w:val="32"/>
          <w:szCs w:val="32"/>
        </w:rPr>
        <w:t>万元,对企业补助</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Style w:val="18"/>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7891690B">
      <w:pPr>
        <w:rPr>
          <w:rStyle w:val="18"/>
          <w:rFonts w:ascii="宋体" w:hAnsi="宋体" w:cs="Arial"/>
          <w:color w:val="000000"/>
          <w:kern w:val="0"/>
          <w:sz w:val="24"/>
          <w:szCs w:val="24"/>
        </w:rPr>
      </w:pPr>
      <w:r>
        <w:rPr>
          <w:rStyle w:val="18"/>
          <w:rFonts w:hint="eastAsia" w:ascii="仿宋_GB2312" w:hAnsi="仿宋_GB2312" w:eastAsia="仿宋_GB2312" w:cs="仿宋_GB2312"/>
          <w:sz w:val="32"/>
          <w:szCs w:val="32"/>
        </w:rPr>
        <w:t>按支出功能科目划分：</w:t>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${page400644146.ds247441498_REP_BGT_T_HC1100002019DXQ01_GNZJMX}</w:instrText>
      </w:r>
      <w:r>
        <w:rPr>
          <w:rFonts w:hint="eastAsia" w:ascii="仿宋_GB2312" w:hAnsi="仿宋_GB2312" w:eastAsia="仿宋_GB2312" w:cs="仿宋_GB2312"/>
          <w:sz w:val="32"/>
          <w:szCs w:val="32"/>
        </w:rPr>
        <w:fldChar w:fldCharType="separate"/>
      </w:r>
      <w:r>
        <w:rPr>
          <w:rStyle w:val="18"/>
          <w:rFonts w:hint="eastAsia" w:ascii="仿宋_GB2312" w:hAnsi="仿宋_GB2312" w:eastAsia="仿宋_GB2312" w:cs="仿宋_GB2312"/>
          <w:sz w:val="32"/>
          <w:szCs w:val="32"/>
        </w:rPr>
        <w:t>一般公共服务支出</w:t>
      </w:r>
      <w:r>
        <w:rPr>
          <w:rFonts w:hint="eastAsia" w:ascii="仿宋_GB2312" w:hAnsi="仿宋_GB2312" w:eastAsia="仿宋_GB2312" w:cs="仿宋_GB2312"/>
          <w:sz w:val="32"/>
          <w:szCs w:val="30"/>
          <w:u w:val="single"/>
        </w:rPr>
        <w:t xml:space="preserve">  965.39  </w:t>
      </w:r>
      <w:r>
        <w:rPr>
          <w:rStyle w:val="18"/>
          <w:rFonts w:hint="eastAsia" w:ascii="仿宋_GB2312" w:hAnsi="仿宋_GB2312" w:eastAsia="仿宋_GB2312" w:cs="仿宋_GB2312"/>
          <w:sz w:val="32"/>
          <w:szCs w:val="32"/>
        </w:rPr>
        <w:t>万元,较上年预算安排减少</w:t>
      </w:r>
      <w:r>
        <w:rPr>
          <w:rStyle w:val="18"/>
          <w:rFonts w:hint="eastAsia" w:ascii="仿宋_GB2312" w:hAnsi="仿宋_GB2312" w:eastAsia="仿宋_GB2312" w:cs="仿宋_GB2312"/>
          <w:sz w:val="32"/>
          <w:szCs w:val="32"/>
          <w:u w:val="single"/>
          <w:lang w:val="en-US" w:eastAsia="zh-CN"/>
        </w:rPr>
        <w:t>22.41</w:t>
      </w:r>
      <w:r>
        <w:rPr>
          <w:rStyle w:val="18"/>
          <w:rFonts w:hint="eastAsia" w:ascii="仿宋_GB2312" w:hAnsi="仿宋_GB2312" w:eastAsia="仿宋_GB2312" w:cs="仿宋_GB2312"/>
          <w:sz w:val="32"/>
          <w:szCs w:val="32"/>
        </w:rPr>
        <w:t>万元;国防支出</w:t>
      </w:r>
      <w:r>
        <w:rPr>
          <w:rFonts w:hint="eastAsia" w:ascii="仿宋_GB2312" w:hAnsi="仿宋_GB2312" w:eastAsia="仿宋_GB2312" w:cs="仿宋_GB2312"/>
          <w:sz w:val="32"/>
          <w:szCs w:val="30"/>
          <w:u w:val="single"/>
        </w:rPr>
        <w:t xml:space="preserve">  10</w:t>
      </w:r>
      <w:r>
        <w:rPr>
          <w:rStyle w:val="18"/>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5</w:t>
      </w:r>
      <w:r>
        <w:rPr>
          <w:rStyle w:val="18"/>
          <w:rFonts w:hint="eastAsia" w:ascii="仿宋_GB2312" w:hAnsi="仿宋_GB2312" w:eastAsia="仿宋_GB2312" w:cs="仿宋_GB2312"/>
          <w:sz w:val="32"/>
          <w:szCs w:val="32"/>
        </w:rPr>
        <w:t>万元;社会保障和就业支出</w:t>
      </w:r>
      <w:r>
        <w:rPr>
          <w:rFonts w:hint="eastAsia" w:ascii="仿宋_GB2312" w:hAnsi="仿宋_GB2312" w:eastAsia="仿宋_GB2312" w:cs="仿宋_GB2312"/>
          <w:sz w:val="32"/>
          <w:szCs w:val="30"/>
          <w:u w:val="single"/>
        </w:rPr>
        <w:t xml:space="preserve">  57.90  </w:t>
      </w:r>
      <w:r>
        <w:rPr>
          <w:rStyle w:val="18"/>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39.92</w:t>
      </w:r>
      <w:r>
        <w:rPr>
          <w:rStyle w:val="18"/>
          <w:rFonts w:hint="eastAsia" w:ascii="仿宋_GB2312" w:hAnsi="仿宋_GB2312" w:eastAsia="仿宋_GB2312" w:cs="仿宋_GB2312"/>
          <w:sz w:val="32"/>
          <w:szCs w:val="32"/>
        </w:rPr>
        <w:t>万元;卫生健康支出</w:t>
      </w:r>
      <w:r>
        <w:rPr>
          <w:rFonts w:hint="eastAsia" w:ascii="仿宋_GB2312" w:hAnsi="仿宋_GB2312" w:eastAsia="仿宋_GB2312" w:cs="仿宋_GB2312"/>
          <w:sz w:val="32"/>
          <w:szCs w:val="30"/>
          <w:u w:val="single"/>
        </w:rPr>
        <w:t xml:space="preserve">  0</w:t>
      </w:r>
      <w:r>
        <w:rPr>
          <w:rStyle w:val="18"/>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0</w:t>
      </w:r>
      <w:r>
        <w:rPr>
          <w:rStyle w:val="18"/>
          <w:rFonts w:hint="eastAsia" w:ascii="仿宋_GB2312" w:hAnsi="仿宋_GB2312" w:eastAsia="仿宋_GB2312" w:cs="仿宋_GB2312"/>
          <w:sz w:val="32"/>
          <w:szCs w:val="32"/>
        </w:rPr>
        <w:t>万元;城乡社区支出</w:t>
      </w:r>
      <w:r>
        <w:rPr>
          <w:rFonts w:hint="eastAsia" w:ascii="仿宋_GB2312" w:hAnsi="仿宋_GB2312" w:eastAsia="仿宋_GB2312" w:cs="仿宋_GB2312"/>
          <w:sz w:val="32"/>
          <w:szCs w:val="30"/>
          <w:u w:val="single"/>
        </w:rPr>
        <w:t xml:space="preserve">148.15 </w:t>
      </w:r>
      <w:r>
        <w:rPr>
          <w:rStyle w:val="18"/>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w:t>
      </w:r>
      <w:bookmarkStart w:id="7" w:name="OLE_LINK5"/>
      <w:r>
        <w:rPr>
          <w:rFonts w:hint="eastAsia" w:ascii="仿宋_GB2312" w:hAnsi="仿宋_GB2312" w:eastAsia="仿宋_GB2312" w:cs="仿宋_GB2312"/>
          <w:sz w:val="32"/>
          <w:szCs w:val="30"/>
          <w:u w:val="single"/>
        </w:rPr>
        <w:t>133.15</w:t>
      </w:r>
      <w:r>
        <w:rPr>
          <w:rStyle w:val="18"/>
          <w:rFonts w:hint="eastAsia" w:ascii="仿宋_GB2312" w:hAnsi="仿宋_GB2312" w:eastAsia="仿宋_GB2312" w:cs="仿宋_GB2312"/>
          <w:sz w:val="32"/>
          <w:szCs w:val="32"/>
        </w:rPr>
        <w:t>万元;</w:t>
      </w:r>
      <w:bookmarkEnd w:id="7"/>
      <w:r>
        <w:rPr>
          <w:rStyle w:val="18"/>
          <w:rFonts w:hint="eastAsia" w:ascii="仿宋_GB2312" w:hAnsi="仿宋_GB2312" w:eastAsia="仿宋_GB2312" w:cs="仿宋_GB2312"/>
          <w:sz w:val="32"/>
          <w:szCs w:val="32"/>
        </w:rPr>
        <w:t>住房保障支出</w:t>
      </w:r>
      <w:r>
        <w:rPr>
          <w:rFonts w:hint="eastAsia" w:ascii="仿宋_GB2312" w:hAnsi="仿宋_GB2312" w:eastAsia="仿宋_GB2312" w:cs="仿宋_GB2312"/>
          <w:sz w:val="32"/>
          <w:szCs w:val="30"/>
          <w:u w:val="single"/>
        </w:rPr>
        <w:t xml:space="preserve"> </w:t>
      </w:r>
      <w:bookmarkStart w:id="8" w:name="OLE_LINK1"/>
      <w:bookmarkStart w:id="9" w:name="OLE_LINK2"/>
      <w:r>
        <w:rPr>
          <w:rFonts w:hint="eastAsia" w:ascii="仿宋_GB2312" w:hAnsi="仿宋_GB2312" w:eastAsia="仿宋_GB2312" w:cs="仿宋_GB2312"/>
          <w:sz w:val="32"/>
          <w:szCs w:val="30"/>
          <w:u w:val="single"/>
        </w:rPr>
        <w:t xml:space="preserve"> 69.13 </w:t>
      </w:r>
      <w:bookmarkEnd w:id="8"/>
      <w:bookmarkEnd w:id="9"/>
      <w:r>
        <w:rPr>
          <w:rStyle w:val="18"/>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45.84</w:t>
      </w:r>
      <w:r>
        <w:rPr>
          <w:rStyle w:val="18"/>
          <w:rFonts w:hint="eastAsia" w:ascii="仿宋_GB2312" w:hAnsi="仿宋_GB2312" w:eastAsia="仿宋_GB2312" w:cs="仿宋_GB2312"/>
          <w:sz w:val="32"/>
          <w:szCs w:val="32"/>
        </w:rPr>
        <w:t>万元；</w:t>
      </w:r>
      <w:r>
        <w:rPr>
          <w:rFonts w:hint="eastAsia" w:ascii="宋体" w:hAnsi="宋体" w:cs="Arial"/>
          <w:color w:val="000000"/>
          <w:kern w:val="0"/>
          <w:sz w:val="24"/>
          <w:szCs w:val="24"/>
        </w:rPr>
        <w:t>　</w:t>
      </w:r>
      <w:r>
        <w:rPr>
          <w:rStyle w:val="18"/>
          <w:rFonts w:hint="eastAsia" w:ascii="仿宋_GB2312" w:hAnsi="仿宋_GB2312" w:eastAsia="仿宋_GB2312" w:cs="仿宋_GB2312"/>
          <w:sz w:val="32"/>
          <w:szCs w:val="32"/>
        </w:rPr>
        <w:t>其他支出</w:t>
      </w:r>
      <w:r>
        <w:rPr>
          <w:rFonts w:hint="eastAsia" w:ascii="仿宋_GB2312" w:hAnsi="仿宋_GB2312" w:eastAsia="仿宋_GB2312" w:cs="仿宋_GB2312"/>
          <w:sz w:val="32"/>
          <w:szCs w:val="30"/>
          <w:u w:val="single"/>
        </w:rPr>
        <w:t xml:space="preserve"> 280</w:t>
      </w:r>
      <w:r>
        <w:rPr>
          <w:rStyle w:val="18"/>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60</w:t>
      </w:r>
      <w:r>
        <w:rPr>
          <w:rStyle w:val="18"/>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70501538">
      <w:pPr>
        <w:ind w:firstLine="640" w:firstLineChars="200"/>
        <w:rPr>
          <w:rStyle w:val="18"/>
          <w:rFonts w:ascii="仿宋_GB2312" w:hAnsi="仿宋_GB2312" w:eastAsia="仿宋_GB2312" w:cs="仿宋_GB2312"/>
          <w:b/>
          <w:sz w:val="32"/>
          <w:szCs w:val="32"/>
        </w:rPr>
      </w:pPr>
      <w:r>
        <w:rPr>
          <w:rStyle w:val="18"/>
          <w:rFonts w:hint="eastAsia" w:ascii="仿宋_GB2312" w:hAnsi="仿宋_GB2312" w:eastAsia="仿宋_GB2312" w:cs="仿宋_GB2312"/>
          <w:sz w:val="32"/>
          <w:szCs w:val="32"/>
        </w:rPr>
        <w:t>按支出经济分类划分：</w:t>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${page400644146.ds247441498_REP_BGT_T_HC1100002019DXQ01_JJMX}</w:instrText>
      </w:r>
      <w:r>
        <w:rPr>
          <w:rFonts w:hint="eastAsia" w:ascii="仿宋_GB2312" w:hAnsi="仿宋_GB2312" w:eastAsia="仿宋_GB2312" w:cs="仿宋_GB2312"/>
          <w:sz w:val="32"/>
          <w:szCs w:val="32"/>
        </w:rPr>
        <w:fldChar w:fldCharType="separate"/>
      </w:r>
      <w:r>
        <w:rPr>
          <w:rStyle w:val="18"/>
          <w:rFonts w:hint="eastAsia" w:ascii="仿宋_GB2312" w:hAnsi="仿宋_GB2312" w:eastAsia="仿宋_GB2312" w:cs="仿宋_GB2312"/>
          <w:sz w:val="32"/>
          <w:szCs w:val="32"/>
        </w:rPr>
        <w:t>工资福利支出</w:t>
      </w:r>
      <w:r>
        <w:rPr>
          <w:rFonts w:hint="eastAsia" w:ascii="仿宋_GB2312" w:hAnsi="仿宋_GB2312" w:eastAsia="仿宋_GB2312" w:cs="仿宋_GB2312"/>
          <w:sz w:val="32"/>
          <w:szCs w:val="30"/>
          <w:u w:val="single"/>
        </w:rPr>
        <w:t xml:space="preserve"> 693.11</w:t>
      </w:r>
      <w:r>
        <w:rPr>
          <w:rStyle w:val="18"/>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122.29</w:t>
      </w:r>
      <w:r>
        <w:rPr>
          <w:rStyle w:val="18"/>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58.45</w:t>
      </w:r>
      <w:r>
        <w:rPr>
          <w:rStyle w:val="18"/>
          <w:rFonts w:hint="eastAsia" w:ascii="仿宋_GB2312" w:hAnsi="仿宋_GB2312" w:eastAsia="仿宋_GB2312" w:cs="仿宋_GB2312"/>
          <w:sz w:val="32"/>
          <w:szCs w:val="32"/>
        </w:rPr>
        <w:t>万元,较上年预算安排减少</w:t>
      </w:r>
      <w:r>
        <w:rPr>
          <w:rStyle w:val="18"/>
          <w:rFonts w:hint="eastAsia" w:ascii="仿宋_GB2312" w:hAnsi="仿宋_GB2312" w:eastAsia="仿宋_GB2312" w:cs="仿宋_GB2312"/>
          <w:sz w:val="32"/>
          <w:szCs w:val="32"/>
          <w:u w:val="single"/>
        </w:rPr>
        <w:t>710.86</w:t>
      </w:r>
      <w:r>
        <w:rPr>
          <w:rStyle w:val="18"/>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 xml:space="preserve">  5.85 </w:t>
      </w:r>
      <w:r>
        <w:rPr>
          <w:rStyle w:val="18"/>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0.67  </w:t>
      </w:r>
      <w:r>
        <w:rPr>
          <w:rStyle w:val="18"/>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7  </w:t>
      </w:r>
      <w:r>
        <w:rPr>
          <w:rStyle w:val="18"/>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6 </w:t>
      </w:r>
      <w:r>
        <w:rPr>
          <w:rStyle w:val="18"/>
          <w:rFonts w:hint="eastAsia" w:ascii="仿宋_GB2312" w:hAnsi="仿宋_GB2312" w:eastAsia="仿宋_GB2312" w:cs="仿宋_GB2312"/>
          <w:sz w:val="32"/>
          <w:szCs w:val="32"/>
        </w:rPr>
        <w:t>万元;对企业补助</w:t>
      </w:r>
      <w:r>
        <w:rPr>
          <w:rFonts w:hint="eastAsia" w:ascii="仿宋_GB2312" w:hAnsi="仿宋_GB2312" w:eastAsia="仿宋_GB2312" w:cs="仿宋_GB2312"/>
          <w:sz w:val="32"/>
          <w:szCs w:val="30"/>
          <w:u w:val="single"/>
        </w:rPr>
        <w:t xml:space="preserve"> 298</w:t>
      </w:r>
      <w:r>
        <w:rPr>
          <w:rStyle w:val="18"/>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42 </w:t>
      </w:r>
      <w:r>
        <w:rPr>
          <w:rStyle w:val="18"/>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29BC89E8">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(三)财政拨款支出情况</w:t>
      </w:r>
    </w:p>
    <w:p w14:paraId="470053AF">
      <w:pPr>
        <w:ind w:firstLine="640" w:firstLineChars="200"/>
        <w:rPr>
          <w:rStyle w:val="18"/>
          <w:rFonts w:ascii="仿宋_GB2312" w:hAnsi="仿宋_GB2312" w:eastAsia="仿宋_GB2312" w:cs="仿宋_GB2312"/>
          <w:sz w:val="32"/>
          <w:szCs w:val="32"/>
        </w:rPr>
      </w:pPr>
      <w:r>
        <w:rPr>
          <w:rFonts w:hint="eastAsia" w:ascii="仿宋_GB2312" w:hAnsi="仿宋_GB2312" w:eastAsia="仿宋_GB2312" w:cs="仿宋_GB2312"/>
          <w:kern w:val="0"/>
          <w:sz w:val="32"/>
          <w:szCs w:val="32"/>
        </w:rPr>
        <w:t>2026年青云谱区发改委</w:t>
      </w:r>
      <w:r>
        <w:rPr>
          <w:rStyle w:val="18"/>
          <w:rFonts w:hint="eastAsia" w:ascii="仿宋_GB2312" w:hAnsi="仿宋_GB2312" w:eastAsia="仿宋_GB2312" w:cs="仿宋_GB2312"/>
          <w:sz w:val="32"/>
          <w:szCs w:val="32"/>
        </w:rPr>
        <w:t>财政拨款支出预算总额为</w:t>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${page400644146.ds215660413_REP_BGT_T_HC1100002019_DXQ02_S_CBXJ}</w:instrText>
      </w:r>
      <w:r>
        <w:rPr>
          <w:rFonts w:hint="eastAsia" w:ascii="仿宋_GB2312" w:hAnsi="仿宋_GB2312" w:eastAsia="仿宋_GB2312" w:cs="仿宋_GB2312"/>
          <w:sz w:val="32"/>
          <w:szCs w:val="32"/>
        </w:rPr>
        <w:fldChar w:fldCharType="separate"/>
      </w:r>
      <w:r>
        <w:rPr>
          <w:rStyle w:val="18"/>
          <w:rFonts w:hint="eastAsia" w:ascii="仿宋_GB2312" w:hAnsi="仿宋_GB2312" w:eastAsia="仿宋_GB2312" w:cs="仿宋_GB2312"/>
          <w:sz w:val="32"/>
          <w:szCs w:val="32"/>
        </w:rPr>
        <w:t>财政拨款支出预算总额</w:t>
      </w:r>
      <w:r>
        <w:rPr>
          <w:rFonts w:hint="eastAsia" w:ascii="仿宋_GB2312" w:hAnsi="仿宋_GB2312" w:eastAsia="仿宋_GB2312" w:cs="仿宋_GB2312"/>
          <w:sz w:val="32"/>
          <w:szCs w:val="30"/>
          <w:u w:val="single"/>
        </w:rPr>
        <w:t>1</w:t>
      </w:r>
      <w:r>
        <w:rPr>
          <w:rFonts w:hint="eastAsia" w:ascii="仿宋_GB2312" w:hAnsi="仿宋_GB2312" w:eastAsia="仿宋_GB2312" w:cs="仿宋_GB2312"/>
          <w:sz w:val="32"/>
          <w:szCs w:val="30"/>
          <w:u w:val="single"/>
          <w:lang w:val="en-US" w:eastAsia="zh-CN"/>
        </w:rPr>
        <w:t>480.57</w:t>
      </w:r>
      <w:r>
        <w:rPr>
          <w:rStyle w:val="18"/>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lang w:val="en-US" w:eastAsia="zh-CN"/>
        </w:rPr>
        <w:t>492.77</w:t>
      </w:r>
      <w:r>
        <w:rPr>
          <w:rStyle w:val="18"/>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228DE756">
      <w:pPr>
        <w:ind w:firstLine="640" w:firstLineChars="200"/>
        <w:rPr>
          <w:rStyle w:val="18"/>
          <w:rFonts w:ascii="仿宋_GB2312" w:hAnsi="仿宋_GB2312" w:eastAsia="仿宋_GB2312" w:cs="仿宋_GB2312"/>
          <w:sz w:val="32"/>
          <w:szCs w:val="32"/>
        </w:rPr>
      </w:pPr>
      <w:r>
        <w:rPr>
          <w:rStyle w:val="18"/>
          <w:rFonts w:hint="eastAsia" w:ascii="仿宋_GB2312" w:hAnsi="仿宋_GB2312" w:eastAsia="仿宋_GB2312" w:cs="仿宋_GB2312"/>
          <w:sz w:val="32"/>
          <w:szCs w:val="32"/>
        </w:rPr>
        <w:t>按支出功能科目划分：</w:t>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${page400644146.ds247441498_REP_BGT_T_HC1100002019DXQ01_GNCBMX}</w:instrText>
      </w:r>
      <w:r>
        <w:rPr>
          <w:rFonts w:hint="eastAsia" w:ascii="仿宋_GB2312" w:hAnsi="仿宋_GB2312" w:eastAsia="仿宋_GB2312" w:cs="仿宋_GB2312"/>
          <w:sz w:val="32"/>
          <w:szCs w:val="32"/>
        </w:rPr>
        <w:fldChar w:fldCharType="separate"/>
      </w:r>
      <w:r>
        <w:rPr>
          <w:rStyle w:val="18"/>
          <w:rFonts w:hint="eastAsia" w:ascii="仿宋_GB2312" w:hAnsi="仿宋_GB2312" w:eastAsia="仿宋_GB2312" w:cs="仿宋_GB2312"/>
          <w:sz w:val="32"/>
          <w:szCs w:val="32"/>
        </w:rPr>
        <w:t>一般公共服务支出</w:t>
      </w:r>
      <w:r>
        <w:rPr>
          <w:rFonts w:hint="eastAsia" w:ascii="仿宋_GB2312" w:hAnsi="仿宋_GB2312" w:eastAsia="仿宋_GB2312" w:cs="仿宋_GB2312"/>
          <w:sz w:val="32"/>
          <w:szCs w:val="30"/>
          <w:u w:val="single"/>
        </w:rPr>
        <w:t xml:space="preserve"> 9</w:t>
      </w:r>
      <w:r>
        <w:rPr>
          <w:rFonts w:hint="eastAsia" w:ascii="仿宋_GB2312" w:hAnsi="仿宋_GB2312" w:eastAsia="仿宋_GB2312" w:cs="仿宋_GB2312"/>
          <w:sz w:val="32"/>
          <w:szCs w:val="30"/>
          <w:u w:val="single"/>
          <w:lang w:val="en-US" w:eastAsia="zh-CN"/>
        </w:rPr>
        <w:t>1</w:t>
      </w:r>
      <w:r>
        <w:rPr>
          <w:rFonts w:hint="eastAsia" w:ascii="仿宋_GB2312" w:hAnsi="仿宋_GB2312" w:eastAsia="仿宋_GB2312" w:cs="仿宋_GB2312"/>
          <w:sz w:val="32"/>
          <w:szCs w:val="30"/>
          <w:u w:val="single"/>
        </w:rPr>
        <w:t xml:space="preserve">5.39  </w:t>
      </w:r>
      <w:r>
        <w:rPr>
          <w:rStyle w:val="18"/>
          <w:rFonts w:hint="eastAsia" w:ascii="仿宋_GB2312" w:hAnsi="仿宋_GB2312" w:eastAsia="仿宋_GB2312" w:cs="仿宋_GB2312"/>
          <w:sz w:val="32"/>
          <w:szCs w:val="32"/>
        </w:rPr>
        <w:t>万元,国防支出</w:t>
      </w:r>
      <w:r>
        <w:rPr>
          <w:rStyle w:val="18"/>
          <w:rFonts w:hint="eastAsia" w:ascii="仿宋_GB2312" w:hAnsi="仿宋_GB2312" w:eastAsia="仿宋_GB2312" w:cs="仿宋_GB2312"/>
          <w:sz w:val="32"/>
          <w:szCs w:val="32"/>
          <w:u w:val="single"/>
        </w:rPr>
        <w:t>10</w:t>
      </w:r>
      <w:r>
        <w:rPr>
          <w:rStyle w:val="18"/>
          <w:rFonts w:hint="eastAsia" w:ascii="仿宋_GB2312" w:hAnsi="仿宋_GB2312" w:eastAsia="仿宋_GB2312" w:cs="仿宋_GB2312"/>
          <w:sz w:val="32"/>
          <w:szCs w:val="32"/>
        </w:rPr>
        <w:t>万元,教育支出</w:t>
      </w:r>
      <w:r>
        <w:rPr>
          <w:rFonts w:hint="eastAsia" w:ascii="仿宋_GB2312" w:hAnsi="仿宋_GB2312" w:eastAsia="仿宋_GB2312" w:cs="仿宋_GB2312"/>
          <w:sz w:val="32"/>
          <w:szCs w:val="30"/>
          <w:u w:val="single"/>
        </w:rPr>
        <w:t xml:space="preserve">   0  </w:t>
      </w:r>
      <w:r>
        <w:rPr>
          <w:rStyle w:val="18"/>
          <w:rFonts w:hint="eastAsia" w:ascii="仿宋_GB2312" w:hAnsi="仿宋_GB2312" w:eastAsia="仿宋_GB2312" w:cs="仿宋_GB2312"/>
          <w:sz w:val="32"/>
          <w:szCs w:val="32"/>
        </w:rPr>
        <w:t>万元,社会保障和就业支出</w:t>
      </w:r>
      <w:r>
        <w:rPr>
          <w:rFonts w:hint="eastAsia" w:ascii="仿宋_GB2312" w:hAnsi="仿宋_GB2312" w:eastAsia="仿宋_GB2312" w:cs="仿宋_GB2312"/>
          <w:sz w:val="32"/>
          <w:szCs w:val="30"/>
          <w:u w:val="single"/>
        </w:rPr>
        <w:t xml:space="preserve">  57.90 </w:t>
      </w:r>
      <w:r>
        <w:rPr>
          <w:rStyle w:val="18"/>
          <w:rFonts w:hint="eastAsia" w:ascii="仿宋_GB2312" w:hAnsi="仿宋_GB2312" w:eastAsia="仿宋_GB2312" w:cs="仿宋_GB2312"/>
          <w:sz w:val="32"/>
          <w:szCs w:val="32"/>
        </w:rPr>
        <w:t>万元,城乡社区支出</w:t>
      </w:r>
      <w:r>
        <w:rPr>
          <w:rStyle w:val="18"/>
          <w:rFonts w:hint="eastAsia" w:ascii="仿宋_GB2312" w:hAnsi="仿宋_GB2312" w:eastAsia="仿宋_GB2312" w:cs="仿宋_GB2312"/>
          <w:sz w:val="32"/>
          <w:szCs w:val="32"/>
          <w:u w:val="single"/>
        </w:rPr>
        <w:t>148</w:t>
      </w:r>
      <w:r>
        <w:rPr>
          <w:rStyle w:val="18"/>
          <w:rFonts w:hint="eastAsia" w:ascii="仿宋_GB2312" w:hAnsi="仿宋_GB2312" w:eastAsia="仿宋_GB2312" w:cs="仿宋_GB2312"/>
          <w:sz w:val="32"/>
          <w:szCs w:val="32"/>
          <w:u w:val="single"/>
          <w:lang w:val="en-US" w:eastAsia="zh-CN"/>
        </w:rPr>
        <w:t>.15</w:t>
      </w:r>
      <w:r>
        <w:rPr>
          <w:rStyle w:val="18"/>
          <w:rFonts w:hint="eastAsia" w:ascii="仿宋_GB2312" w:hAnsi="仿宋_GB2312" w:eastAsia="仿宋_GB2312" w:cs="仿宋_GB2312"/>
          <w:sz w:val="32"/>
          <w:szCs w:val="32"/>
        </w:rPr>
        <w:t>万元,卫生健康支出</w:t>
      </w:r>
      <w:r>
        <w:rPr>
          <w:rFonts w:hint="eastAsia" w:ascii="仿宋_GB2312" w:hAnsi="仿宋_GB2312" w:eastAsia="仿宋_GB2312" w:cs="仿宋_GB2312"/>
          <w:sz w:val="32"/>
          <w:szCs w:val="30"/>
          <w:u w:val="single"/>
        </w:rPr>
        <w:t xml:space="preserve">   0  </w:t>
      </w:r>
      <w:r>
        <w:rPr>
          <w:rStyle w:val="18"/>
          <w:rFonts w:hint="eastAsia" w:ascii="仿宋_GB2312" w:hAnsi="仿宋_GB2312" w:eastAsia="仿宋_GB2312" w:cs="仿宋_GB2312"/>
          <w:sz w:val="32"/>
          <w:szCs w:val="32"/>
        </w:rPr>
        <w:t>万元,住房保障支出</w:t>
      </w:r>
      <w:r>
        <w:rPr>
          <w:rFonts w:hint="eastAsia" w:ascii="仿宋_GB2312" w:hAnsi="仿宋_GB2312" w:eastAsia="仿宋_GB2312" w:cs="仿宋_GB2312"/>
          <w:sz w:val="32"/>
          <w:szCs w:val="30"/>
          <w:u w:val="single"/>
        </w:rPr>
        <w:t xml:space="preserve"> 69.13</w:t>
      </w:r>
      <w:r>
        <w:rPr>
          <w:rStyle w:val="18"/>
          <w:rFonts w:hint="eastAsia" w:ascii="仿宋_GB2312" w:hAnsi="仿宋_GB2312" w:eastAsia="仿宋_GB2312" w:cs="仿宋_GB2312"/>
          <w:sz w:val="32"/>
          <w:szCs w:val="32"/>
        </w:rPr>
        <w:t>万元,其他支出</w:t>
      </w:r>
      <w:r>
        <w:rPr>
          <w:rStyle w:val="18"/>
          <w:rFonts w:hint="eastAsia" w:ascii="仿宋_GB2312" w:hAnsi="仿宋_GB2312" w:eastAsia="仿宋_GB2312" w:cs="仿宋_GB2312"/>
          <w:sz w:val="32"/>
          <w:szCs w:val="32"/>
          <w:u w:val="single"/>
        </w:rPr>
        <w:t>280</w:t>
      </w:r>
      <w:r>
        <w:rPr>
          <w:rStyle w:val="18"/>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p>
    <w:p w14:paraId="0C96CB05">
      <w:pPr>
        <w:ind w:firstLine="640" w:firstLineChars="200"/>
        <w:rPr>
          <w:rStyle w:val="18"/>
          <w:rFonts w:ascii="仿宋" w:hAnsi="仿宋" w:eastAsia="仿宋"/>
          <w:sz w:val="32"/>
          <w:szCs w:val="32"/>
        </w:rPr>
      </w:pPr>
      <w:r>
        <w:rPr>
          <w:rStyle w:val="18"/>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${page400644146.ds215660413_REP_BGT_T_HC1100002019_DXQ02_JBZCQKCB}</w:instrText>
      </w:r>
      <w:r>
        <w:rPr>
          <w:rFonts w:hint="eastAsia" w:ascii="仿宋_GB2312" w:hAnsi="仿宋_GB2312" w:eastAsia="仿宋_GB2312" w:cs="仿宋_GB2312"/>
          <w:sz w:val="32"/>
          <w:szCs w:val="32"/>
        </w:rPr>
        <w:fldChar w:fldCharType="separate"/>
      </w:r>
      <w:r>
        <w:rPr>
          <w:rStyle w:val="18"/>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764.42</w:t>
      </w:r>
      <w:r>
        <w:rPr>
          <w:rStyle w:val="18"/>
          <w:rFonts w:hint="eastAsia" w:ascii="仿宋_GB2312" w:hAnsi="仿宋_GB2312" w:eastAsia="仿宋_GB2312" w:cs="仿宋_GB2312"/>
          <w:sz w:val="32"/>
          <w:szCs w:val="32"/>
        </w:rPr>
        <w:t>元,较上年预算安排增加</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54.62</w:t>
      </w:r>
      <w:r>
        <w:rPr>
          <w:rFonts w:hint="eastAsia" w:ascii="仿宋_GB2312" w:hAnsi="仿宋_GB2312" w:eastAsia="仿宋_GB2312" w:cs="仿宋_GB2312"/>
          <w:sz w:val="32"/>
          <w:szCs w:val="30"/>
          <w:u w:val="single"/>
        </w:rPr>
        <w:t xml:space="preserve"> </w:t>
      </w:r>
      <w:r>
        <w:rPr>
          <w:rStyle w:val="18"/>
          <w:rFonts w:hint="eastAsia" w:ascii="仿宋_GB2312" w:hAnsi="仿宋_GB2312" w:eastAsia="仿宋_GB2312" w:cs="仿宋_GB2312"/>
          <w:sz w:val="32"/>
          <w:szCs w:val="32"/>
        </w:rPr>
        <w:t>万元;其中：工资福利支出</w:t>
      </w:r>
      <w:r>
        <w:rPr>
          <w:rFonts w:hint="eastAsia" w:ascii="仿宋_GB2312" w:hAnsi="仿宋_GB2312" w:eastAsia="仿宋_GB2312" w:cs="仿宋_GB2312"/>
          <w:sz w:val="32"/>
          <w:szCs w:val="30"/>
          <w:u w:val="single"/>
        </w:rPr>
        <w:t xml:space="preserve">     693.11</w:t>
      </w:r>
      <w:r>
        <w:rPr>
          <w:rStyle w:val="18"/>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58.45</w:t>
      </w:r>
      <w:r>
        <w:rPr>
          <w:rStyle w:val="18"/>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 xml:space="preserve">5.85 </w:t>
      </w:r>
      <w:r>
        <w:rPr>
          <w:rStyle w:val="18"/>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7 </w:t>
      </w:r>
      <w:r>
        <w:rPr>
          <w:rStyle w:val="18"/>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${page400644146.ds215660413_REP_BGT_T_HC1100002019_DXQ02_XMZCQKCB}</w:instrText>
      </w:r>
      <w:r>
        <w:rPr>
          <w:rFonts w:hint="eastAsia" w:ascii="仿宋_GB2312" w:hAnsi="仿宋_GB2312" w:eastAsia="仿宋_GB2312" w:cs="仿宋_GB2312"/>
          <w:sz w:val="32"/>
          <w:szCs w:val="32"/>
        </w:rPr>
        <w:fldChar w:fldCharType="separate"/>
      </w:r>
      <w:r>
        <w:rPr>
          <w:rStyle w:val="18"/>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716.15</w:t>
      </w:r>
      <w:r>
        <w:rPr>
          <w:rStyle w:val="18"/>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20 </w:t>
      </w:r>
      <w:r>
        <w:rPr>
          <w:rStyle w:val="18"/>
          <w:rFonts w:hint="eastAsia" w:ascii="仿宋_GB2312" w:hAnsi="仿宋_GB2312" w:eastAsia="仿宋_GB2312" w:cs="仿宋_GB2312"/>
          <w:sz w:val="32"/>
          <w:szCs w:val="32"/>
        </w:rPr>
        <w:t>万元;其中：商品和服务支出</w:t>
      </w:r>
      <w:r>
        <w:rPr>
          <w:rFonts w:hint="eastAsia" w:ascii="仿宋_GB2312" w:hAnsi="仿宋_GB2312" w:eastAsia="仿宋_GB2312" w:cs="仿宋_GB2312"/>
          <w:sz w:val="32"/>
          <w:szCs w:val="30"/>
          <w:u w:val="single"/>
        </w:rPr>
        <w:t xml:space="preserve">  298   </w:t>
      </w:r>
      <w:r>
        <w:rPr>
          <w:rStyle w:val="18"/>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 xml:space="preserve">   0  </w:t>
      </w:r>
      <w:r>
        <w:rPr>
          <w:rStyle w:val="18"/>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418.15</w:t>
      </w:r>
      <w:r>
        <w:rPr>
          <w:rFonts w:hint="eastAsia" w:ascii="仿宋_GB2312" w:hAnsi="仿宋_GB2312" w:eastAsia="仿宋_GB2312" w:cs="仿宋_GB2312"/>
          <w:sz w:val="32"/>
          <w:szCs w:val="30"/>
          <w:u w:val="single"/>
        </w:rPr>
        <w:t xml:space="preserve">  </w:t>
      </w:r>
      <w:r>
        <w:rPr>
          <w:rStyle w:val="18"/>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182B1A40">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(四)政府性基金情况</w:t>
      </w:r>
    </w:p>
    <w:p w14:paraId="4F76A50B">
      <w:pPr>
        <w:ind w:firstLine="640" w:firstLineChars="200"/>
        <w:rPr>
          <w:rFonts w:ascii="仿宋_GB2312" w:hAnsi="仿宋_GB2312" w:eastAsia="仿宋" w:cs="仿宋_GB2312"/>
          <w:kern w:val="0"/>
          <w:sz w:val="32"/>
          <w:szCs w:val="32"/>
        </w:rPr>
      </w:pPr>
      <w:r>
        <w:rPr>
          <w:rFonts w:hint="eastAsia" w:ascii="仿宋_GB2312" w:hAnsi="仿宋_GB2312" w:eastAsia="仿宋_GB2312" w:cs="仿宋_GB2312"/>
          <w:kern w:val="0"/>
          <w:sz w:val="32"/>
          <w:szCs w:val="32"/>
        </w:rPr>
        <w:t>2026年青云谱区发改委</w:t>
      </w:r>
      <w:r>
        <w:rPr>
          <w:rFonts w:hint="eastAsia" w:ascii="仿宋_GB2312" w:hAnsi="仿宋_GB2312" w:eastAsia="仿宋_GB2312" w:cs="仿宋_GB2312"/>
          <w:sz w:val="32"/>
          <w:szCs w:val="32"/>
        </w:rPr>
        <w:t>政府性基金支出预算</w:t>
      </w:r>
      <w:r>
        <w:rPr>
          <w:rStyle w:val="18"/>
          <w:rFonts w:hint="eastAsia" w:ascii="仿宋_GB2312" w:hAnsi="仿宋_GB2312" w:eastAsia="仿宋_GB2312" w:cs="仿宋_GB2312"/>
          <w:sz w:val="32"/>
          <w:szCs w:val="32"/>
        </w:rPr>
        <w:t>为</w:t>
      </w:r>
      <w:r>
        <w:rPr>
          <w:rFonts w:hint="eastAsia" w:ascii="仿宋" w:hAnsi="仿宋" w:eastAsia="仿宋" w:cs="仿宋"/>
          <w:kern w:val="0"/>
          <w:sz w:val="32"/>
          <w:szCs w:val="32"/>
        </w:rPr>
        <w:t>__0__</w:t>
      </w:r>
    </w:p>
    <w:p w14:paraId="458E1762">
      <w:pPr>
        <w:ind w:firstLine="640" w:firstLineChars="200"/>
        <w:rPr>
          <w:rStyle w:val="18"/>
          <w:rFonts w:ascii="仿宋_GB2312" w:hAnsi="仿宋_GB2312" w:eastAsia="仿宋_GB2312" w:cs="仿宋_GB2312"/>
          <w:sz w:val="32"/>
          <w:szCs w:val="32"/>
        </w:rPr>
      </w:pPr>
      <w:r>
        <w:rPr>
          <w:rStyle w:val="18"/>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${page400644146.ds215660413_REP_BGT_T_HC1100002019_DXQ02_JBZCQKJJ}</w:instrTex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${page400644146.ds215660413_REP_BGT_T_HC1100002019_DXQ02_XMZCQKJJ}</w:instrText>
      </w:r>
      <w:r>
        <w:rPr>
          <w:rFonts w:hint="eastAsia" w:ascii="仿宋_GB2312" w:hAnsi="仿宋_GB2312" w:eastAsia="仿宋_GB2312" w:cs="仿宋_GB2312"/>
          <w:sz w:val="32"/>
          <w:szCs w:val="32"/>
        </w:rPr>
        <w:fldChar w:fldCharType="end"/>
      </w:r>
      <w:r>
        <w:rPr>
          <w:rStyle w:val="18"/>
          <w:rFonts w:hint="eastAsia" w:ascii="仿宋_GB2312" w:hAnsi="仿宋_GB2312" w:eastAsia="仿宋_GB2312" w:cs="仿宋_GB2312"/>
          <w:sz w:val="32"/>
          <w:szCs w:val="32"/>
        </w:rPr>
        <w:t>没有使用政府性基金预算拨款安排的支出</w:t>
      </w:r>
    </w:p>
    <w:p w14:paraId="2BC7974A">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（五）国有资本经营情况</w:t>
      </w:r>
    </w:p>
    <w:p w14:paraId="084245D8">
      <w:pPr>
        <w:ind w:firstLine="640" w:firstLineChars="200"/>
        <w:rPr>
          <w:rStyle w:val="18"/>
          <w:rFonts w:ascii="仿宋_GB2312" w:hAnsi="仿宋_GB2312" w:eastAsia="仿宋_GB2312" w:cs="仿宋_GB2312"/>
          <w:sz w:val="32"/>
          <w:szCs w:val="32"/>
        </w:rPr>
      </w:pPr>
      <w:r>
        <w:rPr>
          <w:rFonts w:hint="eastAsia" w:ascii="仿宋_GB2312" w:hAnsi="仿宋_GB2312" w:eastAsia="仿宋_GB2312" w:cs="仿宋_GB2312"/>
          <w:kern w:val="0"/>
          <w:sz w:val="32"/>
          <w:szCs w:val="32"/>
        </w:rPr>
        <w:t>2026年青云谱区发改委</w:t>
      </w:r>
      <w:r>
        <w:rPr>
          <w:rStyle w:val="18"/>
          <w:rFonts w:hint="eastAsia" w:ascii="仿宋_GB2312" w:hAnsi="仿宋_GB2312" w:eastAsia="仿宋_GB2312" w:cs="仿宋_GB2312"/>
          <w:sz w:val="32"/>
          <w:szCs w:val="32"/>
        </w:rPr>
        <w:t>国有资本经营支出预算为</w:t>
      </w:r>
      <w:r>
        <w:rPr>
          <w:rFonts w:hint="eastAsia" w:ascii="仿宋" w:hAnsi="仿宋" w:eastAsia="仿宋" w:cs="仿宋"/>
          <w:kern w:val="0"/>
          <w:sz w:val="32"/>
          <w:szCs w:val="32"/>
        </w:rPr>
        <w:t>__0__</w:t>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${page400644146.ds215660413_REP_BGT_T_HC1100002019_DXQ02_S_AMTGYZBJYYSZJ}</w:instrText>
      </w:r>
      <w:r>
        <w:rPr>
          <w:rFonts w:hint="eastAsia" w:ascii="仿宋_GB2312" w:hAnsi="仿宋_GB2312" w:eastAsia="仿宋_GB2312" w:cs="仿宋_GB2312"/>
          <w:sz w:val="32"/>
          <w:szCs w:val="32"/>
        </w:rPr>
        <w:fldChar w:fldCharType="end"/>
      </w:r>
    </w:p>
    <w:p w14:paraId="0B297F09">
      <w:pPr>
        <w:ind w:firstLine="640" w:firstLineChars="200"/>
        <w:rPr>
          <w:rStyle w:val="18"/>
          <w:rFonts w:ascii="仿宋_GB2312" w:hAnsi="仿宋_GB2312" w:eastAsia="仿宋_GB2312" w:cs="仿宋_GB2312"/>
          <w:sz w:val="32"/>
          <w:szCs w:val="32"/>
        </w:rPr>
      </w:pPr>
      <w:r>
        <w:rPr>
          <w:rStyle w:val="18"/>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${page400644146.ds215660413_REP_BGT_T_HC1100002019_DXQ02_JBZCQKGY}</w:instrTex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${page400644146.ds215660413_REP_BGT_T_HC1100002019_DXQ02_XMZCQKGY}</w:instrText>
      </w:r>
      <w:r>
        <w:rPr>
          <w:rFonts w:hint="eastAsia" w:ascii="仿宋_GB2312" w:hAnsi="仿宋_GB2312" w:eastAsia="仿宋_GB2312" w:cs="仿宋_GB2312"/>
          <w:sz w:val="32"/>
          <w:szCs w:val="32"/>
        </w:rPr>
        <w:fldChar w:fldCharType="end"/>
      </w:r>
      <w:r>
        <w:rPr>
          <w:rStyle w:val="18"/>
          <w:rFonts w:hint="eastAsia" w:ascii="仿宋_GB2312" w:hAnsi="仿宋_GB2312" w:eastAsia="仿宋_GB2312" w:cs="仿宋_GB2312"/>
          <w:sz w:val="32"/>
          <w:szCs w:val="32"/>
        </w:rPr>
        <w:t>没有使用国有资本经营预算拨款安排的支出</w:t>
      </w:r>
    </w:p>
    <w:p w14:paraId="7A16448C">
      <w:pPr>
        <w:widowControl/>
        <w:spacing w:line="580" w:lineRule="exact"/>
        <w:ind w:firstLine="643" w:firstLineChars="200"/>
        <w:jc w:val="left"/>
        <w:rPr>
          <w:rStyle w:val="18"/>
          <w:rFonts w:ascii="Adobe 仿宋 Std R" w:hAnsi="Adobe 仿宋 Std R" w:eastAsia="Adobe 仿宋 Std R"/>
          <w:b/>
          <w:sz w:val="32"/>
          <w:szCs w:val="32"/>
        </w:rPr>
      </w:pPr>
      <w:r>
        <w:rPr>
          <w:rFonts w:hint="eastAsia" w:ascii="楷体_GB2312" w:hAnsi="楷体_GB2312" w:eastAsia="楷体_GB2312" w:cs="楷体_GB2312"/>
          <w:b/>
          <w:sz w:val="32"/>
          <w:szCs w:val="32"/>
        </w:rPr>
        <w:t>(六)机关运行经费等重要事项的说明</w:t>
      </w:r>
    </w:p>
    <w:p w14:paraId="6C223423">
      <w:pPr>
        <w:widowControl/>
        <w:spacing w:line="580" w:lineRule="exact"/>
        <w:ind w:firstLine="640" w:firstLineChars="200"/>
        <w:jc w:val="left"/>
        <w:rPr>
          <w:rFonts w:ascii="仿宋_GB2312" w:hAnsi="仿宋_GB2312" w:eastAsia="仿宋_GB2312" w:cs="仿宋_GB2312"/>
          <w:sz w:val="32"/>
          <w:szCs w:val="32"/>
        </w:rPr>
      </w:pPr>
      <w:r>
        <w:rPr>
          <w:rStyle w:val="18"/>
          <w:rFonts w:hint="eastAsia" w:ascii="仿宋_GB2312" w:hAnsi="仿宋_GB2312" w:eastAsia="仿宋_GB2312" w:cs="仿宋_GB2312"/>
          <w:sz w:val="32"/>
          <w:szCs w:val="32"/>
        </w:rPr>
        <w:t>2026年</w:t>
      </w:r>
      <w:r>
        <w:rPr>
          <w:rFonts w:hint="eastAsia" w:ascii="仿宋_GB2312" w:hAnsi="仿宋_GB2312" w:eastAsia="仿宋_GB2312" w:cs="仿宋_GB2312"/>
          <w:sz w:val="32"/>
          <w:szCs w:val="32"/>
        </w:rPr>
        <w:t>部门机关运行费预算</w:t>
      </w:r>
      <w:r>
        <w:rPr>
          <w:rFonts w:hint="eastAsia" w:ascii="仿宋_GB2312" w:hAnsi="仿宋_GB2312" w:eastAsia="仿宋_GB2312" w:cs="仿宋_GB2312"/>
          <w:sz w:val="32"/>
          <w:szCs w:val="30"/>
          <w:u w:val="single"/>
        </w:rPr>
        <w:t xml:space="preserve">  58.45</w:t>
      </w:r>
      <w:r>
        <w:rPr>
          <w:rFonts w:hint="eastAsia" w:ascii="仿宋_GB2312" w:hAnsi="仿宋_GB2312" w:eastAsia="仿宋_GB2312" w:cs="仿宋_GB2312"/>
          <w:sz w:val="32"/>
          <w:szCs w:val="32"/>
        </w:rPr>
        <w:t>万元，比2025年预算减少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62.35</w:t>
      </w:r>
      <w:r>
        <w:rPr>
          <w:rFonts w:hint="eastAsia" w:ascii="仿宋_GB2312" w:hAnsi="仿宋_GB2312" w:eastAsia="仿宋_GB2312" w:cs="仿宋_GB2312"/>
          <w:sz w:val="32"/>
          <w:szCs w:val="32"/>
        </w:rPr>
        <w:t>万元，减少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51.61</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w:t>
      </w:r>
    </w:p>
    <w:p w14:paraId="16EE79B1">
      <w:pPr>
        <w:widowControl/>
        <w:spacing w:line="580" w:lineRule="exact"/>
        <w:ind w:firstLine="640" w:firstLineChars="200"/>
        <w:jc w:val="left"/>
        <w:rPr>
          <w:rFonts w:ascii="Adobe 仿宋 Std R" w:hAnsi="Adobe 仿宋 Std R" w:eastAsia="Adobe 仿宋 Std R"/>
          <w:sz w:val="32"/>
          <w:szCs w:val="32"/>
        </w:rPr>
      </w:pPr>
      <w:r>
        <w:rPr>
          <w:rFonts w:hint="eastAsia" w:ascii="仿宋_GB2312" w:hAnsi="仿宋_GB2312" w:eastAsia="仿宋_GB2312" w:cs="仿宋_GB2312"/>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14:paraId="7E784225">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(七)政府采购情况</w:t>
      </w:r>
    </w:p>
    <w:p w14:paraId="694F7809">
      <w:pPr>
        <w:ind w:firstLine="640" w:firstLineChars="200"/>
        <w:rPr>
          <w:rFonts w:ascii="仿宋_GB2312" w:hAnsi="仿宋_GB2312" w:eastAsia="仿宋_GB2312" w:cs="仿宋_GB2312"/>
          <w:sz w:val="32"/>
        </w:rPr>
      </w:pPr>
      <w:r>
        <w:rPr>
          <w:rFonts w:hint="eastAsia" w:ascii="仿宋_GB2312" w:hAnsi="仿宋_GB2312" w:eastAsia="仿宋_GB2312" w:cs="仿宋_GB2312"/>
          <w:sz w:val="32"/>
          <w:szCs w:val="32"/>
        </w:rPr>
        <w:t>2026年部门所属各单位政府采购总额</w:t>
      </w:r>
      <w:r>
        <w:rPr>
          <w:rFonts w:hint="eastAsia" w:ascii="仿宋_GB2312" w:hAnsi="仿宋_GB2312" w:eastAsia="仿宋_GB2312" w:cs="仿宋_GB2312"/>
          <w:sz w:val="32"/>
          <w:szCs w:val="30"/>
          <w:u w:val="single"/>
        </w:rPr>
        <w:t xml:space="preserve">  7  </w:t>
      </w:r>
      <w:r>
        <w:rPr>
          <w:rFonts w:hint="eastAsia" w:ascii="仿宋_GB2312" w:hAnsi="仿宋_GB2312" w:eastAsia="仿宋_GB2312" w:cs="仿宋_GB2312"/>
          <w:sz w:val="32"/>
          <w:szCs w:val="32"/>
        </w:rPr>
        <w:t>万元,其中: 政府采购货物预算</w:t>
      </w:r>
      <w:r>
        <w:rPr>
          <w:rFonts w:hint="eastAsia" w:ascii="仿宋_GB2312" w:hAnsi="仿宋_GB2312" w:eastAsia="仿宋_GB2312" w:cs="仿宋_GB2312"/>
          <w:sz w:val="32"/>
          <w:szCs w:val="30"/>
          <w:u w:val="single"/>
        </w:rPr>
        <w:t xml:space="preserve"> 7 </w:t>
      </w:r>
      <w:r>
        <w:rPr>
          <w:rFonts w:hint="eastAsia" w:ascii="仿宋_GB2312" w:hAnsi="仿宋_GB2312" w:eastAsia="仿宋_GB2312" w:cs="仿宋_GB2312"/>
          <w:sz w:val="32"/>
          <w:szCs w:val="32"/>
        </w:rPr>
        <w:t>万元, 政府采购工程预算</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万元, 政府采购服务预算</w:t>
      </w:r>
      <w:r>
        <w:rPr>
          <w:rFonts w:hint="eastAsia" w:ascii="仿宋_GB2312" w:hAnsi="仿宋_GB2312" w:eastAsia="仿宋_GB2312" w:cs="仿宋_GB2312"/>
          <w:sz w:val="32"/>
          <w:szCs w:val="30"/>
          <w:u w:val="single"/>
        </w:rPr>
        <w:t xml:space="preserve">  298  </w:t>
      </w:r>
      <w:r>
        <w:rPr>
          <w:rFonts w:hint="eastAsia" w:ascii="仿宋_GB2312" w:hAnsi="仿宋_GB2312" w:eastAsia="仿宋_GB2312" w:cs="仿宋_GB2312"/>
          <w:sz w:val="32"/>
          <w:szCs w:val="32"/>
        </w:rPr>
        <w:t>万元。</w:t>
      </w:r>
    </w:p>
    <w:p w14:paraId="61698004">
      <w:pPr>
        <w:ind w:firstLine="643" w:firstLineChars="200"/>
        <w:rPr>
          <w:rStyle w:val="18"/>
          <w:rFonts w:ascii="Adobe 仿宋 Std R" w:hAnsi="Adobe 仿宋 Std R" w:eastAsia="Adobe 仿宋 Std R"/>
          <w:b/>
          <w:sz w:val="32"/>
          <w:szCs w:val="32"/>
        </w:rPr>
      </w:pPr>
      <w:r>
        <w:rPr>
          <w:rStyle w:val="18"/>
          <w:rFonts w:hint="eastAsia" w:ascii="Adobe 仿宋 Std R" w:hAnsi="Adobe 仿宋 Std R" w:eastAsia="Adobe 仿宋 Std R"/>
          <w:b/>
          <w:sz w:val="32"/>
          <w:szCs w:val="32"/>
        </w:rPr>
        <w:t>(八)国有资产占有使用情况</w:t>
      </w:r>
    </w:p>
    <w:p w14:paraId="50568776">
      <w:pPr>
        <w:ind w:firstLine="640" w:firstLineChars="200"/>
        <w:rPr>
          <w:rFonts w:ascii="仿宋_GB2312" w:hAnsi="仿宋_GB2312" w:eastAsia="仿宋_GB2312" w:cs="仿宋_GB2312"/>
          <w:b/>
          <w:sz w:val="32"/>
          <w:szCs w:val="32"/>
        </w:rPr>
      </w:pPr>
      <w:r>
        <w:rPr>
          <w:rFonts w:hint="eastAsia" w:ascii="仿宋_GB2312" w:hAnsi="仿宋_GB2312" w:eastAsia="仿宋_GB2312" w:cs="仿宋_GB2312"/>
          <w:sz w:val="32"/>
          <w:szCs w:val="32"/>
        </w:rPr>
        <w:t>截至</w:t>
      </w:r>
      <w:r>
        <w:rPr>
          <w:rFonts w:hint="eastAsia" w:ascii="仿宋_GB2312" w:hAnsi="仿宋_GB2312" w:eastAsia="仿宋_GB2312" w:cs="仿宋_GB2312"/>
          <w:sz w:val="32"/>
          <w:szCs w:val="30"/>
          <w:u w:val="single"/>
        </w:rPr>
        <w:t xml:space="preserve">  2025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0"/>
          <w:u w:val="single"/>
        </w:rPr>
        <w:t xml:space="preserve"> 12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0"/>
          <w:u w:val="single"/>
        </w:rPr>
        <w:t xml:space="preserve"> 31 </w:t>
      </w:r>
      <w:r>
        <w:rPr>
          <w:rFonts w:hint="eastAsia" w:ascii="仿宋_GB2312" w:hAnsi="仿宋_GB2312" w:eastAsia="仿宋_GB2312" w:cs="仿宋_GB2312"/>
          <w:sz w:val="32"/>
          <w:szCs w:val="32"/>
        </w:rPr>
        <w:t xml:space="preserve">日,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${page400644146.ds532982397_REP_JX_BAS_AGENCY_INFO_ZYFRS_S_CLSYS}</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部门共有车辆</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辆,其中：一般公务用车实有数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辆,执法执勤用车实有数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rPr>
        <w:fldChar w:fldCharType="end"/>
      </w:r>
    </w:p>
    <w:p w14:paraId="1827C4C7">
      <w:pPr>
        <w:rPr>
          <w:rFonts w:ascii="仿宋_GB2312" w:hAnsi="仿宋_GB2312" w:eastAsia="仿宋_GB2312" w:cs="仿宋_GB2312"/>
          <w:sz w:val="32"/>
          <w:szCs w:val="32"/>
        </w:rPr>
      </w:pPr>
      <w:r>
        <w:rPr>
          <w:rFonts w:hint="eastAsia" w:ascii="仿宋_GB2312" w:hAnsi="仿宋_GB2312" w:eastAsia="仿宋_GB2312" w:cs="仿宋_GB2312"/>
          <w:sz w:val="32"/>
          <w:szCs w:val="32"/>
        </w:rPr>
        <w:t>2026年部门预算安排购置车辆</w:t>
      </w:r>
      <w:r>
        <w:rPr>
          <w:rFonts w:hint="eastAsia" w:ascii="仿宋_GB2312" w:hAnsi="仿宋_GB2312" w:eastAsia="仿宋_GB2312" w:cs="仿宋_GB2312"/>
          <w:sz w:val="32"/>
          <w:szCs w:val="32"/>
          <w:u w:val="single"/>
        </w:rPr>
        <w:t xml:space="preserve"> 0  </w:t>
      </w:r>
      <w:r>
        <w:rPr>
          <w:rFonts w:hint="eastAsia" w:ascii="仿宋_GB2312" w:hAnsi="仿宋_GB2312" w:eastAsia="仿宋_GB2312" w:cs="仿宋_GB2312"/>
          <w:sz w:val="32"/>
          <w:szCs w:val="32"/>
        </w:rPr>
        <w:t>辆，安排购置单位价值200万元以上大型设备具体为：</w:t>
      </w:r>
      <w:r>
        <w:rPr>
          <w:rFonts w:hint="eastAsia" w:ascii="仿宋_GB2312" w:hAnsi="仿宋_GB2312" w:eastAsia="仿宋_GB2312" w:cs="仿宋_GB2312"/>
          <w:sz w:val="32"/>
          <w:szCs w:val="32"/>
          <w:u w:val="single"/>
        </w:rPr>
        <w:t xml:space="preserve">    无               </w:t>
      </w:r>
      <w:r>
        <w:rPr>
          <w:rFonts w:hint="eastAsia" w:ascii="仿宋_GB2312" w:hAnsi="仿宋_GB2312" w:eastAsia="仿宋_GB2312" w:cs="仿宋_GB2312"/>
          <w:sz w:val="32"/>
          <w:szCs w:val="32"/>
        </w:rPr>
        <w:t>。</w:t>
      </w:r>
    </w:p>
    <w:p w14:paraId="428FAB9E">
      <w:pPr>
        <w:ind w:firstLine="643" w:firstLineChars="200"/>
        <w:rPr>
          <w:rStyle w:val="18"/>
          <w:rFonts w:ascii="Adobe 仿宋 Std R" w:hAnsi="Adobe 仿宋 Std R" w:eastAsia="Adobe 仿宋 Std R" w:cs="Times New Roman"/>
          <w:b/>
          <w:sz w:val="32"/>
          <w:szCs w:val="32"/>
        </w:rPr>
      </w:pPr>
      <w:r>
        <w:rPr>
          <w:rStyle w:val="18"/>
          <w:rFonts w:hint="eastAsia" w:ascii="Adobe 仿宋 Std R" w:hAnsi="Adobe 仿宋 Std R" w:eastAsia="Adobe 仿宋 Std R" w:cs="Times New Roman"/>
          <w:b/>
          <w:sz w:val="32"/>
          <w:szCs w:val="32"/>
        </w:rPr>
        <w:t>（九）项目情况说明（部门本级）</w:t>
      </w:r>
    </w:p>
    <w:p w14:paraId="0C6C4FB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宋体" w:hAnsi="宋体" w:cs="宋体"/>
          <w:color w:val="000000"/>
          <w:kern w:val="0"/>
          <w:sz w:val="24"/>
          <w:szCs w:val="24"/>
        </w:rPr>
        <w:t xml:space="preserve"> </w:t>
      </w:r>
      <w:r>
        <w:rPr>
          <w:rFonts w:hint="eastAsia" w:ascii="仿宋_GB2312" w:hAnsi="仿宋_GB2312" w:eastAsia="仿宋_GB2312" w:cs="仿宋_GB2312"/>
          <w:sz w:val="32"/>
          <w:szCs w:val="32"/>
        </w:rPr>
        <w:t>项目评估评审项目</w:t>
      </w:r>
    </w:p>
    <w:p w14:paraId="37EF2C18">
      <w:pPr>
        <w:ind w:firstLine="642"/>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tbl>
      <w:tblPr>
        <w:tblStyle w:val="11"/>
        <w:tblW w:w="9218" w:type="dxa"/>
        <w:tblInd w:w="93" w:type="dxa"/>
        <w:tblLayout w:type="autofit"/>
        <w:tblCellMar>
          <w:top w:w="0" w:type="dxa"/>
          <w:left w:w="108" w:type="dxa"/>
          <w:bottom w:w="0" w:type="dxa"/>
          <w:right w:w="108" w:type="dxa"/>
        </w:tblCellMar>
      </w:tblPr>
      <w:tblGrid>
        <w:gridCol w:w="1246"/>
        <w:gridCol w:w="1704"/>
        <w:gridCol w:w="2566"/>
        <w:gridCol w:w="1356"/>
        <w:gridCol w:w="2346"/>
      </w:tblGrid>
      <w:tr w14:paraId="765BF814">
        <w:tblPrEx>
          <w:tblCellMar>
            <w:top w:w="0" w:type="dxa"/>
            <w:left w:w="108" w:type="dxa"/>
            <w:bottom w:w="0" w:type="dxa"/>
            <w:right w:w="108" w:type="dxa"/>
          </w:tblCellMar>
        </w:tblPrEx>
        <w:trPr>
          <w:trHeight w:val="794" w:hRule="atLeast"/>
        </w:trPr>
        <w:tc>
          <w:tcPr>
            <w:tcW w:w="9218" w:type="dxa"/>
            <w:gridSpan w:val="5"/>
            <w:tcBorders>
              <w:top w:val="nil"/>
              <w:left w:val="nil"/>
              <w:bottom w:val="nil"/>
              <w:right w:val="nil"/>
            </w:tcBorders>
            <w:shd w:val="clear" w:color="auto" w:fill="auto"/>
            <w:vAlign w:val="center"/>
          </w:tcPr>
          <w:p w14:paraId="3989B053">
            <w:pPr>
              <w:widowControl/>
              <w:jc w:val="center"/>
              <w:rPr>
                <w:rFonts w:ascii="方正小标宋简体" w:hAnsi="宋体" w:eastAsia="方正小标宋简体" w:cs="宋体"/>
                <w:color w:val="000000"/>
                <w:kern w:val="0"/>
                <w:sz w:val="36"/>
                <w:szCs w:val="36"/>
              </w:rPr>
            </w:pPr>
            <w:r>
              <w:rPr>
                <w:rFonts w:hint="eastAsia" w:ascii="方正小标宋简体" w:hAnsi="宋体" w:eastAsia="方正小标宋简体" w:cs="宋体"/>
                <w:color w:val="000000"/>
                <w:kern w:val="0"/>
                <w:sz w:val="36"/>
                <w:szCs w:val="36"/>
              </w:rPr>
              <w:t>项目支出绩效目标表</w:t>
            </w:r>
          </w:p>
        </w:tc>
      </w:tr>
      <w:tr w14:paraId="22F71641">
        <w:tblPrEx>
          <w:tblCellMar>
            <w:top w:w="0" w:type="dxa"/>
            <w:left w:w="108" w:type="dxa"/>
            <w:bottom w:w="0" w:type="dxa"/>
            <w:right w:w="108" w:type="dxa"/>
          </w:tblCellMar>
        </w:tblPrEx>
        <w:trPr>
          <w:trHeight w:val="459" w:hRule="atLeast"/>
        </w:trPr>
        <w:tc>
          <w:tcPr>
            <w:tcW w:w="9218" w:type="dxa"/>
            <w:gridSpan w:val="5"/>
            <w:tcBorders>
              <w:top w:val="nil"/>
              <w:left w:val="nil"/>
              <w:bottom w:val="nil"/>
              <w:right w:val="nil"/>
            </w:tcBorders>
            <w:shd w:val="clear" w:color="auto" w:fill="auto"/>
            <w:vAlign w:val="center"/>
          </w:tcPr>
          <w:p w14:paraId="75B3AF3F">
            <w:pPr>
              <w:widowControl/>
              <w:jc w:val="center"/>
              <w:rPr>
                <w:rFonts w:ascii="宋体" w:hAnsi="宋体" w:cs="宋体"/>
                <w:color w:val="000000"/>
                <w:kern w:val="0"/>
                <w:sz w:val="24"/>
                <w:szCs w:val="24"/>
              </w:rPr>
            </w:pPr>
            <w:r>
              <w:rPr>
                <w:rFonts w:hint="eastAsia" w:ascii="宋体" w:hAnsi="宋体" w:cs="宋体"/>
                <w:color w:val="000000"/>
                <w:kern w:val="0"/>
                <w:sz w:val="24"/>
                <w:szCs w:val="24"/>
              </w:rPr>
              <w:t>（2025年度）</w:t>
            </w:r>
          </w:p>
        </w:tc>
      </w:tr>
      <w:tr w14:paraId="283E842F">
        <w:tblPrEx>
          <w:tblCellMar>
            <w:top w:w="0" w:type="dxa"/>
            <w:left w:w="108" w:type="dxa"/>
            <w:bottom w:w="0" w:type="dxa"/>
            <w:right w:w="108" w:type="dxa"/>
          </w:tblCellMar>
        </w:tblPrEx>
        <w:trPr>
          <w:trHeight w:val="734" w:hRule="atLeast"/>
        </w:trPr>
        <w:tc>
          <w:tcPr>
            <w:tcW w:w="29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282CA3">
            <w:pPr>
              <w:widowControl/>
              <w:jc w:val="center"/>
              <w:rPr>
                <w:rFonts w:ascii="宋体" w:hAnsi="宋体" w:cs="宋体"/>
                <w:kern w:val="0"/>
                <w:sz w:val="24"/>
                <w:szCs w:val="24"/>
              </w:rPr>
            </w:pPr>
            <w:r>
              <w:rPr>
                <w:rFonts w:hint="eastAsia" w:ascii="宋体" w:hAnsi="宋体" w:cs="宋体"/>
                <w:kern w:val="0"/>
                <w:sz w:val="24"/>
                <w:szCs w:val="24"/>
              </w:rPr>
              <w:t>项目名称</w:t>
            </w:r>
          </w:p>
        </w:tc>
        <w:tc>
          <w:tcPr>
            <w:tcW w:w="6268" w:type="dxa"/>
            <w:gridSpan w:val="3"/>
            <w:tcBorders>
              <w:top w:val="single" w:color="000000" w:sz="4" w:space="0"/>
              <w:left w:val="nil"/>
              <w:bottom w:val="single" w:color="000000" w:sz="4" w:space="0"/>
              <w:right w:val="single" w:color="000000" w:sz="4" w:space="0"/>
            </w:tcBorders>
            <w:shd w:val="clear" w:color="auto" w:fill="auto"/>
            <w:vAlign w:val="center"/>
          </w:tcPr>
          <w:p w14:paraId="189BDD4D">
            <w:pPr>
              <w:widowControl/>
              <w:jc w:val="center"/>
              <w:rPr>
                <w:rFonts w:ascii="宋体" w:hAnsi="宋体" w:cs="宋体"/>
                <w:color w:val="000000"/>
                <w:kern w:val="0"/>
                <w:sz w:val="24"/>
                <w:szCs w:val="24"/>
              </w:rPr>
            </w:pPr>
            <w:r>
              <w:rPr>
                <w:rFonts w:hint="eastAsia" w:ascii="宋体" w:hAnsi="宋体" w:cs="宋体"/>
                <w:color w:val="000000"/>
                <w:kern w:val="0"/>
                <w:sz w:val="24"/>
                <w:szCs w:val="24"/>
              </w:rPr>
              <w:t>项目评估评审工作经费</w:t>
            </w:r>
          </w:p>
        </w:tc>
      </w:tr>
      <w:tr w14:paraId="4308E82B">
        <w:tblPrEx>
          <w:tblCellMar>
            <w:top w:w="0" w:type="dxa"/>
            <w:left w:w="108" w:type="dxa"/>
            <w:bottom w:w="0" w:type="dxa"/>
            <w:right w:w="108" w:type="dxa"/>
          </w:tblCellMar>
        </w:tblPrEx>
        <w:trPr>
          <w:trHeight w:val="734" w:hRule="atLeast"/>
        </w:trPr>
        <w:tc>
          <w:tcPr>
            <w:tcW w:w="29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77E024">
            <w:pPr>
              <w:widowControl/>
              <w:jc w:val="center"/>
              <w:rPr>
                <w:rFonts w:ascii="宋体" w:hAnsi="宋体" w:cs="宋体"/>
                <w:kern w:val="0"/>
                <w:sz w:val="24"/>
                <w:szCs w:val="24"/>
              </w:rPr>
            </w:pPr>
            <w:r>
              <w:rPr>
                <w:rFonts w:hint="eastAsia" w:ascii="宋体" w:hAnsi="宋体" w:cs="宋体"/>
                <w:kern w:val="0"/>
                <w:sz w:val="24"/>
                <w:szCs w:val="24"/>
              </w:rPr>
              <w:t>主管部门及代码</w:t>
            </w:r>
          </w:p>
        </w:tc>
        <w:tc>
          <w:tcPr>
            <w:tcW w:w="2566" w:type="dxa"/>
            <w:tcBorders>
              <w:top w:val="nil"/>
              <w:left w:val="nil"/>
              <w:bottom w:val="single" w:color="000000" w:sz="4" w:space="0"/>
              <w:right w:val="single" w:color="000000" w:sz="4" w:space="0"/>
            </w:tcBorders>
            <w:shd w:val="clear" w:color="auto" w:fill="auto"/>
            <w:vAlign w:val="center"/>
          </w:tcPr>
          <w:p w14:paraId="2FC0A400">
            <w:pPr>
              <w:widowControl/>
              <w:jc w:val="center"/>
              <w:rPr>
                <w:rFonts w:ascii="宋体" w:hAnsi="宋体" w:cs="宋体"/>
                <w:kern w:val="0"/>
                <w:sz w:val="24"/>
                <w:szCs w:val="24"/>
              </w:rPr>
            </w:pPr>
            <w:r>
              <w:rPr>
                <w:rFonts w:hint="eastAsia" w:ascii="宋体" w:hAnsi="宋体" w:cs="宋体"/>
                <w:kern w:val="0"/>
                <w:sz w:val="24"/>
                <w:szCs w:val="24"/>
              </w:rPr>
              <w:t>021-南昌市青云谱区发展和改革委员会(部门)</w:t>
            </w:r>
          </w:p>
        </w:tc>
        <w:tc>
          <w:tcPr>
            <w:tcW w:w="1356" w:type="dxa"/>
            <w:tcBorders>
              <w:top w:val="nil"/>
              <w:left w:val="nil"/>
              <w:bottom w:val="single" w:color="000000" w:sz="4" w:space="0"/>
              <w:right w:val="single" w:color="000000" w:sz="4" w:space="0"/>
            </w:tcBorders>
            <w:shd w:val="clear" w:color="auto" w:fill="auto"/>
            <w:vAlign w:val="center"/>
          </w:tcPr>
          <w:p w14:paraId="3743F22F">
            <w:pPr>
              <w:widowControl/>
              <w:jc w:val="center"/>
              <w:rPr>
                <w:rFonts w:ascii="宋体" w:hAnsi="宋体" w:cs="宋体"/>
                <w:kern w:val="0"/>
                <w:sz w:val="24"/>
                <w:szCs w:val="24"/>
              </w:rPr>
            </w:pPr>
            <w:r>
              <w:rPr>
                <w:rFonts w:hint="eastAsia" w:ascii="宋体" w:hAnsi="宋体" w:cs="宋体"/>
                <w:kern w:val="0"/>
                <w:sz w:val="24"/>
                <w:szCs w:val="24"/>
              </w:rPr>
              <w:t>实施单位</w:t>
            </w:r>
          </w:p>
        </w:tc>
        <w:tc>
          <w:tcPr>
            <w:tcW w:w="2346" w:type="dxa"/>
            <w:tcBorders>
              <w:top w:val="nil"/>
              <w:left w:val="nil"/>
              <w:bottom w:val="single" w:color="000000" w:sz="4" w:space="0"/>
              <w:right w:val="single" w:color="000000" w:sz="4" w:space="0"/>
            </w:tcBorders>
            <w:shd w:val="clear" w:color="auto" w:fill="auto"/>
            <w:vAlign w:val="center"/>
          </w:tcPr>
          <w:p w14:paraId="74C29531">
            <w:pPr>
              <w:widowControl/>
              <w:jc w:val="center"/>
              <w:rPr>
                <w:rFonts w:ascii="宋体" w:hAnsi="宋体" w:cs="宋体"/>
                <w:color w:val="000000"/>
                <w:kern w:val="0"/>
                <w:sz w:val="24"/>
                <w:szCs w:val="24"/>
              </w:rPr>
            </w:pPr>
            <w:r>
              <w:rPr>
                <w:rFonts w:hint="eastAsia" w:ascii="宋体" w:hAnsi="宋体" w:cs="宋体"/>
                <w:color w:val="000000"/>
                <w:kern w:val="0"/>
                <w:sz w:val="24"/>
                <w:szCs w:val="24"/>
              </w:rPr>
              <w:t>南昌市青云谱区发展和改革委员会</w:t>
            </w:r>
          </w:p>
        </w:tc>
      </w:tr>
      <w:tr w14:paraId="25F4AC05">
        <w:tblPrEx>
          <w:tblCellMar>
            <w:top w:w="0" w:type="dxa"/>
            <w:left w:w="108" w:type="dxa"/>
            <w:bottom w:w="0" w:type="dxa"/>
            <w:right w:w="108" w:type="dxa"/>
          </w:tblCellMar>
        </w:tblPrEx>
        <w:trPr>
          <w:trHeight w:val="734" w:hRule="atLeast"/>
        </w:trPr>
        <w:tc>
          <w:tcPr>
            <w:tcW w:w="29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5ECA34">
            <w:pPr>
              <w:widowControl/>
              <w:jc w:val="center"/>
              <w:rPr>
                <w:rFonts w:ascii="宋体" w:hAnsi="宋体" w:cs="宋体"/>
                <w:kern w:val="0"/>
                <w:sz w:val="24"/>
                <w:szCs w:val="24"/>
              </w:rPr>
            </w:pPr>
            <w:r>
              <w:rPr>
                <w:rFonts w:hint="eastAsia" w:ascii="宋体" w:hAnsi="宋体" w:cs="宋体"/>
                <w:kern w:val="0"/>
                <w:sz w:val="24"/>
                <w:szCs w:val="24"/>
              </w:rPr>
              <w:t>项目资金</w:t>
            </w:r>
            <w:r>
              <w:rPr>
                <w:rFonts w:hint="eastAsia" w:ascii="宋体" w:hAnsi="宋体" w:cs="宋体"/>
                <w:kern w:val="0"/>
                <w:sz w:val="24"/>
                <w:szCs w:val="24"/>
              </w:rPr>
              <w:br w:type="textWrapping"/>
            </w:r>
            <w:r>
              <w:rPr>
                <w:rFonts w:hint="eastAsia" w:ascii="宋体" w:hAnsi="宋体" w:cs="宋体"/>
                <w:kern w:val="0"/>
                <w:sz w:val="24"/>
                <w:szCs w:val="24"/>
              </w:rPr>
              <w:t>（万元）</w:t>
            </w:r>
          </w:p>
        </w:tc>
        <w:tc>
          <w:tcPr>
            <w:tcW w:w="2566" w:type="dxa"/>
            <w:tcBorders>
              <w:top w:val="nil"/>
              <w:left w:val="nil"/>
              <w:bottom w:val="single" w:color="000000" w:sz="4" w:space="0"/>
              <w:right w:val="single" w:color="000000" w:sz="4" w:space="0"/>
            </w:tcBorders>
            <w:shd w:val="clear" w:color="auto" w:fill="auto"/>
            <w:vAlign w:val="center"/>
          </w:tcPr>
          <w:p w14:paraId="3BFF8A13">
            <w:pPr>
              <w:widowControl/>
              <w:jc w:val="center"/>
              <w:rPr>
                <w:rFonts w:ascii="宋体" w:hAnsi="宋体" w:cs="宋体"/>
                <w:kern w:val="0"/>
                <w:sz w:val="24"/>
                <w:szCs w:val="24"/>
              </w:rPr>
            </w:pPr>
            <w:r>
              <w:rPr>
                <w:rFonts w:hint="eastAsia" w:ascii="宋体" w:hAnsi="宋体" w:cs="宋体"/>
                <w:kern w:val="0"/>
                <w:sz w:val="24"/>
                <w:szCs w:val="24"/>
              </w:rPr>
              <w:t>年度资金总额</w:t>
            </w:r>
          </w:p>
        </w:tc>
        <w:tc>
          <w:tcPr>
            <w:tcW w:w="3702" w:type="dxa"/>
            <w:gridSpan w:val="2"/>
            <w:tcBorders>
              <w:top w:val="single" w:color="000000" w:sz="4" w:space="0"/>
              <w:left w:val="nil"/>
              <w:bottom w:val="single" w:color="000000" w:sz="4" w:space="0"/>
              <w:right w:val="single" w:color="000000" w:sz="4" w:space="0"/>
            </w:tcBorders>
            <w:shd w:val="clear" w:color="auto" w:fill="auto"/>
            <w:vAlign w:val="center"/>
          </w:tcPr>
          <w:p w14:paraId="0B990132">
            <w:pPr>
              <w:widowControl/>
              <w:jc w:val="center"/>
              <w:rPr>
                <w:rFonts w:ascii="宋体" w:hAnsi="宋体" w:cs="宋体"/>
                <w:kern w:val="0"/>
                <w:sz w:val="24"/>
                <w:szCs w:val="24"/>
              </w:rPr>
            </w:pPr>
            <w:r>
              <w:rPr>
                <w:rFonts w:hint="eastAsia" w:ascii="宋体" w:hAnsi="宋体" w:cs="宋体"/>
                <w:kern w:val="0"/>
                <w:sz w:val="24"/>
                <w:szCs w:val="24"/>
              </w:rPr>
              <w:t>108</w:t>
            </w:r>
          </w:p>
        </w:tc>
      </w:tr>
      <w:tr w14:paraId="4EA46911">
        <w:tblPrEx>
          <w:tblCellMar>
            <w:top w:w="0" w:type="dxa"/>
            <w:left w:w="108" w:type="dxa"/>
            <w:bottom w:w="0" w:type="dxa"/>
            <w:right w:w="108" w:type="dxa"/>
          </w:tblCellMar>
        </w:tblPrEx>
        <w:trPr>
          <w:trHeight w:val="734" w:hRule="atLeast"/>
        </w:trPr>
        <w:tc>
          <w:tcPr>
            <w:tcW w:w="295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825FD32">
            <w:pPr>
              <w:widowControl/>
              <w:jc w:val="left"/>
              <w:rPr>
                <w:rFonts w:ascii="宋体" w:hAnsi="宋体" w:cs="宋体"/>
                <w:kern w:val="0"/>
                <w:sz w:val="24"/>
                <w:szCs w:val="24"/>
              </w:rPr>
            </w:pPr>
          </w:p>
        </w:tc>
        <w:tc>
          <w:tcPr>
            <w:tcW w:w="2566" w:type="dxa"/>
            <w:tcBorders>
              <w:top w:val="nil"/>
              <w:left w:val="nil"/>
              <w:bottom w:val="single" w:color="000000" w:sz="4" w:space="0"/>
              <w:right w:val="single" w:color="000000" w:sz="4" w:space="0"/>
            </w:tcBorders>
            <w:shd w:val="clear" w:color="auto" w:fill="auto"/>
            <w:vAlign w:val="center"/>
          </w:tcPr>
          <w:p w14:paraId="3FED46F8">
            <w:pPr>
              <w:widowControl/>
              <w:jc w:val="center"/>
              <w:rPr>
                <w:rFonts w:ascii="宋体" w:hAnsi="宋体" w:cs="宋体"/>
                <w:kern w:val="0"/>
                <w:sz w:val="24"/>
                <w:szCs w:val="24"/>
              </w:rPr>
            </w:pPr>
            <w:r>
              <w:rPr>
                <w:rFonts w:hint="eastAsia" w:ascii="宋体" w:hAnsi="宋体" w:cs="宋体"/>
                <w:kern w:val="0"/>
                <w:sz w:val="24"/>
                <w:szCs w:val="24"/>
              </w:rPr>
              <w:t>其中：财政拨款</w:t>
            </w:r>
          </w:p>
        </w:tc>
        <w:tc>
          <w:tcPr>
            <w:tcW w:w="3702" w:type="dxa"/>
            <w:gridSpan w:val="2"/>
            <w:tcBorders>
              <w:top w:val="single" w:color="000000" w:sz="4" w:space="0"/>
              <w:left w:val="nil"/>
              <w:bottom w:val="single" w:color="000000" w:sz="4" w:space="0"/>
              <w:right w:val="single" w:color="000000" w:sz="4" w:space="0"/>
            </w:tcBorders>
            <w:shd w:val="clear" w:color="auto" w:fill="auto"/>
            <w:vAlign w:val="center"/>
          </w:tcPr>
          <w:p w14:paraId="04EFB0BA">
            <w:pPr>
              <w:widowControl/>
              <w:jc w:val="center"/>
              <w:rPr>
                <w:rFonts w:ascii="宋体" w:hAnsi="宋体" w:cs="宋体"/>
                <w:kern w:val="0"/>
                <w:sz w:val="24"/>
                <w:szCs w:val="24"/>
              </w:rPr>
            </w:pPr>
            <w:r>
              <w:rPr>
                <w:rFonts w:hint="eastAsia" w:ascii="宋体" w:hAnsi="宋体" w:cs="宋体"/>
                <w:kern w:val="0"/>
                <w:sz w:val="24"/>
                <w:szCs w:val="24"/>
              </w:rPr>
              <w:t>108</w:t>
            </w:r>
          </w:p>
        </w:tc>
      </w:tr>
      <w:tr w14:paraId="76CA2448">
        <w:tblPrEx>
          <w:tblCellMar>
            <w:top w:w="0" w:type="dxa"/>
            <w:left w:w="108" w:type="dxa"/>
            <w:bottom w:w="0" w:type="dxa"/>
            <w:right w:w="108" w:type="dxa"/>
          </w:tblCellMar>
        </w:tblPrEx>
        <w:trPr>
          <w:trHeight w:val="734" w:hRule="atLeast"/>
        </w:trPr>
        <w:tc>
          <w:tcPr>
            <w:tcW w:w="295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E3A23BF">
            <w:pPr>
              <w:widowControl/>
              <w:jc w:val="left"/>
              <w:rPr>
                <w:rFonts w:ascii="宋体" w:hAnsi="宋体" w:cs="宋体"/>
                <w:kern w:val="0"/>
                <w:sz w:val="24"/>
                <w:szCs w:val="24"/>
              </w:rPr>
            </w:pPr>
          </w:p>
        </w:tc>
        <w:tc>
          <w:tcPr>
            <w:tcW w:w="2566" w:type="dxa"/>
            <w:tcBorders>
              <w:top w:val="nil"/>
              <w:left w:val="nil"/>
              <w:bottom w:val="single" w:color="000000" w:sz="4" w:space="0"/>
              <w:right w:val="single" w:color="000000" w:sz="4" w:space="0"/>
            </w:tcBorders>
            <w:shd w:val="clear" w:color="auto" w:fill="auto"/>
            <w:vAlign w:val="center"/>
          </w:tcPr>
          <w:p w14:paraId="7652F98A">
            <w:pPr>
              <w:widowControl/>
              <w:jc w:val="center"/>
              <w:rPr>
                <w:rFonts w:ascii="宋体" w:hAnsi="宋体" w:cs="宋体"/>
                <w:color w:val="000000"/>
                <w:kern w:val="0"/>
                <w:sz w:val="24"/>
                <w:szCs w:val="24"/>
              </w:rPr>
            </w:pPr>
            <w:r>
              <w:rPr>
                <w:rFonts w:hint="eastAsia" w:ascii="宋体" w:hAnsi="宋体" w:cs="宋体"/>
                <w:color w:val="000000"/>
                <w:kern w:val="0"/>
                <w:sz w:val="24"/>
                <w:szCs w:val="24"/>
              </w:rPr>
              <w:t>其他资金</w:t>
            </w:r>
          </w:p>
        </w:tc>
        <w:tc>
          <w:tcPr>
            <w:tcW w:w="3702" w:type="dxa"/>
            <w:gridSpan w:val="2"/>
            <w:tcBorders>
              <w:top w:val="single" w:color="000000" w:sz="4" w:space="0"/>
              <w:left w:val="nil"/>
              <w:bottom w:val="single" w:color="000000" w:sz="4" w:space="0"/>
              <w:right w:val="single" w:color="000000" w:sz="4" w:space="0"/>
            </w:tcBorders>
            <w:shd w:val="clear" w:color="auto" w:fill="auto"/>
            <w:vAlign w:val="center"/>
          </w:tcPr>
          <w:p w14:paraId="37E3873D">
            <w:pPr>
              <w:widowControl/>
              <w:jc w:val="center"/>
              <w:rPr>
                <w:rFonts w:ascii="宋体" w:hAnsi="宋体" w:cs="宋体"/>
                <w:color w:val="000000"/>
                <w:kern w:val="0"/>
                <w:sz w:val="24"/>
                <w:szCs w:val="24"/>
              </w:rPr>
            </w:pPr>
            <w:r>
              <w:rPr>
                <w:rFonts w:hint="eastAsia" w:ascii="宋体" w:hAnsi="宋体" w:cs="宋体"/>
                <w:color w:val="000000"/>
                <w:kern w:val="0"/>
                <w:sz w:val="24"/>
                <w:szCs w:val="24"/>
              </w:rPr>
              <w:t>0</w:t>
            </w:r>
          </w:p>
        </w:tc>
      </w:tr>
      <w:tr w14:paraId="62E1EAEA">
        <w:tblPrEx>
          <w:tblCellMar>
            <w:top w:w="0" w:type="dxa"/>
            <w:left w:w="108" w:type="dxa"/>
            <w:bottom w:w="0" w:type="dxa"/>
            <w:right w:w="108" w:type="dxa"/>
          </w:tblCellMar>
        </w:tblPrEx>
        <w:trPr>
          <w:trHeight w:val="734" w:hRule="atLeast"/>
        </w:trPr>
        <w:tc>
          <w:tcPr>
            <w:tcW w:w="295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5121A4F">
            <w:pPr>
              <w:widowControl/>
              <w:jc w:val="left"/>
              <w:rPr>
                <w:rFonts w:ascii="宋体" w:hAnsi="宋体" w:cs="宋体"/>
                <w:kern w:val="0"/>
                <w:sz w:val="24"/>
                <w:szCs w:val="24"/>
              </w:rPr>
            </w:pPr>
          </w:p>
        </w:tc>
        <w:tc>
          <w:tcPr>
            <w:tcW w:w="2566" w:type="dxa"/>
            <w:tcBorders>
              <w:top w:val="nil"/>
              <w:left w:val="nil"/>
              <w:bottom w:val="single" w:color="000000" w:sz="4" w:space="0"/>
              <w:right w:val="single" w:color="000000" w:sz="4" w:space="0"/>
            </w:tcBorders>
            <w:shd w:val="clear" w:color="auto" w:fill="auto"/>
            <w:vAlign w:val="center"/>
          </w:tcPr>
          <w:p w14:paraId="552E5332">
            <w:pPr>
              <w:widowControl/>
              <w:jc w:val="center"/>
              <w:rPr>
                <w:rFonts w:ascii="宋体" w:hAnsi="宋体" w:cs="宋体"/>
                <w:color w:val="000000"/>
                <w:kern w:val="0"/>
                <w:sz w:val="24"/>
                <w:szCs w:val="24"/>
              </w:rPr>
            </w:pPr>
            <w:r>
              <w:rPr>
                <w:rFonts w:hint="eastAsia" w:ascii="宋体" w:hAnsi="宋体" w:cs="宋体"/>
                <w:color w:val="000000"/>
                <w:kern w:val="0"/>
                <w:sz w:val="24"/>
                <w:szCs w:val="24"/>
              </w:rPr>
              <w:t>上年结转</w:t>
            </w:r>
          </w:p>
        </w:tc>
        <w:tc>
          <w:tcPr>
            <w:tcW w:w="3702" w:type="dxa"/>
            <w:gridSpan w:val="2"/>
            <w:tcBorders>
              <w:top w:val="single" w:color="000000" w:sz="4" w:space="0"/>
              <w:left w:val="nil"/>
              <w:bottom w:val="single" w:color="000000" w:sz="4" w:space="0"/>
              <w:right w:val="single" w:color="000000" w:sz="4" w:space="0"/>
            </w:tcBorders>
            <w:shd w:val="clear" w:color="auto" w:fill="auto"/>
            <w:vAlign w:val="center"/>
          </w:tcPr>
          <w:p w14:paraId="09A1D282">
            <w:pPr>
              <w:widowControl/>
              <w:jc w:val="center"/>
              <w:rPr>
                <w:rFonts w:ascii="宋体" w:hAnsi="宋体" w:cs="宋体"/>
                <w:kern w:val="0"/>
                <w:sz w:val="24"/>
                <w:szCs w:val="24"/>
              </w:rPr>
            </w:pPr>
            <w:r>
              <w:rPr>
                <w:rFonts w:hint="eastAsia" w:ascii="宋体" w:hAnsi="宋体" w:cs="宋体"/>
                <w:kern w:val="0"/>
                <w:sz w:val="24"/>
                <w:szCs w:val="24"/>
              </w:rPr>
              <w:t>0</w:t>
            </w:r>
          </w:p>
        </w:tc>
      </w:tr>
      <w:tr w14:paraId="26A1AD04">
        <w:tblPrEx>
          <w:tblCellMar>
            <w:top w:w="0" w:type="dxa"/>
            <w:left w:w="108" w:type="dxa"/>
            <w:bottom w:w="0" w:type="dxa"/>
            <w:right w:w="108" w:type="dxa"/>
          </w:tblCellMar>
        </w:tblPrEx>
        <w:trPr>
          <w:trHeight w:val="615" w:hRule="atLeast"/>
        </w:trPr>
        <w:tc>
          <w:tcPr>
            <w:tcW w:w="921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94ECB">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年度绩效目标</w:t>
            </w:r>
          </w:p>
        </w:tc>
      </w:tr>
      <w:tr w14:paraId="44569312">
        <w:tblPrEx>
          <w:tblCellMar>
            <w:top w:w="0" w:type="dxa"/>
            <w:left w:w="108" w:type="dxa"/>
            <w:bottom w:w="0" w:type="dxa"/>
            <w:right w:w="108" w:type="dxa"/>
          </w:tblCellMar>
        </w:tblPrEx>
        <w:trPr>
          <w:trHeight w:val="3159" w:hRule="atLeast"/>
        </w:trPr>
        <w:tc>
          <w:tcPr>
            <w:tcW w:w="921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8D12EB">
            <w:pPr>
              <w:widowControl/>
              <w:jc w:val="center"/>
              <w:rPr>
                <w:rFonts w:ascii="宋体" w:hAnsi="宋体" w:cs="宋体"/>
                <w:color w:val="000000"/>
                <w:kern w:val="0"/>
                <w:sz w:val="24"/>
                <w:szCs w:val="24"/>
              </w:rPr>
            </w:pPr>
            <w:r>
              <w:rPr>
                <w:rFonts w:hint="eastAsia" w:ascii="宋体" w:hAnsi="宋体" w:cs="宋体"/>
                <w:color w:val="000000"/>
                <w:kern w:val="0"/>
                <w:sz w:val="24"/>
                <w:szCs w:val="24"/>
              </w:rPr>
              <w:t>按照第三方机构评审经费管理使用要求进行收支和管理，做到严格专款专用，投入到位，发挥效益</w:t>
            </w:r>
          </w:p>
        </w:tc>
      </w:tr>
      <w:tr w14:paraId="23C78956">
        <w:tblPrEx>
          <w:tblCellMar>
            <w:top w:w="0" w:type="dxa"/>
            <w:left w:w="108" w:type="dxa"/>
            <w:bottom w:w="0" w:type="dxa"/>
            <w:right w:w="108" w:type="dxa"/>
          </w:tblCellMar>
        </w:tblPrEx>
        <w:trPr>
          <w:trHeight w:val="615" w:hRule="atLeast"/>
        </w:trPr>
        <w:tc>
          <w:tcPr>
            <w:tcW w:w="1246" w:type="dxa"/>
            <w:tcBorders>
              <w:top w:val="nil"/>
              <w:left w:val="single" w:color="000000" w:sz="4" w:space="0"/>
              <w:bottom w:val="single" w:color="000000" w:sz="4" w:space="0"/>
              <w:right w:val="single" w:color="000000" w:sz="4" w:space="0"/>
            </w:tcBorders>
            <w:shd w:val="clear" w:color="auto" w:fill="auto"/>
            <w:vAlign w:val="center"/>
          </w:tcPr>
          <w:p w14:paraId="7F3F9677">
            <w:pPr>
              <w:widowControl/>
              <w:jc w:val="center"/>
              <w:rPr>
                <w:rFonts w:ascii="宋体" w:hAnsi="宋体" w:cs="宋体"/>
                <w:b/>
                <w:bCs/>
                <w:kern w:val="0"/>
                <w:sz w:val="24"/>
                <w:szCs w:val="24"/>
              </w:rPr>
            </w:pPr>
            <w:r>
              <w:rPr>
                <w:rFonts w:hint="eastAsia" w:ascii="宋体" w:hAnsi="宋体" w:cs="宋体"/>
                <w:b/>
                <w:bCs/>
                <w:kern w:val="0"/>
                <w:sz w:val="24"/>
                <w:szCs w:val="24"/>
              </w:rPr>
              <w:t>一级指标</w:t>
            </w:r>
          </w:p>
        </w:tc>
        <w:tc>
          <w:tcPr>
            <w:tcW w:w="1704" w:type="dxa"/>
            <w:tcBorders>
              <w:top w:val="nil"/>
              <w:left w:val="nil"/>
              <w:bottom w:val="single" w:color="000000" w:sz="4" w:space="0"/>
              <w:right w:val="single" w:color="000000" w:sz="4" w:space="0"/>
            </w:tcBorders>
            <w:shd w:val="clear" w:color="auto" w:fill="auto"/>
            <w:vAlign w:val="center"/>
          </w:tcPr>
          <w:p w14:paraId="0521AA31">
            <w:pPr>
              <w:widowControl/>
              <w:jc w:val="center"/>
              <w:rPr>
                <w:rFonts w:ascii="宋体" w:hAnsi="宋体" w:cs="宋体"/>
                <w:b/>
                <w:bCs/>
                <w:kern w:val="0"/>
                <w:sz w:val="24"/>
                <w:szCs w:val="24"/>
              </w:rPr>
            </w:pPr>
            <w:r>
              <w:rPr>
                <w:rFonts w:hint="eastAsia" w:ascii="宋体" w:hAnsi="宋体" w:cs="宋体"/>
                <w:b/>
                <w:bCs/>
                <w:kern w:val="0"/>
                <w:sz w:val="24"/>
                <w:szCs w:val="24"/>
              </w:rPr>
              <w:t>二级指标</w:t>
            </w:r>
          </w:p>
        </w:tc>
        <w:tc>
          <w:tcPr>
            <w:tcW w:w="3922" w:type="dxa"/>
            <w:gridSpan w:val="2"/>
            <w:tcBorders>
              <w:top w:val="single" w:color="000000" w:sz="4" w:space="0"/>
              <w:left w:val="nil"/>
              <w:bottom w:val="single" w:color="000000" w:sz="4" w:space="0"/>
              <w:right w:val="single" w:color="000000" w:sz="4" w:space="0"/>
            </w:tcBorders>
            <w:shd w:val="clear" w:color="auto" w:fill="auto"/>
            <w:vAlign w:val="center"/>
          </w:tcPr>
          <w:p w14:paraId="69ABE03C">
            <w:pPr>
              <w:widowControl/>
              <w:jc w:val="center"/>
              <w:rPr>
                <w:rFonts w:ascii="宋体" w:hAnsi="宋体" w:cs="宋体"/>
                <w:b/>
                <w:bCs/>
                <w:kern w:val="0"/>
                <w:sz w:val="24"/>
                <w:szCs w:val="24"/>
              </w:rPr>
            </w:pPr>
            <w:r>
              <w:rPr>
                <w:rFonts w:hint="eastAsia" w:ascii="宋体" w:hAnsi="宋体" w:cs="宋体"/>
                <w:b/>
                <w:bCs/>
                <w:kern w:val="0"/>
                <w:sz w:val="24"/>
                <w:szCs w:val="24"/>
              </w:rPr>
              <w:t>三级指标</w:t>
            </w:r>
          </w:p>
        </w:tc>
        <w:tc>
          <w:tcPr>
            <w:tcW w:w="2346" w:type="dxa"/>
            <w:tcBorders>
              <w:top w:val="nil"/>
              <w:left w:val="nil"/>
              <w:bottom w:val="single" w:color="000000" w:sz="4" w:space="0"/>
              <w:right w:val="single" w:color="000000" w:sz="4" w:space="0"/>
            </w:tcBorders>
            <w:shd w:val="clear" w:color="auto" w:fill="auto"/>
            <w:vAlign w:val="center"/>
          </w:tcPr>
          <w:p w14:paraId="1F187A76">
            <w:pPr>
              <w:widowControl/>
              <w:jc w:val="center"/>
              <w:rPr>
                <w:rFonts w:ascii="宋体" w:hAnsi="宋体" w:cs="宋体"/>
                <w:b/>
                <w:bCs/>
                <w:kern w:val="0"/>
                <w:sz w:val="24"/>
                <w:szCs w:val="24"/>
              </w:rPr>
            </w:pPr>
            <w:r>
              <w:rPr>
                <w:rFonts w:hint="eastAsia" w:ascii="宋体" w:hAnsi="宋体" w:cs="宋体"/>
                <w:b/>
                <w:bCs/>
                <w:kern w:val="0"/>
                <w:sz w:val="24"/>
                <w:szCs w:val="24"/>
              </w:rPr>
              <w:t>指标值</w:t>
            </w:r>
          </w:p>
        </w:tc>
      </w:tr>
      <w:tr w14:paraId="2ADD8A97">
        <w:tblPrEx>
          <w:tblCellMar>
            <w:top w:w="0" w:type="dxa"/>
            <w:left w:w="108" w:type="dxa"/>
            <w:bottom w:w="0" w:type="dxa"/>
            <w:right w:w="108" w:type="dxa"/>
          </w:tblCellMar>
        </w:tblPrEx>
        <w:trPr>
          <w:trHeight w:val="734" w:hRule="atLeast"/>
        </w:trPr>
        <w:tc>
          <w:tcPr>
            <w:tcW w:w="1246" w:type="dxa"/>
            <w:tcBorders>
              <w:top w:val="nil"/>
              <w:left w:val="single" w:color="000000" w:sz="4" w:space="0"/>
              <w:bottom w:val="single" w:color="000000" w:sz="4" w:space="0"/>
              <w:right w:val="single" w:color="000000" w:sz="4" w:space="0"/>
            </w:tcBorders>
            <w:shd w:val="clear" w:color="auto" w:fill="auto"/>
            <w:vAlign w:val="center"/>
          </w:tcPr>
          <w:p w14:paraId="718903F8">
            <w:pPr>
              <w:widowControl/>
              <w:jc w:val="center"/>
              <w:rPr>
                <w:rFonts w:ascii="宋体" w:hAnsi="宋体" w:cs="宋体"/>
                <w:color w:val="000000"/>
                <w:kern w:val="0"/>
                <w:sz w:val="24"/>
                <w:szCs w:val="24"/>
              </w:rPr>
            </w:pPr>
            <w:r>
              <w:rPr>
                <w:rFonts w:hint="eastAsia" w:ascii="宋体" w:hAnsi="宋体" w:cs="宋体"/>
                <w:color w:val="000000"/>
                <w:kern w:val="0"/>
                <w:sz w:val="24"/>
                <w:szCs w:val="24"/>
              </w:rPr>
              <w:t>成本指标</w:t>
            </w:r>
          </w:p>
        </w:tc>
        <w:tc>
          <w:tcPr>
            <w:tcW w:w="1704" w:type="dxa"/>
            <w:tcBorders>
              <w:top w:val="nil"/>
              <w:left w:val="nil"/>
              <w:bottom w:val="single" w:color="000000" w:sz="4" w:space="0"/>
              <w:right w:val="single" w:color="000000" w:sz="4" w:space="0"/>
            </w:tcBorders>
            <w:shd w:val="clear" w:color="auto" w:fill="auto"/>
            <w:vAlign w:val="center"/>
          </w:tcPr>
          <w:p w14:paraId="261A2639">
            <w:pPr>
              <w:widowControl/>
              <w:jc w:val="center"/>
              <w:rPr>
                <w:rFonts w:ascii="宋体" w:hAnsi="宋体" w:cs="宋体"/>
                <w:kern w:val="0"/>
                <w:sz w:val="24"/>
                <w:szCs w:val="24"/>
              </w:rPr>
            </w:pPr>
            <w:r>
              <w:rPr>
                <w:rFonts w:hint="eastAsia" w:ascii="宋体" w:hAnsi="宋体" w:cs="宋体"/>
                <w:kern w:val="0"/>
                <w:sz w:val="24"/>
                <w:szCs w:val="24"/>
              </w:rPr>
              <w:t>经济成本指标</w:t>
            </w:r>
          </w:p>
        </w:tc>
        <w:tc>
          <w:tcPr>
            <w:tcW w:w="3922" w:type="dxa"/>
            <w:gridSpan w:val="2"/>
            <w:tcBorders>
              <w:top w:val="single" w:color="000000" w:sz="4" w:space="0"/>
              <w:left w:val="nil"/>
              <w:bottom w:val="single" w:color="000000" w:sz="4" w:space="0"/>
              <w:right w:val="single" w:color="000000" w:sz="4" w:space="0"/>
            </w:tcBorders>
            <w:shd w:val="clear" w:color="auto" w:fill="auto"/>
            <w:vAlign w:val="center"/>
          </w:tcPr>
          <w:p w14:paraId="5C4B8802">
            <w:pPr>
              <w:widowControl/>
              <w:jc w:val="center"/>
              <w:rPr>
                <w:rFonts w:ascii="宋体" w:hAnsi="宋体" w:cs="宋体"/>
                <w:color w:val="000000"/>
                <w:kern w:val="0"/>
                <w:sz w:val="24"/>
                <w:szCs w:val="24"/>
              </w:rPr>
            </w:pPr>
            <w:r>
              <w:rPr>
                <w:rFonts w:hint="eastAsia" w:ascii="宋体" w:hAnsi="宋体" w:cs="宋体"/>
                <w:color w:val="000000"/>
                <w:kern w:val="0"/>
                <w:sz w:val="24"/>
                <w:szCs w:val="24"/>
              </w:rPr>
              <w:t>资金使用率</w:t>
            </w:r>
          </w:p>
        </w:tc>
        <w:tc>
          <w:tcPr>
            <w:tcW w:w="2346" w:type="dxa"/>
            <w:tcBorders>
              <w:top w:val="nil"/>
              <w:left w:val="nil"/>
              <w:bottom w:val="single" w:color="000000" w:sz="4" w:space="0"/>
              <w:right w:val="single" w:color="000000" w:sz="4" w:space="0"/>
            </w:tcBorders>
            <w:shd w:val="clear" w:color="auto" w:fill="auto"/>
            <w:vAlign w:val="center"/>
          </w:tcPr>
          <w:p w14:paraId="371DBAF7">
            <w:pPr>
              <w:widowControl/>
              <w:jc w:val="center"/>
              <w:rPr>
                <w:rFonts w:ascii="宋体" w:hAnsi="宋体" w:cs="宋体"/>
                <w:color w:val="000000"/>
                <w:kern w:val="0"/>
                <w:sz w:val="24"/>
                <w:szCs w:val="24"/>
              </w:rPr>
            </w:pPr>
            <w:r>
              <w:rPr>
                <w:rFonts w:hint="eastAsia" w:ascii="宋体" w:hAnsi="宋体" w:cs="宋体"/>
                <w:color w:val="000000"/>
                <w:kern w:val="0"/>
                <w:sz w:val="24"/>
                <w:szCs w:val="24"/>
              </w:rPr>
              <w:t>≥95%</w:t>
            </w:r>
          </w:p>
        </w:tc>
      </w:tr>
      <w:tr w14:paraId="30862575">
        <w:tblPrEx>
          <w:tblCellMar>
            <w:top w:w="0" w:type="dxa"/>
            <w:left w:w="108" w:type="dxa"/>
            <w:bottom w:w="0" w:type="dxa"/>
            <w:right w:w="108" w:type="dxa"/>
          </w:tblCellMar>
        </w:tblPrEx>
        <w:trPr>
          <w:trHeight w:val="734" w:hRule="atLeast"/>
        </w:trPr>
        <w:tc>
          <w:tcPr>
            <w:tcW w:w="1246" w:type="dxa"/>
            <w:vMerge w:val="restart"/>
            <w:tcBorders>
              <w:top w:val="nil"/>
              <w:left w:val="single" w:color="000000" w:sz="4" w:space="0"/>
              <w:bottom w:val="single" w:color="000000" w:sz="4" w:space="0"/>
              <w:right w:val="single" w:color="000000" w:sz="4" w:space="0"/>
            </w:tcBorders>
            <w:shd w:val="clear" w:color="auto" w:fill="auto"/>
            <w:vAlign w:val="center"/>
          </w:tcPr>
          <w:p w14:paraId="105AD35D">
            <w:pPr>
              <w:widowControl/>
              <w:jc w:val="center"/>
              <w:rPr>
                <w:rFonts w:ascii="宋体" w:hAnsi="宋体" w:cs="宋体"/>
                <w:color w:val="000000"/>
                <w:kern w:val="0"/>
                <w:sz w:val="24"/>
                <w:szCs w:val="24"/>
              </w:rPr>
            </w:pPr>
            <w:r>
              <w:rPr>
                <w:rFonts w:hint="eastAsia" w:ascii="宋体" w:hAnsi="宋体" w:cs="宋体"/>
                <w:color w:val="000000"/>
                <w:kern w:val="0"/>
                <w:sz w:val="24"/>
                <w:szCs w:val="24"/>
              </w:rPr>
              <w:t>产出指标</w:t>
            </w:r>
          </w:p>
        </w:tc>
        <w:tc>
          <w:tcPr>
            <w:tcW w:w="1704" w:type="dxa"/>
            <w:tcBorders>
              <w:top w:val="nil"/>
              <w:left w:val="nil"/>
              <w:bottom w:val="single" w:color="000000" w:sz="4" w:space="0"/>
              <w:right w:val="single" w:color="000000" w:sz="4" w:space="0"/>
            </w:tcBorders>
            <w:shd w:val="clear" w:color="auto" w:fill="auto"/>
            <w:vAlign w:val="center"/>
          </w:tcPr>
          <w:p w14:paraId="1A06E02B">
            <w:pPr>
              <w:widowControl/>
              <w:jc w:val="center"/>
              <w:rPr>
                <w:rFonts w:ascii="宋体" w:hAnsi="宋体" w:cs="宋体"/>
                <w:kern w:val="0"/>
                <w:sz w:val="24"/>
                <w:szCs w:val="24"/>
              </w:rPr>
            </w:pPr>
            <w:r>
              <w:rPr>
                <w:rFonts w:hint="eastAsia" w:ascii="宋体" w:hAnsi="宋体" w:cs="宋体"/>
                <w:kern w:val="0"/>
                <w:sz w:val="24"/>
                <w:szCs w:val="24"/>
              </w:rPr>
              <w:t>数量指标</w:t>
            </w:r>
          </w:p>
        </w:tc>
        <w:tc>
          <w:tcPr>
            <w:tcW w:w="3922" w:type="dxa"/>
            <w:gridSpan w:val="2"/>
            <w:tcBorders>
              <w:top w:val="single" w:color="000000" w:sz="4" w:space="0"/>
              <w:left w:val="nil"/>
              <w:bottom w:val="single" w:color="000000" w:sz="4" w:space="0"/>
              <w:right w:val="single" w:color="000000" w:sz="4" w:space="0"/>
            </w:tcBorders>
            <w:shd w:val="clear" w:color="auto" w:fill="auto"/>
            <w:vAlign w:val="center"/>
          </w:tcPr>
          <w:p w14:paraId="0593CA99">
            <w:pPr>
              <w:widowControl/>
              <w:jc w:val="center"/>
              <w:rPr>
                <w:rFonts w:ascii="宋体" w:hAnsi="宋体" w:cs="宋体"/>
                <w:color w:val="000000"/>
                <w:kern w:val="0"/>
                <w:sz w:val="24"/>
                <w:szCs w:val="24"/>
              </w:rPr>
            </w:pPr>
            <w:r>
              <w:rPr>
                <w:rFonts w:hint="eastAsia" w:ascii="宋体" w:hAnsi="宋体" w:cs="宋体"/>
                <w:color w:val="000000"/>
                <w:kern w:val="0"/>
                <w:sz w:val="24"/>
                <w:szCs w:val="24"/>
              </w:rPr>
              <w:t>项目评审次数</w:t>
            </w:r>
          </w:p>
        </w:tc>
        <w:tc>
          <w:tcPr>
            <w:tcW w:w="2346" w:type="dxa"/>
            <w:tcBorders>
              <w:top w:val="nil"/>
              <w:left w:val="nil"/>
              <w:bottom w:val="single" w:color="000000" w:sz="4" w:space="0"/>
              <w:right w:val="single" w:color="000000" w:sz="4" w:space="0"/>
            </w:tcBorders>
            <w:shd w:val="clear" w:color="auto" w:fill="auto"/>
            <w:vAlign w:val="center"/>
          </w:tcPr>
          <w:p w14:paraId="70AF8B98">
            <w:pPr>
              <w:widowControl/>
              <w:jc w:val="center"/>
              <w:rPr>
                <w:rFonts w:ascii="宋体" w:hAnsi="宋体" w:cs="宋体"/>
                <w:color w:val="000000"/>
                <w:kern w:val="0"/>
                <w:sz w:val="24"/>
                <w:szCs w:val="24"/>
              </w:rPr>
            </w:pPr>
            <w:r>
              <w:rPr>
                <w:rFonts w:hint="eastAsia" w:ascii="宋体" w:hAnsi="宋体" w:cs="宋体"/>
                <w:color w:val="000000"/>
                <w:kern w:val="0"/>
                <w:sz w:val="24"/>
                <w:szCs w:val="24"/>
              </w:rPr>
              <w:t>≥5次</w:t>
            </w:r>
          </w:p>
        </w:tc>
      </w:tr>
      <w:tr w14:paraId="39F14710">
        <w:tblPrEx>
          <w:tblCellMar>
            <w:top w:w="0" w:type="dxa"/>
            <w:left w:w="108" w:type="dxa"/>
            <w:bottom w:w="0" w:type="dxa"/>
            <w:right w:w="108" w:type="dxa"/>
          </w:tblCellMar>
        </w:tblPrEx>
        <w:trPr>
          <w:trHeight w:val="734" w:hRule="atLeast"/>
        </w:trPr>
        <w:tc>
          <w:tcPr>
            <w:tcW w:w="1246" w:type="dxa"/>
            <w:vMerge w:val="continue"/>
            <w:tcBorders>
              <w:top w:val="nil"/>
              <w:left w:val="single" w:color="000000" w:sz="4" w:space="0"/>
              <w:bottom w:val="single" w:color="000000" w:sz="4" w:space="0"/>
              <w:right w:val="single" w:color="000000" w:sz="4" w:space="0"/>
            </w:tcBorders>
            <w:vAlign w:val="center"/>
          </w:tcPr>
          <w:p w14:paraId="0E4DB890">
            <w:pPr>
              <w:widowControl/>
              <w:jc w:val="left"/>
              <w:rPr>
                <w:rFonts w:ascii="宋体" w:hAnsi="宋体" w:cs="宋体"/>
                <w:color w:val="000000"/>
                <w:kern w:val="0"/>
                <w:sz w:val="24"/>
                <w:szCs w:val="24"/>
              </w:rPr>
            </w:pPr>
          </w:p>
        </w:tc>
        <w:tc>
          <w:tcPr>
            <w:tcW w:w="1704" w:type="dxa"/>
            <w:tcBorders>
              <w:top w:val="nil"/>
              <w:left w:val="nil"/>
              <w:bottom w:val="single" w:color="000000" w:sz="4" w:space="0"/>
              <w:right w:val="single" w:color="000000" w:sz="4" w:space="0"/>
            </w:tcBorders>
            <w:shd w:val="clear" w:color="auto" w:fill="auto"/>
            <w:vAlign w:val="center"/>
          </w:tcPr>
          <w:p w14:paraId="189EA1C8">
            <w:pPr>
              <w:widowControl/>
              <w:jc w:val="center"/>
              <w:rPr>
                <w:rFonts w:ascii="宋体" w:hAnsi="宋体" w:cs="宋体"/>
                <w:kern w:val="0"/>
                <w:sz w:val="24"/>
                <w:szCs w:val="24"/>
              </w:rPr>
            </w:pPr>
            <w:r>
              <w:rPr>
                <w:rFonts w:hint="eastAsia" w:ascii="宋体" w:hAnsi="宋体" w:cs="宋体"/>
                <w:kern w:val="0"/>
                <w:sz w:val="24"/>
                <w:szCs w:val="24"/>
              </w:rPr>
              <w:t>质量指标</w:t>
            </w:r>
          </w:p>
        </w:tc>
        <w:tc>
          <w:tcPr>
            <w:tcW w:w="3922" w:type="dxa"/>
            <w:gridSpan w:val="2"/>
            <w:tcBorders>
              <w:top w:val="single" w:color="000000" w:sz="4" w:space="0"/>
              <w:left w:val="nil"/>
              <w:bottom w:val="single" w:color="000000" w:sz="4" w:space="0"/>
              <w:right w:val="single" w:color="000000" w:sz="4" w:space="0"/>
            </w:tcBorders>
            <w:shd w:val="clear" w:color="auto" w:fill="auto"/>
            <w:vAlign w:val="center"/>
          </w:tcPr>
          <w:p w14:paraId="18CB71D2">
            <w:pPr>
              <w:widowControl/>
              <w:jc w:val="center"/>
              <w:rPr>
                <w:rFonts w:ascii="宋体" w:hAnsi="宋体" w:cs="宋体"/>
                <w:color w:val="000000"/>
                <w:kern w:val="0"/>
                <w:sz w:val="24"/>
                <w:szCs w:val="24"/>
              </w:rPr>
            </w:pPr>
            <w:r>
              <w:rPr>
                <w:rFonts w:hint="eastAsia" w:ascii="宋体" w:hAnsi="宋体" w:cs="宋体"/>
                <w:color w:val="000000"/>
                <w:kern w:val="0"/>
                <w:sz w:val="24"/>
                <w:szCs w:val="24"/>
              </w:rPr>
              <w:t>项目评审达标率</w:t>
            </w:r>
          </w:p>
        </w:tc>
        <w:tc>
          <w:tcPr>
            <w:tcW w:w="2346" w:type="dxa"/>
            <w:tcBorders>
              <w:top w:val="nil"/>
              <w:left w:val="nil"/>
              <w:bottom w:val="single" w:color="000000" w:sz="4" w:space="0"/>
              <w:right w:val="single" w:color="000000" w:sz="4" w:space="0"/>
            </w:tcBorders>
            <w:shd w:val="clear" w:color="auto" w:fill="auto"/>
            <w:vAlign w:val="center"/>
          </w:tcPr>
          <w:p w14:paraId="089AD2D9">
            <w:pPr>
              <w:widowControl/>
              <w:jc w:val="center"/>
              <w:rPr>
                <w:rFonts w:ascii="宋体" w:hAnsi="宋体" w:cs="宋体"/>
                <w:color w:val="000000"/>
                <w:kern w:val="0"/>
                <w:sz w:val="24"/>
                <w:szCs w:val="24"/>
              </w:rPr>
            </w:pPr>
            <w:r>
              <w:rPr>
                <w:rFonts w:hint="eastAsia" w:ascii="宋体" w:hAnsi="宋体" w:cs="宋体"/>
                <w:color w:val="000000"/>
                <w:kern w:val="0"/>
                <w:sz w:val="24"/>
                <w:szCs w:val="24"/>
              </w:rPr>
              <w:t>≥90%</w:t>
            </w:r>
          </w:p>
        </w:tc>
      </w:tr>
      <w:tr w14:paraId="45CBAA50">
        <w:tblPrEx>
          <w:tblCellMar>
            <w:top w:w="0" w:type="dxa"/>
            <w:left w:w="108" w:type="dxa"/>
            <w:bottom w:w="0" w:type="dxa"/>
            <w:right w:w="108" w:type="dxa"/>
          </w:tblCellMar>
        </w:tblPrEx>
        <w:trPr>
          <w:trHeight w:val="734" w:hRule="atLeast"/>
        </w:trPr>
        <w:tc>
          <w:tcPr>
            <w:tcW w:w="1246" w:type="dxa"/>
            <w:vMerge w:val="continue"/>
            <w:tcBorders>
              <w:top w:val="nil"/>
              <w:left w:val="single" w:color="000000" w:sz="4" w:space="0"/>
              <w:bottom w:val="single" w:color="000000" w:sz="4" w:space="0"/>
              <w:right w:val="single" w:color="000000" w:sz="4" w:space="0"/>
            </w:tcBorders>
            <w:vAlign w:val="center"/>
          </w:tcPr>
          <w:p w14:paraId="52FD7FC6">
            <w:pPr>
              <w:widowControl/>
              <w:jc w:val="left"/>
              <w:rPr>
                <w:rFonts w:ascii="宋体" w:hAnsi="宋体" w:cs="宋体"/>
                <w:color w:val="000000"/>
                <w:kern w:val="0"/>
                <w:sz w:val="24"/>
                <w:szCs w:val="24"/>
              </w:rPr>
            </w:pPr>
          </w:p>
        </w:tc>
        <w:tc>
          <w:tcPr>
            <w:tcW w:w="1704" w:type="dxa"/>
            <w:tcBorders>
              <w:top w:val="nil"/>
              <w:left w:val="nil"/>
              <w:bottom w:val="single" w:color="000000" w:sz="4" w:space="0"/>
              <w:right w:val="single" w:color="000000" w:sz="4" w:space="0"/>
            </w:tcBorders>
            <w:shd w:val="clear" w:color="auto" w:fill="auto"/>
            <w:vAlign w:val="center"/>
          </w:tcPr>
          <w:p w14:paraId="5845E20D">
            <w:pPr>
              <w:widowControl/>
              <w:jc w:val="center"/>
              <w:rPr>
                <w:rFonts w:ascii="宋体" w:hAnsi="宋体" w:cs="宋体"/>
                <w:kern w:val="0"/>
                <w:sz w:val="24"/>
                <w:szCs w:val="24"/>
              </w:rPr>
            </w:pPr>
            <w:r>
              <w:rPr>
                <w:rFonts w:hint="eastAsia" w:ascii="宋体" w:hAnsi="宋体" w:cs="宋体"/>
                <w:kern w:val="0"/>
                <w:sz w:val="24"/>
                <w:szCs w:val="24"/>
              </w:rPr>
              <w:t>时效指标</w:t>
            </w:r>
          </w:p>
        </w:tc>
        <w:tc>
          <w:tcPr>
            <w:tcW w:w="3922" w:type="dxa"/>
            <w:gridSpan w:val="2"/>
            <w:tcBorders>
              <w:top w:val="single" w:color="000000" w:sz="4" w:space="0"/>
              <w:left w:val="nil"/>
              <w:bottom w:val="single" w:color="000000" w:sz="4" w:space="0"/>
              <w:right w:val="single" w:color="000000" w:sz="4" w:space="0"/>
            </w:tcBorders>
            <w:shd w:val="clear" w:color="auto" w:fill="auto"/>
            <w:vAlign w:val="center"/>
          </w:tcPr>
          <w:p w14:paraId="19B64142">
            <w:pPr>
              <w:widowControl/>
              <w:jc w:val="center"/>
              <w:rPr>
                <w:rFonts w:ascii="宋体" w:hAnsi="宋体" w:cs="宋体"/>
                <w:color w:val="000000"/>
                <w:kern w:val="0"/>
                <w:sz w:val="24"/>
                <w:szCs w:val="24"/>
              </w:rPr>
            </w:pPr>
            <w:r>
              <w:rPr>
                <w:rFonts w:hint="eastAsia" w:ascii="宋体" w:hAnsi="宋体" w:cs="宋体"/>
                <w:color w:val="000000"/>
                <w:kern w:val="0"/>
                <w:sz w:val="24"/>
                <w:szCs w:val="24"/>
              </w:rPr>
              <w:t>项目完成及时率</w:t>
            </w:r>
          </w:p>
        </w:tc>
        <w:tc>
          <w:tcPr>
            <w:tcW w:w="2346" w:type="dxa"/>
            <w:tcBorders>
              <w:top w:val="nil"/>
              <w:left w:val="nil"/>
              <w:bottom w:val="single" w:color="000000" w:sz="4" w:space="0"/>
              <w:right w:val="single" w:color="000000" w:sz="4" w:space="0"/>
            </w:tcBorders>
            <w:shd w:val="clear" w:color="auto" w:fill="auto"/>
            <w:vAlign w:val="center"/>
          </w:tcPr>
          <w:p w14:paraId="0E7B874C">
            <w:pPr>
              <w:widowControl/>
              <w:jc w:val="center"/>
              <w:rPr>
                <w:rFonts w:ascii="宋体" w:hAnsi="宋体" w:cs="宋体"/>
                <w:color w:val="000000"/>
                <w:kern w:val="0"/>
                <w:sz w:val="24"/>
                <w:szCs w:val="24"/>
              </w:rPr>
            </w:pPr>
            <w:r>
              <w:rPr>
                <w:rFonts w:hint="eastAsia" w:ascii="宋体" w:hAnsi="宋体" w:cs="宋体"/>
                <w:color w:val="000000"/>
                <w:kern w:val="0"/>
                <w:sz w:val="24"/>
                <w:szCs w:val="24"/>
              </w:rPr>
              <w:t>≥90%</w:t>
            </w:r>
          </w:p>
        </w:tc>
      </w:tr>
      <w:tr w14:paraId="1BFDA952">
        <w:tblPrEx>
          <w:tblCellMar>
            <w:top w:w="0" w:type="dxa"/>
            <w:left w:w="108" w:type="dxa"/>
            <w:bottom w:w="0" w:type="dxa"/>
            <w:right w:w="108" w:type="dxa"/>
          </w:tblCellMar>
        </w:tblPrEx>
        <w:trPr>
          <w:trHeight w:val="734" w:hRule="atLeast"/>
        </w:trPr>
        <w:tc>
          <w:tcPr>
            <w:tcW w:w="1246" w:type="dxa"/>
            <w:tcBorders>
              <w:top w:val="nil"/>
              <w:left w:val="single" w:color="000000" w:sz="4" w:space="0"/>
              <w:bottom w:val="single" w:color="000000" w:sz="4" w:space="0"/>
              <w:right w:val="single" w:color="000000" w:sz="4" w:space="0"/>
            </w:tcBorders>
            <w:shd w:val="clear" w:color="auto" w:fill="auto"/>
            <w:vAlign w:val="center"/>
          </w:tcPr>
          <w:p w14:paraId="5C3A62C0">
            <w:pPr>
              <w:widowControl/>
              <w:jc w:val="center"/>
              <w:rPr>
                <w:rFonts w:ascii="宋体" w:hAnsi="宋体" w:cs="宋体"/>
                <w:color w:val="000000"/>
                <w:kern w:val="0"/>
                <w:sz w:val="24"/>
                <w:szCs w:val="24"/>
              </w:rPr>
            </w:pPr>
            <w:r>
              <w:rPr>
                <w:rFonts w:hint="eastAsia" w:ascii="宋体" w:hAnsi="宋体" w:cs="宋体"/>
                <w:color w:val="000000"/>
                <w:kern w:val="0"/>
                <w:sz w:val="24"/>
                <w:szCs w:val="24"/>
              </w:rPr>
              <w:t>效益指标</w:t>
            </w:r>
          </w:p>
        </w:tc>
        <w:tc>
          <w:tcPr>
            <w:tcW w:w="1704" w:type="dxa"/>
            <w:tcBorders>
              <w:top w:val="nil"/>
              <w:left w:val="nil"/>
              <w:bottom w:val="single" w:color="000000" w:sz="4" w:space="0"/>
              <w:right w:val="single" w:color="000000" w:sz="4" w:space="0"/>
            </w:tcBorders>
            <w:shd w:val="clear" w:color="auto" w:fill="auto"/>
            <w:vAlign w:val="center"/>
          </w:tcPr>
          <w:p w14:paraId="79E314C2">
            <w:pPr>
              <w:widowControl/>
              <w:jc w:val="center"/>
              <w:rPr>
                <w:rFonts w:ascii="宋体" w:hAnsi="宋体" w:cs="宋体"/>
                <w:kern w:val="0"/>
                <w:sz w:val="24"/>
                <w:szCs w:val="24"/>
              </w:rPr>
            </w:pPr>
            <w:r>
              <w:rPr>
                <w:rFonts w:hint="eastAsia" w:ascii="宋体" w:hAnsi="宋体" w:cs="宋体"/>
                <w:kern w:val="0"/>
                <w:sz w:val="24"/>
                <w:szCs w:val="24"/>
              </w:rPr>
              <w:t>经济效益指标</w:t>
            </w:r>
          </w:p>
        </w:tc>
        <w:tc>
          <w:tcPr>
            <w:tcW w:w="3922" w:type="dxa"/>
            <w:gridSpan w:val="2"/>
            <w:tcBorders>
              <w:top w:val="single" w:color="000000" w:sz="4" w:space="0"/>
              <w:left w:val="nil"/>
              <w:bottom w:val="single" w:color="000000" w:sz="4" w:space="0"/>
              <w:right w:val="single" w:color="000000" w:sz="4" w:space="0"/>
            </w:tcBorders>
            <w:shd w:val="clear" w:color="auto" w:fill="auto"/>
            <w:vAlign w:val="center"/>
          </w:tcPr>
          <w:p w14:paraId="597B1FB8">
            <w:pPr>
              <w:widowControl/>
              <w:jc w:val="center"/>
              <w:rPr>
                <w:rFonts w:ascii="宋体" w:hAnsi="宋体" w:cs="宋体"/>
                <w:color w:val="000000"/>
                <w:kern w:val="0"/>
                <w:sz w:val="24"/>
                <w:szCs w:val="24"/>
              </w:rPr>
            </w:pPr>
            <w:r>
              <w:rPr>
                <w:rFonts w:hint="eastAsia" w:ascii="宋体" w:hAnsi="宋体" w:cs="宋体"/>
                <w:color w:val="000000"/>
                <w:kern w:val="0"/>
                <w:sz w:val="24"/>
                <w:szCs w:val="24"/>
              </w:rPr>
              <w:t>优化项目方案</w:t>
            </w:r>
          </w:p>
        </w:tc>
        <w:tc>
          <w:tcPr>
            <w:tcW w:w="2346" w:type="dxa"/>
            <w:tcBorders>
              <w:top w:val="nil"/>
              <w:left w:val="nil"/>
              <w:bottom w:val="single" w:color="000000" w:sz="4" w:space="0"/>
              <w:right w:val="single" w:color="000000" w:sz="4" w:space="0"/>
            </w:tcBorders>
            <w:shd w:val="clear" w:color="auto" w:fill="auto"/>
            <w:vAlign w:val="center"/>
          </w:tcPr>
          <w:p w14:paraId="5FE6C907">
            <w:pPr>
              <w:widowControl/>
              <w:jc w:val="center"/>
              <w:rPr>
                <w:rFonts w:ascii="宋体" w:hAnsi="宋体" w:cs="宋体"/>
                <w:color w:val="000000"/>
                <w:kern w:val="0"/>
                <w:sz w:val="24"/>
                <w:szCs w:val="24"/>
              </w:rPr>
            </w:pPr>
            <w:r>
              <w:rPr>
                <w:rFonts w:hint="eastAsia" w:ascii="宋体" w:hAnsi="宋体" w:cs="宋体"/>
                <w:color w:val="000000"/>
                <w:kern w:val="0"/>
                <w:sz w:val="24"/>
                <w:szCs w:val="24"/>
              </w:rPr>
              <w:t>≥90%</w:t>
            </w:r>
          </w:p>
        </w:tc>
      </w:tr>
      <w:tr w14:paraId="2A738828">
        <w:tblPrEx>
          <w:tblCellMar>
            <w:top w:w="0" w:type="dxa"/>
            <w:left w:w="108" w:type="dxa"/>
            <w:bottom w:w="0" w:type="dxa"/>
            <w:right w:w="108" w:type="dxa"/>
          </w:tblCellMar>
        </w:tblPrEx>
        <w:trPr>
          <w:trHeight w:val="734" w:hRule="atLeast"/>
        </w:trPr>
        <w:tc>
          <w:tcPr>
            <w:tcW w:w="1246" w:type="dxa"/>
            <w:tcBorders>
              <w:top w:val="nil"/>
              <w:left w:val="single" w:color="000000" w:sz="4" w:space="0"/>
              <w:bottom w:val="single" w:color="000000" w:sz="4" w:space="0"/>
              <w:right w:val="single" w:color="000000" w:sz="4" w:space="0"/>
            </w:tcBorders>
            <w:shd w:val="clear" w:color="auto" w:fill="auto"/>
            <w:vAlign w:val="center"/>
          </w:tcPr>
          <w:p w14:paraId="7B6238E6">
            <w:pPr>
              <w:widowControl/>
              <w:jc w:val="center"/>
              <w:rPr>
                <w:rFonts w:ascii="宋体" w:hAnsi="宋体" w:cs="宋体"/>
                <w:color w:val="000000"/>
                <w:kern w:val="0"/>
                <w:sz w:val="24"/>
                <w:szCs w:val="24"/>
              </w:rPr>
            </w:pPr>
            <w:r>
              <w:rPr>
                <w:rFonts w:hint="eastAsia" w:ascii="宋体" w:hAnsi="宋体" w:cs="宋体"/>
                <w:color w:val="000000"/>
                <w:kern w:val="0"/>
                <w:sz w:val="24"/>
                <w:szCs w:val="24"/>
              </w:rPr>
              <w:t>满意度指标</w:t>
            </w:r>
          </w:p>
        </w:tc>
        <w:tc>
          <w:tcPr>
            <w:tcW w:w="1704" w:type="dxa"/>
            <w:tcBorders>
              <w:top w:val="nil"/>
              <w:left w:val="nil"/>
              <w:bottom w:val="single" w:color="000000" w:sz="4" w:space="0"/>
              <w:right w:val="single" w:color="000000" w:sz="4" w:space="0"/>
            </w:tcBorders>
            <w:shd w:val="clear" w:color="auto" w:fill="auto"/>
            <w:vAlign w:val="center"/>
          </w:tcPr>
          <w:p w14:paraId="387BA079">
            <w:pPr>
              <w:widowControl/>
              <w:jc w:val="center"/>
              <w:rPr>
                <w:rFonts w:ascii="宋体" w:hAnsi="宋体" w:cs="宋体"/>
                <w:kern w:val="0"/>
                <w:sz w:val="24"/>
                <w:szCs w:val="24"/>
              </w:rPr>
            </w:pPr>
            <w:r>
              <w:rPr>
                <w:rFonts w:hint="eastAsia" w:ascii="宋体" w:hAnsi="宋体" w:cs="宋体"/>
                <w:kern w:val="0"/>
                <w:sz w:val="24"/>
                <w:szCs w:val="24"/>
              </w:rPr>
              <w:t>服务对象满意度</w:t>
            </w:r>
          </w:p>
        </w:tc>
        <w:tc>
          <w:tcPr>
            <w:tcW w:w="3922" w:type="dxa"/>
            <w:gridSpan w:val="2"/>
            <w:tcBorders>
              <w:top w:val="single" w:color="000000" w:sz="4" w:space="0"/>
              <w:left w:val="nil"/>
              <w:bottom w:val="single" w:color="000000" w:sz="4" w:space="0"/>
              <w:right w:val="single" w:color="000000" w:sz="4" w:space="0"/>
            </w:tcBorders>
            <w:shd w:val="clear" w:color="auto" w:fill="auto"/>
            <w:vAlign w:val="center"/>
          </w:tcPr>
          <w:p w14:paraId="644181D1">
            <w:pPr>
              <w:widowControl/>
              <w:jc w:val="center"/>
              <w:rPr>
                <w:rFonts w:ascii="宋体" w:hAnsi="宋体" w:cs="宋体"/>
                <w:color w:val="000000"/>
                <w:kern w:val="0"/>
                <w:sz w:val="24"/>
                <w:szCs w:val="24"/>
              </w:rPr>
            </w:pPr>
            <w:r>
              <w:rPr>
                <w:rFonts w:hint="eastAsia" w:ascii="宋体" w:hAnsi="宋体" w:cs="宋体"/>
                <w:color w:val="000000"/>
                <w:kern w:val="0"/>
                <w:sz w:val="24"/>
                <w:szCs w:val="24"/>
              </w:rPr>
              <w:t>项目单位满意度</w:t>
            </w:r>
          </w:p>
        </w:tc>
        <w:tc>
          <w:tcPr>
            <w:tcW w:w="2346" w:type="dxa"/>
            <w:tcBorders>
              <w:top w:val="nil"/>
              <w:left w:val="nil"/>
              <w:bottom w:val="single" w:color="000000" w:sz="4" w:space="0"/>
              <w:right w:val="single" w:color="000000" w:sz="4" w:space="0"/>
            </w:tcBorders>
            <w:shd w:val="clear" w:color="auto" w:fill="auto"/>
            <w:vAlign w:val="center"/>
          </w:tcPr>
          <w:p w14:paraId="2399748D">
            <w:pPr>
              <w:widowControl/>
              <w:jc w:val="center"/>
              <w:rPr>
                <w:rFonts w:ascii="宋体" w:hAnsi="宋体" w:cs="宋体"/>
                <w:color w:val="000000"/>
                <w:kern w:val="0"/>
                <w:sz w:val="24"/>
                <w:szCs w:val="24"/>
              </w:rPr>
            </w:pPr>
            <w:r>
              <w:rPr>
                <w:rFonts w:hint="eastAsia" w:ascii="宋体" w:hAnsi="宋体" w:cs="宋体"/>
                <w:color w:val="000000"/>
                <w:kern w:val="0"/>
                <w:sz w:val="24"/>
                <w:szCs w:val="24"/>
              </w:rPr>
              <w:t>≥90%</w:t>
            </w:r>
          </w:p>
        </w:tc>
      </w:tr>
    </w:tbl>
    <w:p w14:paraId="4086821F">
      <w:pPr>
        <w:ind w:firstLine="642"/>
        <w:rPr>
          <w:rFonts w:ascii="仿宋_GB2312" w:hAnsi="仿宋_GB2312" w:eastAsia="仿宋_GB2312" w:cs="仿宋_GB2312"/>
          <w:sz w:val="32"/>
          <w:szCs w:val="32"/>
        </w:rPr>
      </w:pPr>
    </w:p>
    <w:p w14:paraId="34B4F68D">
      <w:pPr>
        <w:ind w:firstLine="642"/>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宋体" w:hAnsi="宋体" w:cs="宋体"/>
          <w:color w:val="000000"/>
          <w:kern w:val="0"/>
          <w:sz w:val="24"/>
          <w:szCs w:val="24"/>
        </w:rPr>
        <w:t xml:space="preserve"> </w:t>
      </w:r>
      <w:r>
        <w:rPr>
          <w:rFonts w:hint="eastAsia" w:ascii="仿宋_GB2312" w:hAnsi="仿宋_GB2312" w:eastAsia="仿宋_GB2312" w:cs="仿宋_GB2312"/>
          <w:sz w:val="32"/>
          <w:szCs w:val="32"/>
        </w:rPr>
        <w:t>争取上级资金项目前期项目</w:t>
      </w:r>
    </w:p>
    <w:tbl>
      <w:tblPr>
        <w:tblStyle w:val="11"/>
        <w:tblW w:w="9233" w:type="dxa"/>
        <w:tblInd w:w="93" w:type="dxa"/>
        <w:tblLayout w:type="autofit"/>
        <w:tblCellMar>
          <w:top w:w="0" w:type="dxa"/>
          <w:left w:w="108" w:type="dxa"/>
          <w:bottom w:w="0" w:type="dxa"/>
          <w:right w:w="108" w:type="dxa"/>
        </w:tblCellMar>
      </w:tblPr>
      <w:tblGrid>
        <w:gridCol w:w="1248"/>
        <w:gridCol w:w="1707"/>
        <w:gridCol w:w="2570"/>
        <w:gridCol w:w="1358"/>
        <w:gridCol w:w="2350"/>
      </w:tblGrid>
      <w:tr w14:paraId="06BEA812">
        <w:trPr>
          <w:trHeight w:val="737" w:hRule="atLeast"/>
        </w:trPr>
        <w:tc>
          <w:tcPr>
            <w:tcW w:w="9233" w:type="dxa"/>
            <w:gridSpan w:val="5"/>
            <w:tcBorders>
              <w:top w:val="nil"/>
              <w:left w:val="nil"/>
              <w:bottom w:val="nil"/>
              <w:right w:val="nil"/>
            </w:tcBorders>
            <w:shd w:val="clear" w:color="auto" w:fill="auto"/>
            <w:vAlign w:val="center"/>
          </w:tcPr>
          <w:p w14:paraId="40D346AB">
            <w:pPr>
              <w:widowControl/>
              <w:jc w:val="center"/>
              <w:rPr>
                <w:rFonts w:ascii="方正小标宋简体" w:hAnsi="宋体" w:eastAsia="方正小标宋简体" w:cs="宋体"/>
                <w:color w:val="000000"/>
                <w:kern w:val="0"/>
                <w:sz w:val="36"/>
                <w:szCs w:val="36"/>
              </w:rPr>
            </w:pPr>
            <w:r>
              <w:rPr>
                <w:rFonts w:hint="eastAsia" w:ascii="方正小标宋简体" w:hAnsi="宋体" w:eastAsia="方正小标宋简体" w:cs="宋体"/>
                <w:color w:val="000000"/>
                <w:kern w:val="0"/>
                <w:sz w:val="36"/>
                <w:szCs w:val="36"/>
              </w:rPr>
              <w:t>项目支出绩效目标表</w:t>
            </w:r>
          </w:p>
        </w:tc>
      </w:tr>
      <w:tr w14:paraId="770C1176">
        <w:tblPrEx>
          <w:tblCellMar>
            <w:top w:w="0" w:type="dxa"/>
            <w:left w:w="108" w:type="dxa"/>
            <w:bottom w:w="0" w:type="dxa"/>
            <w:right w:w="108" w:type="dxa"/>
          </w:tblCellMar>
        </w:tblPrEx>
        <w:trPr>
          <w:trHeight w:val="426" w:hRule="atLeast"/>
        </w:trPr>
        <w:tc>
          <w:tcPr>
            <w:tcW w:w="9233" w:type="dxa"/>
            <w:gridSpan w:val="5"/>
            <w:tcBorders>
              <w:top w:val="nil"/>
              <w:left w:val="nil"/>
              <w:bottom w:val="nil"/>
              <w:right w:val="nil"/>
            </w:tcBorders>
            <w:shd w:val="clear" w:color="auto" w:fill="auto"/>
            <w:vAlign w:val="center"/>
          </w:tcPr>
          <w:p w14:paraId="62889732">
            <w:pPr>
              <w:widowControl/>
              <w:jc w:val="center"/>
              <w:rPr>
                <w:rFonts w:ascii="宋体" w:hAnsi="宋体" w:cs="宋体"/>
                <w:color w:val="000000"/>
                <w:kern w:val="0"/>
                <w:sz w:val="24"/>
                <w:szCs w:val="24"/>
              </w:rPr>
            </w:pPr>
            <w:r>
              <w:rPr>
                <w:rFonts w:hint="eastAsia" w:ascii="宋体" w:hAnsi="宋体" w:cs="宋体"/>
                <w:color w:val="000000"/>
                <w:kern w:val="0"/>
                <w:sz w:val="24"/>
                <w:szCs w:val="24"/>
              </w:rPr>
              <w:t>（2025年度）</w:t>
            </w:r>
          </w:p>
        </w:tc>
      </w:tr>
      <w:tr w14:paraId="68D46E6D">
        <w:tblPrEx>
          <w:tblCellMar>
            <w:top w:w="0" w:type="dxa"/>
            <w:left w:w="108" w:type="dxa"/>
            <w:bottom w:w="0" w:type="dxa"/>
            <w:right w:w="108" w:type="dxa"/>
          </w:tblCellMar>
        </w:tblPrEx>
        <w:trPr>
          <w:trHeight w:val="682" w:hRule="atLeast"/>
        </w:trPr>
        <w:tc>
          <w:tcPr>
            <w:tcW w:w="29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3F823C">
            <w:pPr>
              <w:widowControl/>
              <w:jc w:val="center"/>
              <w:rPr>
                <w:rFonts w:ascii="宋体" w:hAnsi="宋体" w:cs="宋体"/>
                <w:kern w:val="0"/>
                <w:sz w:val="24"/>
                <w:szCs w:val="24"/>
              </w:rPr>
            </w:pPr>
            <w:r>
              <w:rPr>
                <w:rFonts w:hint="eastAsia" w:ascii="宋体" w:hAnsi="宋体" w:cs="宋体"/>
                <w:kern w:val="0"/>
                <w:sz w:val="24"/>
                <w:szCs w:val="24"/>
              </w:rPr>
              <w:t>项目名称</w:t>
            </w:r>
          </w:p>
        </w:tc>
        <w:tc>
          <w:tcPr>
            <w:tcW w:w="6278" w:type="dxa"/>
            <w:gridSpan w:val="3"/>
            <w:tcBorders>
              <w:top w:val="single" w:color="000000" w:sz="4" w:space="0"/>
              <w:left w:val="nil"/>
              <w:bottom w:val="single" w:color="000000" w:sz="4" w:space="0"/>
              <w:right w:val="single" w:color="000000" w:sz="4" w:space="0"/>
            </w:tcBorders>
            <w:shd w:val="clear" w:color="auto" w:fill="auto"/>
            <w:vAlign w:val="center"/>
          </w:tcPr>
          <w:p w14:paraId="458F74EF">
            <w:pPr>
              <w:widowControl/>
              <w:jc w:val="center"/>
              <w:rPr>
                <w:rFonts w:ascii="宋体" w:hAnsi="宋体" w:cs="宋体"/>
                <w:color w:val="000000"/>
                <w:kern w:val="0"/>
                <w:sz w:val="24"/>
                <w:szCs w:val="24"/>
              </w:rPr>
            </w:pPr>
            <w:r>
              <w:rPr>
                <w:rFonts w:hint="eastAsia" w:ascii="宋体" w:hAnsi="宋体" w:cs="宋体"/>
                <w:color w:val="000000"/>
                <w:kern w:val="0"/>
                <w:sz w:val="24"/>
                <w:szCs w:val="24"/>
              </w:rPr>
              <w:t>争取上级资金项目前期工作经费</w:t>
            </w:r>
          </w:p>
        </w:tc>
      </w:tr>
      <w:tr w14:paraId="659C0188">
        <w:tblPrEx>
          <w:tblCellMar>
            <w:top w:w="0" w:type="dxa"/>
            <w:left w:w="108" w:type="dxa"/>
            <w:bottom w:w="0" w:type="dxa"/>
            <w:right w:w="108" w:type="dxa"/>
          </w:tblCellMar>
        </w:tblPrEx>
        <w:trPr>
          <w:trHeight w:val="682" w:hRule="atLeast"/>
        </w:trPr>
        <w:tc>
          <w:tcPr>
            <w:tcW w:w="29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3DBBAB">
            <w:pPr>
              <w:widowControl/>
              <w:jc w:val="center"/>
              <w:rPr>
                <w:rFonts w:ascii="宋体" w:hAnsi="宋体" w:cs="宋体"/>
                <w:kern w:val="0"/>
                <w:sz w:val="24"/>
                <w:szCs w:val="24"/>
              </w:rPr>
            </w:pPr>
            <w:r>
              <w:rPr>
                <w:rFonts w:hint="eastAsia" w:ascii="宋体" w:hAnsi="宋体" w:cs="宋体"/>
                <w:kern w:val="0"/>
                <w:sz w:val="24"/>
                <w:szCs w:val="24"/>
              </w:rPr>
              <w:t>主管部门及代码</w:t>
            </w:r>
          </w:p>
        </w:tc>
        <w:tc>
          <w:tcPr>
            <w:tcW w:w="2570" w:type="dxa"/>
            <w:tcBorders>
              <w:top w:val="nil"/>
              <w:left w:val="nil"/>
              <w:bottom w:val="single" w:color="000000" w:sz="4" w:space="0"/>
              <w:right w:val="single" w:color="000000" w:sz="4" w:space="0"/>
            </w:tcBorders>
            <w:shd w:val="clear" w:color="auto" w:fill="auto"/>
            <w:vAlign w:val="center"/>
          </w:tcPr>
          <w:p w14:paraId="7FCDF4D7">
            <w:pPr>
              <w:widowControl/>
              <w:jc w:val="center"/>
              <w:rPr>
                <w:rFonts w:ascii="宋体" w:hAnsi="宋体" w:cs="宋体"/>
                <w:kern w:val="0"/>
                <w:sz w:val="24"/>
                <w:szCs w:val="24"/>
              </w:rPr>
            </w:pPr>
            <w:r>
              <w:rPr>
                <w:rFonts w:hint="eastAsia" w:ascii="宋体" w:hAnsi="宋体" w:cs="宋体"/>
                <w:kern w:val="0"/>
                <w:sz w:val="24"/>
                <w:szCs w:val="24"/>
              </w:rPr>
              <w:t>021-南昌市青云谱区发展和改革委员会(部门)</w:t>
            </w:r>
          </w:p>
        </w:tc>
        <w:tc>
          <w:tcPr>
            <w:tcW w:w="1358" w:type="dxa"/>
            <w:tcBorders>
              <w:top w:val="nil"/>
              <w:left w:val="nil"/>
              <w:bottom w:val="single" w:color="000000" w:sz="4" w:space="0"/>
              <w:right w:val="single" w:color="000000" w:sz="4" w:space="0"/>
            </w:tcBorders>
            <w:shd w:val="clear" w:color="auto" w:fill="auto"/>
            <w:vAlign w:val="center"/>
          </w:tcPr>
          <w:p w14:paraId="56858B6E">
            <w:pPr>
              <w:widowControl/>
              <w:jc w:val="center"/>
              <w:rPr>
                <w:rFonts w:ascii="宋体" w:hAnsi="宋体" w:cs="宋体"/>
                <w:kern w:val="0"/>
                <w:sz w:val="24"/>
                <w:szCs w:val="24"/>
              </w:rPr>
            </w:pPr>
            <w:r>
              <w:rPr>
                <w:rFonts w:hint="eastAsia" w:ascii="宋体" w:hAnsi="宋体" w:cs="宋体"/>
                <w:kern w:val="0"/>
                <w:sz w:val="24"/>
                <w:szCs w:val="24"/>
              </w:rPr>
              <w:t>实施单位</w:t>
            </w:r>
          </w:p>
        </w:tc>
        <w:tc>
          <w:tcPr>
            <w:tcW w:w="2350" w:type="dxa"/>
            <w:tcBorders>
              <w:top w:val="nil"/>
              <w:left w:val="nil"/>
              <w:bottom w:val="single" w:color="000000" w:sz="4" w:space="0"/>
              <w:right w:val="single" w:color="000000" w:sz="4" w:space="0"/>
            </w:tcBorders>
            <w:shd w:val="clear" w:color="auto" w:fill="auto"/>
            <w:vAlign w:val="center"/>
          </w:tcPr>
          <w:p w14:paraId="3E27829E">
            <w:pPr>
              <w:widowControl/>
              <w:jc w:val="center"/>
              <w:rPr>
                <w:rFonts w:ascii="宋体" w:hAnsi="宋体" w:cs="宋体"/>
                <w:color w:val="000000"/>
                <w:kern w:val="0"/>
                <w:sz w:val="24"/>
                <w:szCs w:val="24"/>
              </w:rPr>
            </w:pPr>
            <w:r>
              <w:rPr>
                <w:rFonts w:hint="eastAsia" w:ascii="宋体" w:hAnsi="宋体" w:cs="宋体"/>
                <w:color w:val="000000"/>
                <w:kern w:val="0"/>
                <w:sz w:val="24"/>
                <w:szCs w:val="24"/>
              </w:rPr>
              <w:t>南昌市青云谱区发展和改革委员会</w:t>
            </w:r>
          </w:p>
        </w:tc>
      </w:tr>
      <w:tr w14:paraId="4CA824BF">
        <w:tblPrEx>
          <w:tblCellMar>
            <w:top w:w="0" w:type="dxa"/>
            <w:left w:w="108" w:type="dxa"/>
            <w:bottom w:w="0" w:type="dxa"/>
            <w:right w:w="108" w:type="dxa"/>
          </w:tblCellMar>
        </w:tblPrEx>
        <w:trPr>
          <w:trHeight w:val="682" w:hRule="atLeast"/>
        </w:trPr>
        <w:tc>
          <w:tcPr>
            <w:tcW w:w="29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AA32CE">
            <w:pPr>
              <w:widowControl/>
              <w:jc w:val="center"/>
              <w:rPr>
                <w:rFonts w:ascii="宋体" w:hAnsi="宋体" w:cs="宋体"/>
                <w:kern w:val="0"/>
                <w:sz w:val="24"/>
                <w:szCs w:val="24"/>
              </w:rPr>
            </w:pPr>
            <w:r>
              <w:rPr>
                <w:rFonts w:hint="eastAsia" w:ascii="宋体" w:hAnsi="宋体" w:cs="宋体"/>
                <w:kern w:val="0"/>
                <w:sz w:val="24"/>
                <w:szCs w:val="24"/>
              </w:rPr>
              <w:t>项目资金</w:t>
            </w:r>
            <w:r>
              <w:rPr>
                <w:rFonts w:hint="eastAsia" w:ascii="宋体" w:hAnsi="宋体" w:cs="宋体"/>
                <w:kern w:val="0"/>
                <w:sz w:val="24"/>
                <w:szCs w:val="24"/>
              </w:rPr>
              <w:br w:type="textWrapping"/>
            </w:r>
            <w:r>
              <w:rPr>
                <w:rFonts w:hint="eastAsia" w:ascii="宋体" w:hAnsi="宋体" w:cs="宋体"/>
                <w:kern w:val="0"/>
                <w:sz w:val="24"/>
                <w:szCs w:val="24"/>
              </w:rPr>
              <w:t>（万元）</w:t>
            </w:r>
          </w:p>
        </w:tc>
        <w:tc>
          <w:tcPr>
            <w:tcW w:w="2570" w:type="dxa"/>
            <w:tcBorders>
              <w:top w:val="nil"/>
              <w:left w:val="nil"/>
              <w:bottom w:val="single" w:color="000000" w:sz="4" w:space="0"/>
              <w:right w:val="single" w:color="000000" w:sz="4" w:space="0"/>
            </w:tcBorders>
            <w:shd w:val="clear" w:color="auto" w:fill="auto"/>
            <w:vAlign w:val="center"/>
          </w:tcPr>
          <w:p w14:paraId="4FE27C70">
            <w:pPr>
              <w:widowControl/>
              <w:jc w:val="center"/>
              <w:rPr>
                <w:rFonts w:ascii="宋体" w:hAnsi="宋体" w:cs="宋体"/>
                <w:kern w:val="0"/>
                <w:sz w:val="24"/>
                <w:szCs w:val="24"/>
              </w:rPr>
            </w:pPr>
            <w:r>
              <w:rPr>
                <w:rFonts w:hint="eastAsia" w:ascii="宋体" w:hAnsi="宋体" w:cs="宋体"/>
                <w:kern w:val="0"/>
                <w:sz w:val="24"/>
                <w:szCs w:val="24"/>
              </w:rPr>
              <w:t>年度资金总额</w:t>
            </w:r>
          </w:p>
        </w:tc>
        <w:tc>
          <w:tcPr>
            <w:tcW w:w="3708" w:type="dxa"/>
            <w:gridSpan w:val="2"/>
            <w:tcBorders>
              <w:top w:val="single" w:color="000000" w:sz="4" w:space="0"/>
              <w:left w:val="nil"/>
              <w:bottom w:val="single" w:color="000000" w:sz="4" w:space="0"/>
              <w:right w:val="single" w:color="000000" w:sz="4" w:space="0"/>
            </w:tcBorders>
            <w:shd w:val="clear" w:color="auto" w:fill="auto"/>
            <w:vAlign w:val="center"/>
          </w:tcPr>
          <w:p w14:paraId="4C53D31B">
            <w:pPr>
              <w:widowControl/>
              <w:jc w:val="center"/>
              <w:rPr>
                <w:rFonts w:ascii="宋体" w:hAnsi="宋体" w:cs="宋体"/>
                <w:kern w:val="0"/>
                <w:sz w:val="24"/>
                <w:szCs w:val="24"/>
              </w:rPr>
            </w:pPr>
            <w:r>
              <w:rPr>
                <w:rFonts w:hint="eastAsia" w:ascii="宋体" w:hAnsi="宋体" w:cs="宋体"/>
                <w:kern w:val="0"/>
                <w:sz w:val="24"/>
                <w:szCs w:val="24"/>
              </w:rPr>
              <w:t>170</w:t>
            </w:r>
          </w:p>
        </w:tc>
      </w:tr>
      <w:tr w14:paraId="2B7C3851">
        <w:tblPrEx>
          <w:tblCellMar>
            <w:top w:w="0" w:type="dxa"/>
            <w:left w:w="108" w:type="dxa"/>
            <w:bottom w:w="0" w:type="dxa"/>
            <w:right w:w="108" w:type="dxa"/>
          </w:tblCellMar>
        </w:tblPrEx>
        <w:trPr>
          <w:trHeight w:val="682" w:hRule="atLeast"/>
        </w:trPr>
        <w:tc>
          <w:tcPr>
            <w:tcW w:w="295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A10A45E">
            <w:pPr>
              <w:widowControl/>
              <w:jc w:val="left"/>
              <w:rPr>
                <w:rFonts w:ascii="宋体" w:hAnsi="宋体" w:cs="宋体"/>
                <w:kern w:val="0"/>
                <w:sz w:val="24"/>
                <w:szCs w:val="24"/>
              </w:rPr>
            </w:pPr>
          </w:p>
        </w:tc>
        <w:tc>
          <w:tcPr>
            <w:tcW w:w="2570" w:type="dxa"/>
            <w:tcBorders>
              <w:top w:val="nil"/>
              <w:left w:val="nil"/>
              <w:bottom w:val="single" w:color="000000" w:sz="4" w:space="0"/>
              <w:right w:val="single" w:color="000000" w:sz="4" w:space="0"/>
            </w:tcBorders>
            <w:shd w:val="clear" w:color="auto" w:fill="auto"/>
            <w:vAlign w:val="center"/>
          </w:tcPr>
          <w:p w14:paraId="16BAF6CC">
            <w:pPr>
              <w:widowControl/>
              <w:jc w:val="center"/>
              <w:rPr>
                <w:rFonts w:ascii="宋体" w:hAnsi="宋体" w:cs="宋体"/>
                <w:kern w:val="0"/>
                <w:sz w:val="24"/>
                <w:szCs w:val="24"/>
              </w:rPr>
            </w:pPr>
            <w:r>
              <w:rPr>
                <w:rFonts w:hint="eastAsia" w:ascii="宋体" w:hAnsi="宋体" w:cs="宋体"/>
                <w:kern w:val="0"/>
                <w:sz w:val="24"/>
                <w:szCs w:val="24"/>
              </w:rPr>
              <w:t>其中：财政拨款</w:t>
            </w:r>
          </w:p>
        </w:tc>
        <w:tc>
          <w:tcPr>
            <w:tcW w:w="3708" w:type="dxa"/>
            <w:gridSpan w:val="2"/>
            <w:tcBorders>
              <w:top w:val="single" w:color="000000" w:sz="4" w:space="0"/>
              <w:left w:val="nil"/>
              <w:bottom w:val="single" w:color="000000" w:sz="4" w:space="0"/>
              <w:right w:val="single" w:color="000000" w:sz="4" w:space="0"/>
            </w:tcBorders>
            <w:shd w:val="clear" w:color="auto" w:fill="auto"/>
            <w:vAlign w:val="center"/>
          </w:tcPr>
          <w:p w14:paraId="1A54B4D3">
            <w:pPr>
              <w:widowControl/>
              <w:jc w:val="center"/>
              <w:rPr>
                <w:rFonts w:ascii="宋体" w:hAnsi="宋体" w:cs="宋体"/>
                <w:kern w:val="0"/>
                <w:sz w:val="24"/>
                <w:szCs w:val="24"/>
              </w:rPr>
            </w:pPr>
            <w:r>
              <w:rPr>
                <w:rFonts w:hint="eastAsia" w:ascii="宋体" w:hAnsi="宋体" w:cs="宋体"/>
                <w:kern w:val="0"/>
                <w:sz w:val="24"/>
                <w:szCs w:val="24"/>
              </w:rPr>
              <w:t>170</w:t>
            </w:r>
          </w:p>
        </w:tc>
      </w:tr>
      <w:tr w14:paraId="34A88756">
        <w:tblPrEx>
          <w:tblCellMar>
            <w:top w:w="0" w:type="dxa"/>
            <w:left w:w="108" w:type="dxa"/>
            <w:bottom w:w="0" w:type="dxa"/>
            <w:right w:w="108" w:type="dxa"/>
          </w:tblCellMar>
        </w:tblPrEx>
        <w:trPr>
          <w:trHeight w:val="682" w:hRule="atLeast"/>
        </w:trPr>
        <w:tc>
          <w:tcPr>
            <w:tcW w:w="295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1F61FA2">
            <w:pPr>
              <w:widowControl/>
              <w:jc w:val="left"/>
              <w:rPr>
                <w:rFonts w:ascii="宋体" w:hAnsi="宋体" w:cs="宋体"/>
                <w:kern w:val="0"/>
                <w:sz w:val="24"/>
                <w:szCs w:val="24"/>
              </w:rPr>
            </w:pPr>
          </w:p>
        </w:tc>
        <w:tc>
          <w:tcPr>
            <w:tcW w:w="2570" w:type="dxa"/>
            <w:tcBorders>
              <w:top w:val="nil"/>
              <w:left w:val="nil"/>
              <w:bottom w:val="single" w:color="000000" w:sz="4" w:space="0"/>
              <w:right w:val="single" w:color="000000" w:sz="4" w:space="0"/>
            </w:tcBorders>
            <w:shd w:val="clear" w:color="auto" w:fill="auto"/>
            <w:vAlign w:val="center"/>
          </w:tcPr>
          <w:p w14:paraId="0342DFA5">
            <w:pPr>
              <w:widowControl/>
              <w:jc w:val="center"/>
              <w:rPr>
                <w:rFonts w:ascii="宋体" w:hAnsi="宋体" w:cs="宋体"/>
                <w:color w:val="000000"/>
                <w:kern w:val="0"/>
                <w:sz w:val="24"/>
                <w:szCs w:val="24"/>
              </w:rPr>
            </w:pPr>
            <w:r>
              <w:rPr>
                <w:rFonts w:hint="eastAsia" w:ascii="宋体" w:hAnsi="宋体" w:cs="宋体"/>
                <w:color w:val="000000"/>
                <w:kern w:val="0"/>
                <w:sz w:val="24"/>
                <w:szCs w:val="24"/>
              </w:rPr>
              <w:t>其他资金</w:t>
            </w:r>
          </w:p>
        </w:tc>
        <w:tc>
          <w:tcPr>
            <w:tcW w:w="3708" w:type="dxa"/>
            <w:gridSpan w:val="2"/>
            <w:tcBorders>
              <w:top w:val="single" w:color="000000" w:sz="4" w:space="0"/>
              <w:left w:val="nil"/>
              <w:bottom w:val="single" w:color="000000" w:sz="4" w:space="0"/>
              <w:right w:val="single" w:color="000000" w:sz="4" w:space="0"/>
            </w:tcBorders>
            <w:shd w:val="clear" w:color="auto" w:fill="auto"/>
            <w:vAlign w:val="center"/>
          </w:tcPr>
          <w:p w14:paraId="198BB9C2">
            <w:pPr>
              <w:widowControl/>
              <w:jc w:val="center"/>
              <w:rPr>
                <w:rFonts w:ascii="宋体" w:hAnsi="宋体" w:cs="宋体"/>
                <w:color w:val="000000"/>
                <w:kern w:val="0"/>
                <w:sz w:val="24"/>
                <w:szCs w:val="24"/>
              </w:rPr>
            </w:pPr>
            <w:r>
              <w:rPr>
                <w:rFonts w:hint="eastAsia" w:ascii="宋体" w:hAnsi="宋体" w:cs="宋体"/>
                <w:color w:val="000000"/>
                <w:kern w:val="0"/>
                <w:sz w:val="24"/>
                <w:szCs w:val="24"/>
              </w:rPr>
              <w:t>0</w:t>
            </w:r>
          </w:p>
        </w:tc>
      </w:tr>
      <w:tr w14:paraId="7B482266">
        <w:tblPrEx>
          <w:tblCellMar>
            <w:top w:w="0" w:type="dxa"/>
            <w:left w:w="108" w:type="dxa"/>
            <w:bottom w:w="0" w:type="dxa"/>
            <w:right w:w="108" w:type="dxa"/>
          </w:tblCellMar>
        </w:tblPrEx>
        <w:trPr>
          <w:trHeight w:val="682" w:hRule="atLeast"/>
        </w:trPr>
        <w:tc>
          <w:tcPr>
            <w:tcW w:w="295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51CBF18">
            <w:pPr>
              <w:widowControl/>
              <w:jc w:val="left"/>
              <w:rPr>
                <w:rFonts w:ascii="宋体" w:hAnsi="宋体" w:cs="宋体"/>
                <w:kern w:val="0"/>
                <w:sz w:val="24"/>
                <w:szCs w:val="24"/>
              </w:rPr>
            </w:pPr>
          </w:p>
        </w:tc>
        <w:tc>
          <w:tcPr>
            <w:tcW w:w="2570" w:type="dxa"/>
            <w:tcBorders>
              <w:top w:val="nil"/>
              <w:left w:val="nil"/>
              <w:bottom w:val="single" w:color="000000" w:sz="4" w:space="0"/>
              <w:right w:val="single" w:color="000000" w:sz="4" w:space="0"/>
            </w:tcBorders>
            <w:shd w:val="clear" w:color="auto" w:fill="auto"/>
            <w:vAlign w:val="center"/>
          </w:tcPr>
          <w:p w14:paraId="4757B8A2">
            <w:pPr>
              <w:widowControl/>
              <w:jc w:val="center"/>
              <w:rPr>
                <w:rFonts w:ascii="宋体" w:hAnsi="宋体" w:cs="宋体"/>
                <w:color w:val="000000"/>
                <w:kern w:val="0"/>
                <w:sz w:val="24"/>
                <w:szCs w:val="24"/>
              </w:rPr>
            </w:pPr>
            <w:r>
              <w:rPr>
                <w:rFonts w:hint="eastAsia" w:ascii="宋体" w:hAnsi="宋体" w:cs="宋体"/>
                <w:color w:val="000000"/>
                <w:kern w:val="0"/>
                <w:sz w:val="24"/>
                <w:szCs w:val="24"/>
              </w:rPr>
              <w:t>上年结转</w:t>
            </w:r>
          </w:p>
        </w:tc>
        <w:tc>
          <w:tcPr>
            <w:tcW w:w="3708" w:type="dxa"/>
            <w:gridSpan w:val="2"/>
            <w:tcBorders>
              <w:top w:val="single" w:color="000000" w:sz="4" w:space="0"/>
              <w:left w:val="nil"/>
              <w:bottom w:val="single" w:color="000000" w:sz="4" w:space="0"/>
              <w:right w:val="single" w:color="000000" w:sz="4" w:space="0"/>
            </w:tcBorders>
            <w:shd w:val="clear" w:color="auto" w:fill="auto"/>
            <w:vAlign w:val="center"/>
          </w:tcPr>
          <w:p w14:paraId="0982F081">
            <w:pPr>
              <w:widowControl/>
              <w:jc w:val="center"/>
              <w:rPr>
                <w:rFonts w:ascii="宋体" w:hAnsi="宋体" w:cs="宋体"/>
                <w:kern w:val="0"/>
                <w:sz w:val="24"/>
                <w:szCs w:val="24"/>
              </w:rPr>
            </w:pPr>
            <w:r>
              <w:rPr>
                <w:rFonts w:hint="eastAsia" w:ascii="宋体" w:hAnsi="宋体" w:cs="宋体"/>
                <w:kern w:val="0"/>
                <w:sz w:val="24"/>
                <w:szCs w:val="24"/>
              </w:rPr>
              <w:t>0</w:t>
            </w:r>
          </w:p>
        </w:tc>
      </w:tr>
      <w:tr w14:paraId="0B4DDE52">
        <w:tblPrEx>
          <w:tblCellMar>
            <w:top w:w="0" w:type="dxa"/>
            <w:left w:w="108" w:type="dxa"/>
            <w:bottom w:w="0" w:type="dxa"/>
            <w:right w:w="108" w:type="dxa"/>
          </w:tblCellMar>
        </w:tblPrEx>
        <w:trPr>
          <w:trHeight w:val="571" w:hRule="atLeast"/>
        </w:trPr>
        <w:tc>
          <w:tcPr>
            <w:tcW w:w="923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50C7B">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年度绩效目标</w:t>
            </w:r>
          </w:p>
        </w:tc>
      </w:tr>
      <w:tr w14:paraId="7A33AC1C">
        <w:tblPrEx>
          <w:tblCellMar>
            <w:top w:w="0" w:type="dxa"/>
            <w:left w:w="108" w:type="dxa"/>
            <w:bottom w:w="0" w:type="dxa"/>
            <w:right w:w="108" w:type="dxa"/>
          </w:tblCellMar>
        </w:tblPrEx>
        <w:trPr>
          <w:trHeight w:val="2934" w:hRule="atLeast"/>
        </w:trPr>
        <w:tc>
          <w:tcPr>
            <w:tcW w:w="92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F131A6">
            <w:pPr>
              <w:widowControl/>
              <w:jc w:val="center"/>
              <w:rPr>
                <w:rFonts w:ascii="宋体" w:hAnsi="宋体" w:cs="宋体"/>
                <w:color w:val="000000"/>
                <w:kern w:val="0"/>
                <w:sz w:val="24"/>
                <w:szCs w:val="24"/>
              </w:rPr>
            </w:pPr>
            <w:r>
              <w:rPr>
                <w:rFonts w:hint="eastAsia" w:ascii="宋体" w:hAnsi="宋体" w:cs="宋体"/>
                <w:color w:val="000000"/>
                <w:kern w:val="0"/>
                <w:sz w:val="24"/>
                <w:szCs w:val="24"/>
              </w:rPr>
              <w:t>争取上级资金扶持，服务全区项目高质量发展</w:t>
            </w:r>
          </w:p>
        </w:tc>
      </w:tr>
      <w:tr w14:paraId="15BBCA8A">
        <w:tblPrEx>
          <w:tblCellMar>
            <w:top w:w="0" w:type="dxa"/>
            <w:left w:w="108" w:type="dxa"/>
            <w:bottom w:w="0" w:type="dxa"/>
            <w:right w:w="108" w:type="dxa"/>
          </w:tblCellMar>
        </w:tblPrEx>
        <w:trPr>
          <w:trHeight w:val="571" w:hRule="atLeast"/>
        </w:trPr>
        <w:tc>
          <w:tcPr>
            <w:tcW w:w="1248" w:type="dxa"/>
            <w:tcBorders>
              <w:top w:val="nil"/>
              <w:left w:val="single" w:color="000000" w:sz="4" w:space="0"/>
              <w:bottom w:val="single" w:color="000000" w:sz="4" w:space="0"/>
              <w:right w:val="single" w:color="000000" w:sz="4" w:space="0"/>
            </w:tcBorders>
            <w:shd w:val="clear" w:color="auto" w:fill="auto"/>
            <w:vAlign w:val="center"/>
          </w:tcPr>
          <w:p w14:paraId="3F0C0B1F">
            <w:pPr>
              <w:widowControl/>
              <w:jc w:val="center"/>
              <w:rPr>
                <w:rFonts w:ascii="宋体" w:hAnsi="宋体" w:cs="宋体"/>
                <w:b/>
                <w:bCs/>
                <w:kern w:val="0"/>
                <w:sz w:val="24"/>
                <w:szCs w:val="24"/>
              </w:rPr>
            </w:pPr>
            <w:r>
              <w:rPr>
                <w:rFonts w:hint="eastAsia" w:ascii="宋体" w:hAnsi="宋体" w:cs="宋体"/>
                <w:b/>
                <w:bCs/>
                <w:kern w:val="0"/>
                <w:sz w:val="24"/>
                <w:szCs w:val="24"/>
              </w:rPr>
              <w:t>一级指标</w:t>
            </w:r>
          </w:p>
        </w:tc>
        <w:tc>
          <w:tcPr>
            <w:tcW w:w="1707" w:type="dxa"/>
            <w:tcBorders>
              <w:top w:val="nil"/>
              <w:left w:val="nil"/>
              <w:bottom w:val="single" w:color="000000" w:sz="4" w:space="0"/>
              <w:right w:val="single" w:color="000000" w:sz="4" w:space="0"/>
            </w:tcBorders>
            <w:shd w:val="clear" w:color="auto" w:fill="auto"/>
            <w:vAlign w:val="center"/>
          </w:tcPr>
          <w:p w14:paraId="3C967E22">
            <w:pPr>
              <w:widowControl/>
              <w:jc w:val="center"/>
              <w:rPr>
                <w:rFonts w:ascii="宋体" w:hAnsi="宋体" w:cs="宋体"/>
                <w:b/>
                <w:bCs/>
                <w:kern w:val="0"/>
                <w:sz w:val="24"/>
                <w:szCs w:val="24"/>
              </w:rPr>
            </w:pPr>
            <w:r>
              <w:rPr>
                <w:rFonts w:hint="eastAsia" w:ascii="宋体" w:hAnsi="宋体" w:cs="宋体"/>
                <w:b/>
                <w:bCs/>
                <w:kern w:val="0"/>
                <w:sz w:val="24"/>
                <w:szCs w:val="24"/>
              </w:rPr>
              <w:t>二级指标</w:t>
            </w:r>
          </w:p>
        </w:tc>
        <w:tc>
          <w:tcPr>
            <w:tcW w:w="3928" w:type="dxa"/>
            <w:gridSpan w:val="2"/>
            <w:tcBorders>
              <w:top w:val="single" w:color="000000" w:sz="4" w:space="0"/>
              <w:left w:val="nil"/>
              <w:bottom w:val="single" w:color="000000" w:sz="4" w:space="0"/>
              <w:right w:val="single" w:color="000000" w:sz="4" w:space="0"/>
            </w:tcBorders>
            <w:shd w:val="clear" w:color="auto" w:fill="auto"/>
            <w:vAlign w:val="center"/>
          </w:tcPr>
          <w:p w14:paraId="20B10836">
            <w:pPr>
              <w:widowControl/>
              <w:jc w:val="center"/>
              <w:rPr>
                <w:rFonts w:ascii="宋体" w:hAnsi="宋体" w:cs="宋体"/>
                <w:b/>
                <w:bCs/>
                <w:kern w:val="0"/>
                <w:sz w:val="24"/>
                <w:szCs w:val="24"/>
              </w:rPr>
            </w:pPr>
            <w:r>
              <w:rPr>
                <w:rFonts w:hint="eastAsia" w:ascii="宋体" w:hAnsi="宋体" w:cs="宋体"/>
                <w:b/>
                <w:bCs/>
                <w:kern w:val="0"/>
                <w:sz w:val="24"/>
                <w:szCs w:val="24"/>
              </w:rPr>
              <w:t>三级指标</w:t>
            </w:r>
          </w:p>
        </w:tc>
        <w:tc>
          <w:tcPr>
            <w:tcW w:w="2350" w:type="dxa"/>
            <w:tcBorders>
              <w:top w:val="nil"/>
              <w:left w:val="nil"/>
              <w:bottom w:val="single" w:color="000000" w:sz="4" w:space="0"/>
              <w:right w:val="single" w:color="000000" w:sz="4" w:space="0"/>
            </w:tcBorders>
            <w:shd w:val="clear" w:color="auto" w:fill="auto"/>
            <w:vAlign w:val="center"/>
          </w:tcPr>
          <w:p w14:paraId="344A994F">
            <w:pPr>
              <w:widowControl/>
              <w:jc w:val="center"/>
              <w:rPr>
                <w:rFonts w:ascii="宋体" w:hAnsi="宋体" w:cs="宋体"/>
                <w:b/>
                <w:bCs/>
                <w:kern w:val="0"/>
                <w:sz w:val="24"/>
                <w:szCs w:val="24"/>
              </w:rPr>
            </w:pPr>
            <w:r>
              <w:rPr>
                <w:rFonts w:hint="eastAsia" w:ascii="宋体" w:hAnsi="宋体" w:cs="宋体"/>
                <w:b/>
                <w:bCs/>
                <w:kern w:val="0"/>
                <w:sz w:val="24"/>
                <w:szCs w:val="24"/>
              </w:rPr>
              <w:t>指标值</w:t>
            </w:r>
          </w:p>
        </w:tc>
      </w:tr>
      <w:tr w14:paraId="6B5986D5">
        <w:tblPrEx>
          <w:tblCellMar>
            <w:top w:w="0" w:type="dxa"/>
            <w:left w:w="108" w:type="dxa"/>
            <w:bottom w:w="0" w:type="dxa"/>
            <w:right w:w="108" w:type="dxa"/>
          </w:tblCellMar>
        </w:tblPrEx>
        <w:trPr>
          <w:trHeight w:val="682" w:hRule="atLeast"/>
        </w:trPr>
        <w:tc>
          <w:tcPr>
            <w:tcW w:w="1248" w:type="dxa"/>
            <w:tcBorders>
              <w:top w:val="nil"/>
              <w:left w:val="single" w:color="000000" w:sz="4" w:space="0"/>
              <w:bottom w:val="single" w:color="000000" w:sz="4" w:space="0"/>
              <w:right w:val="single" w:color="000000" w:sz="4" w:space="0"/>
            </w:tcBorders>
            <w:shd w:val="clear" w:color="auto" w:fill="auto"/>
            <w:vAlign w:val="center"/>
          </w:tcPr>
          <w:p w14:paraId="51C94921">
            <w:pPr>
              <w:widowControl/>
              <w:jc w:val="center"/>
              <w:rPr>
                <w:rFonts w:ascii="宋体" w:hAnsi="宋体" w:cs="宋体"/>
                <w:color w:val="000000"/>
                <w:kern w:val="0"/>
                <w:sz w:val="24"/>
                <w:szCs w:val="24"/>
              </w:rPr>
            </w:pPr>
            <w:r>
              <w:rPr>
                <w:rFonts w:hint="eastAsia" w:ascii="宋体" w:hAnsi="宋体" w:cs="宋体"/>
                <w:color w:val="000000"/>
                <w:kern w:val="0"/>
                <w:sz w:val="24"/>
                <w:szCs w:val="24"/>
              </w:rPr>
              <w:t>成本指标</w:t>
            </w:r>
          </w:p>
        </w:tc>
        <w:tc>
          <w:tcPr>
            <w:tcW w:w="1707" w:type="dxa"/>
            <w:tcBorders>
              <w:top w:val="nil"/>
              <w:left w:val="nil"/>
              <w:bottom w:val="single" w:color="000000" w:sz="4" w:space="0"/>
              <w:right w:val="single" w:color="000000" w:sz="4" w:space="0"/>
            </w:tcBorders>
            <w:shd w:val="clear" w:color="auto" w:fill="auto"/>
            <w:vAlign w:val="center"/>
          </w:tcPr>
          <w:p w14:paraId="6224F271">
            <w:pPr>
              <w:widowControl/>
              <w:jc w:val="center"/>
              <w:rPr>
                <w:rFonts w:ascii="宋体" w:hAnsi="宋体" w:cs="宋体"/>
                <w:kern w:val="0"/>
                <w:sz w:val="24"/>
                <w:szCs w:val="24"/>
              </w:rPr>
            </w:pPr>
            <w:r>
              <w:rPr>
                <w:rFonts w:hint="eastAsia" w:ascii="宋体" w:hAnsi="宋体" w:cs="宋体"/>
                <w:kern w:val="0"/>
                <w:sz w:val="24"/>
                <w:szCs w:val="24"/>
              </w:rPr>
              <w:t>经济成本指标</w:t>
            </w:r>
          </w:p>
        </w:tc>
        <w:tc>
          <w:tcPr>
            <w:tcW w:w="3928" w:type="dxa"/>
            <w:gridSpan w:val="2"/>
            <w:tcBorders>
              <w:top w:val="single" w:color="000000" w:sz="4" w:space="0"/>
              <w:left w:val="nil"/>
              <w:bottom w:val="single" w:color="000000" w:sz="4" w:space="0"/>
              <w:right w:val="single" w:color="000000" w:sz="4" w:space="0"/>
            </w:tcBorders>
            <w:shd w:val="clear" w:color="auto" w:fill="auto"/>
            <w:vAlign w:val="center"/>
          </w:tcPr>
          <w:p w14:paraId="5B51A914">
            <w:pPr>
              <w:widowControl/>
              <w:jc w:val="center"/>
              <w:rPr>
                <w:rFonts w:ascii="宋体" w:hAnsi="宋体" w:cs="宋体"/>
                <w:color w:val="000000"/>
                <w:kern w:val="0"/>
                <w:sz w:val="24"/>
                <w:szCs w:val="24"/>
              </w:rPr>
            </w:pPr>
            <w:r>
              <w:rPr>
                <w:rFonts w:hint="eastAsia" w:ascii="宋体" w:hAnsi="宋体" w:cs="宋体"/>
                <w:color w:val="000000"/>
                <w:kern w:val="0"/>
                <w:sz w:val="24"/>
                <w:szCs w:val="24"/>
              </w:rPr>
              <w:t>资金使用率</w:t>
            </w:r>
          </w:p>
        </w:tc>
        <w:tc>
          <w:tcPr>
            <w:tcW w:w="2350" w:type="dxa"/>
            <w:tcBorders>
              <w:top w:val="nil"/>
              <w:left w:val="nil"/>
              <w:bottom w:val="single" w:color="000000" w:sz="4" w:space="0"/>
              <w:right w:val="single" w:color="000000" w:sz="4" w:space="0"/>
            </w:tcBorders>
            <w:shd w:val="clear" w:color="auto" w:fill="auto"/>
            <w:vAlign w:val="center"/>
          </w:tcPr>
          <w:p w14:paraId="21EF5A64">
            <w:pPr>
              <w:widowControl/>
              <w:jc w:val="center"/>
              <w:rPr>
                <w:rFonts w:ascii="宋体" w:hAnsi="宋体" w:cs="宋体"/>
                <w:color w:val="000000"/>
                <w:kern w:val="0"/>
                <w:sz w:val="24"/>
                <w:szCs w:val="24"/>
              </w:rPr>
            </w:pPr>
            <w:r>
              <w:rPr>
                <w:rFonts w:hint="eastAsia" w:ascii="宋体" w:hAnsi="宋体" w:cs="宋体"/>
                <w:color w:val="000000"/>
                <w:kern w:val="0"/>
                <w:sz w:val="24"/>
                <w:szCs w:val="24"/>
              </w:rPr>
              <w:t>≥90%</w:t>
            </w:r>
          </w:p>
        </w:tc>
      </w:tr>
      <w:tr w14:paraId="783C1C2D">
        <w:tblPrEx>
          <w:tblCellMar>
            <w:top w:w="0" w:type="dxa"/>
            <w:left w:w="108" w:type="dxa"/>
            <w:bottom w:w="0" w:type="dxa"/>
            <w:right w:w="108" w:type="dxa"/>
          </w:tblCellMar>
        </w:tblPrEx>
        <w:trPr>
          <w:trHeight w:val="682" w:hRule="atLeast"/>
        </w:trPr>
        <w:tc>
          <w:tcPr>
            <w:tcW w:w="1248" w:type="dxa"/>
            <w:vMerge w:val="restart"/>
            <w:tcBorders>
              <w:top w:val="nil"/>
              <w:left w:val="single" w:color="000000" w:sz="4" w:space="0"/>
              <w:bottom w:val="single" w:color="000000" w:sz="4" w:space="0"/>
              <w:right w:val="single" w:color="000000" w:sz="4" w:space="0"/>
            </w:tcBorders>
            <w:shd w:val="clear" w:color="auto" w:fill="auto"/>
            <w:vAlign w:val="center"/>
          </w:tcPr>
          <w:p w14:paraId="6D4F60A2">
            <w:pPr>
              <w:widowControl/>
              <w:jc w:val="center"/>
              <w:rPr>
                <w:rFonts w:ascii="宋体" w:hAnsi="宋体" w:cs="宋体"/>
                <w:color w:val="000000"/>
                <w:kern w:val="0"/>
                <w:sz w:val="24"/>
                <w:szCs w:val="24"/>
              </w:rPr>
            </w:pPr>
            <w:r>
              <w:rPr>
                <w:rFonts w:hint="eastAsia" w:ascii="宋体" w:hAnsi="宋体" w:cs="宋体"/>
                <w:color w:val="000000"/>
                <w:kern w:val="0"/>
                <w:sz w:val="24"/>
                <w:szCs w:val="24"/>
              </w:rPr>
              <w:t>产出指标</w:t>
            </w:r>
          </w:p>
        </w:tc>
        <w:tc>
          <w:tcPr>
            <w:tcW w:w="1707" w:type="dxa"/>
            <w:tcBorders>
              <w:top w:val="nil"/>
              <w:left w:val="nil"/>
              <w:bottom w:val="single" w:color="000000" w:sz="4" w:space="0"/>
              <w:right w:val="single" w:color="000000" w:sz="4" w:space="0"/>
            </w:tcBorders>
            <w:shd w:val="clear" w:color="auto" w:fill="auto"/>
            <w:vAlign w:val="center"/>
          </w:tcPr>
          <w:p w14:paraId="04369E8E">
            <w:pPr>
              <w:widowControl/>
              <w:jc w:val="center"/>
              <w:rPr>
                <w:rFonts w:ascii="宋体" w:hAnsi="宋体" w:cs="宋体"/>
                <w:kern w:val="0"/>
                <w:sz w:val="24"/>
                <w:szCs w:val="24"/>
              </w:rPr>
            </w:pPr>
            <w:r>
              <w:rPr>
                <w:rFonts w:hint="eastAsia" w:ascii="宋体" w:hAnsi="宋体" w:cs="宋体"/>
                <w:kern w:val="0"/>
                <w:sz w:val="24"/>
                <w:szCs w:val="24"/>
              </w:rPr>
              <w:t>数量指标</w:t>
            </w:r>
          </w:p>
        </w:tc>
        <w:tc>
          <w:tcPr>
            <w:tcW w:w="3928" w:type="dxa"/>
            <w:gridSpan w:val="2"/>
            <w:tcBorders>
              <w:top w:val="single" w:color="000000" w:sz="4" w:space="0"/>
              <w:left w:val="nil"/>
              <w:bottom w:val="single" w:color="000000" w:sz="4" w:space="0"/>
              <w:right w:val="single" w:color="000000" w:sz="4" w:space="0"/>
            </w:tcBorders>
            <w:shd w:val="clear" w:color="auto" w:fill="auto"/>
            <w:vAlign w:val="center"/>
          </w:tcPr>
          <w:p w14:paraId="6CFD8C0D">
            <w:pPr>
              <w:widowControl/>
              <w:jc w:val="center"/>
              <w:rPr>
                <w:rFonts w:ascii="宋体" w:hAnsi="宋体" w:cs="宋体"/>
                <w:color w:val="000000"/>
                <w:kern w:val="0"/>
                <w:sz w:val="24"/>
                <w:szCs w:val="24"/>
              </w:rPr>
            </w:pPr>
            <w:r>
              <w:rPr>
                <w:rFonts w:hint="eastAsia" w:ascii="宋体" w:hAnsi="宋体" w:cs="宋体"/>
                <w:color w:val="000000"/>
                <w:kern w:val="0"/>
                <w:sz w:val="24"/>
                <w:szCs w:val="24"/>
              </w:rPr>
              <w:t>项目次数</w:t>
            </w:r>
          </w:p>
        </w:tc>
        <w:tc>
          <w:tcPr>
            <w:tcW w:w="2350" w:type="dxa"/>
            <w:tcBorders>
              <w:top w:val="nil"/>
              <w:left w:val="nil"/>
              <w:bottom w:val="single" w:color="000000" w:sz="4" w:space="0"/>
              <w:right w:val="single" w:color="000000" w:sz="4" w:space="0"/>
            </w:tcBorders>
            <w:shd w:val="clear" w:color="auto" w:fill="auto"/>
            <w:vAlign w:val="center"/>
          </w:tcPr>
          <w:p w14:paraId="6C8AE9EF">
            <w:pPr>
              <w:widowControl/>
              <w:jc w:val="center"/>
              <w:rPr>
                <w:rFonts w:ascii="宋体" w:hAnsi="宋体" w:cs="宋体"/>
                <w:color w:val="000000"/>
                <w:kern w:val="0"/>
                <w:sz w:val="24"/>
                <w:szCs w:val="24"/>
              </w:rPr>
            </w:pPr>
            <w:r>
              <w:rPr>
                <w:rFonts w:hint="eastAsia" w:ascii="宋体" w:hAnsi="宋体" w:cs="宋体"/>
                <w:color w:val="000000"/>
                <w:kern w:val="0"/>
                <w:sz w:val="24"/>
                <w:szCs w:val="24"/>
              </w:rPr>
              <w:t>≥5次</w:t>
            </w:r>
          </w:p>
        </w:tc>
      </w:tr>
      <w:tr w14:paraId="68FC55D6">
        <w:tblPrEx>
          <w:tblCellMar>
            <w:top w:w="0" w:type="dxa"/>
            <w:left w:w="108" w:type="dxa"/>
            <w:bottom w:w="0" w:type="dxa"/>
            <w:right w:w="108" w:type="dxa"/>
          </w:tblCellMar>
        </w:tblPrEx>
        <w:trPr>
          <w:trHeight w:val="682" w:hRule="atLeast"/>
        </w:trPr>
        <w:tc>
          <w:tcPr>
            <w:tcW w:w="1248" w:type="dxa"/>
            <w:vMerge w:val="continue"/>
            <w:tcBorders>
              <w:top w:val="nil"/>
              <w:left w:val="single" w:color="000000" w:sz="4" w:space="0"/>
              <w:bottom w:val="single" w:color="000000" w:sz="4" w:space="0"/>
              <w:right w:val="single" w:color="000000" w:sz="4" w:space="0"/>
            </w:tcBorders>
            <w:vAlign w:val="center"/>
          </w:tcPr>
          <w:p w14:paraId="00AA87FA">
            <w:pPr>
              <w:widowControl/>
              <w:jc w:val="left"/>
              <w:rPr>
                <w:rFonts w:ascii="宋体" w:hAnsi="宋体" w:cs="宋体"/>
                <w:color w:val="000000"/>
                <w:kern w:val="0"/>
                <w:sz w:val="24"/>
                <w:szCs w:val="24"/>
              </w:rPr>
            </w:pPr>
          </w:p>
        </w:tc>
        <w:tc>
          <w:tcPr>
            <w:tcW w:w="1707" w:type="dxa"/>
            <w:tcBorders>
              <w:top w:val="nil"/>
              <w:left w:val="nil"/>
              <w:bottom w:val="single" w:color="000000" w:sz="4" w:space="0"/>
              <w:right w:val="single" w:color="000000" w:sz="4" w:space="0"/>
            </w:tcBorders>
            <w:shd w:val="clear" w:color="auto" w:fill="auto"/>
            <w:vAlign w:val="center"/>
          </w:tcPr>
          <w:p w14:paraId="19A54A75">
            <w:pPr>
              <w:widowControl/>
              <w:jc w:val="center"/>
              <w:rPr>
                <w:rFonts w:ascii="宋体" w:hAnsi="宋体" w:cs="宋体"/>
                <w:kern w:val="0"/>
                <w:sz w:val="24"/>
                <w:szCs w:val="24"/>
              </w:rPr>
            </w:pPr>
            <w:r>
              <w:rPr>
                <w:rFonts w:hint="eastAsia" w:ascii="宋体" w:hAnsi="宋体" w:cs="宋体"/>
                <w:kern w:val="0"/>
                <w:sz w:val="24"/>
                <w:szCs w:val="24"/>
              </w:rPr>
              <w:t>质量指标</w:t>
            </w:r>
          </w:p>
        </w:tc>
        <w:tc>
          <w:tcPr>
            <w:tcW w:w="3928" w:type="dxa"/>
            <w:gridSpan w:val="2"/>
            <w:tcBorders>
              <w:top w:val="single" w:color="000000" w:sz="4" w:space="0"/>
              <w:left w:val="nil"/>
              <w:bottom w:val="single" w:color="000000" w:sz="4" w:space="0"/>
              <w:right w:val="single" w:color="000000" w:sz="4" w:space="0"/>
            </w:tcBorders>
            <w:shd w:val="clear" w:color="auto" w:fill="auto"/>
            <w:vAlign w:val="center"/>
          </w:tcPr>
          <w:p w14:paraId="6F385949">
            <w:pPr>
              <w:widowControl/>
              <w:jc w:val="center"/>
              <w:rPr>
                <w:rFonts w:ascii="宋体" w:hAnsi="宋体" w:cs="宋体"/>
                <w:color w:val="000000"/>
                <w:kern w:val="0"/>
                <w:sz w:val="24"/>
                <w:szCs w:val="24"/>
              </w:rPr>
            </w:pPr>
            <w:r>
              <w:rPr>
                <w:rFonts w:hint="eastAsia" w:ascii="宋体" w:hAnsi="宋体" w:cs="宋体"/>
                <w:color w:val="000000"/>
                <w:kern w:val="0"/>
                <w:sz w:val="24"/>
                <w:szCs w:val="24"/>
              </w:rPr>
              <w:t>项目达标率</w:t>
            </w:r>
          </w:p>
        </w:tc>
        <w:tc>
          <w:tcPr>
            <w:tcW w:w="2350" w:type="dxa"/>
            <w:tcBorders>
              <w:top w:val="nil"/>
              <w:left w:val="nil"/>
              <w:bottom w:val="single" w:color="000000" w:sz="4" w:space="0"/>
              <w:right w:val="single" w:color="000000" w:sz="4" w:space="0"/>
            </w:tcBorders>
            <w:shd w:val="clear" w:color="auto" w:fill="auto"/>
            <w:vAlign w:val="center"/>
          </w:tcPr>
          <w:p w14:paraId="1438473B">
            <w:pPr>
              <w:widowControl/>
              <w:jc w:val="center"/>
              <w:rPr>
                <w:rFonts w:ascii="宋体" w:hAnsi="宋体" w:cs="宋体"/>
                <w:color w:val="000000"/>
                <w:kern w:val="0"/>
                <w:sz w:val="24"/>
                <w:szCs w:val="24"/>
              </w:rPr>
            </w:pPr>
            <w:r>
              <w:rPr>
                <w:rFonts w:hint="eastAsia" w:ascii="宋体" w:hAnsi="宋体" w:cs="宋体"/>
                <w:color w:val="000000"/>
                <w:kern w:val="0"/>
                <w:sz w:val="24"/>
                <w:szCs w:val="24"/>
              </w:rPr>
              <w:t>≥95%</w:t>
            </w:r>
          </w:p>
        </w:tc>
      </w:tr>
      <w:tr w14:paraId="68F87026">
        <w:tblPrEx>
          <w:tblCellMar>
            <w:top w:w="0" w:type="dxa"/>
            <w:left w:w="108" w:type="dxa"/>
            <w:bottom w:w="0" w:type="dxa"/>
            <w:right w:w="108" w:type="dxa"/>
          </w:tblCellMar>
        </w:tblPrEx>
        <w:trPr>
          <w:trHeight w:val="682" w:hRule="atLeast"/>
        </w:trPr>
        <w:tc>
          <w:tcPr>
            <w:tcW w:w="1248" w:type="dxa"/>
            <w:vMerge w:val="continue"/>
            <w:tcBorders>
              <w:top w:val="nil"/>
              <w:left w:val="single" w:color="000000" w:sz="4" w:space="0"/>
              <w:bottom w:val="single" w:color="000000" w:sz="4" w:space="0"/>
              <w:right w:val="single" w:color="000000" w:sz="4" w:space="0"/>
            </w:tcBorders>
            <w:vAlign w:val="center"/>
          </w:tcPr>
          <w:p w14:paraId="7D565C29">
            <w:pPr>
              <w:widowControl/>
              <w:jc w:val="left"/>
              <w:rPr>
                <w:rFonts w:ascii="宋体" w:hAnsi="宋体" w:cs="宋体"/>
                <w:color w:val="000000"/>
                <w:kern w:val="0"/>
                <w:sz w:val="24"/>
                <w:szCs w:val="24"/>
              </w:rPr>
            </w:pPr>
          </w:p>
        </w:tc>
        <w:tc>
          <w:tcPr>
            <w:tcW w:w="1707" w:type="dxa"/>
            <w:tcBorders>
              <w:top w:val="nil"/>
              <w:left w:val="nil"/>
              <w:bottom w:val="single" w:color="000000" w:sz="4" w:space="0"/>
              <w:right w:val="single" w:color="000000" w:sz="4" w:space="0"/>
            </w:tcBorders>
            <w:shd w:val="clear" w:color="auto" w:fill="auto"/>
            <w:vAlign w:val="center"/>
          </w:tcPr>
          <w:p w14:paraId="18039A88">
            <w:pPr>
              <w:widowControl/>
              <w:jc w:val="center"/>
              <w:rPr>
                <w:rFonts w:ascii="宋体" w:hAnsi="宋体" w:cs="宋体"/>
                <w:kern w:val="0"/>
                <w:sz w:val="24"/>
                <w:szCs w:val="24"/>
              </w:rPr>
            </w:pPr>
            <w:r>
              <w:rPr>
                <w:rFonts w:hint="eastAsia" w:ascii="宋体" w:hAnsi="宋体" w:cs="宋体"/>
                <w:kern w:val="0"/>
                <w:sz w:val="24"/>
                <w:szCs w:val="24"/>
              </w:rPr>
              <w:t>时效指标</w:t>
            </w:r>
          </w:p>
        </w:tc>
        <w:tc>
          <w:tcPr>
            <w:tcW w:w="3928" w:type="dxa"/>
            <w:gridSpan w:val="2"/>
            <w:tcBorders>
              <w:top w:val="single" w:color="000000" w:sz="4" w:space="0"/>
              <w:left w:val="nil"/>
              <w:bottom w:val="single" w:color="000000" w:sz="4" w:space="0"/>
              <w:right w:val="single" w:color="000000" w:sz="4" w:space="0"/>
            </w:tcBorders>
            <w:shd w:val="clear" w:color="auto" w:fill="auto"/>
            <w:vAlign w:val="center"/>
          </w:tcPr>
          <w:p w14:paraId="5AC5152C">
            <w:pPr>
              <w:widowControl/>
              <w:jc w:val="center"/>
              <w:rPr>
                <w:rFonts w:ascii="宋体" w:hAnsi="宋体" w:cs="宋体"/>
                <w:color w:val="000000"/>
                <w:kern w:val="0"/>
                <w:sz w:val="24"/>
                <w:szCs w:val="24"/>
              </w:rPr>
            </w:pPr>
            <w:r>
              <w:rPr>
                <w:rFonts w:hint="eastAsia" w:ascii="宋体" w:hAnsi="宋体" w:cs="宋体"/>
                <w:color w:val="000000"/>
                <w:kern w:val="0"/>
                <w:sz w:val="24"/>
                <w:szCs w:val="24"/>
              </w:rPr>
              <w:t>资金到位及时率</w:t>
            </w:r>
          </w:p>
        </w:tc>
        <w:tc>
          <w:tcPr>
            <w:tcW w:w="2350" w:type="dxa"/>
            <w:tcBorders>
              <w:top w:val="nil"/>
              <w:left w:val="nil"/>
              <w:bottom w:val="single" w:color="000000" w:sz="4" w:space="0"/>
              <w:right w:val="single" w:color="000000" w:sz="4" w:space="0"/>
            </w:tcBorders>
            <w:shd w:val="clear" w:color="auto" w:fill="auto"/>
            <w:vAlign w:val="center"/>
          </w:tcPr>
          <w:p w14:paraId="637131E7">
            <w:pPr>
              <w:widowControl/>
              <w:jc w:val="center"/>
              <w:rPr>
                <w:rFonts w:ascii="宋体" w:hAnsi="宋体" w:cs="宋体"/>
                <w:color w:val="000000"/>
                <w:kern w:val="0"/>
                <w:sz w:val="24"/>
                <w:szCs w:val="24"/>
              </w:rPr>
            </w:pPr>
            <w:r>
              <w:rPr>
                <w:rFonts w:hint="eastAsia" w:ascii="宋体" w:hAnsi="宋体" w:cs="宋体"/>
                <w:color w:val="000000"/>
                <w:kern w:val="0"/>
                <w:sz w:val="24"/>
                <w:szCs w:val="24"/>
              </w:rPr>
              <w:t>≥90%</w:t>
            </w:r>
          </w:p>
        </w:tc>
      </w:tr>
      <w:tr w14:paraId="2404BB18">
        <w:tblPrEx>
          <w:tblCellMar>
            <w:top w:w="0" w:type="dxa"/>
            <w:left w:w="108" w:type="dxa"/>
            <w:bottom w:w="0" w:type="dxa"/>
            <w:right w:w="108" w:type="dxa"/>
          </w:tblCellMar>
        </w:tblPrEx>
        <w:trPr>
          <w:trHeight w:val="682" w:hRule="atLeast"/>
        </w:trPr>
        <w:tc>
          <w:tcPr>
            <w:tcW w:w="1248" w:type="dxa"/>
            <w:tcBorders>
              <w:top w:val="nil"/>
              <w:left w:val="single" w:color="000000" w:sz="4" w:space="0"/>
              <w:bottom w:val="single" w:color="000000" w:sz="4" w:space="0"/>
              <w:right w:val="single" w:color="000000" w:sz="4" w:space="0"/>
            </w:tcBorders>
            <w:shd w:val="clear" w:color="auto" w:fill="auto"/>
            <w:vAlign w:val="center"/>
          </w:tcPr>
          <w:p w14:paraId="18D387D9">
            <w:pPr>
              <w:widowControl/>
              <w:jc w:val="center"/>
              <w:rPr>
                <w:rFonts w:ascii="宋体" w:hAnsi="宋体" w:cs="宋体"/>
                <w:color w:val="000000"/>
                <w:kern w:val="0"/>
                <w:sz w:val="24"/>
                <w:szCs w:val="24"/>
              </w:rPr>
            </w:pPr>
            <w:r>
              <w:rPr>
                <w:rFonts w:hint="eastAsia" w:ascii="宋体" w:hAnsi="宋体" w:cs="宋体"/>
                <w:color w:val="000000"/>
                <w:kern w:val="0"/>
                <w:sz w:val="24"/>
                <w:szCs w:val="24"/>
              </w:rPr>
              <w:t>效益指标</w:t>
            </w:r>
          </w:p>
        </w:tc>
        <w:tc>
          <w:tcPr>
            <w:tcW w:w="1707" w:type="dxa"/>
            <w:tcBorders>
              <w:top w:val="nil"/>
              <w:left w:val="nil"/>
              <w:bottom w:val="single" w:color="000000" w:sz="4" w:space="0"/>
              <w:right w:val="single" w:color="000000" w:sz="4" w:space="0"/>
            </w:tcBorders>
            <w:shd w:val="clear" w:color="auto" w:fill="auto"/>
            <w:vAlign w:val="center"/>
          </w:tcPr>
          <w:p w14:paraId="6AE1FA8D">
            <w:pPr>
              <w:widowControl/>
              <w:jc w:val="center"/>
              <w:rPr>
                <w:rFonts w:ascii="宋体" w:hAnsi="宋体" w:cs="宋体"/>
                <w:kern w:val="0"/>
                <w:sz w:val="24"/>
                <w:szCs w:val="24"/>
              </w:rPr>
            </w:pPr>
            <w:r>
              <w:rPr>
                <w:rFonts w:hint="eastAsia" w:ascii="宋体" w:hAnsi="宋体" w:cs="宋体"/>
                <w:kern w:val="0"/>
                <w:sz w:val="24"/>
                <w:szCs w:val="24"/>
              </w:rPr>
              <w:t>社会效益指标</w:t>
            </w:r>
          </w:p>
        </w:tc>
        <w:tc>
          <w:tcPr>
            <w:tcW w:w="3928" w:type="dxa"/>
            <w:gridSpan w:val="2"/>
            <w:tcBorders>
              <w:top w:val="single" w:color="000000" w:sz="4" w:space="0"/>
              <w:left w:val="nil"/>
              <w:bottom w:val="single" w:color="000000" w:sz="4" w:space="0"/>
              <w:right w:val="single" w:color="000000" w:sz="4" w:space="0"/>
            </w:tcBorders>
            <w:shd w:val="clear" w:color="auto" w:fill="auto"/>
            <w:vAlign w:val="center"/>
          </w:tcPr>
          <w:p w14:paraId="24E5CF0C">
            <w:pPr>
              <w:widowControl/>
              <w:jc w:val="center"/>
              <w:rPr>
                <w:rFonts w:ascii="宋体" w:hAnsi="宋体" w:cs="宋体"/>
                <w:color w:val="000000"/>
                <w:kern w:val="0"/>
                <w:sz w:val="24"/>
                <w:szCs w:val="24"/>
              </w:rPr>
            </w:pPr>
            <w:r>
              <w:rPr>
                <w:rFonts w:hint="eastAsia" w:ascii="宋体" w:hAnsi="宋体" w:cs="宋体"/>
                <w:color w:val="000000"/>
                <w:kern w:val="0"/>
                <w:sz w:val="24"/>
                <w:szCs w:val="24"/>
              </w:rPr>
              <w:t>促进经济高质量发展</w:t>
            </w:r>
          </w:p>
        </w:tc>
        <w:tc>
          <w:tcPr>
            <w:tcW w:w="2350" w:type="dxa"/>
            <w:tcBorders>
              <w:top w:val="nil"/>
              <w:left w:val="nil"/>
              <w:bottom w:val="single" w:color="000000" w:sz="4" w:space="0"/>
              <w:right w:val="single" w:color="000000" w:sz="4" w:space="0"/>
            </w:tcBorders>
            <w:shd w:val="clear" w:color="auto" w:fill="auto"/>
            <w:vAlign w:val="center"/>
          </w:tcPr>
          <w:p w14:paraId="16117764">
            <w:pPr>
              <w:widowControl/>
              <w:jc w:val="center"/>
              <w:rPr>
                <w:rFonts w:ascii="宋体" w:hAnsi="宋体" w:cs="宋体"/>
                <w:color w:val="000000"/>
                <w:kern w:val="0"/>
                <w:sz w:val="24"/>
                <w:szCs w:val="24"/>
              </w:rPr>
            </w:pPr>
            <w:r>
              <w:rPr>
                <w:rFonts w:hint="eastAsia" w:ascii="宋体" w:hAnsi="宋体" w:cs="宋体"/>
                <w:color w:val="000000"/>
                <w:kern w:val="0"/>
                <w:sz w:val="24"/>
                <w:szCs w:val="24"/>
              </w:rPr>
              <w:t>≥90%</w:t>
            </w:r>
          </w:p>
        </w:tc>
      </w:tr>
      <w:tr w14:paraId="1DAE6F89">
        <w:tblPrEx>
          <w:tblCellMar>
            <w:top w:w="0" w:type="dxa"/>
            <w:left w:w="108" w:type="dxa"/>
            <w:bottom w:w="0" w:type="dxa"/>
            <w:right w:w="108" w:type="dxa"/>
          </w:tblCellMar>
        </w:tblPrEx>
        <w:trPr>
          <w:trHeight w:val="682" w:hRule="atLeast"/>
        </w:trPr>
        <w:tc>
          <w:tcPr>
            <w:tcW w:w="1248" w:type="dxa"/>
            <w:tcBorders>
              <w:top w:val="nil"/>
              <w:left w:val="single" w:color="000000" w:sz="4" w:space="0"/>
              <w:bottom w:val="single" w:color="000000" w:sz="4" w:space="0"/>
              <w:right w:val="single" w:color="000000" w:sz="4" w:space="0"/>
            </w:tcBorders>
            <w:shd w:val="clear" w:color="auto" w:fill="auto"/>
            <w:vAlign w:val="center"/>
          </w:tcPr>
          <w:p w14:paraId="6207889E">
            <w:pPr>
              <w:widowControl/>
              <w:jc w:val="center"/>
              <w:rPr>
                <w:rFonts w:ascii="宋体" w:hAnsi="宋体" w:cs="宋体"/>
                <w:color w:val="000000"/>
                <w:kern w:val="0"/>
                <w:sz w:val="24"/>
                <w:szCs w:val="24"/>
              </w:rPr>
            </w:pPr>
            <w:r>
              <w:rPr>
                <w:rFonts w:hint="eastAsia" w:ascii="宋体" w:hAnsi="宋体" w:cs="宋体"/>
                <w:color w:val="000000"/>
                <w:kern w:val="0"/>
                <w:sz w:val="24"/>
                <w:szCs w:val="24"/>
              </w:rPr>
              <w:t>满意度指标</w:t>
            </w:r>
          </w:p>
        </w:tc>
        <w:tc>
          <w:tcPr>
            <w:tcW w:w="1707" w:type="dxa"/>
            <w:tcBorders>
              <w:top w:val="nil"/>
              <w:left w:val="nil"/>
              <w:bottom w:val="single" w:color="000000" w:sz="4" w:space="0"/>
              <w:right w:val="single" w:color="000000" w:sz="4" w:space="0"/>
            </w:tcBorders>
            <w:shd w:val="clear" w:color="auto" w:fill="auto"/>
            <w:vAlign w:val="center"/>
          </w:tcPr>
          <w:p w14:paraId="15B70DB0">
            <w:pPr>
              <w:widowControl/>
              <w:jc w:val="center"/>
              <w:rPr>
                <w:rFonts w:ascii="宋体" w:hAnsi="宋体" w:cs="宋体"/>
                <w:kern w:val="0"/>
                <w:sz w:val="24"/>
                <w:szCs w:val="24"/>
              </w:rPr>
            </w:pPr>
            <w:r>
              <w:rPr>
                <w:rFonts w:hint="eastAsia" w:ascii="宋体" w:hAnsi="宋体" w:cs="宋体"/>
                <w:kern w:val="0"/>
                <w:sz w:val="24"/>
                <w:szCs w:val="24"/>
              </w:rPr>
              <w:t>服务对象满意度</w:t>
            </w:r>
          </w:p>
        </w:tc>
        <w:tc>
          <w:tcPr>
            <w:tcW w:w="3928" w:type="dxa"/>
            <w:gridSpan w:val="2"/>
            <w:tcBorders>
              <w:top w:val="single" w:color="000000" w:sz="4" w:space="0"/>
              <w:left w:val="nil"/>
              <w:bottom w:val="single" w:color="000000" w:sz="4" w:space="0"/>
              <w:right w:val="single" w:color="000000" w:sz="4" w:space="0"/>
            </w:tcBorders>
            <w:shd w:val="clear" w:color="auto" w:fill="auto"/>
            <w:vAlign w:val="center"/>
          </w:tcPr>
          <w:p w14:paraId="30FF4CCC">
            <w:pPr>
              <w:widowControl/>
              <w:jc w:val="center"/>
              <w:rPr>
                <w:rFonts w:ascii="宋体" w:hAnsi="宋体" w:cs="宋体"/>
                <w:color w:val="000000"/>
                <w:kern w:val="0"/>
                <w:sz w:val="24"/>
                <w:szCs w:val="24"/>
              </w:rPr>
            </w:pPr>
            <w:r>
              <w:rPr>
                <w:rFonts w:hint="eastAsia" w:ascii="宋体" w:hAnsi="宋体" w:cs="宋体"/>
                <w:color w:val="000000"/>
                <w:kern w:val="0"/>
                <w:sz w:val="24"/>
                <w:szCs w:val="24"/>
              </w:rPr>
              <w:t>项目单位满意度</w:t>
            </w:r>
          </w:p>
        </w:tc>
        <w:tc>
          <w:tcPr>
            <w:tcW w:w="2350" w:type="dxa"/>
            <w:tcBorders>
              <w:top w:val="nil"/>
              <w:left w:val="nil"/>
              <w:bottom w:val="single" w:color="000000" w:sz="4" w:space="0"/>
              <w:right w:val="single" w:color="000000" w:sz="4" w:space="0"/>
            </w:tcBorders>
            <w:shd w:val="clear" w:color="auto" w:fill="auto"/>
            <w:vAlign w:val="center"/>
          </w:tcPr>
          <w:p w14:paraId="6608273B">
            <w:pPr>
              <w:widowControl/>
              <w:jc w:val="center"/>
              <w:rPr>
                <w:rFonts w:ascii="宋体" w:hAnsi="宋体" w:cs="宋体"/>
                <w:color w:val="000000"/>
                <w:kern w:val="0"/>
                <w:sz w:val="24"/>
                <w:szCs w:val="24"/>
              </w:rPr>
            </w:pPr>
            <w:r>
              <w:rPr>
                <w:rFonts w:hint="eastAsia" w:ascii="宋体" w:hAnsi="宋体" w:cs="宋体"/>
                <w:color w:val="000000"/>
                <w:kern w:val="0"/>
                <w:sz w:val="24"/>
                <w:szCs w:val="24"/>
              </w:rPr>
              <w:t>≥90%</w:t>
            </w:r>
          </w:p>
        </w:tc>
      </w:tr>
    </w:tbl>
    <w:p w14:paraId="67FE745D">
      <w:pPr>
        <w:ind w:firstLine="642"/>
        <w:rPr>
          <w:rFonts w:ascii="Adobe 仿宋 Std R" w:hAnsi="Adobe 仿宋 Std R" w:eastAsia="Adobe 仿宋 Std R"/>
          <w:sz w:val="32"/>
          <w:szCs w:val="32"/>
        </w:rPr>
      </w:pPr>
      <w:r>
        <w:rPr>
          <w:rFonts w:hint="eastAsia" w:ascii="Adobe 仿宋 Std R" w:hAnsi="Adobe 仿宋 Std R" w:eastAsia="Adobe 仿宋 Std R"/>
          <w:sz w:val="32"/>
          <w:szCs w:val="32"/>
        </w:rPr>
        <w:t>同上</w:t>
      </w:r>
    </w:p>
    <w:p w14:paraId="18470971">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二、2026年“三公”经费预算情况说明</w:t>
      </w:r>
    </w:p>
    <w:p w14:paraId="5AC66941">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kern w:val="0"/>
          <w:sz w:val="32"/>
          <w:szCs w:val="32"/>
        </w:rPr>
        <w:t>2026年青云谱区发改委单位</w:t>
      </w:r>
      <w:r>
        <w:rPr>
          <w:rFonts w:hint="eastAsia" w:ascii="仿宋_GB2312" w:hAnsi="仿宋_GB2312" w:eastAsia="仿宋_GB2312" w:cs="仿宋_GB2312"/>
          <w:bCs/>
          <w:sz w:val="32"/>
          <w:szCs w:val="32"/>
        </w:rPr>
        <w:t>"三公"经费一般公共预算安排</w:t>
      </w:r>
      <w:r>
        <w:rPr>
          <w:rFonts w:hint="eastAsia" w:ascii="仿宋_GB2312" w:hAnsi="仿宋_GB2312" w:eastAsia="仿宋_GB2312" w:cs="仿宋_GB2312"/>
          <w:sz w:val="32"/>
          <w:szCs w:val="30"/>
          <w:u w:val="single"/>
        </w:rPr>
        <w:t xml:space="preserve">  0</w:t>
      </w:r>
      <w:r>
        <w:rPr>
          <w:rFonts w:hint="eastAsia" w:ascii="仿宋_GB2312" w:hAnsi="仿宋_GB2312" w:eastAsia="仿宋_GB2312" w:cs="仿宋_GB2312"/>
          <w:bCs/>
          <w:sz w:val="32"/>
          <w:szCs w:val="32"/>
        </w:rPr>
        <w:t>万元，其中：</w:t>
      </w:r>
    </w:p>
    <w:p w14:paraId="4C2E6E22">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因公出国</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无</w:t>
      </w:r>
      <w:r>
        <w:rPr>
          <w:rFonts w:hint="eastAsia" w:ascii="仿宋_GB2312" w:hAnsi="仿宋_GB2312" w:eastAsia="仿宋_GB2312" w:cs="仿宋_GB2312"/>
          <w:bCs/>
          <w:sz w:val="32"/>
          <w:szCs w:val="32"/>
          <w:u w:val="single"/>
        </w:rPr>
        <w:t>因公出国</w:t>
      </w:r>
      <w:r>
        <w:rPr>
          <w:rFonts w:hint="eastAsia" w:ascii="仿宋_GB2312" w:hAnsi="仿宋_GB2312" w:eastAsia="仿宋_GB2312" w:cs="仿宋_GB2312"/>
          <w:bCs/>
          <w:sz w:val="32"/>
          <w:szCs w:val="32"/>
        </w:rPr>
        <w:t>。</w:t>
      </w:r>
    </w:p>
    <w:p w14:paraId="48C5A5E5">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公务接待</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无公务接待    </w:t>
      </w:r>
      <w:r>
        <w:rPr>
          <w:rFonts w:hint="eastAsia" w:ascii="仿宋_GB2312" w:hAnsi="仿宋_GB2312" w:eastAsia="仿宋_GB2312" w:cs="仿宋_GB2312"/>
          <w:bCs/>
          <w:sz w:val="32"/>
          <w:szCs w:val="32"/>
        </w:rPr>
        <w:t>。</w:t>
      </w:r>
    </w:p>
    <w:p w14:paraId="701DB4AA">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公务用车运行</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万元,比上年增</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无公车   </w:t>
      </w:r>
      <w:r>
        <w:rPr>
          <w:rFonts w:hint="eastAsia" w:ascii="仿宋_GB2312" w:hAnsi="仿宋_GB2312" w:eastAsia="仿宋_GB2312" w:cs="仿宋_GB2312"/>
          <w:bCs/>
          <w:sz w:val="32"/>
          <w:szCs w:val="32"/>
        </w:rPr>
        <w:t>。</w:t>
      </w:r>
    </w:p>
    <w:p w14:paraId="3BF1CB9A">
      <w:pPr>
        <w:ind w:firstLine="640" w:firstLineChars="200"/>
        <w:jc w:val="left"/>
        <w:rPr>
          <w:rFonts w:ascii="仿宋" w:hAnsi="仿宋" w:eastAsia="仿宋"/>
          <w:bCs/>
          <w:sz w:val="32"/>
          <w:szCs w:val="32"/>
        </w:rPr>
      </w:pPr>
      <w:r>
        <w:rPr>
          <w:rFonts w:hint="eastAsia" w:ascii="仿宋_GB2312" w:hAnsi="仿宋_GB2312" w:eastAsia="仿宋_GB2312" w:cs="仿宋_GB2312"/>
          <w:bCs/>
          <w:sz w:val="32"/>
          <w:szCs w:val="32"/>
        </w:rPr>
        <w:t>公务用车购置</w:t>
      </w:r>
      <w:r>
        <w:rPr>
          <w:rFonts w:hint="eastAsia" w:ascii="仿宋_GB2312" w:hAnsi="仿宋_GB2312" w:eastAsia="仿宋_GB2312" w:cs="仿宋_GB2312"/>
          <w:sz w:val="32"/>
          <w:szCs w:val="30"/>
          <w:u w:val="single"/>
        </w:rPr>
        <w:t xml:space="preserve"> 0</w:t>
      </w:r>
      <w:r>
        <w:rPr>
          <w:rFonts w:hint="eastAsia" w:ascii="仿宋_GB2312" w:hAnsi="仿宋_GB2312" w:eastAsia="仿宋_GB2312" w:cs="仿宋_GB2312"/>
          <w:bCs/>
          <w:sz w:val="32"/>
          <w:szCs w:val="32"/>
        </w:rPr>
        <w:t>万元,比上年增</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未安排公务用车购置    </w:t>
      </w:r>
      <w:r>
        <w:rPr>
          <w:rFonts w:hint="eastAsia" w:ascii="仿宋_GB2312" w:hAnsi="仿宋_GB2312" w:eastAsia="仿宋_GB2312" w:cs="仿宋_GB2312"/>
          <w:bCs/>
          <w:sz w:val="32"/>
          <w:szCs w:val="32"/>
        </w:rPr>
        <w:t>。</w:t>
      </w:r>
    </w:p>
    <w:p w14:paraId="44A5E8CD">
      <w:pPr>
        <w:widowControl/>
        <w:spacing w:line="580" w:lineRule="exact"/>
        <w:jc w:val="center"/>
        <w:rPr>
          <w:rFonts w:ascii="仿宋_GB2312" w:eastAsia="仿宋_GB2312"/>
          <w:b/>
          <w:sz w:val="32"/>
          <w:szCs w:val="30"/>
        </w:rPr>
      </w:pPr>
    </w:p>
    <w:p w14:paraId="66DA0906">
      <w:pPr>
        <w:widowControl/>
        <w:shd w:val="clear" w:color="auto" w:fill="FFFFFF"/>
        <w:spacing w:line="640" w:lineRule="atLeast"/>
        <w:rPr>
          <w:rFonts w:ascii="仿宋_GB2312" w:eastAsia="仿宋_GB2312"/>
          <w:b/>
          <w:sz w:val="32"/>
          <w:szCs w:val="30"/>
        </w:rPr>
      </w:pPr>
    </w:p>
    <w:p w14:paraId="245F5E15">
      <w:pPr>
        <w:widowControl/>
        <w:spacing w:line="580" w:lineRule="exact"/>
        <w:jc w:val="center"/>
        <w:rPr>
          <w:rFonts w:ascii="黑体" w:hAnsi="黑体" w:eastAsia="黑体"/>
          <w:bCs/>
          <w:sz w:val="32"/>
          <w:szCs w:val="30"/>
        </w:rPr>
      </w:pPr>
      <w:r>
        <w:rPr>
          <w:rFonts w:hint="eastAsia" w:ascii="黑体" w:hAnsi="黑体" w:eastAsia="黑体"/>
          <w:bCs/>
          <w:sz w:val="32"/>
          <w:szCs w:val="30"/>
        </w:rPr>
        <w:t>第四部分   名词解释</w:t>
      </w:r>
    </w:p>
    <w:p w14:paraId="3BD67C8B">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一、收入科目</w:t>
      </w:r>
    </w:p>
    <w:p w14:paraId="46390C6F">
      <w:pPr>
        <w:widowControl/>
        <w:shd w:val="clear" w:color="auto" w:fill="FFFFFF"/>
        <w:spacing w:line="640" w:lineRule="atLeas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各部门结合实际进行解释。</w:t>
      </w:r>
    </w:p>
    <w:p w14:paraId="1A113C9D">
      <w:pPr>
        <w:widowControl/>
        <w:numPr>
          <w:ilvl w:val="0"/>
          <w:numId w:val="1"/>
        </w:numPr>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财政拨款：指省级财政当年拨付的资金。</w:t>
      </w:r>
    </w:p>
    <w:p w14:paraId="0342BD97">
      <w:pPr>
        <w:widowControl/>
        <w:numPr>
          <w:ilvl w:val="0"/>
          <w:numId w:val="1"/>
        </w:numPr>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教育收费资金收入：反映实行专项管理的高中以上学费、住宿费，高校委托培养费，函大、电大、夜大及短训班培训费等教育收费取得的收入。</w:t>
      </w:r>
    </w:p>
    <w:p w14:paraId="7C5A1545">
      <w:pPr>
        <w:widowControl/>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（三）</w:t>
      </w:r>
      <w:r>
        <w:rPr>
          <w:rFonts w:hint="eastAsia" w:ascii="仿宋_GB2312" w:hAnsi="仿宋_GB2312" w:eastAsia="仿宋_GB2312" w:cs="仿宋_GB2312"/>
          <w:color w:val="000000"/>
          <w:sz w:val="32"/>
          <w:szCs w:val="30"/>
        </w:rPr>
        <w:t>事业收入：指事业单位开展专业业务活动及辅助活动取得的收入。</w:t>
      </w:r>
    </w:p>
    <w:p w14:paraId="611B482B">
      <w:pPr>
        <w:widowControl/>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（四）</w:t>
      </w:r>
      <w:r>
        <w:rPr>
          <w:rFonts w:hint="eastAsia" w:ascii="仿宋_GB2312" w:hAnsi="仿宋_GB2312" w:eastAsia="仿宋_GB2312" w:cs="仿宋_GB2312"/>
          <w:color w:val="000000"/>
          <w:sz w:val="32"/>
          <w:szCs w:val="30"/>
        </w:rPr>
        <w:t>事业单位经营收入：指事业单位在专业业务活动及辅助活动之外开展非独立核算经营活动取得的收入。</w:t>
      </w:r>
    </w:p>
    <w:p w14:paraId="1210345C">
      <w:pPr>
        <w:widowControl/>
        <w:spacing w:line="58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0"/>
        </w:rPr>
        <w:t>（</w:t>
      </w:r>
      <w:r>
        <w:rPr>
          <w:rFonts w:hint="eastAsia" w:ascii="仿宋_GB2312" w:hAnsi="仿宋_GB2312" w:eastAsia="仿宋_GB2312" w:cs="仿宋_GB2312"/>
          <w:sz w:val="32"/>
          <w:szCs w:val="32"/>
        </w:rPr>
        <w:t>五）</w:t>
      </w:r>
      <w:r>
        <w:rPr>
          <w:rFonts w:hint="eastAsia" w:ascii="仿宋_GB2312" w:hAnsi="仿宋_GB2312" w:eastAsia="仿宋_GB2312" w:cs="仿宋_GB2312"/>
          <w:color w:val="000000"/>
          <w:sz w:val="32"/>
          <w:szCs w:val="30"/>
        </w:rPr>
        <w:t>附属单位上缴收入：反映事业单位附属的独立核算单位按规定标准或比例缴纳的各项收入。包括附属的事业单位上缴的收入和附属的企业上缴的利润等。</w:t>
      </w:r>
    </w:p>
    <w:p w14:paraId="289A38F9">
      <w:pPr>
        <w:spacing w:line="600" w:lineRule="exact"/>
        <w:ind w:firstLine="640" w:firstLineChars="200"/>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（六）</w:t>
      </w:r>
      <w:r>
        <w:rPr>
          <w:rFonts w:hint="eastAsia" w:ascii="仿宋_GB2312" w:hAnsi="仿宋_GB2312" w:eastAsia="仿宋_GB2312" w:cs="仿宋_GB2312"/>
          <w:color w:val="000000"/>
          <w:sz w:val="32"/>
          <w:szCs w:val="30"/>
        </w:rPr>
        <w:t>上级补助收入：反映事业单位从主管部门和上级单位取得的非财政补助收入。</w:t>
      </w:r>
    </w:p>
    <w:p w14:paraId="14468848">
      <w:pPr>
        <w:widowControl/>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（七）</w:t>
      </w:r>
      <w:r>
        <w:rPr>
          <w:rFonts w:hint="eastAsia" w:ascii="仿宋_GB2312" w:hAnsi="仿宋_GB2312" w:eastAsia="仿宋_GB2312" w:cs="仿宋_GB2312"/>
          <w:color w:val="000000"/>
          <w:sz w:val="32"/>
          <w:szCs w:val="30"/>
        </w:rPr>
        <w:t>其他收入：指除财政拨款、事业收入、事业单位经营收入等以外的各项收入。</w:t>
      </w:r>
    </w:p>
    <w:p w14:paraId="76389C6E">
      <w:pPr>
        <w:ind w:firstLine="640" w:firstLineChars="200"/>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（八）</w:t>
      </w:r>
      <w:r>
        <w:rPr>
          <w:rFonts w:hint="eastAsia" w:ascii="仿宋_GB2312" w:hAnsi="仿宋_GB2312" w:eastAsia="仿宋_GB2312" w:cs="仿宋_GB2312"/>
          <w:color w:val="000000"/>
          <w:sz w:val="32"/>
          <w:szCs w:val="30"/>
        </w:rPr>
        <w:t>使用非财政拨款结余：填列历年滚存的非限定用途的非统计财政拨款结余弥补2026年收支差额的数额。</w:t>
      </w:r>
    </w:p>
    <w:p w14:paraId="57A58ECE">
      <w:pPr>
        <w:spacing w:line="600" w:lineRule="exact"/>
        <w:ind w:firstLine="640" w:firstLineChars="200"/>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（九）</w:t>
      </w:r>
      <w:r>
        <w:rPr>
          <w:rFonts w:hint="eastAsia" w:ascii="仿宋_GB2312" w:hAnsi="仿宋_GB2312" w:eastAsia="仿宋_GB2312" w:cs="仿宋_GB2312"/>
          <w:color w:val="000000"/>
          <w:sz w:val="32"/>
          <w:szCs w:val="30"/>
        </w:rPr>
        <w:t>上年结转和结余：填列2025年全部结转和结余的资金数，包括当年结转结余资金和历年滚存结转结余资金。</w:t>
      </w:r>
    </w:p>
    <w:p w14:paraId="2B32442C">
      <w:pPr>
        <w:ind w:firstLine="640" w:firstLineChars="200"/>
        <w:rPr>
          <w:rFonts w:ascii="Adobe 仿宋 Std R" w:hAnsi="Adobe 仿宋 Std R" w:eastAsia="Adobe 仿宋 Std R"/>
          <w:sz w:val="32"/>
          <w:szCs w:val="32"/>
        </w:rPr>
      </w:pPr>
    </w:p>
    <w:p w14:paraId="25ABFF41">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二、支出科目</w:t>
      </w:r>
    </w:p>
    <w:p w14:paraId="32562189">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（一）行政运行：反映行政单位（包括参公单位）的基本支出。</w:t>
      </w:r>
    </w:p>
    <w:p w14:paraId="730D2405">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（二）一般行政管理事务：反映行政单位（包括参公单位）未单独设置项级科目的其他项目支出。</w:t>
      </w:r>
    </w:p>
    <w:p w14:paraId="5B271A1E">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（三）机关服务：反映为行政单位（包括参公单位）提供后勤服务的各类后勤服务中心的支出。</w:t>
      </w:r>
    </w:p>
    <w:p w14:paraId="144F50DD">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（四）事业运行：反映事业单位的基本支出。</w:t>
      </w:r>
    </w:p>
    <w:p w14:paraId="7BF3ED05">
      <w:pPr>
        <w:spacing w:line="520" w:lineRule="exact"/>
        <w:ind w:firstLine="640" w:firstLineChars="200"/>
        <w:rPr>
          <w:rFonts w:ascii="宋体" w:hAnsi="宋体"/>
          <w:sz w:val="32"/>
          <w:szCs w:val="32"/>
        </w:rPr>
      </w:pPr>
      <w:r>
        <w:rPr>
          <w:rFonts w:hint="eastAsia" w:ascii="仿宋_GB2312" w:eastAsia="仿宋_GB2312"/>
          <w:sz w:val="32"/>
          <w:szCs w:val="30"/>
        </w:rPr>
        <w:t>（五）住房公积金：反映行政事业单位按人力资源和社会保障部、财政部规定的基本工资和津补贴以及规定比例为职工缴纳的住房公积金。</w:t>
      </w:r>
    </w:p>
    <w:p w14:paraId="7F84C3C0">
      <w:pPr>
        <w:widowControl/>
        <w:spacing w:line="600" w:lineRule="exact"/>
        <w:jc w:val="left"/>
        <w:rPr>
          <w:rFonts w:ascii="仿宋_GB2312" w:eastAsia="仿宋_GB2312"/>
          <w:color w:val="000000"/>
          <w:sz w:val="32"/>
          <w:szCs w:val="30"/>
        </w:rPr>
      </w:pPr>
    </w:p>
    <w:p w14:paraId="5D070370">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三、部门涉及的专业名词</w:t>
      </w:r>
    </w:p>
    <w:p w14:paraId="474C21A0">
      <w:pPr>
        <w:widowControl/>
        <w:spacing w:line="580" w:lineRule="exact"/>
        <w:ind w:firstLine="640" w:firstLineChars="200"/>
        <w:jc w:val="left"/>
        <w:rPr>
          <w:rFonts w:ascii="仿宋_GB2312" w:eastAsia="仿宋_GB2312"/>
          <w:color w:val="000000"/>
          <w:sz w:val="32"/>
          <w:szCs w:val="30"/>
        </w:rPr>
      </w:pPr>
      <w:r>
        <w:rPr>
          <w:rFonts w:hint="eastAsia" w:ascii="仿宋_GB2312" w:eastAsia="仿宋_GB2312"/>
          <w:color w:val="000000"/>
          <w:sz w:val="32"/>
          <w:szCs w:val="30"/>
        </w:rPr>
        <w:t>（一）“三公”经费：纳入预算管理的“三公”经费，是指用财政拨款安排的因公出国（境）费、公务用车购置及运行费和公务接待费。</w:t>
      </w:r>
    </w:p>
    <w:p w14:paraId="5E88F363">
      <w:pPr>
        <w:widowControl/>
        <w:spacing w:line="580" w:lineRule="exact"/>
        <w:ind w:firstLine="640" w:firstLineChars="200"/>
        <w:jc w:val="left"/>
        <w:rPr>
          <w:rFonts w:ascii="仿宋_GB2312" w:eastAsia="仿宋_GB2312"/>
          <w:color w:val="000000"/>
          <w:sz w:val="32"/>
          <w:szCs w:val="30"/>
        </w:rPr>
      </w:pPr>
      <w:r>
        <w:rPr>
          <w:rFonts w:hint="eastAsia" w:ascii="仿宋_GB2312" w:eastAsia="仿宋_GB2312"/>
          <w:color w:val="000000"/>
          <w:sz w:val="32"/>
          <w:szCs w:val="30"/>
        </w:rPr>
        <w:t>（二）机关运行经费：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Adobe 仿宋 Std R">
    <w:altName w:val="仿宋"/>
    <w:panose1 w:val="00000000000000000000"/>
    <w:charset w:val="86"/>
    <w:family w:val="auto"/>
    <w:pitch w:val="default"/>
    <w:sig w:usb0="00000000" w:usb1="00000000" w:usb2="00000016" w:usb3="00000000" w:csb0="00060007" w:csb1="00000000"/>
  </w:font>
  <w:font w:name="方正仿宋_GBK">
    <w:altName w:val="微软雅黑"/>
    <w:panose1 w:val="02000000000000000000"/>
    <w:charset w:val="86"/>
    <w:family w:val="auto"/>
    <w:pitch w:val="default"/>
    <w:sig w:usb0="00000000" w:usb1="00000000" w:usb2="00000000" w:usb3="00000000" w:csb0="00040000" w:csb1="00000000"/>
  </w:font>
  <w:font w:name="方正小标宋简体">
    <w:panose1 w:val="03000509000000000000"/>
    <w:charset w:val="86"/>
    <w:family w:val="roma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6B536">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0"/>
  <w:drawingGridVerticalSpacing w:val="156"/>
  <w:displayHorizontalDrawingGridEvery w:val="0"/>
  <w:displayVerticalDrawingGridEvery w:val="2"/>
  <w:doNotShadeFormData w:val="1"/>
  <w:characterSpacingControl w:val="compressPunctuation"/>
  <w:doNotValidateAgainstSchema/>
  <w:doNotDemarcateInvalidXml/>
  <w:compat>
    <w:spaceForUL/>
    <w:balanceSingleByteDoubleByteWidth/>
    <w:doNotLeaveBackslashAlone/>
    <w:adjustLineHeightInTable/>
    <w:useFELayout/>
    <w:compatSetting w:name="compatibilityMode" w:uri="http://schemas.microsoft.com/office/word" w:val="12"/>
  </w:compat>
  <w:docVars>
    <w:docVar w:name="commondata" w:val="ꂔτ卆䵇㬸׌働琉噦ꠀ琉ꄤτ卆䵇㣔׌働琉噦ꠀ琉ꆴτ卆䵇㮸׌働琉噦ꠀ琉ꉄτ卆䵇㤜׌働琉噦ꠀ琉噦ꠀ琉ꋔτ卆䵇尸˄퉦䖜剦⶚䖜剦⶚䖜卆䵇屔˄퉦䖜剦⶚䖜"/>
  </w:docVars>
  <w:rsids>
    <w:rsidRoot w:val="00172A27"/>
    <w:rsid w:val="000426DF"/>
    <w:rsid w:val="000A0865"/>
    <w:rsid w:val="000C1992"/>
    <w:rsid w:val="000D1934"/>
    <w:rsid w:val="0015699D"/>
    <w:rsid w:val="00172A27"/>
    <w:rsid w:val="00176A8D"/>
    <w:rsid w:val="001E4F58"/>
    <w:rsid w:val="002C57FF"/>
    <w:rsid w:val="002E4B4A"/>
    <w:rsid w:val="00311FB3"/>
    <w:rsid w:val="0033261B"/>
    <w:rsid w:val="00424F91"/>
    <w:rsid w:val="00430551"/>
    <w:rsid w:val="004432D7"/>
    <w:rsid w:val="00477D57"/>
    <w:rsid w:val="004B722C"/>
    <w:rsid w:val="004F1785"/>
    <w:rsid w:val="0050127D"/>
    <w:rsid w:val="00513515"/>
    <w:rsid w:val="00584EC1"/>
    <w:rsid w:val="00596167"/>
    <w:rsid w:val="005D618A"/>
    <w:rsid w:val="006129D3"/>
    <w:rsid w:val="00634A73"/>
    <w:rsid w:val="00645ED7"/>
    <w:rsid w:val="006704D1"/>
    <w:rsid w:val="006F4D04"/>
    <w:rsid w:val="0072208F"/>
    <w:rsid w:val="00723576"/>
    <w:rsid w:val="00727C22"/>
    <w:rsid w:val="00740A60"/>
    <w:rsid w:val="00797C30"/>
    <w:rsid w:val="007D09EE"/>
    <w:rsid w:val="007E0795"/>
    <w:rsid w:val="00816AB5"/>
    <w:rsid w:val="00834835"/>
    <w:rsid w:val="008633B7"/>
    <w:rsid w:val="008704B9"/>
    <w:rsid w:val="00870C3F"/>
    <w:rsid w:val="008D1E3B"/>
    <w:rsid w:val="00947DA5"/>
    <w:rsid w:val="00961052"/>
    <w:rsid w:val="009D3DAE"/>
    <w:rsid w:val="00A460F3"/>
    <w:rsid w:val="00A83EED"/>
    <w:rsid w:val="00A854B9"/>
    <w:rsid w:val="00AD04F4"/>
    <w:rsid w:val="00B14E98"/>
    <w:rsid w:val="00B5211E"/>
    <w:rsid w:val="00B56BE6"/>
    <w:rsid w:val="00B600AE"/>
    <w:rsid w:val="00BC7693"/>
    <w:rsid w:val="00BD2AC0"/>
    <w:rsid w:val="00CD26B0"/>
    <w:rsid w:val="00CD68E2"/>
    <w:rsid w:val="00D21821"/>
    <w:rsid w:val="00D35ECA"/>
    <w:rsid w:val="00D415DB"/>
    <w:rsid w:val="00D61F2D"/>
    <w:rsid w:val="00D80939"/>
    <w:rsid w:val="00D90461"/>
    <w:rsid w:val="00DA7793"/>
    <w:rsid w:val="00DE48C4"/>
    <w:rsid w:val="00DF6FA9"/>
    <w:rsid w:val="00E619F3"/>
    <w:rsid w:val="00E8648A"/>
    <w:rsid w:val="00ED539C"/>
    <w:rsid w:val="00EE5E4A"/>
    <w:rsid w:val="00F54BB8"/>
    <w:rsid w:val="00F57213"/>
    <w:rsid w:val="00FF4F10"/>
    <w:rsid w:val="1B286A56"/>
    <w:rsid w:val="1F1E59AE"/>
    <w:rsid w:val="29606D8E"/>
    <w:rsid w:val="2A2F3B44"/>
    <w:rsid w:val="2C632CE4"/>
    <w:rsid w:val="3E974BA8"/>
    <w:rsid w:val="467E3FB2"/>
    <w:rsid w:val="4B1049F3"/>
    <w:rsid w:val="50966A6E"/>
    <w:rsid w:val="50B327CA"/>
    <w:rsid w:val="53C426EA"/>
    <w:rsid w:val="551408A9"/>
    <w:rsid w:val="55FC67B9"/>
    <w:rsid w:val="59307AC0"/>
    <w:rsid w:val="5D9B1B67"/>
    <w:rsid w:val="5FB24F46"/>
    <w:rsid w:val="60145C01"/>
    <w:rsid w:val="64B27770"/>
    <w:rsid w:val="6BCC7390"/>
    <w:rsid w:val="6D620A91"/>
    <w:rsid w:val="6F5002D8"/>
    <w:rsid w:val="6FFB0B8E"/>
    <w:rsid w:val="7BFF2E54"/>
    <w:rsid w:val="E4F743AF"/>
    <w:rsid w:val="EF9FEF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3">
    <w:name w:val="heading 1"/>
    <w:next w:val="1"/>
    <w:link w:val="22"/>
    <w:qFormat/>
    <w:uiPriority w:val="9"/>
    <w:pPr>
      <w:spacing w:before="100" w:beforeAutospacing="1" w:after="100" w:afterAutospacing="1"/>
      <w:outlineLvl w:val="0"/>
    </w:pPr>
    <w:rPr>
      <w:rFonts w:ascii="宋体" w:hAnsi="宋体" w:eastAsia="宋体" w:cs="宋体"/>
      <w:b/>
      <w:bCs/>
      <w:kern w:val="36"/>
      <w:sz w:val="48"/>
      <w:szCs w:val="48"/>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24"/>
    </w:rPr>
  </w:style>
  <w:style w:type="paragraph" w:styleId="4">
    <w:name w:val="Body Text Indent"/>
    <w:basedOn w:val="1"/>
    <w:qFormat/>
    <w:uiPriority w:val="0"/>
    <w:pPr>
      <w:spacing w:line="580" w:lineRule="exact"/>
      <w:ind w:left="901" w:leftChars="429" w:firstLine="600" w:firstLineChars="200"/>
    </w:pPr>
    <w:rPr>
      <w:rFonts w:ascii="仿宋_GB2312" w:eastAsia="仿宋_GB2312"/>
      <w:sz w:val="30"/>
      <w:szCs w:val="20"/>
    </w:rPr>
  </w:style>
  <w:style w:type="paragraph" w:styleId="5">
    <w:name w:val="Body Text Indent 2"/>
    <w:basedOn w:val="1"/>
    <w:link w:val="20"/>
    <w:qFormat/>
    <w:uiPriority w:val="0"/>
    <w:pPr>
      <w:spacing w:after="120" w:line="480" w:lineRule="auto"/>
      <w:ind w:left="420" w:leftChars="200"/>
    </w:p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0"/>
    <w:pPr>
      <w:spacing w:before="100" w:beforeAutospacing="1" w:after="100" w:afterAutospacing="1"/>
      <w:jc w:val="left"/>
    </w:pPr>
    <w:rPr>
      <w:rFonts w:cs="宋体"/>
      <w:kern w:val="0"/>
      <w:sz w:val="24"/>
      <w:szCs w:val="24"/>
    </w:rPr>
  </w:style>
  <w:style w:type="paragraph" w:styleId="9">
    <w:name w:val="Title"/>
    <w:basedOn w:val="1"/>
    <w:next w:val="1"/>
    <w:qFormat/>
    <w:uiPriority w:val="0"/>
    <w:pPr>
      <w:spacing w:before="240" w:after="60"/>
      <w:jc w:val="center"/>
      <w:outlineLvl w:val="0"/>
    </w:pPr>
    <w:rPr>
      <w:rFonts w:ascii="Cambria" w:hAnsi="Cambria" w:cs="Times New Roman"/>
      <w:b/>
      <w:bCs/>
      <w:sz w:val="32"/>
      <w:szCs w:val="32"/>
    </w:rPr>
  </w:style>
  <w:style w:type="paragraph" w:styleId="10">
    <w:name w:val="Body Text First Indent 2"/>
    <w:basedOn w:val="4"/>
    <w:qFormat/>
    <w:uiPriority w:val="0"/>
    <w:pPr>
      <w:ind w:firstLine="420"/>
    </w:pPr>
  </w:style>
  <w:style w:type="character" w:styleId="13">
    <w:name w:val="Hyperlink"/>
    <w:basedOn w:val="12"/>
    <w:qFormat/>
    <w:uiPriority w:val="0"/>
    <w:rPr>
      <w:color w:val="0000FF"/>
      <w:u w:val="single"/>
    </w:rPr>
  </w:style>
  <w:style w:type="character" w:customStyle="1" w:styleId="14">
    <w:name w:val="页脚 Char"/>
    <w:basedOn w:val="12"/>
    <w:link w:val="6"/>
    <w:qFormat/>
    <w:uiPriority w:val="0"/>
    <w:rPr>
      <w:sz w:val="18"/>
      <w:szCs w:val="18"/>
    </w:rPr>
  </w:style>
  <w:style w:type="character" w:customStyle="1" w:styleId="15">
    <w:name w:val="页眉 Char"/>
    <w:basedOn w:val="12"/>
    <w:link w:val="7"/>
    <w:qFormat/>
    <w:uiPriority w:val="0"/>
    <w:rPr>
      <w:sz w:val="18"/>
      <w:szCs w:val="18"/>
    </w:rPr>
  </w:style>
  <w:style w:type="character" w:customStyle="1" w:styleId="16">
    <w:name w:val="15"/>
    <w:basedOn w:val="12"/>
    <w:qFormat/>
    <w:uiPriority w:val="0"/>
    <w:rPr>
      <w:rFonts w:hint="default" w:ascii="Times New Roman" w:hAnsi="Times New Roman" w:cs="Times New Roman"/>
      <w:sz w:val="20"/>
      <w:szCs w:val="20"/>
    </w:rPr>
  </w:style>
  <w:style w:type="character" w:customStyle="1" w:styleId="17">
    <w:name w:val="row_tree_level_3"/>
    <w:basedOn w:val="12"/>
    <w:qFormat/>
    <w:uiPriority w:val="0"/>
  </w:style>
  <w:style w:type="character" w:customStyle="1" w:styleId="18">
    <w:name w:val="row_tree_level_4"/>
    <w:basedOn w:val="12"/>
    <w:qFormat/>
    <w:uiPriority w:val="0"/>
  </w:style>
  <w:style w:type="paragraph" w:customStyle="1" w:styleId="19">
    <w:name w:val="p0"/>
    <w:basedOn w:val="1"/>
    <w:qFormat/>
    <w:uiPriority w:val="0"/>
    <w:pPr>
      <w:widowControl/>
    </w:pPr>
    <w:rPr>
      <w:rFonts w:ascii="Times New Roman" w:hAnsi="Times New Roman" w:cs="Times New Roman"/>
      <w:kern w:val="0"/>
      <w:szCs w:val="21"/>
    </w:rPr>
  </w:style>
  <w:style w:type="character" w:customStyle="1" w:styleId="20">
    <w:name w:val="正文文本缩进 2 Char"/>
    <w:basedOn w:val="12"/>
    <w:link w:val="5"/>
    <w:qFormat/>
    <w:uiPriority w:val="0"/>
    <w:rPr>
      <w:rFonts w:ascii="Calibri" w:hAnsi="Calibri" w:cs="黑体"/>
      <w:kern w:val="2"/>
      <w:sz w:val="21"/>
      <w:szCs w:val="22"/>
    </w:rPr>
  </w:style>
  <w:style w:type="paragraph" w:customStyle="1" w:styleId="21">
    <w:name w:val="无间隔1"/>
    <w:qFormat/>
    <w:uiPriority w:val="1"/>
    <w:pPr>
      <w:adjustRightInd w:val="0"/>
      <w:snapToGrid w:val="0"/>
    </w:pPr>
    <w:rPr>
      <w:rFonts w:ascii="Tahoma" w:hAnsi="Tahoma" w:eastAsia="宋体" w:cs="宋体"/>
      <w:sz w:val="22"/>
      <w:szCs w:val="22"/>
      <w:lang w:val="en-US" w:eastAsia="zh-CN" w:bidi="ar-SA"/>
    </w:rPr>
  </w:style>
  <w:style w:type="character" w:customStyle="1" w:styleId="22">
    <w:name w:val="标题 1 Char"/>
    <w:basedOn w:val="12"/>
    <w:link w:val="3"/>
    <w:qFormat/>
    <w:uiPriority w:val="9"/>
    <w:rPr>
      <w:rFonts w:ascii="宋体" w:hAnsi="宋体" w:cs="宋体"/>
      <w:b/>
      <w:bCs/>
      <w:kern w:val="36"/>
      <w:sz w:val="48"/>
      <w:szCs w:val="4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18</Pages>
  <Words>5906</Words>
  <Characters>6278</Characters>
  <Lines>71</Lines>
  <Paragraphs>20</Paragraphs>
  <TotalTime>28</TotalTime>
  <ScaleCrop>false</ScaleCrop>
  <LinksUpToDate>false</LinksUpToDate>
  <CharactersWithSpaces>6605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2026-02-28T10:33:00Z</dcterms:created>
  <dc:creator>NTKO</dc:creator>
  <cp:lastModifiedBy>13767981036手机用户</cp:lastModifiedBy>
  <dcterms:modified xsi:type="dcterms:W3CDTF">2026-03-03T02:15:23Z</dcterms:modified>
  <dc:title>xtzj</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9A893B17F4634F269DF07237C70D8EFF</vt:lpwstr>
  </property>
  <property fmtid="{D5CDD505-2E9C-101B-9397-08002B2CF9AE}" pid="4" name="KSOTemplateDocerSaveRecord">
    <vt:lpwstr>eyJoZGlkIjoiNTIwYjAyMjc1ODlkMTNjMWNhMDRmNmUxM2ZlMzZjYzMiLCJ1c2VySWQiOiIxNDg5MTk0NTIifQ==</vt:lpwstr>
  </property>
</Properties>
</file>