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宋体"/>
          <w:lang w:val="en-US" w:eastAsia="zh-CN"/>
        </w:rPr>
      </w:pPr>
      <w:r>
        <w:rPr>
          <w:rFonts w:hint="eastAsia" w:eastAsia="宋体"/>
          <w:lang w:val="en-US" w:eastAsia="zh-CN"/>
        </w:rPr>
        <w:t xml:space="preserve">*/-                     </w:t>
      </w:r>
    </w:p>
    <w:p>
      <w:pPr>
        <w:widowControl w:val="0"/>
        <w:kinsoku/>
        <w:autoSpaceDE/>
        <w:autoSpaceDN/>
        <w:adjustRightInd/>
        <w:snapToGrid/>
        <w:jc w:val="center"/>
        <w:textAlignment w:val="auto"/>
        <w:rPr>
          <w:rFonts w:hint="eastAsia" w:ascii="黑体" w:hAnsi="Times New Roman" w:eastAsia="黑体" w:cs="Times New Roman"/>
          <w:snapToGrid/>
          <w:kern w:val="2"/>
          <w:sz w:val="44"/>
          <w:szCs w:val="36"/>
        </w:rPr>
      </w:pPr>
      <w:r>
        <w:rPr>
          <w:rFonts w:hint="eastAsia" w:ascii="黑体" w:hAnsi="Times New Roman" w:eastAsia="黑体" w:cs="Times New Roman"/>
          <w:snapToGrid/>
          <w:kern w:val="2"/>
          <w:sz w:val="44"/>
          <w:szCs w:val="36"/>
        </w:rPr>
        <w:t>南昌市青云谱公证处部门202</w:t>
      </w:r>
      <w:r>
        <w:rPr>
          <w:rFonts w:hint="eastAsia" w:ascii="黑体" w:hAnsi="Times New Roman" w:eastAsia="黑体" w:cs="Times New Roman"/>
          <w:snapToGrid/>
          <w:kern w:val="2"/>
          <w:sz w:val="44"/>
          <w:szCs w:val="36"/>
          <w:lang w:val="en-US" w:eastAsia="zh-CN"/>
        </w:rPr>
        <w:t>1</w:t>
      </w:r>
      <w:r>
        <w:rPr>
          <w:rFonts w:hint="eastAsia" w:ascii="黑体" w:hAnsi="Times New Roman" w:eastAsia="黑体" w:cs="Times New Roman"/>
          <w:snapToGrid/>
          <w:kern w:val="2"/>
          <w:sz w:val="44"/>
          <w:szCs w:val="36"/>
        </w:rPr>
        <w:t>年度部门</w:t>
      </w:r>
    </w:p>
    <w:p>
      <w:pPr>
        <w:widowControl w:val="0"/>
        <w:kinsoku/>
        <w:autoSpaceDE/>
        <w:autoSpaceDN/>
        <w:adjustRightInd/>
        <w:snapToGrid/>
        <w:jc w:val="center"/>
        <w:textAlignment w:val="auto"/>
        <w:rPr>
          <w:rFonts w:ascii="黑体" w:hAnsi="Times New Roman" w:eastAsia="黑体" w:cs="Times New Roman"/>
          <w:snapToGrid/>
          <w:kern w:val="2"/>
          <w:sz w:val="44"/>
          <w:szCs w:val="36"/>
        </w:rPr>
      </w:pPr>
      <w:r>
        <w:rPr>
          <w:rFonts w:hint="eastAsia" w:ascii="黑体" w:hAnsi="Times New Roman" w:eastAsia="黑体" w:cs="Times New Roman"/>
          <w:snapToGrid/>
          <w:kern w:val="2"/>
          <w:sz w:val="44"/>
          <w:szCs w:val="36"/>
        </w:rPr>
        <w:t>决算</w:t>
      </w:r>
    </w:p>
    <w:p/>
    <w:p/>
    <w:p>
      <w:pPr>
        <w:widowControl w:val="0"/>
        <w:kinsoku/>
        <w:autoSpaceDE/>
        <w:autoSpaceDN/>
        <w:adjustRightInd/>
        <w:snapToGrid/>
        <w:jc w:val="center"/>
        <w:textAlignment w:val="auto"/>
        <w:rPr>
          <w:rFonts w:ascii="黑体" w:hAnsi="Times New Roman" w:eastAsia="黑体" w:cs="Times New Roman"/>
          <w:snapToGrid/>
          <w:kern w:val="2"/>
          <w:sz w:val="40"/>
          <w:szCs w:val="36"/>
        </w:rPr>
      </w:pPr>
      <w:r>
        <w:rPr>
          <w:rFonts w:hint="eastAsia" w:ascii="黑体" w:hAnsi="Times New Roman" w:eastAsia="黑体" w:cs="Times New Roman"/>
          <w:snapToGrid/>
          <w:kern w:val="2"/>
          <w:sz w:val="40"/>
          <w:szCs w:val="36"/>
        </w:rPr>
        <w:t>目     录</w:t>
      </w:r>
    </w:p>
    <w:p>
      <w:pPr>
        <w:widowControl w:val="0"/>
        <w:kinsoku/>
        <w:autoSpaceDE/>
        <w:autoSpaceDN/>
        <w:adjustRightInd/>
        <w:snapToGrid/>
        <w:jc w:val="center"/>
        <w:textAlignment w:val="auto"/>
        <w:rPr>
          <w:rFonts w:ascii="黑体" w:hAnsi="Times New Roman" w:eastAsia="黑体" w:cs="Times New Roman"/>
          <w:snapToGrid/>
          <w:kern w:val="2"/>
          <w:sz w:val="40"/>
          <w:szCs w:val="36"/>
        </w:rPr>
      </w:pPr>
    </w:p>
    <w:p>
      <w:pPr>
        <w:kinsoku/>
        <w:autoSpaceDE/>
        <w:autoSpaceDN/>
        <w:adjustRightInd/>
        <w:snapToGrid/>
        <w:ind w:firstLine="640"/>
        <w:textAlignment w:val="auto"/>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第一部分   南昌市青云谱公证处部门概况</w:t>
      </w:r>
    </w:p>
    <w:p>
      <w:pPr>
        <w:kinsoku/>
        <w:autoSpaceDE/>
        <w:autoSpaceDN/>
        <w:adjustRightInd/>
        <w:snapToGrid/>
        <w:ind w:firstLine="604" w:firstLineChars="200"/>
        <w:textAlignment w:val="auto"/>
        <w:rPr>
          <w:rFonts w:ascii="仿宋" w:hAnsi="仿宋" w:eastAsia="仿宋" w:cs="Times New Roman"/>
          <w:snapToGrid/>
          <w:kern w:val="2"/>
          <w:sz w:val="32"/>
          <w:szCs w:val="30"/>
        </w:rPr>
      </w:pPr>
      <w:r>
        <w:rPr>
          <w:rFonts w:ascii="仿宋" w:hAnsi="仿宋" w:eastAsia="仿宋" w:cs="仿宋"/>
          <w:spacing w:val="11"/>
          <w:sz w:val="28"/>
          <w:szCs w:val="28"/>
        </w:rPr>
        <w:t>一、</w:t>
      </w:r>
      <w:r>
        <w:rPr>
          <w:rFonts w:hint="eastAsia" w:ascii="仿宋" w:hAnsi="仿宋" w:eastAsia="仿宋" w:cs="Times New Roman"/>
          <w:snapToGrid/>
          <w:kern w:val="2"/>
          <w:sz w:val="32"/>
          <w:szCs w:val="30"/>
        </w:rPr>
        <w:t>部门主要职责</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二、部门基本情况</w:t>
      </w:r>
    </w:p>
    <w:p>
      <w:pPr>
        <w:kinsoku/>
        <w:autoSpaceDE/>
        <w:autoSpaceDN/>
        <w:adjustRightInd/>
        <w:snapToGrid/>
        <w:ind w:firstLine="640"/>
        <w:textAlignment w:val="auto"/>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第二部分  202</w:t>
      </w:r>
      <w:r>
        <w:rPr>
          <w:rFonts w:hint="eastAsia" w:ascii="黑体" w:hAnsi="黑体" w:eastAsia="黑体" w:cs="Times New Roman"/>
          <w:b/>
          <w:snapToGrid/>
          <w:kern w:val="2"/>
          <w:sz w:val="32"/>
          <w:szCs w:val="32"/>
          <w:lang w:val="en-US" w:eastAsia="zh-CN"/>
        </w:rPr>
        <w:t>1</w:t>
      </w:r>
      <w:r>
        <w:rPr>
          <w:rFonts w:hint="eastAsia" w:ascii="黑体" w:hAnsi="黑体" w:eastAsia="黑体" w:cs="Times New Roman"/>
          <w:b/>
          <w:snapToGrid/>
          <w:kern w:val="2"/>
          <w:sz w:val="32"/>
          <w:szCs w:val="32"/>
        </w:rPr>
        <w:t xml:space="preserve"> 年度部门决算表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一、收入支出决算总表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二、收入决算表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四、财政拨款收入支出决算总表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五、一般公共预算财政拨款支出决算表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六、一般公共预算财政拨款基本支出决算表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七、一般公共预算财政拨款“三公”经费支出决算表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八、政府性基金预算财政拨款收入支出决算表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九、国有资本经营预算财政拨款收入支出决算表</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十、国有资产占用情况表</w:t>
      </w:r>
    </w:p>
    <w:p>
      <w:pPr>
        <w:kinsoku/>
        <w:autoSpaceDE/>
        <w:autoSpaceDN/>
        <w:adjustRightInd/>
        <w:snapToGrid/>
        <w:ind w:firstLine="640"/>
        <w:textAlignment w:val="auto"/>
        <w:rPr>
          <w:rFonts w:ascii="黑体" w:hAnsi="黑体" w:eastAsia="黑体" w:cs="Times New Roman"/>
          <w:b/>
          <w:snapToGrid/>
          <w:kern w:val="2"/>
          <w:sz w:val="32"/>
          <w:szCs w:val="32"/>
        </w:rPr>
      </w:pPr>
      <w:r>
        <w:rPr>
          <w:rFonts w:hint="eastAsia" w:ascii="黑体" w:hAnsi="黑体" w:eastAsia="黑体" w:cs="Times New Roman"/>
          <w:b/>
          <w:snapToGrid/>
          <w:kern w:val="2"/>
          <w:sz w:val="32"/>
          <w:szCs w:val="32"/>
        </w:rPr>
        <w:t>第三部分  202</w:t>
      </w:r>
      <w:r>
        <w:rPr>
          <w:rFonts w:hint="eastAsia" w:ascii="黑体" w:hAnsi="黑体" w:eastAsia="黑体" w:cs="Times New Roman"/>
          <w:b/>
          <w:snapToGrid/>
          <w:kern w:val="2"/>
          <w:sz w:val="32"/>
          <w:szCs w:val="32"/>
          <w:lang w:val="en-US" w:eastAsia="zh-CN"/>
        </w:rPr>
        <w:t>1</w:t>
      </w:r>
      <w:r>
        <w:rPr>
          <w:rFonts w:hint="eastAsia" w:ascii="黑体" w:hAnsi="黑体" w:eastAsia="黑体" w:cs="Times New Roman"/>
          <w:b/>
          <w:snapToGrid/>
          <w:kern w:val="2"/>
          <w:sz w:val="32"/>
          <w:szCs w:val="32"/>
        </w:rPr>
        <w:t xml:space="preserve"> 年度部门决算情况说明</w:t>
      </w:r>
    </w:p>
    <w:p>
      <w:pPr>
        <w:kinsoku/>
        <w:autoSpaceDE/>
        <w:autoSpaceDN/>
        <w:adjustRightInd/>
        <w:snapToGrid/>
        <w:ind w:firstLine="64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一、收入决算情况说明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二、支出决算情况说明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三、财政拨款支出决算情况说明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四、一般公共预算财政拨款基本支出决算情况说明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五、一般公共预算财政拨款“三公”经费支出决算 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六、机关运行经费支出情况说明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七、政府采购支出情况说明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八、国有资产占用情况说明</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九、预算绩效情况说明</w:t>
      </w:r>
    </w:p>
    <w:p>
      <w:pPr>
        <w:kinsoku/>
        <w:autoSpaceDE/>
        <w:autoSpaceDN/>
        <w:adjustRightInd/>
        <w:snapToGrid/>
        <w:ind w:firstLine="640"/>
        <w:textAlignment w:val="auto"/>
        <w:rPr>
          <w:rFonts w:ascii="黑体" w:hAnsi="黑体" w:eastAsia="黑体" w:cs="Times New Roman"/>
          <w:b/>
          <w:snapToGrid/>
          <w:kern w:val="2"/>
          <w:sz w:val="32"/>
          <w:szCs w:val="32"/>
        </w:rPr>
        <w:sectPr>
          <w:footerReference r:id="rId3" w:type="default"/>
          <w:pgSz w:w="11940" w:h="16870"/>
          <w:pgMar w:top="1433" w:right="1791" w:bottom="1507" w:left="1791" w:header="0" w:footer="1377" w:gutter="0"/>
          <w:cols w:space="720" w:num="1"/>
        </w:sectPr>
      </w:pPr>
      <w:r>
        <w:rPr>
          <w:rFonts w:hint="eastAsia" w:ascii="黑体" w:hAnsi="黑体" w:eastAsia="黑体" w:cs="Times New Roman"/>
          <w:b/>
          <w:snapToGrid/>
          <w:kern w:val="2"/>
          <w:sz w:val="32"/>
          <w:szCs w:val="32"/>
        </w:rPr>
        <w:t>第四部分 名词解释</w:t>
      </w:r>
    </w:p>
    <w:p/>
    <w:p>
      <w:pPr>
        <w:kinsoku/>
        <w:autoSpaceDE/>
        <w:autoSpaceDN/>
        <w:adjustRightInd/>
        <w:snapToGrid/>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第一部分  南昌市青云谱公证处部门概况</w:t>
      </w:r>
    </w:p>
    <w:p/>
    <w:p/>
    <w:p>
      <w:pPr>
        <w:widowControl w:val="0"/>
        <w:kinsoku/>
        <w:autoSpaceDE/>
        <w:autoSpaceDN/>
        <w:adjustRightInd/>
        <w:snapToGrid/>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一、部门主要职能</w:t>
      </w:r>
    </w:p>
    <w:p>
      <w:pPr>
        <w:keepNext w:val="0"/>
        <w:keepLines w:val="0"/>
        <w:pageBreakBefore w:val="0"/>
        <w:widowControl/>
        <w:pBdr>
          <w:top w:val="none" w:color="CCCCCC" w:sz="0" w:space="0"/>
          <w:left w:val="none" w:color="CCCCCC" w:sz="0" w:space="0"/>
          <w:bottom w:val="none" w:color="CCCCCC" w:sz="0" w:space="0"/>
          <w:right w:val="none" w:color="CCCCCC" w:sz="0" w:space="0"/>
        </w:pBdr>
        <w:shd w:val="clear" w:color="auto" w:fill="FFFFFF"/>
        <w:kinsoku w:val="0"/>
        <w:wordWrap/>
        <w:overflowPunct/>
        <w:topLinePunct w:val="0"/>
        <w:autoSpaceDE w:val="0"/>
        <w:autoSpaceDN w:val="0"/>
        <w:bidi w:val="0"/>
        <w:adjustRightInd w:val="0"/>
        <w:snapToGrid w:val="0"/>
        <w:spacing w:before="150" w:after="150" w:line="480" w:lineRule="atLeast"/>
        <w:ind w:right="147"/>
        <w:textAlignment w:val="baseline"/>
        <w:rPr>
          <w:rFonts w:hint="eastAsia" w:ascii="仿宋" w:hAnsi="仿宋" w:eastAsia="仿宋" w:cs="仿宋"/>
          <w:sz w:val="32"/>
          <w:szCs w:val="32"/>
        </w:rPr>
      </w:pPr>
      <w:r>
        <w:rPr>
          <w:rFonts w:hint="eastAsia" w:ascii="仿宋" w:hAnsi="仿宋" w:eastAsia="仿宋" w:cs="仿宋"/>
          <w:sz w:val="32"/>
          <w:szCs w:val="32"/>
          <w:shd w:val="clear" w:color="auto" w:fill="FFFFFF"/>
          <w:lang w:eastAsia="zh-CN" w:bidi="ar"/>
        </w:rPr>
        <w:t>　</w:t>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坚持</w:t>
      </w:r>
      <w:r>
        <w:rPr>
          <w:rFonts w:hint="eastAsia" w:ascii="仿宋" w:hAnsi="仿宋" w:eastAsia="仿宋" w:cs="仿宋"/>
          <w:sz w:val="32"/>
          <w:szCs w:val="32"/>
          <w:shd w:val="clear" w:color="auto" w:fill="FFFFFF"/>
          <w:lang w:bidi="ar"/>
        </w:rPr>
        <w:t>以习近平新时代中国特色社会主义思想为指导</w:t>
      </w:r>
      <w:r>
        <w:rPr>
          <w:rFonts w:hint="eastAsia" w:ascii="仿宋" w:hAnsi="仿宋" w:eastAsia="仿宋" w:cs="仿宋"/>
          <w:sz w:val="32"/>
          <w:szCs w:val="32"/>
          <w:shd w:val="clear" w:color="auto" w:fill="FFFFFF"/>
          <w:lang w:val="en-US" w:eastAsia="zh-CN" w:bidi="ar"/>
        </w:rPr>
        <w:t>，按照依法治国的要求，认真贯彻执行党的路线、方针、政策。</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2.以经济建设为中心,适应市场经济的需要，充分发挥公证的服务、沟通、监督、公正的法律职能，预防纠纷，减少诉讼。</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3.以事实为根据，以法律为准绳，依法办证，依法出证，维护国家、集体和个人的合法权</w:t>
      </w:r>
      <w:r>
        <w:rPr>
          <w:rFonts w:hint="eastAsia" w:ascii="仿宋" w:hAnsi="仿宋" w:eastAsia="仿宋" w:cs="仿宋"/>
          <w:sz w:val="32"/>
          <w:szCs w:val="32"/>
          <w:shd w:val="clear" w:color="auto" w:fill="FFFFFF"/>
          <w:lang w:val="en-US" w:eastAsia="zh-CN" w:bidi="ar"/>
        </w:rPr>
        <w:t>益</w:t>
      </w:r>
      <w:r>
        <w:rPr>
          <w:rFonts w:hint="eastAsia" w:ascii="仿宋" w:hAnsi="仿宋" w:eastAsia="仿宋" w:cs="仿宋"/>
          <w:sz w:val="32"/>
          <w:szCs w:val="32"/>
          <w:shd w:val="clear" w:color="auto" w:fill="FFFFFF"/>
          <w:lang w:eastAsia="zh-CN" w:bidi="ar"/>
        </w:rPr>
        <w:t>，</w:t>
      </w:r>
      <w:r>
        <w:rPr>
          <w:rFonts w:hint="eastAsia" w:ascii="仿宋" w:hAnsi="仿宋" w:eastAsia="仿宋" w:cs="仿宋"/>
          <w:sz w:val="32"/>
          <w:szCs w:val="32"/>
          <w:shd w:val="clear" w:color="auto" w:fill="FFFFFF"/>
          <w:lang w:bidi="ar"/>
        </w:rPr>
        <w:t>按照真实合法的原则和法定的程序办理公证事务</w:t>
      </w:r>
      <w:r>
        <w:rPr>
          <w:rFonts w:hint="eastAsia" w:ascii="仿宋" w:hAnsi="仿宋" w:eastAsia="仿宋" w:cs="仿宋"/>
          <w:sz w:val="32"/>
          <w:szCs w:val="32"/>
          <w:shd w:val="clear" w:color="auto" w:fill="FFFFFF"/>
          <w:lang w:eastAsia="zh-CN" w:bidi="ar"/>
        </w:rPr>
        <w:t>。</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4.根据自然人、法人或其他组织的申请，依照法定程序，对民事法律行为、有法律意义的事实和文书的真实性、合法性予以证明。</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5.办理公证事务，出具公证证明。如公证合同、收养、遗嘱等法律行为，公证学历、出生、亲属关系等有法律意义的事实和文书,办理保全证据和提存公证等。</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6.向社会提供法律服务。除办理公证事务外，公证法律服务的内容还包括：解答法律咨询，代写法律文书，代当事人保管遗嘱、文件和其他贵重物品，清点、封存遗产，调解公证事项的纠纷，应邀参与当事人之间的谈判和其他经济活动,进行回访监督，提出公证建议，担任法律顾问，代办与公证有关的法律手续等。</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 xml:space="preserve"> 7.对社会性活动实施法律监督。如对招标、投标、拍卖、面向社会的各类有奖活动、社会性评选活动、社会性竞赛活动、商品的抽样检测、股份公司创立大会、公司股东大会等与公众或社会经济生活有密切关系的社会活动进行公证监督，以维护正常的经济秩序。</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val="en-US" w:eastAsia="zh-CN" w:bidi="ar"/>
        </w:rPr>
        <w:t>8</w:t>
      </w:r>
      <w:r>
        <w:rPr>
          <w:rFonts w:hint="eastAsia" w:ascii="仿宋" w:hAnsi="仿宋" w:eastAsia="仿宋" w:cs="仿宋"/>
          <w:sz w:val="32"/>
          <w:szCs w:val="32"/>
          <w:shd w:val="clear" w:color="auto" w:fill="FFFFFF"/>
          <w:lang w:bidi="ar"/>
        </w:rPr>
        <w:t>.维护正常的民事、经济流转秩序，引导公民、法人进行民事经济活动，预防纠纷，减少诉讼，促进经济持续发展和社会安定。</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val="en-US" w:eastAsia="zh-CN" w:bidi="ar"/>
        </w:rPr>
        <w:t>9</w:t>
      </w:r>
      <w:r>
        <w:rPr>
          <w:rFonts w:hint="eastAsia" w:ascii="仿宋" w:hAnsi="仿宋" w:eastAsia="仿宋" w:cs="仿宋"/>
          <w:sz w:val="32"/>
          <w:szCs w:val="32"/>
          <w:shd w:val="clear" w:color="auto" w:fill="FFFFFF"/>
          <w:lang w:bidi="ar"/>
        </w:rPr>
        <w:t>.通过公证的媒介作用，促进对外经济、文化交流。</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0</w:t>
      </w:r>
      <w:r>
        <w:rPr>
          <w:rFonts w:hint="eastAsia" w:ascii="仿宋" w:hAnsi="仿宋" w:eastAsia="仿宋" w:cs="仿宋"/>
          <w:sz w:val="32"/>
          <w:szCs w:val="32"/>
          <w:shd w:val="clear" w:color="auto" w:fill="FFFFFF"/>
          <w:lang w:bidi="ar"/>
        </w:rPr>
        <w:t>.在司法行政机关的指导下，制订公证处的远景目标规划和中长期发展计划。</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1</w:t>
      </w:r>
      <w:r>
        <w:rPr>
          <w:rFonts w:hint="eastAsia" w:ascii="仿宋" w:hAnsi="仿宋" w:eastAsia="仿宋" w:cs="仿宋"/>
          <w:sz w:val="32"/>
          <w:szCs w:val="32"/>
          <w:shd w:val="clear" w:color="auto" w:fill="FFFFFF"/>
          <w:lang w:bidi="ar"/>
        </w:rPr>
        <w:t>.通过公证活动，宣传、规范和引导公证工作的开展，搞好精神文明建设。</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2</w:t>
      </w:r>
      <w:r>
        <w:rPr>
          <w:rFonts w:hint="eastAsia" w:ascii="仿宋" w:hAnsi="仿宋" w:eastAsia="仿宋" w:cs="仿宋"/>
          <w:sz w:val="32"/>
          <w:szCs w:val="32"/>
          <w:shd w:val="clear" w:color="auto" w:fill="FFFFFF"/>
          <w:lang w:bidi="ar"/>
        </w:rPr>
        <w:t>.担任公证法律顾问，解答法律咨询，进行非诉讼调解，不断提高公证质量。</w:t>
      </w:r>
      <w:r>
        <w:rPr>
          <w:rFonts w:hint="eastAsia" w:ascii="仿宋" w:hAnsi="仿宋" w:eastAsia="仿宋" w:cs="仿宋"/>
          <w:sz w:val="32"/>
          <w:szCs w:val="32"/>
          <w:shd w:val="clear" w:color="auto" w:fill="FFFFFF"/>
          <w:lang w:bidi="ar"/>
        </w:rPr>
        <w:br w:type="textWrapping"/>
      </w:r>
      <w:r>
        <w:rPr>
          <w:rFonts w:hint="eastAsia" w:ascii="仿宋" w:hAnsi="仿宋" w:eastAsia="仿宋" w:cs="仿宋"/>
          <w:sz w:val="32"/>
          <w:szCs w:val="32"/>
          <w:shd w:val="clear" w:color="auto" w:fill="FFFFFF"/>
          <w:lang w:bidi="ar"/>
        </w:rPr>
        <w:t>1</w:t>
      </w:r>
      <w:r>
        <w:rPr>
          <w:rFonts w:hint="eastAsia" w:ascii="仿宋" w:hAnsi="仿宋" w:eastAsia="仿宋" w:cs="仿宋"/>
          <w:sz w:val="32"/>
          <w:szCs w:val="32"/>
          <w:shd w:val="clear" w:color="auto" w:fill="FFFFFF"/>
          <w:lang w:val="en-US" w:eastAsia="zh-CN" w:bidi="ar"/>
        </w:rPr>
        <w:t>3</w:t>
      </w:r>
      <w:r>
        <w:rPr>
          <w:rFonts w:hint="eastAsia" w:ascii="仿宋" w:hAnsi="仿宋" w:eastAsia="仿宋" w:cs="仿宋"/>
          <w:sz w:val="32"/>
          <w:szCs w:val="32"/>
          <w:shd w:val="clear" w:color="auto" w:fill="FFFFFF"/>
          <w:lang w:bidi="ar"/>
        </w:rPr>
        <w:t>.办理区委、区政府和区司法局交办的其他事项。</w:t>
      </w:r>
    </w:p>
    <w:p>
      <w:pPr>
        <w:widowControl w:val="0"/>
        <w:kinsoku/>
        <w:autoSpaceDE/>
        <w:autoSpaceDN/>
        <w:adjustRightInd/>
        <w:snapToGrid/>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二、部门基本情况</w:t>
      </w:r>
    </w:p>
    <w:p>
      <w:pPr>
        <w:kinsoku/>
        <w:autoSpaceDE/>
        <w:autoSpaceDN/>
        <w:adjustRightInd/>
        <w:snapToGrid/>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纳入本套部门决算汇编范围的单位共1个，包括</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南昌市青云谱公证处。</w:t>
      </w:r>
    </w:p>
    <w:p>
      <w:pPr>
        <w:jc w:val="left"/>
        <w:rPr>
          <w:rFonts w:ascii="仿宋" w:hAnsi="仿宋" w:eastAsia="仿宋"/>
          <w:sz w:val="30"/>
          <w:szCs w:val="30"/>
        </w:rPr>
      </w:pPr>
      <w:r>
        <w:rPr>
          <w:rFonts w:hint="eastAsia" w:ascii="仿宋" w:hAnsi="仿宋" w:eastAsia="仿宋"/>
          <w:sz w:val="30"/>
          <w:szCs w:val="30"/>
        </w:rPr>
        <w:t xml:space="preserve"> </w:t>
      </w:r>
      <w:r>
        <w:rPr>
          <w:rFonts w:ascii="仿宋" w:hAnsi="仿宋" w:eastAsia="仿宋"/>
          <w:sz w:val="30"/>
          <w:szCs w:val="30"/>
        </w:rPr>
        <w:t xml:space="preserve">   </w:t>
      </w:r>
      <w:r>
        <w:rPr>
          <w:rFonts w:hint="eastAsia" w:ascii="仿宋" w:hAnsi="仿宋" w:eastAsia="仿宋"/>
          <w:sz w:val="30"/>
          <w:szCs w:val="30"/>
        </w:rPr>
        <w:t>事业编制数5人，在职人数5人，分别为负责人1人，公证</w:t>
      </w:r>
      <w:r>
        <w:rPr>
          <w:rFonts w:hint="eastAsia" w:ascii="仿宋" w:hAnsi="仿宋" w:eastAsia="仿宋"/>
          <w:sz w:val="30"/>
          <w:szCs w:val="30"/>
          <w:lang w:eastAsia="zh-CN"/>
        </w:rPr>
        <w:t>员１</w:t>
      </w:r>
      <w:r>
        <w:rPr>
          <w:rFonts w:hint="eastAsia" w:ascii="仿宋" w:hAnsi="仿宋" w:eastAsia="仿宋"/>
          <w:sz w:val="30"/>
          <w:szCs w:val="30"/>
        </w:rPr>
        <w:t>人，公证人员3人。</w:t>
      </w:r>
    </w:p>
    <w:p>
      <w:pPr>
        <w:jc w:val="center"/>
        <w:rPr>
          <w:rFonts w:ascii="宋体" w:hAnsi="宋体" w:eastAsia="宋体" w:cs="Times New Roman"/>
          <w:b/>
          <w:snapToGrid/>
          <w:kern w:val="2"/>
          <w:sz w:val="32"/>
          <w:szCs w:val="30"/>
        </w:rPr>
      </w:pPr>
      <w:r>
        <mc:AlternateContent>
          <mc:Choice Requires="wps">
            <w:drawing>
              <wp:anchor distT="0" distB="0" distL="114300" distR="114300" simplePos="0" relativeHeight="251659264" behindDoc="1" locked="0" layoutInCell="0" allowOverlap="1">
                <wp:simplePos x="0" y="0"/>
                <wp:positionH relativeFrom="page">
                  <wp:posOffset>1200150</wp:posOffset>
                </wp:positionH>
                <wp:positionV relativeFrom="page">
                  <wp:posOffset>7835265</wp:posOffset>
                </wp:positionV>
                <wp:extent cx="12700" cy="70485"/>
                <wp:effectExtent l="0" t="0" r="6350" b="5715"/>
                <wp:wrapNone/>
                <wp:docPr id="8" name="任意多边形 8"/>
                <wp:cNvGraphicFramePr/>
                <a:graphic xmlns:a="http://schemas.openxmlformats.org/drawingml/2006/main">
                  <a:graphicData uri="http://schemas.microsoft.com/office/word/2010/wordprocessingShape">
                    <wps:wsp>
                      <wps:cNvSpPr/>
                      <wps:spPr>
                        <a:xfrm>
                          <a:off x="0" y="0"/>
                          <a:ext cx="12700" cy="70485"/>
                        </a:xfrm>
                        <a:custGeom>
                          <a:avLst/>
                          <a:gdLst/>
                          <a:ahLst/>
                          <a:cxnLst/>
                          <a:rect l="0" t="0" r="0" b="0"/>
                          <a:pathLst>
                            <a:path w="20" h="111">
                              <a:moveTo>
                                <a:pt x="10" y="0"/>
                              </a:moveTo>
                              <a:lnTo>
                                <a:pt x="10" y="110"/>
                              </a:lnTo>
                            </a:path>
                          </a:pathLst>
                        </a:custGeom>
                        <a:noFill/>
                        <a:ln w="12700" cap="flat" cmpd="sng">
                          <a:solidFill>
                            <a:srgbClr val="000000"/>
                          </a:solidFill>
                          <a:prstDash val="solid"/>
                          <a:miter lim="1000000"/>
                          <a:headEnd type="none" w="med" len="med"/>
                          <a:tailEnd type="none" w="med" len="med"/>
                        </a:ln>
                      </wps:spPr>
                      <wps:bodyPr upright="1"/>
                    </wps:wsp>
                  </a:graphicData>
                </a:graphic>
              </wp:anchor>
            </w:drawing>
          </mc:Choice>
          <mc:Fallback>
            <w:pict>
              <v:shape id="_x0000_s1026" o:spid="_x0000_s1026" o:spt="100" style="position:absolute;left:0pt;margin-left:94.5pt;margin-top:616.95pt;height:5.55pt;width:1pt;mso-position-horizontal-relative:page;mso-position-vertical-relative:page;z-index:-251657216;mso-width-relative:page;mso-height-relative:page;" filled="f" stroked="t" coordsize="20,111" o:allowincell="f" o:gfxdata="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D86TzfXAAAADQEAAA8AAAAAAAAAAQAgAAAAIgAA&#10;AGRycy9kb3ducmV2LnhtbFBLAQIUABQAAAAIAIdO4kAL6otTQgIAAMUEAAAOAAAAAAAAAAEAIAAA&#10;ACYBAABkcnMvZTJvRG9jLnhtbFBLBQYAAAAABgAGAFkBAADaBQAAAAA=&#10;" path="m10,0l10,110e">
                <v:fill on="f" focussize="0,0"/>
                <v:stroke weight="1pt" color="#000000" miterlimit="10" joinstyle="miter"/>
                <v:imagedata o:title=""/>
                <o:lock v:ext="edit" aspectratio="f"/>
              </v:shape>
            </w:pict>
          </mc:Fallback>
        </mc:AlternateContent>
      </w:r>
      <w:r>
        <w:rPr>
          <w:rFonts w:hint="eastAsia" w:ascii="宋体" w:hAnsi="宋体" w:eastAsia="宋体" w:cs="Times New Roman"/>
          <w:b/>
          <w:snapToGrid/>
          <w:kern w:val="2"/>
          <w:sz w:val="32"/>
          <w:szCs w:val="30"/>
        </w:rPr>
        <w:t>第二部分  202</w:t>
      </w:r>
      <w:r>
        <w:rPr>
          <w:rFonts w:hint="eastAsia" w:ascii="宋体" w:hAnsi="宋体" w:eastAsia="宋体" w:cs="Times New Roman"/>
          <w:b/>
          <w:snapToGrid/>
          <w:kern w:val="2"/>
          <w:sz w:val="32"/>
          <w:szCs w:val="30"/>
          <w:lang w:val="en-US" w:eastAsia="zh-CN"/>
        </w:rPr>
        <w:t>1</w:t>
      </w:r>
      <w:bookmarkStart w:id="0" w:name="_GoBack"/>
      <w:bookmarkEnd w:id="0"/>
      <w:r>
        <w:rPr>
          <w:rFonts w:hint="eastAsia" w:ascii="宋体" w:hAnsi="宋体" w:eastAsia="宋体" w:cs="Times New Roman"/>
          <w:b/>
          <w:snapToGrid/>
          <w:kern w:val="2"/>
          <w:sz w:val="32"/>
          <w:szCs w:val="30"/>
        </w:rPr>
        <w:t>年度部门决算表</w:t>
      </w:r>
    </w:p>
    <w:p>
      <w:pPr>
        <w:rPr>
          <w:rFonts w:eastAsiaTheme="minorEastAsia"/>
        </w:rPr>
      </w:pPr>
    </w:p>
    <w:p>
      <w:pPr>
        <w:rPr>
          <w:rFonts w:eastAsiaTheme="minorEastAsia"/>
        </w:rPr>
      </w:pPr>
    </w:p>
    <w:p>
      <w:pPr>
        <w:rPr>
          <w:rFonts w:eastAsiaTheme="minorEastAsia"/>
        </w:rPr>
      </w:pPr>
      <w:r>
        <w:drawing>
          <wp:inline distT="0" distB="0" distL="114300" distR="114300">
            <wp:extent cx="6229350" cy="62388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6229350" cy="6238875"/>
                    </a:xfrm>
                    <a:prstGeom prst="rect">
                      <a:avLst/>
                    </a:prstGeom>
                    <a:noFill/>
                    <a:ln>
                      <a:noFill/>
                    </a:ln>
                  </pic:spPr>
                </pic:pic>
              </a:graphicData>
            </a:graphic>
          </wp:inline>
        </w:drawing>
      </w:r>
    </w:p>
    <w:p/>
    <w:p/>
    <w:p>
      <w:r>
        <w:drawing>
          <wp:inline distT="0" distB="0" distL="114300" distR="114300">
            <wp:extent cx="9544050" cy="3133725"/>
            <wp:effectExtent l="0" t="0" r="0" b="952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9544050" cy="3133725"/>
                    </a:xfrm>
                    <a:prstGeom prst="rect">
                      <a:avLst/>
                    </a:prstGeom>
                    <a:noFill/>
                    <a:ln>
                      <a:noFill/>
                    </a:ln>
                  </pic:spPr>
                </pic:pic>
              </a:graphicData>
            </a:graphic>
          </wp:inline>
        </w:drawing>
      </w:r>
    </w:p>
    <w:p>
      <w:r>
        <w:drawing>
          <wp:inline distT="0" distB="0" distL="114300" distR="114300">
            <wp:extent cx="9372600" cy="3287395"/>
            <wp:effectExtent l="0" t="0" r="0" b="825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0"/>
                    <a:stretch>
                      <a:fillRect/>
                    </a:stretch>
                  </pic:blipFill>
                  <pic:spPr>
                    <a:xfrm>
                      <a:off x="0" y="0"/>
                      <a:ext cx="9372600" cy="3287395"/>
                    </a:xfrm>
                    <a:prstGeom prst="rect">
                      <a:avLst/>
                    </a:prstGeom>
                    <a:noFill/>
                    <a:ln>
                      <a:noFill/>
                    </a:ln>
                  </pic:spPr>
                </pic:pic>
              </a:graphicData>
            </a:graphic>
          </wp:inline>
        </w:drawing>
      </w:r>
    </w:p>
    <w:p/>
    <w:p/>
    <w:p>
      <w:r>
        <w:drawing>
          <wp:inline distT="0" distB="0" distL="114300" distR="114300">
            <wp:extent cx="8229600" cy="5715000"/>
            <wp:effectExtent l="0" t="0" r="0" b="0"/>
            <wp:docPr id="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pic:cNvPicPr>
                      <a:picLocks noChangeAspect="1"/>
                    </pic:cNvPicPr>
                  </pic:nvPicPr>
                  <pic:blipFill>
                    <a:blip r:embed="rId11"/>
                    <a:stretch>
                      <a:fillRect/>
                    </a:stretch>
                  </pic:blipFill>
                  <pic:spPr>
                    <a:xfrm>
                      <a:off x="0" y="0"/>
                      <a:ext cx="8229600" cy="5715000"/>
                    </a:xfrm>
                    <a:prstGeom prst="rect">
                      <a:avLst/>
                    </a:prstGeom>
                    <a:noFill/>
                    <a:ln>
                      <a:noFill/>
                    </a:ln>
                  </pic:spPr>
                </pic:pic>
              </a:graphicData>
            </a:graphic>
          </wp:inline>
        </w:drawing>
      </w:r>
    </w:p>
    <w:p/>
    <w:p/>
    <w:p/>
    <w:p>
      <w:r>
        <w:drawing>
          <wp:inline distT="0" distB="0" distL="114300" distR="114300">
            <wp:extent cx="6381750" cy="3990975"/>
            <wp:effectExtent l="0" t="0" r="0" b="952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2"/>
                    <a:stretch>
                      <a:fillRect/>
                    </a:stretch>
                  </pic:blipFill>
                  <pic:spPr>
                    <a:xfrm>
                      <a:off x="0" y="0"/>
                      <a:ext cx="6381750" cy="3990975"/>
                    </a:xfrm>
                    <a:prstGeom prst="rect">
                      <a:avLst/>
                    </a:prstGeom>
                    <a:noFill/>
                    <a:ln>
                      <a:noFill/>
                    </a:ln>
                  </pic:spPr>
                </pic:pic>
              </a:graphicData>
            </a:graphic>
          </wp:inline>
        </w:drawing>
      </w:r>
    </w:p>
    <w:p/>
    <w:p/>
    <w:p>
      <w:r>
        <w:drawing>
          <wp:inline distT="0" distB="0" distL="114300" distR="114300">
            <wp:extent cx="7953375" cy="6000115"/>
            <wp:effectExtent l="0" t="0" r="9525" b="63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3"/>
                    <a:stretch>
                      <a:fillRect/>
                    </a:stretch>
                  </pic:blipFill>
                  <pic:spPr>
                    <a:xfrm>
                      <a:off x="0" y="0"/>
                      <a:ext cx="7953375" cy="6000115"/>
                    </a:xfrm>
                    <a:prstGeom prst="rect">
                      <a:avLst/>
                    </a:prstGeom>
                    <a:noFill/>
                    <a:ln>
                      <a:noFill/>
                    </a:ln>
                  </pic:spPr>
                </pic:pic>
              </a:graphicData>
            </a:graphic>
          </wp:inline>
        </w:drawing>
      </w:r>
      <w:r>
        <w:drawing>
          <wp:inline distT="0" distB="0" distL="114300" distR="114300">
            <wp:extent cx="8034655" cy="6010910"/>
            <wp:effectExtent l="0" t="0" r="4445" b="889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4"/>
                    <a:stretch>
                      <a:fillRect/>
                    </a:stretch>
                  </pic:blipFill>
                  <pic:spPr>
                    <a:xfrm>
                      <a:off x="0" y="0"/>
                      <a:ext cx="8034655" cy="6010910"/>
                    </a:xfrm>
                    <a:prstGeom prst="rect">
                      <a:avLst/>
                    </a:prstGeom>
                    <a:noFill/>
                    <a:ln>
                      <a:noFill/>
                    </a:ln>
                  </pic:spPr>
                </pic:pic>
              </a:graphicData>
            </a:graphic>
          </wp:inline>
        </w:drawing>
      </w:r>
    </w:p>
    <w:p/>
    <w:p/>
    <w:p>
      <w:r>
        <w:drawing>
          <wp:inline distT="0" distB="0" distL="114300" distR="114300">
            <wp:extent cx="4810125" cy="5238750"/>
            <wp:effectExtent l="0" t="0" r="9525" b="0"/>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15"/>
                    <a:stretch>
                      <a:fillRect/>
                    </a:stretch>
                  </pic:blipFill>
                  <pic:spPr>
                    <a:xfrm>
                      <a:off x="0" y="0"/>
                      <a:ext cx="4810125" cy="5238750"/>
                    </a:xfrm>
                    <a:prstGeom prst="rect">
                      <a:avLst/>
                    </a:prstGeom>
                    <a:noFill/>
                    <a:ln>
                      <a:noFill/>
                    </a:ln>
                  </pic:spPr>
                </pic:pic>
              </a:graphicData>
            </a:graphic>
          </wp:inline>
        </w:drawing>
      </w:r>
    </w:p>
    <w:p/>
    <w:p/>
    <w:p>
      <w:r>
        <w:drawing>
          <wp:inline distT="0" distB="0" distL="114300" distR="114300">
            <wp:extent cx="9058275" cy="3505200"/>
            <wp:effectExtent l="0" t="0" r="9525" b="0"/>
            <wp:docPr id="1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pic:cNvPicPr>
                      <a:picLocks noChangeAspect="1"/>
                    </pic:cNvPicPr>
                  </pic:nvPicPr>
                  <pic:blipFill>
                    <a:blip r:embed="rId16"/>
                    <a:stretch>
                      <a:fillRect/>
                    </a:stretch>
                  </pic:blipFill>
                  <pic:spPr>
                    <a:xfrm>
                      <a:off x="0" y="0"/>
                      <a:ext cx="9058275" cy="3505200"/>
                    </a:xfrm>
                    <a:prstGeom prst="rect">
                      <a:avLst/>
                    </a:prstGeom>
                    <a:noFill/>
                    <a:ln>
                      <a:noFill/>
                    </a:ln>
                  </pic:spPr>
                </pic:pic>
              </a:graphicData>
            </a:graphic>
          </wp:inline>
        </w:drawing>
      </w:r>
    </w:p>
    <w:p/>
    <w:p/>
    <w:p>
      <w:r>
        <w:drawing>
          <wp:inline distT="0" distB="0" distL="114300" distR="114300">
            <wp:extent cx="6591300" cy="3305175"/>
            <wp:effectExtent l="0" t="0" r="0" b="9525"/>
            <wp:docPr id="13"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2"/>
                    <pic:cNvPicPr>
                      <a:picLocks noChangeAspect="1"/>
                    </pic:cNvPicPr>
                  </pic:nvPicPr>
                  <pic:blipFill>
                    <a:blip r:embed="rId17"/>
                    <a:stretch>
                      <a:fillRect/>
                    </a:stretch>
                  </pic:blipFill>
                  <pic:spPr>
                    <a:xfrm>
                      <a:off x="0" y="0"/>
                      <a:ext cx="6591300" cy="3305175"/>
                    </a:xfrm>
                    <a:prstGeom prst="rect">
                      <a:avLst/>
                    </a:prstGeom>
                    <a:noFill/>
                    <a:ln>
                      <a:noFill/>
                    </a:ln>
                  </pic:spPr>
                </pic:pic>
              </a:graphicData>
            </a:graphic>
          </wp:inline>
        </w:drawing>
      </w:r>
    </w:p>
    <w:p/>
    <w:p>
      <w:pPr>
        <w:rPr>
          <w:rFonts w:hint="eastAsia"/>
        </w:rPr>
        <w:sectPr>
          <w:footerReference r:id="rId4" w:type="default"/>
          <w:type w:val="continuous"/>
          <w:pgSz w:w="11910" w:h="16850"/>
          <w:pgMar w:top="1432" w:right="1786" w:bottom="400" w:left="1786" w:header="0" w:footer="0" w:gutter="0"/>
          <w:cols w:equalWidth="0" w:num="1">
            <w:col w:w="8337"/>
          </w:cols>
        </w:sectPr>
      </w:pPr>
      <w:r>
        <w:drawing>
          <wp:inline distT="0" distB="0" distL="114300" distR="114300">
            <wp:extent cx="6400165" cy="4370070"/>
            <wp:effectExtent l="0" t="0" r="635" b="11430"/>
            <wp:docPr id="1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pic:cNvPicPr>
                      <a:picLocks noChangeAspect="1"/>
                    </pic:cNvPicPr>
                  </pic:nvPicPr>
                  <pic:blipFill>
                    <a:blip r:embed="rId18"/>
                    <a:stretch>
                      <a:fillRect/>
                    </a:stretch>
                  </pic:blipFill>
                  <pic:spPr>
                    <a:xfrm>
                      <a:off x="0" y="0"/>
                      <a:ext cx="6400165" cy="4370070"/>
                    </a:xfrm>
                    <a:prstGeom prst="rect">
                      <a:avLst/>
                    </a:prstGeom>
                    <a:noFill/>
                    <a:ln>
                      <a:noFill/>
                    </a:ln>
                  </pic:spPr>
                </pic:pic>
              </a:graphicData>
            </a:graphic>
          </wp:inline>
        </w:drawing>
      </w:r>
    </w:p>
    <w:p>
      <w:pPr>
        <w:kinsoku/>
        <w:autoSpaceDE/>
        <w:autoSpaceDN/>
        <w:adjustRightInd/>
        <w:snapToGrid/>
        <w:jc w:val="center"/>
        <w:textAlignment w:val="auto"/>
        <w:rPr>
          <w:rFonts w:hint="eastAsia" w:ascii="宋体" w:hAnsi="宋体" w:eastAsia="宋体" w:cs="Times New Roman"/>
          <w:b/>
          <w:snapToGrid/>
          <w:kern w:val="2"/>
          <w:sz w:val="32"/>
          <w:szCs w:val="30"/>
        </w:rPr>
      </w:pPr>
    </w:p>
    <w:p>
      <w:pPr>
        <w:kinsoku/>
        <w:autoSpaceDE/>
        <w:autoSpaceDN/>
        <w:adjustRightInd/>
        <w:snapToGrid/>
        <w:jc w:val="center"/>
        <w:textAlignment w:val="auto"/>
        <w:rPr>
          <w:rFonts w:hint="eastAsia" w:ascii="宋体" w:hAnsi="宋体" w:eastAsia="宋体" w:cs="Times New Roman"/>
          <w:b/>
          <w:snapToGrid/>
          <w:kern w:val="2"/>
          <w:sz w:val="32"/>
          <w:szCs w:val="30"/>
        </w:rPr>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第三部分    202</w:t>
      </w:r>
      <w:r>
        <w:rPr>
          <w:rFonts w:hint="eastAsia" w:ascii="宋体" w:hAnsi="宋体" w:eastAsia="宋体" w:cs="Times New Roman"/>
          <w:b/>
          <w:snapToGrid/>
          <w:kern w:val="2"/>
          <w:sz w:val="32"/>
          <w:szCs w:val="30"/>
          <w:lang w:val="en-US" w:eastAsia="zh-CN"/>
        </w:rPr>
        <w:t>1</w:t>
      </w:r>
      <w:r>
        <w:rPr>
          <w:rFonts w:hint="eastAsia" w:ascii="宋体" w:hAnsi="宋体" w:eastAsia="宋体" w:cs="Times New Roman"/>
          <w:b/>
          <w:snapToGrid/>
          <w:kern w:val="2"/>
          <w:sz w:val="32"/>
          <w:szCs w:val="30"/>
        </w:rPr>
        <w:t>年度部门决算情况说明</w:t>
      </w:r>
    </w:p>
    <w:p>
      <w:pPr>
        <w:keepNext w:val="0"/>
        <w:keepLines w:val="0"/>
        <w:pageBreakBefore w:val="0"/>
        <w:wordWrap/>
        <w:overflowPunct/>
        <w:topLinePunct w:val="0"/>
        <w:bidi w:val="0"/>
        <w:spacing w:line="560" w:lineRule="exact"/>
      </w:pPr>
    </w:p>
    <w:p>
      <w:pPr>
        <w:keepNext w:val="0"/>
        <w:keepLines w:val="0"/>
        <w:pageBreakBefore w:val="0"/>
        <w:wordWrap/>
        <w:overflowPunct/>
        <w:topLinePunct w:val="0"/>
        <w:bidi w:val="0"/>
        <w:spacing w:line="560" w:lineRule="exact"/>
      </w:pP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一、收入决算情况说明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年度收入总计</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万元，其中年初结转和结余</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较</w:t>
      </w:r>
      <w:r>
        <w:rPr>
          <w:rFonts w:hint="eastAsia" w:ascii="仿宋" w:hAnsi="仿宋" w:eastAsia="仿宋" w:cs="Times New Roman"/>
          <w:snapToGrid/>
          <w:kern w:val="2"/>
          <w:sz w:val="32"/>
          <w:szCs w:val="30"/>
          <w:lang w:val="en-US" w:eastAsia="zh-CN"/>
        </w:rPr>
        <w:t>2020年减少142.79万元，下降100%；</w:t>
      </w:r>
      <w:r>
        <w:rPr>
          <w:rFonts w:hint="eastAsia" w:ascii="仿宋" w:hAnsi="仿宋" w:eastAsia="仿宋" w:cs="Times New Roman"/>
          <w:snapToGrid/>
          <w:kern w:val="2"/>
          <w:sz w:val="32"/>
          <w:szCs w:val="30"/>
        </w:rPr>
        <w:t>本年收入合计</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w:t>
      </w:r>
      <w:r>
        <w:rPr>
          <w:rFonts w:hint="eastAsia" w:ascii="仿宋" w:hAnsi="仿宋" w:eastAsia="仿宋" w:cs="Times New Roman"/>
          <w:snapToGrid/>
          <w:kern w:val="2"/>
          <w:sz w:val="32"/>
          <w:szCs w:val="30"/>
          <w:lang w:eastAsia="zh-CN"/>
        </w:rPr>
        <w:t>增加</w:t>
      </w:r>
      <w:r>
        <w:rPr>
          <w:rFonts w:hint="eastAsia" w:ascii="仿宋" w:hAnsi="仿宋" w:eastAsia="仿宋" w:cs="Times New Roman"/>
          <w:snapToGrid/>
          <w:kern w:val="2"/>
          <w:sz w:val="32"/>
          <w:szCs w:val="30"/>
          <w:lang w:val="en-US" w:eastAsia="zh-CN"/>
        </w:rPr>
        <w:t>127.25</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增加</w:t>
      </w:r>
      <w:r>
        <w:rPr>
          <w:rFonts w:hint="eastAsia" w:ascii="仿宋" w:hAnsi="仿宋" w:eastAsia="仿宋" w:cs="Times New Roman"/>
          <w:snapToGrid/>
          <w:kern w:val="2"/>
          <w:sz w:val="32"/>
          <w:szCs w:val="30"/>
          <w:lang w:val="en-US" w:eastAsia="zh-CN"/>
        </w:rPr>
        <w:t>63</w:t>
      </w:r>
      <w:r>
        <w:rPr>
          <w:rFonts w:hint="eastAsia" w:ascii="仿宋" w:hAnsi="仿宋" w:eastAsia="仿宋" w:cs="Times New Roman"/>
          <w:snapToGrid/>
          <w:kern w:val="2"/>
          <w:sz w:val="32"/>
          <w:szCs w:val="30"/>
        </w:rPr>
        <w:t>%，主要原因是:上年年末有结余。本年收入的具体构成为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财政拨款收入</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万元，占 0%;事业收入 0万元，占0%;经营收入0万元，占0 %;其他收入0 万元</w:t>
      </w:r>
      <w:r>
        <w:rPr>
          <w:rFonts w:hint="eastAsia" w:ascii="仿宋" w:hAnsi="仿宋" w:eastAsia="仿宋" w:cs="Times New Roman"/>
          <w:snapToGrid/>
          <w:kern w:val="2"/>
          <w:sz w:val="32"/>
          <w:szCs w:val="30"/>
          <w:lang w:val="en-US" w:eastAsia="zh-CN"/>
        </w:rPr>
        <w:t>,</w:t>
      </w:r>
      <w:r>
        <w:rPr>
          <w:rFonts w:hint="eastAsia" w:ascii="仿宋" w:hAnsi="仿宋" w:eastAsia="仿宋" w:cs="Times New Roman"/>
          <w:snapToGrid/>
          <w:kern w:val="2"/>
          <w:sz w:val="32"/>
          <w:szCs w:val="30"/>
        </w:rPr>
        <w:t>占 0%。</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二、支出决算情况说明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年度支出总计</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万元，其中本年支出合计3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w:t>
      </w:r>
      <w:r>
        <w:rPr>
          <w:rFonts w:hint="eastAsia" w:ascii="仿宋" w:hAnsi="仿宋" w:eastAsia="仿宋" w:cs="Times New Roman"/>
          <w:snapToGrid/>
          <w:kern w:val="2"/>
          <w:sz w:val="32"/>
          <w:szCs w:val="30"/>
          <w:lang w:eastAsia="zh-CN"/>
        </w:rPr>
        <w:t>减少</w:t>
      </w:r>
      <w:r>
        <w:rPr>
          <w:rFonts w:hint="eastAsia" w:ascii="仿宋" w:hAnsi="仿宋" w:eastAsia="仿宋" w:cs="Times New Roman"/>
          <w:snapToGrid/>
          <w:kern w:val="2"/>
          <w:sz w:val="32"/>
          <w:szCs w:val="30"/>
        </w:rPr>
        <w:t>1</w:t>
      </w:r>
      <w:r>
        <w:rPr>
          <w:rFonts w:hint="eastAsia" w:ascii="仿宋" w:hAnsi="仿宋" w:eastAsia="仿宋" w:cs="Times New Roman"/>
          <w:snapToGrid/>
          <w:kern w:val="2"/>
          <w:sz w:val="32"/>
          <w:szCs w:val="30"/>
          <w:lang w:val="en-US" w:eastAsia="zh-CN"/>
        </w:rPr>
        <w:t>5.53</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下降</w:t>
      </w:r>
      <w:r>
        <w:rPr>
          <w:rFonts w:hint="eastAsia" w:ascii="仿宋" w:hAnsi="仿宋" w:eastAsia="仿宋" w:cs="Times New Roman"/>
          <w:snapToGrid/>
          <w:kern w:val="2"/>
          <w:sz w:val="32"/>
          <w:szCs w:val="30"/>
          <w:lang w:val="en-US" w:eastAsia="zh-CN"/>
        </w:rPr>
        <w:t>4</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单位厉行节约;年末结转和结余0万元，较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年减少</w:t>
      </w:r>
      <w:r>
        <w:rPr>
          <w:rFonts w:hint="eastAsia" w:ascii="仿宋" w:hAnsi="仿宋" w:eastAsia="仿宋" w:cs="Times New Roman"/>
          <w:snapToGrid/>
          <w:kern w:val="2"/>
          <w:sz w:val="32"/>
          <w:szCs w:val="30"/>
          <w:lang w:val="en-US" w:eastAsia="zh-CN"/>
        </w:rPr>
        <w:t>15.53</w:t>
      </w:r>
      <w:r>
        <w:rPr>
          <w:rFonts w:hint="eastAsia" w:ascii="仿宋" w:hAnsi="仿宋" w:eastAsia="仿宋" w:cs="Times New Roman"/>
          <w:snapToGrid/>
          <w:kern w:val="2"/>
          <w:sz w:val="32"/>
          <w:szCs w:val="30"/>
        </w:rPr>
        <w:t>万元，下降</w:t>
      </w:r>
      <w:r>
        <w:rPr>
          <w:rFonts w:hint="eastAsia" w:ascii="仿宋" w:hAnsi="仿宋" w:eastAsia="仿宋" w:cs="Times New Roman"/>
          <w:snapToGrid/>
          <w:kern w:val="2"/>
          <w:sz w:val="32"/>
          <w:szCs w:val="30"/>
          <w:lang w:val="en-US" w:eastAsia="zh-CN"/>
        </w:rPr>
        <w:t>4</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年末做了调减计划。</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本年支出的具体构成为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基本支出</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万元，占</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 项目支出0万元，占0%; 经营支出0万元，占0%; 其他支出（对 附属单位补助支出、上缴上级支出）0万元，占0%。</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三、财政拨款支出决算情况说明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lang w:eastAsia="zh-CN"/>
        </w:rPr>
      </w:pPr>
      <w:r>
        <w:rPr>
          <w:rFonts w:hint="eastAsia" w:ascii="仿宋" w:hAnsi="仿宋" w:eastAsia="仿宋" w:cs="Times New Roman"/>
          <w:snapToGrid/>
          <w:kern w:val="2"/>
          <w:sz w:val="32"/>
          <w:szCs w:val="30"/>
        </w:rPr>
        <w:t>本部门202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 xml:space="preserve"> 年度财政拨款本年支出年初预算数为160 万元， 决算数为 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万元，完成年初预算的</w:t>
      </w:r>
      <w:r>
        <w:rPr>
          <w:rFonts w:hint="eastAsia" w:ascii="仿宋" w:hAnsi="仿宋" w:eastAsia="仿宋" w:cs="Times New Roman"/>
          <w:snapToGrid/>
          <w:kern w:val="2"/>
          <w:sz w:val="32"/>
          <w:szCs w:val="30"/>
          <w:lang w:val="en-US" w:eastAsia="zh-CN"/>
        </w:rPr>
        <w:t>106</w:t>
      </w:r>
      <w:r>
        <w:rPr>
          <w:rFonts w:hint="eastAsia" w:ascii="仿宋" w:hAnsi="仿宋" w:eastAsia="仿宋" w:cs="Times New Roman"/>
          <w:snapToGrid/>
          <w:kern w:val="2"/>
          <w:sz w:val="32"/>
          <w:szCs w:val="30"/>
        </w:rPr>
        <w:t>%。其中</w:t>
      </w:r>
      <w:r>
        <w:rPr>
          <w:rFonts w:hint="eastAsia" w:ascii="仿宋" w:hAnsi="仿宋" w:eastAsia="仿宋" w:cs="Times New Roman"/>
          <w:snapToGrid/>
          <w:kern w:val="2"/>
          <w:sz w:val="32"/>
          <w:szCs w:val="30"/>
          <w:lang w:eastAsia="zh-CN"/>
        </w:rPr>
        <w:t>：　　</w:t>
      </w:r>
    </w:p>
    <w:p>
      <w:pPr>
        <w:keepNext w:val="0"/>
        <w:keepLines w:val="0"/>
        <w:pageBreakBefore w:val="0"/>
        <w:numPr>
          <w:ilvl w:val="0"/>
          <w:numId w:val="0"/>
        </w:numPr>
        <w:kinsoku/>
        <w:wordWrap/>
        <w:overflowPunct/>
        <w:topLinePunct w:val="0"/>
        <w:autoSpaceDE/>
        <w:autoSpaceDN/>
        <w:bidi w:val="0"/>
        <w:adjustRightInd/>
        <w:snapToGrid/>
        <w:spacing w:line="560" w:lineRule="exact"/>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lang w:eastAsia="zh-CN"/>
        </w:rPr>
        <w:t>　　</w:t>
      </w:r>
      <w:r>
        <w:rPr>
          <w:rFonts w:hint="eastAsia" w:ascii="仿宋" w:hAnsi="仿宋" w:eastAsia="仿宋" w:cs="Times New Roman"/>
          <w:snapToGrid/>
          <w:kern w:val="2"/>
          <w:sz w:val="32"/>
          <w:szCs w:val="30"/>
        </w:rPr>
        <w:t xml:space="preserve">公共安全支出年初预算数为160 万元，决算数为 </w:t>
      </w:r>
      <w:r>
        <w:rPr>
          <w:rFonts w:hint="eastAsia" w:ascii="仿宋" w:hAnsi="仿宋" w:eastAsia="仿宋" w:cs="Times New Roman"/>
          <w:snapToGrid/>
          <w:kern w:val="2"/>
          <w:sz w:val="32"/>
          <w:szCs w:val="30"/>
          <w:lang w:val="en-US" w:eastAsia="zh-CN"/>
        </w:rPr>
        <w:t>330.32</w:t>
      </w:r>
      <w:r>
        <w:rPr>
          <w:rFonts w:hint="eastAsia" w:ascii="仿宋" w:hAnsi="仿宋" w:eastAsia="仿宋" w:cs="Times New Roman"/>
          <w:snapToGrid/>
          <w:kern w:val="2"/>
          <w:sz w:val="32"/>
          <w:szCs w:val="30"/>
        </w:rPr>
        <w:t xml:space="preserve">万元，完成年初预算的 </w:t>
      </w:r>
      <w:r>
        <w:rPr>
          <w:rFonts w:hint="eastAsia" w:ascii="仿宋" w:hAnsi="仿宋" w:eastAsia="仿宋" w:cs="Times New Roman"/>
          <w:snapToGrid/>
          <w:kern w:val="2"/>
          <w:sz w:val="32"/>
          <w:szCs w:val="30"/>
          <w:lang w:val="en-US" w:eastAsia="zh-CN"/>
        </w:rPr>
        <w:t>106</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工作需要，调整年初预算。</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四、一般公共预算财政拨款基本支出决算情况说明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Times New Roman"/>
          <w:snapToGrid/>
          <w:kern w:val="2"/>
          <w:sz w:val="32"/>
          <w:szCs w:val="30"/>
          <w:lang w:eastAsia="zh-CN"/>
        </w:rPr>
      </w:pPr>
      <w:r>
        <w:rPr>
          <w:rFonts w:hint="eastAsia" w:ascii="仿宋" w:hAnsi="仿宋" w:eastAsia="仿宋" w:cs="Times New Roman"/>
          <w:snapToGrid/>
          <w:kern w:val="2"/>
          <w:sz w:val="32"/>
          <w:szCs w:val="30"/>
        </w:rPr>
        <w:t>本部门202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年度一般公共预算财政拨款基本支出3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 xml:space="preserve"> 万元，其中</w:t>
      </w:r>
      <w:r>
        <w:rPr>
          <w:rFonts w:hint="eastAsia" w:ascii="仿宋" w:hAnsi="仿宋" w:eastAsia="仿宋" w:cs="Times New Roman"/>
          <w:snapToGrid/>
          <w:kern w:val="2"/>
          <w:sz w:val="32"/>
          <w:szCs w:val="30"/>
          <w:lang w:eastAsia="zh-CN"/>
        </w:rPr>
        <w:t>：</w:t>
      </w:r>
    </w:p>
    <w:p>
      <w:pPr>
        <w:keepNext w:val="0"/>
        <w:keepLines w:val="0"/>
        <w:pageBreakBefore w:val="0"/>
        <w:kinsoku/>
        <w:wordWrap/>
        <w:overflowPunct/>
        <w:topLinePunct w:val="0"/>
        <w:autoSpaceDE/>
        <w:autoSpaceDN/>
        <w:bidi w:val="0"/>
        <w:adjustRightInd/>
        <w:snapToGrid/>
        <w:spacing w:line="560" w:lineRule="exact"/>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（一）工资福利支出</w:t>
      </w:r>
      <w:r>
        <w:rPr>
          <w:rFonts w:hint="eastAsia" w:ascii="仿宋" w:hAnsi="仿宋" w:eastAsia="仿宋" w:cs="Times New Roman"/>
          <w:snapToGrid/>
          <w:kern w:val="2"/>
          <w:sz w:val="32"/>
          <w:szCs w:val="30"/>
          <w:lang w:val="en-US" w:eastAsia="zh-CN"/>
        </w:rPr>
        <w:t>290.13</w:t>
      </w:r>
      <w:r>
        <w:rPr>
          <w:rFonts w:hint="eastAsia" w:ascii="仿宋" w:hAnsi="仿宋" w:eastAsia="仿宋" w:cs="Times New Roman"/>
          <w:snapToGrid/>
          <w:kern w:val="2"/>
          <w:sz w:val="32"/>
          <w:szCs w:val="30"/>
        </w:rPr>
        <w:t>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w:t>
      </w:r>
      <w:r>
        <w:rPr>
          <w:rFonts w:hint="eastAsia" w:ascii="仿宋" w:hAnsi="仿宋" w:eastAsia="仿宋" w:cs="Times New Roman"/>
          <w:snapToGrid/>
          <w:kern w:val="2"/>
          <w:sz w:val="32"/>
          <w:szCs w:val="30"/>
          <w:lang w:eastAsia="zh-CN"/>
        </w:rPr>
        <w:t>减少</w:t>
      </w:r>
      <w:r>
        <w:rPr>
          <w:rFonts w:hint="eastAsia" w:ascii="仿宋" w:hAnsi="仿宋" w:eastAsia="仿宋" w:cs="Times New Roman"/>
          <w:snapToGrid/>
          <w:kern w:val="2"/>
          <w:sz w:val="32"/>
          <w:szCs w:val="30"/>
          <w:lang w:val="en-US" w:eastAsia="zh-CN"/>
        </w:rPr>
        <w:t>19.87</w:t>
      </w:r>
      <w:r>
        <w:rPr>
          <w:rFonts w:hint="eastAsia" w:ascii="仿宋" w:hAnsi="仿宋" w:eastAsia="仿宋" w:cs="Times New Roman"/>
          <w:snapToGrid/>
          <w:kern w:val="2"/>
          <w:sz w:val="32"/>
          <w:szCs w:val="30"/>
        </w:rPr>
        <w:t>万元，</w:t>
      </w:r>
      <w:r>
        <w:rPr>
          <w:rFonts w:hint="eastAsia" w:ascii="仿宋" w:hAnsi="仿宋" w:eastAsia="仿宋" w:cs="Times New Roman"/>
          <w:snapToGrid/>
          <w:kern w:val="2"/>
          <w:sz w:val="32"/>
          <w:szCs w:val="30"/>
          <w:lang w:eastAsia="zh-CN"/>
        </w:rPr>
        <w:t>下降</w:t>
      </w:r>
      <w:r>
        <w:rPr>
          <w:rFonts w:hint="eastAsia" w:ascii="仿宋" w:hAnsi="仿宋" w:eastAsia="仿宋" w:cs="Times New Roman"/>
          <w:snapToGrid/>
          <w:kern w:val="2"/>
          <w:sz w:val="32"/>
          <w:szCs w:val="30"/>
          <w:lang w:val="en-US" w:eastAsia="zh-CN"/>
        </w:rPr>
        <w:t>6</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人员福利社保等</w:t>
      </w:r>
      <w:r>
        <w:rPr>
          <w:rFonts w:hint="eastAsia" w:ascii="仿宋" w:hAnsi="仿宋" w:eastAsia="仿宋" w:cs="Times New Roman"/>
          <w:snapToGrid/>
          <w:kern w:val="2"/>
          <w:sz w:val="32"/>
          <w:szCs w:val="30"/>
          <w:lang w:eastAsia="zh-CN"/>
        </w:rPr>
        <w:t>减少</w:t>
      </w:r>
      <w:r>
        <w:rPr>
          <w:rFonts w:hint="eastAsia" w:ascii="仿宋" w:hAnsi="仿宋" w:eastAsia="仿宋" w:cs="Times New Roman"/>
          <w:snapToGrid/>
          <w:kern w:val="2"/>
          <w:sz w:val="32"/>
          <w:szCs w:val="30"/>
        </w:rPr>
        <w:t>。（二）商品和服务支出3</w:t>
      </w:r>
      <w:r>
        <w:rPr>
          <w:rFonts w:hint="eastAsia" w:ascii="仿宋" w:hAnsi="仿宋" w:eastAsia="仿宋" w:cs="Times New Roman"/>
          <w:snapToGrid/>
          <w:kern w:val="2"/>
          <w:sz w:val="32"/>
          <w:szCs w:val="30"/>
          <w:lang w:val="en-US" w:eastAsia="zh-CN"/>
        </w:rPr>
        <w:t>8.6</w:t>
      </w:r>
      <w:r>
        <w:rPr>
          <w:rFonts w:hint="eastAsia" w:ascii="仿宋" w:hAnsi="仿宋" w:eastAsia="仿宋" w:cs="Times New Roman"/>
          <w:snapToGrid/>
          <w:kern w:val="2"/>
          <w:sz w:val="32"/>
          <w:szCs w:val="30"/>
        </w:rPr>
        <w:t>万元，较20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w:t>
      </w:r>
      <w:r>
        <w:rPr>
          <w:rFonts w:hint="eastAsia" w:ascii="仿宋" w:hAnsi="仿宋" w:eastAsia="仿宋" w:cs="Times New Roman"/>
          <w:snapToGrid/>
          <w:kern w:val="2"/>
          <w:sz w:val="32"/>
          <w:szCs w:val="30"/>
          <w:lang w:val="en-US" w:eastAsia="zh-CN"/>
        </w:rPr>
        <w:t>2.75</w:t>
      </w:r>
      <w:r>
        <w:rPr>
          <w:rFonts w:hint="eastAsia" w:ascii="仿宋" w:hAnsi="仿宋" w:eastAsia="仿宋" w:cs="Times New Roman"/>
          <w:snapToGrid/>
          <w:kern w:val="2"/>
          <w:sz w:val="32"/>
          <w:szCs w:val="30"/>
        </w:rPr>
        <w:t>万元，增长</w:t>
      </w:r>
      <w:r>
        <w:rPr>
          <w:rFonts w:hint="eastAsia" w:ascii="仿宋" w:hAnsi="仿宋" w:eastAsia="仿宋" w:cs="Times New Roman"/>
          <w:snapToGrid/>
          <w:kern w:val="2"/>
          <w:sz w:val="32"/>
          <w:szCs w:val="30"/>
          <w:lang w:val="en-US" w:eastAsia="zh-CN"/>
        </w:rPr>
        <w:t>8</w:t>
      </w:r>
      <w:r>
        <w:rPr>
          <w:rFonts w:hint="eastAsia" w:ascii="仿宋" w:hAnsi="仿宋" w:eastAsia="仿宋" w:cs="Times New Roman"/>
          <w:snapToGrid/>
          <w:kern w:val="2"/>
          <w:sz w:val="32"/>
          <w:szCs w:val="30"/>
        </w:rPr>
        <w:t>%，主要原因是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必要经费支出。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（三）对个人和家庭补助支出0 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 万元，增长0 %，主要原因是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单位无此类费用。</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（四）资本性支出0 万元，较  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年减少0万元，下降</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 xml:space="preserve"> %，主要原因是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单位厉行节约。</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五、一般公共预算财政拨款“三公”经费支出决算情况说明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lang w:eastAsia="zh-CN"/>
        </w:rPr>
      </w:pPr>
      <w:r>
        <w:rPr>
          <w:rFonts w:hint="eastAsia" w:ascii="仿宋" w:hAnsi="仿宋" w:eastAsia="仿宋" w:cs="Times New Roman"/>
          <w:snapToGrid/>
          <w:kern w:val="2"/>
          <w:sz w:val="32"/>
          <w:szCs w:val="30"/>
        </w:rPr>
        <w:t>本部门20</w:t>
      </w:r>
      <w:r>
        <w:rPr>
          <w:rFonts w:hint="eastAsia" w:ascii="仿宋" w:hAnsi="仿宋" w:eastAsia="仿宋" w:cs="Times New Roman"/>
          <w:snapToGrid/>
          <w:kern w:val="2"/>
          <w:sz w:val="32"/>
          <w:szCs w:val="30"/>
          <w:lang w:val="en-US" w:eastAsia="zh-CN"/>
        </w:rPr>
        <w:t>21</w:t>
      </w:r>
      <w:r>
        <w:rPr>
          <w:rFonts w:hint="eastAsia" w:ascii="仿宋" w:hAnsi="仿宋" w:eastAsia="仿宋" w:cs="Times New Roman"/>
          <w:snapToGrid/>
          <w:kern w:val="2"/>
          <w:sz w:val="32"/>
          <w:szCs w:val="30"/>
        </w:rPr>
        <w:t>年度一般公共预算财政拨款“三公”经费支出年初 预算数为0万元，决算数为0万元，完成预算的0%，决算数较201</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年增加0万元，增长0%，其中</w:t>
      </w:r>
      <w:r>
        <w:rPr>
          <w:rFonts w:hint="eastAsia" w:ascii="仿宋" w:hAnsi="仿宋" w:eastAsia="仿宋" w:cs="Times New Roman"/>
          <w:snapToGrid/>
          <w:kern w:val="2"/>
          <w:sz w:val="32"/>
          <w:szCs w:val="30"/>
          <w:lang w:eastAsia="zh-CN"/>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（一）因公出国（境）支出年初预算数为0万元，决算数为0万元，完成预算的0%，决算数较20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年增加0万元，增长0 %。决算数较年初预算数不变的主 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单位无因公出国。全年安排因公出国（境）团组0个，累计0人次，主要为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单位无因公出国。</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（二）公务接待费支出年初预算数为0万元，决算数为0万元，完成预算的0 %，决算数较20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年增加0万元，增长0%。决算数较年初预算数不变的主要原因是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单位无公务接待费。全年国内公务接待0 批，累计接待0人次，其中外事 接待0批，累计接待0人次，主要为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单位无公务接待费。</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（三）公务用车购置及运行维护费支出0万元，其中公务用车购置年初预算数为 0万元，决算数为0万元，完成预算的0 %，决算数较20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年增加0万元，增长0 %，主要原因是……，全年购置公务用车0 辆。决算数较年初预算数不变的主要原因是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单位无公务用车;公务用车运行维护费支出年初预算数为0万元，决算数为0万元</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完成预算的0%，决算数较20</w:t>
      </w:r>
      <w:r>
        <w:rPr>
          <w:rFonts w:hint="eastAsia" w:ascii="仿宋" w:hAnsi="仿宋" w:eastAsia="仿宋" w:cs="Times New Roman"/>
          <w:snapToGrid/>
          <w:kern w:val="2"/>
          <w:sz w:val="32"/>
          <w:szCs w:val="30"/>
          <w:lang w:val="en-US" w:eastAsia="zh-CN"/>
        </w:rPr>
        <w:t>20</w:t>
      </w:r>
      <w:r>
        <w:rPr>
          <w:rFonts w:hint="eastAsia" w:ascii="仿宋" w:hAnsi="仿宋" w:eastAsia="仿宋" w:cs="Times New Roman"/>
          <w:snapToGrid/>
          <w:kern w:val="2"/>
          <w:sz w:val="32"/>
          <w:szCs w:val="30"/>
        </w:rPr>
        <w:t>年增加0万元，增长0 %，主要原因是单位无公务用车，年末公务用车保有0辆。</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Times New Roman"/>
          <w:snapToGrid/>
          <w:kern w:val="2"/>
          <w:sz w:val="32"/>
          <w:szCs w:val="30"/>
        </w:rPr>
      </w:pPr>
      <w:r>
        <w:rPr>
          <w:rFonts w:hint="eastAsia" w:ascii="黑体" w:hAnsi="黑体" w:eastAsia="黑体" w:cs="Times New Roman"/>
          <w:snapToGrid/>
          <w:kern w:val="2"/>
          <w:sz w:val="30"/>
          <w:szCs w:val="30"/>
          <w:lang w:eastAsia="zh-CN"/>
        </w:rPr>
        <w:t>　　</w:t>
      </w:r>
      <w:r>
        <w:rPr>
          <w:rFonts w:hint="eastAsia" w:ascii="黑体" w:hAnsi="黑体" w:eastAsia="黑体" w:cs="Times New Roman"/>
          <w:snapToGrid/>
          <w:kern w:val="2"/>
          <w:sz w:val="30"/>
          <w:szCs w:val="30"/>
        </w:rPr>
        <w:t>六、机关运行经费支出情况说明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年度机关运行经费支出 0万元（与部门决算 中行政单位和参照公务员法管理事业单位一般公共预算财政  拨款基本支出中公用经费之和保持一致），较年初预算数增加（减少）</w:t>
      </w:r>
      <w:r>
        <w:rPr>
          <w:rFonts w:hint="eastAsia" w:ascii="仿宋" w:hAnsi="仿宋" w:eastAsia="仿宋" w:cs="Times New Roman"/>
          <w:snapToGrid/>
          <w:kern w:val="2"/>
          <w:sz w:val="32"/>
          <w:szCs w:val="30"/>
          <w:lang w:eastAsia="zh-CN"/>
        </w:rPr>
        <w:t>０</w:t>
      </w:r>
      <w:r>
        <w:rPr>
          <w:rFonts w:hint="eastAsia" w:ascii="仿宋" w:hAnsi="仿宋" w:eastAsia="仿宋" w:cs="Times New Roman"/>
          <w:snapToGrid/>
          <w:kern w:val="2"/>
          <w:sz w:val="32"/>
          <w:szCs w:val="30"/>
        </w:rPr>
        <w:t>万元，增长（降低）%，主要原因是</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本单位不是行政单位，无机关运行费等。</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七、政府采购支出情况说明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本部门 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年度政府采购支出总额0万元，其中</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政府采 购货物支出</w:t>
      </w:r>
      <w:r>
        <w:rPr>
          <w:rFonts w:hint="eastAsia" w:ascii="仿宋" w:hAnsi="仿宋" w:eastAsia="仿宋" w:cs="Times New Roman"/>
          <w:snapToGrid/>
          <w:kern w:val="2"/>
          <w:sz w:val="32"/>
          <w:szCs w:val="30"/>
          <w:lang w:val="en-US" w:eastAsia="zh-CN"/>
        </w:rPr>
        <w:t>0</w:t>
      </w:r>
      <w:r>
        <w:rPr>
          <w:rFonts w:hint="eastAsia" w:ascii="仿宋" w:hAnsi="仿宋" w:eastAsia="仿宋" w:cs="Times New Roman"/>
          <w:snapToGrid/>
          <w:kern w:val="2"/>
          <w:sz w:val="32"/>
          <w:szCs w:val="30"/>
        </w:rPr>
        <w:t>万元、政府采购工程支出 0万元、政府采购服务支出0万元。授予中小企业合同金额</w:t>
      </w:r>
      <w:r>
        <w:rPr>
          <w:rFonts w:hint="eastAsia" w:ascii="仿宋" w:hAnsi="仿宋" w:eastAsia="仿宋" w:cs="Times New Roman"/>
          <w:snapToGrid/>
          <w:kern w:val="2"/>
          <w:sz w:val="32"/>
          <w:szCs w:val="30"/>
          <w:lang w:eastAsia="zh-CN"/>
        </w:rPr>
        <w:t>０</w:t>
      </w:r>
      <w:r>
        <w:rPr>
          <w:rFonts w:hint="eastAsia" w:ascii="仿宋" w:hAnsi="仿宋" w:eastAsia="仿宋" w:cs="Times New Roman"/>
          <w:snapToGrid/>
          <w:kern w:val="2"/>
          <w:sz w:val="32"/>
          <w:szCs w:val="30"/>
        </w:rPr>
        <w:t>万元，占政府采购支出总额的0 %，其中</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授予小微企业合同金额</w:t>
      </w:r>
      <w:r>
        <w:rPr>
          <w:rFonts w:hint="eastAsia" w:ascii="仿宋" w:hAnsi="仿宋" w:eastAsia="仿宋" w:cs="Times New Roman"/>
          <w:snapToGrid/>
          <w:kern w:val="2"/>
          <w:sz w:val="32"/>
          <w:szCs w:val="30"/>
          <w:lang w:eastAsia="zh-CN"/>
        </w:rPr>
        <w:t>０</w:t>
      </w:r>
      <w:r>
        <w:rPr>
          <w:rFonts w:hint="eastAsia" w:ascii="仿宋" w:hAnsi="仿宋" w:eastAsia="仿宋" w:cs="Times New Roman"/>
          <w:snapToGrid/>
          <w:kern w:val="2"/>
          <w:sz w:val="32"/>
          <w:szCs w:val="30"/>
        </w:rPr>
        <w:t>元，占政府采购支出总额的0 %。（市级部门公开的政府采购金额的计算口径为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本部门纳入202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年部门预算范围的各项政府采购支出金额之和，不包括涉密采购项目的支出金额。）</w: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Times New Roman"/>
          <w:snapToGrid/>
          <w:kern w:val="2"/>
          <w:sz w:val="30"/>
          <w:szCs w:val="30"/>
        </w:rPr>
      </w:pPr>
      <w:r>
        <w:rPr>
          <w:rFonts w:hint="eastAsia" w:ascii="黑体" w:hAnsi="黑体" w:eastAsia="黑体" w:cs="Times New Roman"/>
          <w:snapToGrid/>
          <w:kern w:val="2"/>
          <w:sz w:val="30"/>
          <w:szCs w:val="30"/>
        </w:rPr>
        <w:t>八、国有资产占用情况说明。</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pPr>
      <w:r>
        <w:rPr>
          <w:rFonts w:hint="eastAsia" w:ascii="仿宋" w:hAnsi="仿宋" w:eastAsia="仿宋" w:cs="Times New Roman"/>
          <w:snapToGrid/>
          <w:kern w:val="2"/>
          <w:sz w:val="32"/>
          <w:szCs w:val="30"/>
        </w:rPr>
        <w:t>截止202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年12月31日，本部门国有资产占用情况见公开10 表《国有资产占用情况表》。</w:t>
      </w:r>
      <w:r>
        <mc:AlternateContent>
          <mc:Choice Requires="wps">
            <w:drawing>
              <wp:anchor distT="0" distB="0" distL="0" distR="0" simplePos="0" relativeHeight="251660288" behindDoc="0" locked="0" layoutInCell="0" allowOverlap="1">
                <wp:simplePos x="0" y="0"/>
                <wp:positionH relativeFrom="page">
                  <wp:posOffset>4937760</wp:posOffset>
                </wp:positionH>
                <wp:positionV relativeFrom="page">
                  <wp:posOffset>6992620</wp:posOffset>
                </wp:positionV>
                <wp:extent cx="32385" cy="277495"/>
                <wp:effectExtent l="0" t="0" r="0" b="0"/>
                <wp:wrapNone/>
                <wp:docPr id="3" name="TextBox 3"/>
                <wp:cNvGraphicFramePr/>
                <a:graphic xmlns:a="http://schemas.openxmlformats.org/drawingml/2006/main">
                  <a:graphicData uri="http://schemas.microsoft.com/office/word/2010/wordprocessingShape">
                    <wps:wsp>
                      <wps:cNvSpPr txBox="1"/>
                      <wps:spPr>
                        <a:xfrm rot="10800000">
                          <a:off x="4938030" y="6992828"/>
                          <a:ext cx="32384" cy="277495"/>
                        </a:xfrm>
                        <a:prstGeom prst="rect">
                          <a:avLst/>
                        </a:prstGeom>
                        <a:noFill/>
                        <a:ln w="0">
                          <a:noFill/>
                        </a:ln>
                      </wps:spPr>
                      <wps:style>
                        <a:lnRef idx="0">
                          <a:schemeClr val="accent1"/>
                        </a:lnRef>
                        <a:fillRef idx="0">
                          <a:schemeClr val="accent1"/>
                        </a:fillRef>
                        <a:effectRef idx="0">
                          <a:schemeClr val="accent1"/>
                        </a:effectRef>
                        <a:fontRef idx="minor">
                          <a:schemeClr val="dk1"/>
                        </a:fontRef>
                      </wps:style>
                      <wps:txbx>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3" o:spid="_x0000_s1026" o:spt="202" type="#_x0000_t202" style="position:absolute;left:0pt;margin-left:388.8pt;margin-top:550.6pt;height:21.85pt;width:2.55pt;mso-position-horizontal-relative:page;mso-position-vertical-relative:page;rotation:11796480f;z-index:251660288;mso-width-relative:page;mso-height-relative:page;" filled="f" stroked="f" coordsize="21600,21600" o:allowincell="f" o:gfxdata="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BCgjtj2QAAAA0BAAAPAAAAAAAAAAEAIAAAACIAAABkcnMvZG93bnJldi54&#10;bWxQSwECFAAUAAAACACHTuJAVbSIIjICAABqBAAADgAAAAAAAAABACAAAAAoAQAAZHJzL2Uyb0Rv&#10;Yy54bWxQSwUGAAAAAAYABgBZAQAAzAUAAAAA&#10;">
                <v:fill on="f" focussize="0,0"/>
                <v:stroke on="f" weight="0pt"/>
                <v:imagedata o:title=""/>
                <o:lock v:ext="edit" aspectratio="f"/>
                <v:textbox inset="0mm,0mm,0mm,0mm">
                  <w:txbxContent>
                    <w:p>
                      <w:pPr>
                        <w:spacing w:before="20" w:line="225" w:lineRule="auto"/>
                        <w:ind w:firstLine="20"/>
                        <w:rPr>
                          <w:rFonts w:ascii="仿宋" w:hAnsi="仿宋" w:eastAsia="仿宋" w:cs="仿宋"/>
                          <w:sz w:val="28"/>
                          <w:szCs w:val="28"/>
                        </w:rPr>
                      </w:pPr>
                      <w:r>
                        <w:rPr>
                          <w:rFonts w:ascii="仿宋" w:hAnsi="仿宋" w:eastAsia="仿宋" w:cs="仿宋"/>
                          <w:spacing w:val="-1"/>
                          <w:w w:val="4"/>
                          <w:sz w:val="28"/>
                          <w:szCs w:val="28"/>
                        </w:rPr>
                        <w:t>及</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仿宋" w:hAnsi="仿宋" w:eastAsia="仿宋" w:cs="Times New Roman"/>
          <w:snapToGrid/>
          <w:kern w:val="2"/>
          <w:sz w:val="32"/>
          <w:szCs w:val="30"/>
        </w:rPr>
      </w:pPr>
      <w:r>
        <w:rPr>
          <w:rFonts w:hint="eastAsia" w:ascii="黑体" w:hAnsi="黑体" w:eastAsia="黑体" w:cs="Times New Roman"/>
          <w:snapToGrid/>
          <w:kern w:val="2"/>
          <w:sz w:val="30"/>
          <w:szCs w:val="30"/>
        </w:rPr>
        <w:t>九、预算绩效情况说明</w:t>
      </w:r>
      <w:r>
        <w:rPr>
          <w:rFonts w:hint="eastAsia" w:ascii="仿宋" w:hAnsi="仿宋" w:eastAsia="仿宋" w:cs="Times New Roman"/>
          <w:snapToGrid/>
          <w:kern w:val="2"/>
          <w:sz w:val="32"/>
          <w:szCs w:val="30"/>
        </w:rPr>
        <w:t>（一）绩效管理工作开展情况。</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根据预算绩效管理要求，我部门组织对202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年度一般公共预 算项目支出所有二级项目0 个全面开展绩效自评，共涉及资金0  万元，占一般公共预算项目支出总额的 0%。</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组织对“ 南昌市青云谱公证处 ”等1个部门（单位）开展了整体支出绩效评价试点，涉及一般公共预算支出 3</w:t>
      </w:r>
      <w:r>
        <w:rPr>
          <w:rFonts w:hint="eastAsia" w:ascii="仿宋" w:hAnsi="仿宋" w:eastAsia="仿宋" w:cs="Times New Roman"/>
          <w:snapToGrid/>
          <w:kern w:val="2"/>
          <w:sz w:val="32"/>
          <w:szCs w:val="30"/>
          <w:lang w:val="en-US" w:eastAsia="zh-CN"/>
        </w:rPr>
        <w:t>30.32</w:t>
      </w:r>
      <w:r>
        <w:rPr>
          <w:rFonts w:hint="eastAsia" w:ascii="仿宋" w:hAnsi="仿宋" w:eastAsia="仿宋" w:cs="Times New Roman"/>
          <w:snapToGrid/>
          <w:kern w:val="2"/>
          <w:sz w:val="32"/>
          <w:szCs w:val="30"/>
        </w:rPr>
        <w:t>万元，政府性基金预算支出0万元。</w:t>
      </w:r>
      <w:r>
        <w:rPr>
          <w:rFonts w:hint="eastAsia" w:ascii="仿宋" w:hAnsi="仿宋" w:eastAsia="仿宋" w:cs="仿宋"/>
          <w:sz w:val="32"/>
          <w:szCs w:val="32"/>
        </w:rPr>
        <w:t>我区严格按照财政要求，及时地完成单位会计核算并和财政对完账，认真地做好当年部门预算，严格按照资金性质、分功能科目类别、分经济科目、分项目填列，按实际工作开展需要，并经审核。通过对部门预算分析更可以清晰地看到单位资金使用情况，为单位作出决策提供更清晰的数据。</w:t>
      </w:r>
      <w:r>
        <w:rPr>
          <w:rFonts w:hint="eastAsia" w:ascii="仿宋" w:hAnsi="仿宋" w:eastAsia="仿宋" w:cs="Times New Roman"/>
          <w:snapToGrid/>
          <w:kern w:val="2"/>
          <w:sz w:val="32"/>
          <w:szCs w:val="30"/>
        </w:rPr>
        <w:t>从评价情况来看，整体支出情况良好。</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（三）部门评价项目绩效评价结果</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Times New Roman"/>
          <w:snapToGrid/>
          <w:kern w:val="2"/>
          <w:sz w:val="32"/>
          <w:szCs w:val="30"/>
        </w:rPr>
      </w:pPr>
      <w:r>
        <w:rPr>
          <w:rFonts w:hint="eastAsia" w:ascii="仿宋" w:hAnsi="仿宋" w:eastAsia="仿宋" w:cs="Times New Roman"/>
          <w:snapToGrid/>
          <w:kern w:val="2"/>
          <w:sz w:val="32"/>
          <w:szCs w:val="30"/>
        </w:rPr>
        <w:t>每个市级部门至少将1个部门评价报告向社会公开，报告框 架可参考《项目支出绩效评价办法》（财预〔2020〕10号）中《项 目支出绩效评价报告（参考提纲）》。</w:t>
      </w:r>
    </w:p>
    <w:p>
      <w:pPr>
        <w:keepNext w:val="0"/>
        <w:keepLines w:val="0"/>
        <w:pageBreakBefore w:val="0"/>
        <w:wordWrap/>
        <w:overflowPunct/>
        <w:topLinePunct w:val="0"/>
        <w:bidi w:val="0"/>
        <w:spacing w:line="560" w:lineRule="exact"/>
      </w:pPr>
    </w:p>
    <w:p>
      <w:pPr>
        <w:keepNext w:val="0"/>
        <w:keepLines w:val="0"/>
        <w:pageBreakBefore w:val="0"/>
        <w:kinsoku/>
        <w:wordWrap/>
        <w:overflowPunct/>
        <w:topLinePunct w:val="0"/>
        <w:autoSpaceDE/>
        <w:autoSpaceDN/>
        <w:bidi w:val="0"/>
        <w:adjustRightInd/>
        <w:snapToGrid/>
        <w:spacing w:line="560" w:lineRule="exact"/>
        <w:jc w:val="center"/>
        <w:textAlignment w:val="auto"/>
        <w:rPr>
          <w:rFonts w:ascii="宋体" w:hAnsi="宋体" w:eastAsia="宋体" w:cs="Times New Roman"/>
          <w:b/>
          <w:snapToGrid/>
          <w:kern w:val="2"/>
          <w:sz w:val="32"/>
          <w:szCs w:val="30"/>
        </w:rPr>
      </w:pPr>
      <w:r>
        <w:rPr>
          <w:rFonts w:hint="eastAsia" w:ascii="宋体" w:hAnsi="宋体" w:eastAsia="宋体" w:cs="Times New Roman"/>
          <w:b/>
          <w:snapToGrid/>
          <w:kern w:val="2"/>
          <w:sz w:val="32"/>
          <w:szCs w:val="30"/>
        </w:rPr>
        <w:t>第四部分 名词解释</w:t>
      </w:r>
    </w:p>
    <w:p>
      <w:pPr>
        <w:keepNext w:val="0"/>
        <w:keepLines w:val="0"/>
        <w:pageBreakBefore w:val="0"/>
        <w:wordWrap/>
        <w:overflowPunct/>
        <w:topLinePunct w:val="0"/>
        <w:bidi w:val="0"/>
        <w:spacing w:line="560" w:lineRule="exact"/>
      </w:pPr>
    </w:p>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一、收入科目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（一）财政拨款</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指收支两条线。</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（二）事业收入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指事业单位开展专业业务活动及辅助活动取得的收入。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（三）事业单位经营收入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指事业单位在专业业务活动及辅助活动之外开展非独立核算经营活动取得的收入。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（四）其他收入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指除事业收入、事业单位经营收入等以外的各项收入。</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（五）附属单位上缴收入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（六）上级补助收入</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（七）用事业基金弥补收支差额</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无。</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（八）上年结转和结余</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填列202</w:t>
      </w:r>
      <w:r>
        <w:rPr>
          <w:rFonts w:hint="eastAsia" w:ascii="仿宋" w:hAnsi="仿宋" w:eastAsia="仿宋" w:cs="Times New Roman"/>
          <w:snapToGrid/>
          <w:kern w:val="2"/>
          <w:sz w:val="32"/>
          <w:szCs w:val="30"/>
          <w:lang w:val="en-US" w:eastAsia="zh-CN"/>
        </w:rPr>
        <w:t>1</w:t>
      </w:r>
      <w:r>
        <w:rPr>
          <w:rFonts w:hint="eastAsia" w:ascii="仿宋" w:hAnsi="仿宋" w:eastAsia="仿宋" w:cs="Times New Roman"/>
          <w:snapToGrid/>
          <w:kern w:val="2"/>
          <w:sz w:val="32"/>
          <w:szCs w:val="30"/>
        </w:rPr>
        <w:t>年全部结转和结余的资金数，包括当年结转结余资金和历年滚存结转结余资金。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二、支出科目</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（一）工资福利支出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反映事业单位的基本支出。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（二）商品和服务支出</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反映事业单位除工资以外的支出。</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Times New Roman"/>
          <w:snapToGrid/>
          <w:kern w:val="2"/>
          <w:sz w:val="32"/>
          <w:szCs w:val="30"/>
        </w:rPr>
      </w:pPr>
      <w:r>
        <w:rPr>
          <w:rFonts w:hint="eastAsia" w:ascii="仿宋" w:hAnsi="仿宋" w:eastAsia="仿宋" w:cs="Times New Roman"/>
          <w:snapToGrid/>
          <w:kern w:val="2"/>
          <w:sz w:val="32"/>
          <w:szCs w:val="30"/>
        </w:rPr>
        <w:t>（三）住房公积金</w:t>
      </w:r>
      <w:r>
        <w:rPr>
          <w:rFonts w:hint="eastAsia" w:ascii="仿宋" w:hAnsi="仿宋" w:eastAsia="仿宋" w:cs="Times New Roman"/>
          <w:snapToGrid/>
          <w:kern w:val="2"/>
          <w:sz w:val="32"/>
          <w:szCs w:val="30"/>
          <w:lang w:eastAsia="zh-CN"/>
        </w:rPr>
        <w:t>：</w:t>
      </w:r>
      <w:r>
        <w:rPr>
          <w:rFonts w:hint="eastAsia" w:ascii="仿宋" w:hAnsi="仿宋" w:eastAsia="仿宋" w:cs="Times New Roman"/>
          <w:snapToGrid/>
          <w:kern w:val="2"/>
          <w:sz w:val="32"/>
          <w:szCs w:val="30"/>
        </w:rPr>
        <w:t>反映事业单位按人力资源和社会保障部、财政部规定的基本工资和津补贴以及规定比例为职工缴纳的住房公积金。</w:t>
      </w:r>
    </w:p>
    <w:p/>
    <w:p>
      <w:pPr>
        <w:sectPr>
          <w:footerReference r:id="rId5" w:type="default"/>
          <w:pgSz w:w="11910" w:h="16850"/>
          <w:pgMar w:top="1432" w:right="1786" w:bottom="400" w:left="1786" w:header="0" w:footer="0" w:gutter="0"/>
          <w:cols w:space="720" w:num="1"/>
        </w:sectPr>
      </w:pPr>
    </w:p>
    <w:p/>
    <w:p/>
    <w:p/>
    <w:p/>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p>
      <w:pPr>
        <w:kinsoku/>
        <w:autoSpaceDE/>
        <w:autoSpaceDN/>
        <w:adjustRightInd/>
        <w:snapToGrid/>
        <w:jc w:val="center"/>
        <w:textAlignment w:val="auto"/>
        <w:rPr>
          <w:rFonts w:ascii="宋体" w:hAnsi="宋体" w:eastAsia="宋体" w:cs="Times New Roman"/>
          <w:b/>
          <w:snapToGrid/>
          <w:kern w:val="2"/>
          <w:sz w:val="32"/>
          <w:szCs w:val="30"/>
        </w:rPr>
      </w:pPr>
    </w:p>
    <w:sectPr>
      <w:footerReference r:id="rId6" w:type="default"/>
      <w:pgSz w:w="11910" w:h="16850"/>
      <w:pgMar w:top="1432" w:right="1430" w:bottom="1477" w:left="1786" w:header="0" w:footer="1345"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29" w:lineRule="exact"/>
      <w:ind w:firstLine="229"/>
      <w:rPr>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31" w:lineRule="exact"/>
      <w:ind w:firstLine="214"/>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16" w:lineRule="exact"/>
      <w:rPr>
        <w:sz w:val="16"/>
        <w:szCs w:val="16"/>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I5M2RlZjFhZDJhOTEzZjIyYTNjYWM5MWEyMmFhNDEifQ=="/>
  </w:docVars>
  <w:rsids>
    <w:rsidRoot w:val="39096735"/>
    <w:rsid w:val="002A248D"/>
    <w:rsid w:val="002B4E08"/>
    <w:rsid w:val="00366DF9"/>
    <w:rsid w:val="00420216"/>
    <w:rsid w:val="00634886"/>
    <w:rsid w:val="00856FAE"/>
    <w:rsid w:val="00B6596E"/>
    <w:rsid w:val="00C34F43"/>
    <w:rsid w:val="00CD594C"/>
    <w:rsid w:val="00D32D4B"/>
    <w:rsid w:val="00DA65CE"/>
    <w:rsid w:val="08D65032"/>
    <w:rsid w:val="0BD524A2"/>
    <w:rsid w:val="104B26BB"/>
    <w:rsid w:val="10FB7CA0"/>
    <w:rsid w:val="127F40B2"/>
    <w:rsid w:val="19BF5640"/>
    <w:rsid w:val="1A5D3649"/>
    <w:rsid w:val="1A6C71E2"/>
    <w:rsid w:val="21932A3C"/>
    <w:rsid w:val="253B5A69"/>
    <w:rsid w:val="2646672D"/>
    <w:rsid w:val="2B9560EF"/>
    <w:rsid w:val="2C147790"/>
    <w:rsid w:val="37B17026"/>
    <w:rsid w:val="39096735"/>
    <w:rsid w:val="39572D54"/>
    <w:rsid w:val="396F3BA1"/>
    <w:rsid w:val="44532621"/>
    <w:rsid w:val="4A4C1AAC"/>
    <w:rsid w:val="4E013DEC"/>
    <w:rsid w:val="532D3F6D"/>
    <w:rsid w:val="67665232"/>
    <w:rsid w:val="718C101A"/>
    <w:rsid w:val="71BD6071"/>
    <w:rsid w:val="7563521D"/>
    <w:rsid w:val="7E9834E3"/>
    <w:rsid w:val="7EF64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6">
    <w:name w:val="Table Normal"/>
    <w:semiHidden/>
    <w:unhideWhenUsed/>
    <w:qFormat/>
    <w:uiPriority w:val="0"/>
    <w:tblPr>
      <w:tblCellMar>
        <w:top w:w="0" w:type="dxa"/>
        <w:left w:w="0" w:type="dxa"/>
        <w:bottom w:w="0" w:type="dxa"/>
        <w:right w:w="0" w:type="dxa"/>
      </w:tblCellMar>
    </w:tblPr>
  </w:style>
  <w:style w:type="character" w:customStyle="1" w:styleId="7">
    <w:name w:val="页脚 字符"/>
    <w:basedOn w:val="5"/>
    <w:link w:val="2"/>
    <w:qFormat/>
    <w:uiPriority w:val="0"/>
    <w:rPr>
      <w:rFonts w:ascii="Arial" w:hAnsi="Arial" w:eastAsia="Arial" w:cs="Arial"/>
      <w:snapToGrid w:val="0"/>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3521</Words>
  <Characters>3751</Characters>
  <Lines>28</Lines>
  <Paragraphs>8</Paragraphs>
  <TotalTime>21</TotalTime>
  <ScaleCrop>false</ScaleCrop>
  <LinksUpToDate>false</LinksUpToDate>
  <CharactersWithSpaces>3878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2021-10-25T08:52:00Z</dcterms:created>
  <dc:creator>慎独</dc:creator>
  <cp:lastModifiedBy>被熊痴的鱼</cp:lastModifiedBy>
  <cp:lastPrinted>2022-11-08T02:40:00Z</cp:lastPrinted>
  <dcterms:modified xsi:type="dcterms:W3CDTF">2022-11-11T04:34:23Z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A95E273C897C421AAD98A825F649FEE0</vt:lpwstr>
  </property>
</Properties>
</file>