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FF8" w:rsidRDefault="0071195C">
      <w:pPr>
        <w:pStyle w:val="a8"/>
        <w:rPr>
          <w:rFonts w:hint="default"/>
        </w:rPr>
      </w:pPr>
      <w:r>
        <w:t>南昌市青云谱区人力资源和社会保障局2026年部门预算</w:t>
      </w:r>
    </w:p>
    <w:p w:rsidR="008B3FF8" w:rsidRDefault="008B3FF8">
      <w:pPr>
        <w:pStyle w:val="p0"/>
        <w:spacing w:line="600" w:lineRule="atLeast"/>
        <w:jc w:val="center"/>
        <w:rPr>
          <w:rFonts w:ascii="黑体" w:eastAsia="黑体" w:hAnsi="黑体"/>
          <w:color w:val="000000"/>
          <w:sz w:val="32"/>
          <w:szCs w:val="32"/>
        </w:rPr>
      </w:pPr>
    </w:p>
    <w:p w:rsidR="008B3FF8" w:rsidRDefault="0071195C">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8B3FF8" w:rsidRDefault="008B3FF8">
      <w:pPr>
        <w:pStyle w:val="p0"/>
        <w:rPr>
          <w:rFonts w:ascii="宋体" w:hAnsi="宋体"/>
          <w:color w:val="000000"/>
        </w:rPr>
      </w:pPr>
    </w:p>
    <w:p w:rsidR="008B3FF8" w:rsidRDefault="0071195C">
      <w:pPr>
        <w:pStyle w:val="a"/>
        <w:numPr>
          <w:ilvl w:val="0"/>
          <w:numId w:val="0"/>
        </w:numPr>
        <w:ind w:leftChars="200" w:left="420"/>
        <w:jc w:val="left"/>
      </w:pPr>
      <w:r>
        <w:rPr>
          <w:rFonts w:hint="eastAsia"/>
        </w:rPr>
        <w:t>第一部分  南昌市青云谱区人力资源和社会保障局概况</w:t>
      </w:r>
    </w:p>
    <w:p w:rsidR="008B3FF8" w:rsidRDefault="0071195C" w:rsidP="008B3FF8">
      <w:pPr>
        <w:pStyle w:val="a9"/>
        <w:ind w:firstLine="640"/>
        <w:rPr>
          <w:rFonts w:cs="仿宋_GB2312"/>
        </w:rPr>
      </w:pPr>
      <w:r>
        <w:rPr>
          <w:rFonts w:cs="仿宋_GB2312" w:hint="eastAsia"/>
        </w:rPr>
        <w:t>一、部门主要职责</w:t>
      </w:r>
    </w:p>
    <w:p w:rsidR="008B3FF8" w:rsidRDefault="0071195C" w:rsidP="008B3FF8">
      <w:pPr>
        <w:pStyle w:val="a9"/>
        <w:ind w:firstLine="640"/>
        <w:rPr>
          <w:rFonts w:cs="仿宋_GB2312"/>
        </w:rPr>
      </w:pPr>
      <w:r>
        <w:rPr>
          <w:rFonts w:cs="仿宋_GB2312" w:hint="eastAsia"/>
        </w:rPr>
        <w:t>二、机构设置及人员情况</w:t>
      </w:r>
    </w:p>
    <w:p w:rsidR="008B3FF8" w:rsidRDefault="0071195C">
      <w:pPr>
        <w:pStyle w:val="a"/>
        <w:numPr>
          <w:ilvl w:val="0"/>
          <w:numId w:val="0"/>
        </w:numPr>
        <w:ind w:leftChars="200" w:left="420"/>
        <w:jc w:val="left"/>
      </w:pPr>
      <w:r>
        <w:rPr>
          <w:rFonts w:hint="eastAsia"/>
        </w:rPr>
        <w:t>第二部分  南昌市青云谱区人力资源和社会保障局2026年部门预算表</w:t>
      </w:r>
    </w:p>
    <w:p w:rsidR="008B3FF8" w:rsidRDefault="0071195C" w:rsidP="008B3FF8">
      <w:pPr>
        <w:pStyle w:val="a9"/>
        <w:ind w:firstLine="640"/>
        <w:rPr>
          <w:rFonts w:cs="仿宋_GB2312"/>
        </w:rPr>
      </w:pPr>
      <w:r>
        <w:rPr>
          <w:rFonts w:cs="仿宋_GB2312" w:hint="eastAsia"/>
        </w:rPr>
        <w:t>一、《收支预算总表》</w:t>
      </w:r>
    </w:p>
    <w:p w:rsidR="008B3FF8" w:rsidRDefault="0071195C" w:rsidP="008B3FF8">
      <w:pPr>
        <w:pStyle w:val="a9"/>
        <w:ind w:firstLine="640"/>
        <w:rPr>
          <w:rFonts w:cs="仿宋_GB2312"/>
        </w:rPr>
      </w:pPr>
      <w:r>
        <w:rPr>
          <w:rFonts w:cs="仿宋_GB2312" w:hint="eastAsia"/>
        </w:rPr>
        <w:t>二、《部门收入总表》</w:t>
      </w:r>
    </w:p>
    <w:p w:rsidR="008B3FF8" w:rsidRDefault="0071195C" w:rsidP="008B3FF8">
      <w:pPr>
        <w:pStyle w:val="a9"/>
        <w:ind w:firstLine="640"/>
        <w:rPr>
          <w:rFonts w:cs="仿宋_GB2312"/>
        </w:rPr>
      </w:pPr>
      <w:r>
        <w:rPr>
          <w:rFonts w:cs="仿宋_GB2312" w:hint="eastAsia"/>
        </w:rPr>
        <w:t>三、《部门支出总表》</w:t>
      </w:r>
    </w:p>
    <w:p w:rsidR="008B3FF8" w:rsidRDefault="0071195C" w:rsidP="008B3FF8">
      <w:pPr>
        <w:pStyle w:val="a9"/>
        <w:ind w:firstLine="640"/>
        <w:rPr>
          <w:rFonts w:cs="仿宋_GB2312"/>
        </w:rPr>
      </w:pPr>
      <w:r>
        <w:rPr>
          <w:rFonts w:cs="仿宋_GB2312" w:hint="eastAsia"/>
        </w:rPr>
        <w:t>四、《财政拨款收支总表》</w:t>
      </w:r>
    </w:p>
    <w:p w:rsidR="008B3FF8" w:rsidRDefault="0071195C" w:rsidP="008B3FF8">
      <w:pPr>
        <w:pStyle w:val="a9"/>
        <w:ind w:firstLine="640"/>
        <w:rPr>
          <w:rFonts w:cs="仿宋_GB2312"/>
        </w:rPr>
      </w:pPr>
      <w:r>
        <w:rPr>
          <w:rFonts w:cs="仿宋_GB2312" w:hint="eastAsia"/>
        </w:rPr>
        <w:t>五、《一般公共预算支出表》</w:t>
      </w:r>
    </w:p>
    <w:p w:rsidR="008B3FF8" w:rsidRDefault="0071195C" w:rsidP="008B3FF8">
      <w:pPr>
        <w:pStyle w:val="a9"/>
        <w:ind w:firstLine="640"/>
        <w:rPr>
          <w:rFonts w:cs="仿宋_GB2312"/>
        </w:rPr>
      </w:pPr>
      <w:r>
        <w:rPr>
          <w:rFonts w:cs="仿宋_GB2312" w:hint="eastAsia"/>
        </w:rPr>
        <w:t>六、《一般公共预算基本支出表》</w:t>
      </w:r>
    </w:p>
    <w:p w:rsidR="008B3FF8" w:rsidRDefault="0071195C" w:rsidP="008B3FF8">
      <w:pPr>
        <w:pStyle w:val="a9"/>
        <w:ind w:firstLine="640"/>
        <w:rPr>
          <w:rFonts w:cs="仿宋_GB2312"/>
        </w:rPr>
      </w:pPr>
      <w:r>
        <w:rPr>
          <w:rFonts w:cs="仿宋_GB2312" w:hint="eastAsia"/>
        </w:rPr>
        <w:t>七、《财政拨款“三公”经费支出表》</w:t>
      </w:r>
    </w:p>
    <w:p w:rsidR="008B3FF8" w:rsidRDefault="0071195C" w:rsidP="008B3FF8">
      <w:pPr>
        <w:pStyle w:val="a9"/>
        <w:ind w:firstLine="640"/>
        <w:rPr>
          <w:rFonts w:cs="仿宋_GB2312"/>
        </w:rPr>
      </w:pPr>
      <w:r>
        <w:rPr>
          <w:rFonts w:cs="仿宋_GB2312" w:hint="eastAsia"/>
        </w:rPr>
        <w:t>八、《政府性基金预算支出表》</w:t>
      </w:r>
    </w:p>
    <w:p w:rsidR="008B3FF8" w:rsidRDefault="0071195C" w:rsidP="008B3FF8">
      <w:pPr>
        <w:pStyle w:val="a9"/>
        <w:ind w:firstLine="640"/>
        <w:rPr>
          <w:rFonts w:cs="仿宋_GB2312"/>
        </w:rPr>
      </w:pPr>
      <w:r>
        <w:rPr>
          <w:rFonts w:cs="仿宋_GB2312" w:hint="eastAsia"/>
        </w:rPr>
        <w:t>九、《国有资本经营预算支出表》</w:t>
      </w:r>
      <w:r>
        <w:rPr>
          <w:rFonts w:cs="仿宋_GB2312" w:hint="eastAsia"/>
        </w:rPr>
        <w:tab/>
      </w:r>
    </w:p>
    <w:p w:rsidR="008B3FF8" w:rsidRDefault="0071195C" w:rsidP="008B3FF8">
      <w:pPr>
        <w:pStyle w:val="a9"/>
        <w:ind w:firstLine="640"/>
        <w:rPr>
          <w:rFonts w:cs="仿宋_GB2312"/>
        </w:rPr>
      </w:pPr>
      <w:r>
        <w:rPr>
          <w:rFonts w:cs="仿宋_GB2312" w:hint="eastAsia"/>
        </w:rPr>
        <w:t>十、《部门整体绩效目标》</w:t>
      </w:r>
    </w:p>
    <w:p w:rsidR="008B3FF8" w:rsidRDefault="0071195C" w:rsidP="008B3FF8">
      <w:pPr>
        <w:pStyle w:val="a9"/>
        <w:ind w:firstLine="640"/>
        <w:rPr>
          <w:rFonts w:cs="仿宋_GB2312"/>
        </w:rPr>
      </w:pPr>
      <w:r>
        <w:rPr>
          <w:rFonts w:cs="仿宋_GB2312" w:hint="eastAsia"/>
        </w:rPr>
        <w:t>十一、《项目绩效目标表》</w:t>
      </w:r>
      <w:bookmarkStart w:id="0" w:name="_GoBack"/>
      <w:bookmarkEnd w:id="0"/>
    </w:p>
    <w:p w:rsidR="008B3FF8" w:rsidRDefault="0071195C">
      <w:pPr>
        <w:pStyle w:val="a"/>
        <w:numPr>
          <w:ilvl w:val="0"/>
          <w:numId w:val="0"/>
        </w:numPr>
        <w:ind w:leftChars="200" w:left="420"/>
        <w:jc w:val="left"/>
      </w:pPr>
      <w:r>
        <w:rPr>
          <w:rFonts w:hint="eastAsia"/>
        </w:rPr>
        <w:lastRenderedPageBreak/>
        <w:t>第三部分 南昌市青云谱区人力资源和社会保障局 2026年部门预算情况说明</w:t>
      </w:r>
    </w:p>
    <w:p w:rsidR="008B3FF8" w:rsidRDefault="0071195C" w:rsidP="008B3FF8">
      <w:pPr>
        <w:pStyle w:val="a9"/>
        <w:ind w:firstLine="640"/>
        <w:rPr>
          <w:rFonts w:cs="仿宋_GB2312"/>
        </w:rPr>
      </w:pPr>
      <w:r>
        <w:rPr>
          <w:rFonts w:cs="仿宋_GB2312" w:hint="eastAsia"/>
        </w:rPr>
        <w:t>一、2026年部门预算收支情况说明</w:t>
      </w:r>
    </w:p>
    <w:p w:rsidR="008B3FF8" w:rsidRDefault="0071195C" w:rsidP="008B3FF8">
      <w:pPr>
        <w:pStyle w:val="a9"/>
        <w:ind w:firstLine="640"/>
        <w:rPr>
          <w:rFonts w:cs="仿宋_GB2312"/>
        </w:rPr>
      </w:pPr>
      <w:r>
        <w:rPr>
          <w:rFonts w:cs="仿宋_GB2312" w:hint="eastAsia"/>
        </w:rPr>
        <w:t>二、2026年财政拨款“三公”经费预算情况说明</w:t>
      </w:r>
    </w:p>
    <w:p w:rsidR="008B3FF8" w:rsidRDefault="008B3FF8">
      <w:pPr>
        <w:pStyle w:val="p0"/>
        <w:tabs>
          <w:tab w:val="left" w:pos="6546"/>
        </w:tabs>
        <w:spacing w:line="600" w:lineRule="atLeast"/>
        <w:ind w:firstLine="1280"/>
        <w:jc w:val="left"/>
        <w:rPr>
          <w:rFonts w:ascii="Adobe 仿宋 Std R" w:eastAsia="Adobe 仿宋 Std R" w:hAnsi="Adobe 仿宋 Std R" w:cstheme="minorBidi"/>
          <w:kern w:val="2"/>
          <w:sz w:val="32"/>
          <w:szCs w:val="30"/>
        </w:rPr>
      </w:pPr>
    </w:p>
    <w:p w:rsidR="008B3FF8" w:rsidRDefault="0071195C">
      <w:pPr>
        <w:pStyle w:val="a"/>
        <w:numPr>
          <w:ilvl w:val="0"/>
          <w:numId w:val="0"/>
        </w:numPr>
        <w:ind w:leftChars="200" w:left="420"/>
        <w:jc w:val="left"/>
      </w:pPr>
      <w:r>
        <w:rPr>
          <w:rFonts w:hint="eastAsia"/>
        </w:rPr>
        <w:t>第四部分  名词解释</w:t>
      </w:r>
    </w:p>
    <w:p w:rsidR="008B3FF8" w:rsidRDefault="008B3FF8">
      <w:pPr>
        <w:widowControl/>
        <w:spacing w:line="580" w:lineRule="exact"/>
        <w:jc w:val="center"/>
        <w:rPr>
          <w:rFonts w:ascii="仿宋_GB2312" w:eastAsia="仿宋_GB2312"/>
          <w:b/>
          <w:sz w:val="32"/>
          <w:szCs w:val="30"/>
        </w:rPr>
      </w:pPr>
    </w:p>
    <w:p w:rsidR="008B3FF8" w:rsidRDefault="008B3FF8">
      <w:pPr>
        <w:widowControl/>
        <w:spacing w:line="580" w:lineRule="exact"/>
        <w:jc w:val="center"/>
        <w:rPr>
          <w:rFonts w:ascii="仿宋_GB2312" w:eastAsia="仿宋_GB2312"/>
          <w:b/>
          <w:sz w:val="32"/>
          <w:szCs w:val="30"/>
        </w:rPr>
      </w:pPr>
    </w:p>
    <w:p w:rsidR="008B3FF8" w:rsidRDefault="0071195C">
      <w:pPr>
        <w:pStyle w:val="a"/>
        <w:numPr>
          <w:ilvl w:val="0"/>
          <w:numId w:val="0"/>
        </w:numPr>
        <w:ind w:leftChars="200" w:left="420"/>
        <w:jc w:val="center"/>
      </w:pPr>
      <w:r>
        <w:rPr>
          <w:rFonts w:hint="eastAsia"/>
        </w:rPr>
        <w:t>第一部分  南昌市青云谱区人力资源和社会保障局概况</w:t>
      </w:r>
    </w:p>
    <w:p w:rsidR="008B3FF8" w:rsidRDefault="008B3FF8">
      <w:pPr>
        <w:widowControl/>
        <w:spacing w:line="580" w:lineRule="exact"/>
        <w:jc w:val="left"/>
        <w:rPr>
          <w:rFonts w:asciiTheme="minorEastAsia" w:hAnsiTheme="minorEastAsia"/>
          <w:b/>
          <w:sz w:val="36"/>
          <w:szCs w:val="36"/>
        </w:rPr>
      </w:pPr>
    </w:p>
    <w:p w:rsidR="008B3FF8" w:rsidRDefault="0071195C">
      <w:pPr>
        <w:pStyle w:val="a"/>
        <w:numPr>
          <w:ilvl w:val="0"/>
          <w:numId w:val="0"/>
        </w:numPr>
        <w:ind w:leftChars="200" w:left="420" w:firstLineChars="100" w:firstLine="320"/>
      </w:pPr>
      <w:r>
        <w:rPr>
          <w:rFonts w:hint="eastAsia"/>
        </w:rPr>
        <w:t>一、部门主要职责</w:t>
      </w:r>
    </w:p>
    <w:p w:rsidR="007D10D2" w:rsidRPr="003213AC" w:rsidRDefault="007D10D2" w:rsidP="007D10D2">
      <w:pPr>
        <w:spacing w:line="580" w:lineRule="exact"/>
        <w:ind w:firstLineChars="200" w:firstLine="640"/>
        <w:rPr>
          <w:rFonts w:ascii="仿宋_GB2312" w:eastAsia="仿宋_GB2312"/>
          <w:sz w:val="32"/>
          <w:szCs w:val="30"/>
        </w:rPr>
      </w:pPr>
      <w:r w:rsidRPr="003213AC">
        <w:rPr>
          <w:rFonts w:ascii="仿宋_GB2312" w:eastAsia="仿宋_GB2312" w:hint="eastAsia"/>
          <w:sz w:val="32"/>
          <w:szCs w:val="30"/>
        </w:rPr>
        <w:t>青云谱区人力资源和社会保障局是主管全区人力资源和社会保障工作的区政府组成部门，其主要职责是：</w:t>
      </w:r>
    </w:p>
    <w:p w:rsidR="007D10D2" w:rsidRPr="003213AC" w:rsidRDefault="007D10D2" w:rsidP="007D10D2">
      <w:pPr>
        <w:ind w:firstLine="630"/>
        <w:jc w:val="left"/>
        <w:rPr>
          <w:rFonts w:ascii="仿宋_GB2312" w:eastAsia="仿宋_GB2312" w:hAnsi="仿宋_GB2312"/>
          <w:sz w:val="32"/>
          <w:szCs w:val="32"/>
        </w:rPr>
      </w:pPr>
      <w:r w:rsidRPr="003213AC">
        <w:rPr>
          <w:rFonts w:ascii="仿宋_GB2312" w:eastAsia="仿宋_GB2312" w:hint="eastAsia"/>
          <w:sz w:val="32"/>
          <w:szCs w:val="30"/>
        </w:rPr>
        <w:t>1、贯彻执行国家、省人力资源和社会保障事业发展规划、政策，以及全市人力资源和社会保障地方性法规和规章草案；编制全区人力资源和社会保障事业发展中长期总体规划和年度计划，并组织实施。</w:t>
      </w:r>
      <w:r w:rsidRPr="003213AC">
        <w:rPr>
          <w:rFonts w:ascii="仿宋_GB2312" w:eastAsia="仿宋_GB2312" w:hint="eastAsia"/>
          <w:sz w:val="32"/>
          <w:szCs w:val="30"/>
        </w:rPr>
        <w:br/>
        <w:t xml:space="preserve">    2、拟订全区人力资源市场发展计划，建立全区统一规范的人力资源市场，促进人力资源合理流动、有效配置。</w:t>
      </w:r>
      <w:r w:rsidRPr="003213AC">
        <w:rPr>
          <w:rFonts w:ascii="仿宋_GB2312" w:eastAsia="仿宋_GB2312" w:hint="eastAsia"/>
          <w:sz w:val="32"/>
          <w:szCs w:val="30"/>
        </w:rPr>
        <w:br/>
        <w:t xml:space="preserve">    3、负责全区促进就业工作，拟订统筹城乡的全区就业发展规划和政策，完善公共就业服务体系，组织落实就业援助制度；</w:t>
      </w:r>
      <w:r w:rsidRPr="003213AC">
        <w:rPr>
          <w:rFonts w:ascii="仿宋_GB2312" w:eastAsia="仿宋_GB2312" w:hint="eastAsia"/>
          <w:sz w:val="32"/>
          <w:szCs w:val="30"/>
        </w:rPr>
        <w:lastRenderedPageBreak/>
        <w:t>落实职业资格制度相关政策，统筹建立面向城乡劳动者的职业培训制度；牵头组织实施高校毕业生就业政策，会同有关部门拟订高技能人才、农村实用人才培养和激励政策。</w:t>
      </w:r>
      <w:r w:rsidRPr="003213AC">
        <w:rPr>
          <w:rFonts w:ascii="仿宋_GB2312" w:eastAsia="仿宋_GB2312" w:hint="eastAsia"/>
          <w:sz w:val="32"/>
          <w:szCs w:val="30"/>
        </w:rPr>
        <w:br/>
        <w:t xml:space="preserve">    4、建立和完善覆盖全区城乡居民社会保障体系，贯彻实施相关政策措施，拟订全区养老、失业、工伤、社会保险及补充保险基本政策和基本标准，并负责组织实施和监督检查。</w:t>
      </w:r>
      <w:r w:rsidRPr="003213AC">
        <w:rPr>
          <w:rFonts w:ascii="仿宋_GB2312" w:eastAsia="仿宋_GB2312" w:hint="eastAsia"/>
          <w:sz w:val="32"/>
          <w:szCs w:val="30"/>
        </w:rPr>
        <w:br/>
        <w:t xml:space="preserve">    5、负责全区就业、失业、社会保险基金预测预警和信息引导，拟订应对预案，实施预防、调节和控制，保持全区就业形势稳定和社会保险基金总体收支平衡。</w:t>
      </w:r>
      <w:r w:rsidRPr="003213AC">
        <w:rPr>
          <w:rFonts w:ascii="仿宋_GB2312" w:eastAsia="仿宋_GB2312" w:hint="eastAsia"/>
          <w:sz w:val="32"/>
          <w:szCs w:val="30"/>
        </w:rPr>
        <w:br/>
        <w:t xml:space="preserve">    6、贯彻执行机关、事业单位人员工资收入分配制度改革实施意见，促进建立机关事业单位人员工资正常增长和支付保障机制；贯彻执行国家、省、市有关机关事业单位人员福利和离退休政策。</w:t>
      </w:r>
      <w:r w:rsidRPr="003213AC">
        <w:rPr>
          <w:rFonts w:ascii="仿宋_GB2312" w:eastAsia="仿宋_GB2312" w:hint="eastAsia"/>
          <w:sz w:val="32"/>
          <w:szCs w:val="30"/>
        </w:rPr>
        <w:br/>
        <w:t xml:space="preserve">    7、会同有关部门指导全区事业单位人事制度改革，贯彻执行全区事业单位人员和机关工勤人员管理政策；参与人才管理工作，贯彻执行专业技术人员管理和继续教育政策；牵头推进深化职称制度改革，负责高层次专业技术人才、农村实用人才选拔和培养工作。</w:t>
      </w:r>
      <w:r w:rsidRPr="003213AC">
        <w:rPr>
          <w:rFonts w:ascii="仿宋_GB2312" w:eastAsia="仿宋_GB2312" w:hint="eastAsia"/>
          <w:sz w:val="32"/>
          <w:szCs w:val="30"/>
        </w:rPr>
        <w:br/>
        <w:t xml:space="preserve">    8、推动农民工相关政策的落实，协调解决重点难点问题，维护农民工合法权益。</w:t>
      </w:r>
      <w:r w:rsidRPr="003213AC">
        <w:rPr>
          <w:rFonts w:ascii="仿宋_GB2312" w:eastAsia="仿宋_GB2312" w:hint="eastAsia"/>
          <w:sz w:val="32"/>
          <w:szCs w:val="30"/>
        </w:rPr>
        <w:br/>
      </w:r>
      <w:r w:rsidRPr="003213AC">
        <w:rPr>
          <w:rFonts w:ascii="仿宋_GB2312" w:eastAsia="仿宋_GB2312" w:hint="eastAsia"/>
          <w:sz w:val="32"/>
          <w:szCs w:val="30"/>
        </w:rPr>
        <w:lastRenderedPageBreak/>
        <w:t xml:space="preserve">    9、组织实施全区劳动、人事争议调解仲裁制度和劳动关系政策；完善劳动关系协调机制，贯彻实施消除非法使用童工政策和女工、未成年工的特殊劳动保护政策，组织实施劳动监察，协调劳动者维权工作，依法查处重大案件。</w:t>
      </w:r>
      <w:r w:rsidRPr="003213AC">
        <w:rPr>
          <w:rFonts w:ascii="仿宋_GB2312" w:eastAsia="仿宋_GB2312" w:hint="eastAsia"/>
          <w:sz w:val="32"/>
          <w:szCs w:val="30"/>
        </w:rPr>
        <w:br/>
        <w:t xml:space="preserve">    10、贯彻落实吸引国（境）外专家、留学人员来区工作或定居政策；负责国（境）外人员来区就业管理服务；负责全区引进国外智力工作。</w:t>
      </w:r>
      <w:r w:rsidRPr="003213AC">
        <w:rPr>
          <w:rFonts w:ascii="仿宋_GB2312" w:eastAsia="仿宋_GB2312" w:hint="eastAsia"/>
          <w:sz w:val="32"/>
          <w:szCs w:val="30"/>
        </w:rPr>
        <w:br/>
        <w:t xml:space="preserve">    11、承办区人民政府交办的其他事项。</w:t>
      </w:r>
    </w:p>
    <w:p w:rsidR="007D10D2" w:rsidRPr="007D10D2" w:rsidRDefault="007D10D2" w:rsidP="007D10D2"/>
    <w:p w:rsidR="008B3FF8" w:rsidRDefault="008B3FF8" w:rsidP="008B3FF8">
      <w:pPr>
        <w:pStyle w:val="a9"/>
        <w:ind w:firstLine="640"/>
        <w:rPr>
          <w:rFonts w:cs="仿宋_GB2312"/>
        </w:rPr>
      </w:pPr>
    </w:p>
    <w:p w:rsidR="008B3FF8" w:rsidRDefault="0071195C">
      <w:pPr>
        <w:pStyle w:val="a"/>
        <w:numPr>
          <w:ilvl w:val="0"/>
          <w:numId w:val="0"/>
        </w:numPr>
        <w:ind w:leftChars="200" w:left="420" w:firstLineChars="100" w:firstLine="320"/>
      </w:pPr>
      <w:r>
        <w:rPr>
          <w:rFonts w:hint="eastAsia"/>
        </w:rPr>
        <w:t>二、机构设置及人员情况</w:t>
      </w:r>
    </w:p>
    <w:p w:rsidR="008B3FF8" w:rsidRDefault="0071195C" w:rsidP="008B3FF8">
      <w:pPr>
        <w:pStyle w:val="a9"/>
        <w:ind w:firstLine="640"/>
        <w:rPr>
          <w:rFonts w:cs="仿宋_GB2312"/>
        </w:rPr>
      </w:pPr>
      <w:r>
        <w:rPr>
          <w:rFonts w:cs="仿宋_GB2312" w:hint="eastAsia"/>
        </w:rPr>
        <w:t>南昌市青云谱区人力资源和社会保障局共有预算单位3个，包括南昌市青云谱区人力资源和社会保障局和2个所属预算单位，所属预算单位具体包括：南昌市青云谱区社会保险事业服务中心、南昌市青云谱区公共就业创业人才服务中心。</w:t>
      </w:r>
    </w:p>
    <w:p w:rsidR="008B3FF8" w:rsidRDefault="008B3FF8" w:rsidP="008B3FF8">
      <w:pPr>
        <w:pStyle w:val="a9"/>
        <w:ind w:firstLine="640"/>
        <w:rPr>
          <w:rFonts w:cs="仿宋_GB2312"/>
        </w:rPr>
      </w:pPr>
    </w:p>
    <w:p w:rsidR="008B3FF8" w:rsidRDefault="008B3FF8">
      <w:pPr>
        <w:widowControl/>
        <w:spacing w:line="580" w:lineRule="exact"/>
        <w:jc w:val="center"/>
        <w:rPr>
          <w:rFonts w:ascii="仿宋_GB2312" w:eastAsia="仿宋_GB2312"/>
          <w:b/>
          <w:szCs w:val="30"/>
        </w:rPr>
      </w:pPr>
    </w:p>
    <w:p w:rsidR="008B3FF8" w:rsidRDefault="0071195C">
      <w:pPr>
        <w:pStyle w:val="a"/>
        <w:numPr>
          <w:ilvl w:val="0"/>
          <w:numId w:val="0"/>
        </w:numPr>
        <w:ind w:leftChars="200" w:left="420"/>
        <w:jc w:val="center"/>
      </w:pPr>
      <w:r>
        <w:rPr>
          <w:rFonts w:hint="eastAsia"/>
        </w:rPr>
        <w:t>第二部分  南昌市青云谱区人力资源和社会保障局2026年部门预算表</w:t>
      </w:r>
    </w:p>
    <w:p w:rsidR="008B3FF8" w:rsidRDefault="008B3FF8">
      <w:pPr>
        <w:pStyle w:val="a"/>
        <w:numPr>
          <w:ilvl w:val="0"/>
          <w:numId w:val="0"/>
        </w:numPr>
        <w:ind w:leftChars="200" w:left="420"/>
        <w:sectPr w:rsidR="008B3FF8">
          <w:headerReference w:type="default" r:id="rId7"/>
          <w:pgSz w:w="11906" w:h="16838"/>
          <w:pgMar w:top="2098" w:right="1587" w:bottom="2098" w:left="1587" w:header="851" w:footer="992" w:gutter="0"/>
          <w:cols w:space="425"/>
          <w:docGrid w:type="lines" w:linePitch="312"/>
        </w:sectPr>
      </w:pPr>
    </w:p>
    <w:tbl>
      <w:tblPr>
        <w:tblW w:w="5000" w:type="pct"/>
        <w:jc w:val="center"/>
        <w:tblLayout w:type="fixed"/>
        <w:tblLook w:val="04A0"/>
      </w:tblPr>
      <w:tblGrid>
        <w:gridCol w:w="3121"/>
        <w:gridCol w:w="2250"/>
        <w:gridCol w:w="3536"/>
        <w:gridCol w:w="1775"/>
      </w:tblGrid>
      <w:tr w:rsidR="008B3FF8">
        <w:trPr>
          <w:trHeight w:val="585"/>
          <w:tblHeader/>
          <w:jc w:val="center"/>
        </w:trPr>
        <w:tc>
          <w:tcPr>
            <w:tcW w:w="5000" w:type="pct"/>
            <w:gridSpan w:val="4"/>
            <w:noWrap/>
            <w:vAlign w:val="center"/>
          </w:tcPr>
          <w:p w:rsidR="008B3FF8" w:rsidRDefault="0071195C">
            <w:pPr>
              <w:widowControl/>
              <w:jc w:val="center"/>
              <w:rPr>
                <w:rFonts w:ascii="宋体" w:eastAsia="宋体" w:hAnsi="宋体" w:cs="Arial"/>
                <w:b/>
                <w:bCs/>
                <w:color w:val="000000"/>
                <w:kern w:val="0"/>
                <w:sz w:val="40"/>
                <w:szCs w:val="40"/>
              </w:rPr>
            </w:pPr>
            <w:r>
              <w:rPr>
                <w:rFonts w:asciiTheme="minorEastAsia" w:hAnsiTheme="minorEastAsia" w:cstheme="minorEastAsia" w:hint="eastAsia"/>
                <w:b/>
                <w:bCs/>
                <w:color w:val="000000"/>
                <w:kern w:val="0"/>
                <w:sz w:val="24"/>
                <w:szCs w:val="24"/>
              </w:rPr>
              <w:lastRenderedPageBreak/>
              <w:t>收支预算总表</w:t>
            </w:r>
          </w:p>
        </w:tc>
      </w:tr>
      <w:tr w:rsidR="008B3FF8">
        <w:trPr>
          <w:trHeight w:val="345"/>
          <w:tblHeader/>
          <w:jc w:val="center"/>
        </w:trPr>
        <w:tc>
          <w:tcPr>
            <w:tcW w:w="2514" w:type="pct"/>
            <w:gridSpan w:val="2"/>
            <w:noWrap/>
            <w:vAlign w:val="center"/>
          </w:tcPr>
          <w:p w:rsidR="008B3FF8" w:rsidRDefault="0071195C">
            <w:pPr>
              <w:widowControl/>
              <w:snapToGrid w:val="0"/>
              <w:jc w:val="left"/>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Cs w:val="21"/>
              </w:rPr>
              <w:t>填报单位:008南昌市青云谱区人力资源和社会保障局</w:t>
            </w:r>
          </w:p>
        </w:tc>
        <w:tc>
          <w:tcPr>
            <w:tcW w:w="1655" w:type="pct"/>
            <w:noWrap/>
            <w:vAlign w:val="bottom"/>
          </w:tcPr>
          <w:p w:rsidR="008B3FF8" w:rsidRDefault="008B3FF8">
            <w:pPr>
              <w:widowControl/>
              <w:snapToGrid w:val="0"/>
              <w:jc w:val="left"/>
              <w:textAlignment w:val="center"/>
              <w:rPr>
                <w:rFonts w:asciiTheme="minorEastAsia" w:hAnsiTheme="minorEastAsia" w:cstheme="minorEastAsia"/>
                <w:color w:val="000000"/>
                <w:kern w:val="0"/>
                <w:sz w:val="18"/>
                <w:szCs w:val="18"/>
              </w:rPr>
            </w:pPr>
          </w:p>
        </w:tc>
        <w:tc>
          <w:tcPr>
            <w:tcW w:w="829" w:type="pct"/>
            <w:noWrap/>
            <w:vAlign w:val="center"/>
          </w:tcPr>
          <w:p w:rsidR="008B3FF8" w:rsidRDefault="0071195C">
            <w:pPr>
              <w:widowControl/>
              <w:snapToGrid w:val="0"/>
              <w:jc w:val="right"/>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Cs w:val="21"/>
              </w:rPr>
              <w:t>单位：万元</w:t>
            </w:r>
          </w:p>
        </w:tc>
      </w:tr>
      <w:tr w:rsidR="008B3FF8">
        <w:trPr>
          <w:cantSplit/>
          <w:trHeight w:val="283"/>
          <w:tblHeader/>
          <w:jc w:val="center"/>
        </w:trPr>
        <w:tc>
          <w:tcPr>
            <w:tcW w:w="2514" w:type="pct"/>
            <w:gridSpan w:val="2"/>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收      入</w:t>
            </w:r>
          </w:p>
        </w:tc>
        <w:tc>
          <w:tcPr>
            <w:tcW w:w="2485" w:type="pct"/>
            <w:gridSpan w:val="2"/>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支       出</w:t>
            </w:r>
          </w:p>
        </w:tc>
      </w:tr>
      <w:tr w:rsidR="008B3FF8">
        <w:trPr>
          <w:cantSplit/>
          <w:trHeight w:val="283"/>
          <w:tblHeader/>
          <w:jc w:val="center"/>
        </w:trPr>
        <w:tc>
          <w:tcPr>
            <w:tcW w:w="146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项目</w:t>
            </w:r>
          </w:p>
        </w:tc>
        <w:tc>
          <w:tcPr>
            <w:tcW w:w="1053" w:type="pct"/>
            <w:tcBorders>
              <w:top w:val="nil"/>
              <w:left w:val="nil"/>
              <w:bottom w:val="nil"/>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预算数</w:t>
            </w:r>
          </w:p>
        </w:tc>
        <w:tc>
          <w:tcPr>
            <w:tcW w:w="1655"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项目(按功能科目)</w:t>
            </w:r>
          </w:p>
        </w:tc>
        <w:tc>
          <w:tcPr>
            <w:tcW w:w="829"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预算数</w:t>
            </w: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一、财政拨款</w:t>
            </w:r>
          </w:p>
        </w:tc>
        <w:tc>
          <w:tcPr>
            <w:tcW w:w="1053"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3,970.82</w:t>
            </w:r>
          </w:p>
        </w:tc>
        <w:tc>
          <w:tcPr>
            <w:tcW w:w="1655"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社会保障和就业支出</w:t>
            </w:r>
          </w:p>
        </w:tc>
        <w:tc>
          <w:tcPr>
            <w:tcW w:w="829"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4,987.08</w:t>
            </w: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（一）一般公共预算收入</w:t>
            </w:r>
          </w:p>
        </w:tc>
        <w:tc>
          <w:tcPr>
            <w:tcW w:w="1053" w:type="pct"/>
            <w:tcBorders>
              <w:top w:val="nil"/>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3,970.82</w:t>
            </w:r>
          </w:p>
        </w:tc>
        <w:tc>
          <w:tcPr>
            <w:tcW w:w="1655"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农林水支出</w:t>
            </w:r>
          </w:p>
        </w:tc>
        <w:tc>
          <w:tcPr>
            <w:tcW w:w="829"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353.45</w:t>
            </w: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（二）政府性基金预算收入</w:t>
            </w:r>
          </w:p>
        </w:tc>
        <w:tc>
          <w:tcPr>
            <w:tcW w:w="1053"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住房保障支出</w:t>
            </w:r>
          </w:p>
        </w:tc>
        <w:tc>
          <w:tcPr>
            <w:tcW w:w="829"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105.14</w:t>
            </w: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（三）国有资本经营预算收入</w:t>
            </w:r>
          </w:p>
        </w:tc>
        <w:tc>
          <w:tcPr>
            <w:tcW w:w="1053" w:type="pct"/>
            <w:tcBorders>
              <w:top w:val="nil"/>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二、教育收费资金收入</w:t>
            </w:r>
          </w:p>
        </w:tc>
        <w:tc>
          <w:tcPr>
            <w:tcW w:w="1053" w:type="pct"/>
            <w:tcBorders>
              <w:top w:val="nil"/>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三、事业收入</w:t>
            </w:r>
          </w:p>
        </w:tc>
        <w:tc>
          <w:tcPr>
            <w:tcW w:w="1053" w:type="pct"/>
            <w:tcBorders>
              <w:top w:val="nil"/>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四、事业单位经营收入</w:t>
            </w:r>
          </w:p>
        </w:tc>
        <w:tc>
          <w:tcPr>
            <w:tcW w:w="1053" w:type="pct"/>
            <w:tcBorders>
              <w:top w:val="nil"/>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五、附属单位上缴收入</w:t>
            </w:r>
          </w:p>
        </w:tc>
        <w:tc>
          <w:tcPr>
            <w:tcW w:w="1053"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六、上级补助收入</w:t>
            </w:r>
          </w:p>
        </w:tc>
        <w:tc>
          <w:tcPr>
            <w:tcW w:w="1053"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七、其他收入</w:t>
            </w:r>
          </w:p>
        </w:tc>
        <w:tc>
          <w:tcPr>
            <w:tcW w:w="1053"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265.00</w:t>
            </w: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8B3FF8" w:rsidRDefault="008B3FF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jc w:val="center"/>
        </w:trPr>
        <w:tc>
          <w:tcPr>
            <w:tcW w:w="1461" w:type="pct"/>
            <w:tcBorders>
              <w:top w:val="nil"/>
              <w:left w:val="single" w:sz="4" w:space="0" w:color="000000"/>
              <w:bottom w:val="single" w:sz="4" w:space="0" w:color="auto"/>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本年收入合计</w:t>
            </w:r>
          </w:p>
        </w:tc>
        <w:tc>
          <w:tcPr>
            <w:tcW w:w="1053" w:type="pct"/>
            <w:tcBorders>
              <w:top w:val="nil"/>
              <w:left w:val="nil"/>
              <w:bottom w:val="single" w:sz="4" w:space="0" w:color="auto"/>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4,235.82</w:t>
            </w:r>
          </w:p>
        </w:tc>
        <w:tc>
          <w:tcPr>
            <w:tcW w:w="1655" w:type="pct"/>
            <w:tcBorders>
              <w:top w:val="nil"/>
              <w:left w:val="nil"/>
              <w:bottom w:val="single" w:sz="4" w:space="0" w:color="auto"/>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本年支出合计</w:t>
            </w:r>
          </w:p>
        </w:tc>
        <w:tc>
          <w:tcPr>
            <w:tcW w:w="829" w:type="pct"/>
            <w:tcBorders>
              <w:top w:val="nil"/>
              <w:left w:val="nil"/>
              <w:bottom w:val="single" w:sz="4" w:space="0" w:color="auto"/>
              <w:right w:val="single" w:sz="4" w:space="0" w:color="000000"/>
            </w:tcBorders>
            <w:noWrap/>
            <w:vAlign w:val="bottom"/>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5,445.68</w:t>
            </w:r>
          </w:p>
        </w:tc>
      </w:tr>
      <w:tr w:rsidR="008B3FF8">
        <w:trPr>
          <w:cantSplit/>
          <w:trHeight w:val="283"/>
          <w:jc w:val="center"/>
        </w:trPr>
        <w:tc>
          <w:tcPr>
            <w:tcW w:w="1461"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八、使用非财政拨款结余</w:t>
            </w:r>
          </w:p>
        </w:tc>
        <w:tc>
          <w:tcPr>
            <w:tcW w:w="1053" w:type="pct"/>
            <w:tcBorders>
              <w:top w:val="single" w:sz="4" w:space="0" w:color="auto"/>
              <w:left w:val="single" w:sz="4" w:space="0" w:color="auto"/>
              <w:bottom w:val="single" w:sz="4" w:space="0" w:color="auto"/>
              <w:right w:val="single" w:sz="4" w:space="0" w:color="auto"/>
            </w:tcBorders>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结转下年</w:t>
            </w:r>
          </w:p>
        </w:tc>
        <w:tc>
          <w:tcPr>
            <w:tcW w:w="829" w:type="pct"/>
            <w:tcBorders>
              <w:top w:val="single" w:sz="4" w:space="0" w:color="auto"/>
              <w:left w:val="single" w:sz="4" w:space="0" w:color="auto"/>
              <w:bottom w:val="single" w:sz="4" w:space="0" w:color="auto"/>
              <w:right w:val="single" w:sz="4" w:space="0" w:color="auto"/>
            </w:tcBorders>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r>
      <w:tr w:rsidR="008B3FF8">
        <w:trPr>
          <w:cantSplit/>
          <w:trHeight w:val="283"/>
          <w:jc w:val="center"/>
        </w:trPr>
        <w:tc>
          <w:tcPr>
            <w:tcW w:w="1461" w:type="pct"/>
            <w:tcBorders>
              <w:top w:val="single" w:sz="4" w:space="0" w:color="auto"/>
              <w:left w:val="single" w:sz="4" w:space="0" w:color="000000"/>
              <w:bottom w:val="single" w:sz="4" w:space="0" w:color="auto"/>
              <w:right w:val="nil"/>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九、上年结转（结余）</w:t>
            </w:r>
          </w:p>
        </w:tc>
        <w:tc>
          <w:tcPr>
            <w:tcW w:w="1053" w:type="pct"/>
            <w:tcBorders>
              <w:top w:val="single" w:sz="4" w:space="0" w:color="auto"/>
              <w:left w:val="single" w:sz="4" w:space="0" w:color="000000"/>
              <w:bottom w:val="single" w:sz="4" w:space="0" w:color="auto"/>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1,209.85</w:t>
            </w:r>
          </w:p>
        </w:tc>
        <w:tc>
          <w:tcPr>
            <w:tcW w:w="1655" w:type="pct"/>
            <w:tcBorders>
              <w:top w:val="single" w:sz="4" w:space="0" w:color="auto"/>
              <w:left w:val="nil"/>
              <w:bottom w:val="single" w:sz="4" w:space="0" w:color="auto"/>
              <w:right w:val="single" w:sz="4" w:space="0" w:color="000000"/>
            </w:tcBorders>
            <w:noWrap/>
            <w:vAlign w:val="bottom"/>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829" w:type="pct"/>
            <w:tcBorders>
              <w:top w:val="single" w:sz="4" w:space="0" w:color="auto"/>
              <w:left w:val="nil"/>
              <w:bottom w:val="single" w:sz="4" w:space="0" w:color="auto"/>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trHeight w:val="283"/>
          <w:jc w:val="center"/>
        </w:trPr>
        <w:tc>
          <w:tcPr>
            <w:tcW w:w="1461"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收入总计</w:t>
            </w:r>
          </w:p>
        </w:tc>
        <w:tc>
          <w:tcPr>
            <w:tcW w:w="1053"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5,445.68</w:t>
            </w:r>
          </w:p>
        </w:tc>
        <w:tc>
          <w:tcPr>
            <w:tcW w:w="1655"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支出总计</w:t>
            </w:r>
          </w:p>
        </w:tc>
        <w:tc>
          <w:tcPr>
            <w:tcW w:w="829" w:type="pct"/>
            <w:tcBorders>
              <w:top w:val="single" w:sz="4" w:space="0" w:color="auto"/>
              <w:left w:val="single" w:sz="4" w:space="0" w:color="auto"/>
              <w:bottom w:val="single" w:sz="4" w:space="0" w:color="auto"/>
              <w:right w:val="single" w:sz="4" w:space="0" w:color="auto"/>
            </w:tcBorders>
            <w:noWrap/>
            <w:vAlign w:val="bottom"/>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5,445.68</w:t>
            </w:r>
          </w:p>
        </w:tc>
      </w:tr>
    </w:tbl>
    <w:p w:rsidR="008B3FF8" w:rsidRDefault="008B3FF8">
      <w:pPr>
        <w:widowControl/>
        <w:jc w:val="left"/>
        <w:rPr>
          <w:rStyle w:val="rowtreelevel4"/>
          <w:rFonts w:ascii="仿宋" w:eastAsia="仿宋" w:hAnsi="仿宋"/>
          <w:bCs/>
          <w:sz w:val="32"/>
          <w:szCs w:val="32"/>
        </w:rPr>
        <w:sectPr w:rsidR="008B3FF8">
          <w:pgSz w:w="11906" w:h="16838"/>
          <w:pgMar w:top="720" w:right="720" w:bottom="720" w:left="720" w:header="851" w:footer="992" w:gutter="0"/>
          <w:cols w:space="720"/>
          <w:docGrid w:type="lines" w:linePitch="312"/>
        </w:sectPr>
      </w:pPr>
    </w:p>
    <w:tbl>
      <w:tblPr>
        <w:tblW w:w="5336" w:type="pct"/>
        <w:tblInd w:w="-329" w:type="dxa"/>
        <w:tblLayout w:type="fixed"/>
        <w:tblLook w:val="04A0"/>
      </w:tblPr>
      <w:tblGrid>
        <w:gridCol w:w="1986"/>
        <w:gridCol w:w="898"/>
        <w:gridCol w:w="787"/>
        <w:gridCol w:w="864"/>
        <w:gridCol w:w="962"/>
        <w:gridCol w:w="625"/>
        <w:gridCol w:w="586"/>
        <w:gridCol w:w="661"/>
        <w:gridCol w:w="837"/>
        <w:gridCol w:w="762"/>
        <w:gridCol w:w="549"/>
        <w:gridCol w:w="499"/>
        <w:gridCol w:w="762"/>
        <w:gridCol w:w="622"/>
      </w:tblGrid>
      <w:tr w:rsidR="008B3FF8">
        <w:trPr>
          <w:trHeight w:val="372"/>
        </w:trPr>
        <w:tc>
          <w:tcPr>
            <w:tcW w:w="5000" w:type="pct"/>
            <w:gridSpan w:val="14"/>
            <w:tcBorders>
              <w:top w:val="nil"/>
              <w:left w:val="nil"/>
              <w:bottom w:val="nil"/>
              <w:right w:val="nil"/>
            </w:tcBorders>
            <w:shd w:val="clear" w:color="auto" w:fill="auto"/>
            <w:noWrap/>
            <w:vAlign w:val="center"/>
          </w:tcPr>
          <w:p w:rsidR="008B3FF8" w:rsidRDefault="0071195C">
            <w:pPr>
              <w:widowControl/>
              <w:jc w:val="center"/>
              <w:rPr>
                <w:rFonts w:ascii="宋体" w:eastAsia="宋体" w:hAnsi="宋体" w:cs="Arial"/>
                <w:b/>
                <w:bCs/>
                <w:color w:val="000000"/>
                <w:kern w:val="0"/>
                <w:sz w:val="32"/>
                <w:szCs w:val="32"/>
              </w:rPr>
            </w:pPr>
            <w:r>
              <w:rPr>
                <w:rFonts w:asciiTheme="minorEastAsia" w:hAnsiTheme="minorEastAsia" w:cstheme="minorEastAsia" w:hint="eastAsia"/>
                <w:color w:val="000000"/>
                <w:sz w:val="18"/>
                <w:szCs w:val="18"/>
              </w:rPr>
              <w:lastRenderedPageBreak/>
              <w:t>部门收入总表</w:t>
            </w:r>
          </w:p>
        </w:tc>
      </w:tr>
      <w:tr w:rsidR="008B3FF8">
        <w:trPr>
          <w:trHeight w:val="327"/>
        </w:trPr>
        <w:tc>
          <w:tcPr>
            <w:tcW w:w="1989" w:type="pct"/>
            <w:gridSpan w:val="4"/>
            <w:tcBorders>
              <w:top w:val="nil"/>
              <w:left w:val="nil"/>
              <w:bottom w:val="single" w:sz="4" w:space="0" w:color="auto"/>
              <w:right w:val="nil"/>
            </w:tcBorders>
            <w:shd w:val="clear" w:color="auto" w:fill="auto"/>
            <w:noWrap/>
            <w:vAlign w:val="center"/>
          </w:tcPr>
          <w:p w:rsidR="008B3FF8" w:rsidRDefault="0071195C">
            <w:pPr>
              <w:widowControl/>
              <w:jc w:val="left"/>
              <w:rPr>
                <w:rFonts w:ascii="Times New Roman" w:eastAsia="Times New Roman" w:hAnsi="Times New Roman" w:cs="Times New Roman"/>
                <w:kern w:val="0"/>
                <w:sz w:val="20"/>
                <w:szCs w:val="20"/>
              </w:rPr>
            </w:pPr>
            <w:r>
              <w:rPr>
                <w:rFonts w:asciiTheme="minorEastAsia" w:hAnsiTheme="minorEastAsia" w:cstheme="minorEastAsia" w:hint="eastAsia"/>
                <w:color w:val="000000"/>
                <w:kern w:val="0"/>
                <w:sz w:val="18"/>
                <w:szCs w:val="18"/>
              </w:rPr>
              <w:t>填报单位:008南昌市青云谱区人力资源和社会保障局</w:t>
            </w:r>
          </w:p>
        </w:tc>
        <w:tc>
          <w:tcPr>
            <w:tcW w:w="422" w:type="pct"/>
            <w:tcBorders>
              <w:top w:val="nil"/>
              <w:left w:val="nil"/>
              <w:bottom w:val="single" w:sz="4" w:space="0" w:color="auto"/>
              <w:right w:val="nil"/>
            </w:tcBorders>
            <w:shd w:val="clear" w:color="auto" w:fill="auto"/>
            <w:noWrap/>
            <w:vAlign w:val="bottom"/>
          </w:tcPr>
          <w:p w:rsidR="008B3FF8" w:rsidRDefault="008B3FF8">
            <w:pPr>
              <w:widowControl/>
              <w:jc w:val="left"/>
              <w:rPr>
                <w:rFonts w:ascii="Times New Roman" w:eastAsia="Times New Roman" w:hAnsi="Times New Roman" w:cs="Times New Roman"/>
                <w:kern w:val="0"/>
                <w:sz w:val="20"/>
                <w:szCs w:val="20"/>
              </w:rPr>
            </w:pPr>
          </w:p>
        </w:tc>
        <w:tc>
          <w:tcPr>
            <w:tcW w:w="274" w:type="pct"/>
            <w:tcBorders>
              <w:top w:val="nil"/>
              <w:left w:val="nil"/>
              <w:bottom w:val="single" w:sz="4" w:space="0" w:color="auto"/>
              <w:right w:val="nil"/>
            </w:tcBorders>
            <w:shd w:val="clear" w:color="auto" w:fill="auto"/>
            <w:noWrap/>
            <w:vAlign w:val="bottom"/>
          </w:tcPr>
          <w:p w:rsidR="008B3FF8" w:rsidRDefault="008B3FF8">
            <w:pPr>
              <w:widowControl/>
              <w:jc w:val="left"/>
              <w:rPr>
                <w:rFonts w:ascii="Times New Roman" w:eastAsia="Times New Roman" w:hAnsi="Times New Roman" w:cs="Times New Roman"/>
                <w:kern w:val="0"/>
                <w:sz w:val="20"/>
                <w:szCs w:val="20"/>
              </w:rPr>
            </w:pPr>
          </w:p>
        </w:tc>
        <w:tc>
          <w:tcPr>
            <w:tcW w:w="257" w:type="pct"/>
            <w:tcBorders>
              <w:top w:val="nil"/>
              <w:left w:val="nil"/>
              <w:bottom w:val="single" w:sz="4" w:space="0" w:color="auto"/>
              <w:right w:val="nil"/>
            </w:tcBorders>
            <w:shd w:val="clear" w:color="auto" w:fill="auto"/>
            <w:noWrap/>
            <w:vAlign w:val="bottom"/>
          </w:tcPr>
          <w:p w:rsidR="008B3FF8" w:rsidRDefault="008B3FF8">
            <w:pPr>
              <w:widowControl/>
              <w:jc w:val="left"/>
              <w:rPr>
                <w:rFonts w:ascii="Times New Roman" w:eastAsia="Times New Roman" w:hAnsi="Times New Roman" w:cs="Times New Roman"/>
                <w:kern w:val="0"/>
                <w:sz w:val="20"/>
                <w:szCs w:val="20"/>
              </w:rPr>
            </w:pPr>
          </w:p>
        </w:tc>
        <w:tc>
          <w:tcPr>
            <w:tcW w:w="290" w:type="pct"/>
            <w:tcBorders>
              <w:top w:val="nil"/>
              <w:left w:val="nil"/>
              <w:bottom w:val="single" w:sz="4" w:space="0" w:color="auto"/>
              <w:right w:val="nil"/>
            </w:tcBorders>
            <w:shd w:val="clear" w:color="auto" w:fill="auto"/>
            <w:noWrap/>
            <w:vAlign w:val="bottom"/>
          </w:tcPr>
          <w:p w:rsidR="008B3FF8" w:rsidRDefault="008B3FF8">
            <w:pPr>
              <w:widowControl/>
              <w:jc w:val="left"/>
              <w:rPr>
                <w:rFonts w:ascii="Times New Roman" w:eastAsia="Times New Roman" w:hAnsi="Times New Roman" w:cs="Times New Roman"/>
                <w:kern w:val="0"/>
                <w:sz w:val="20"/>
                <w:szCs w:val="20"/>
              </w:rPr>
            </w:pPr>
          </w:p>
        </w:tc>
        <w:tc>
          <w:tcPr>
            <w:tcW w:w="367" w:type="pct"/>
            <w:tcBorders>
              <w:top w:val="nil"/>
              <w:left w:val="nil"/>
              <w:bottom w:val="single" w:sz="4" w:space="0" w:color="auto"/>
              <w:right w:val="nil"/>
            </w:tcBorders>
            <w:shd w:val="clear" w:color="auto" w:fill="auto"/>
            <w:noWrap/>
            <w:vAlign w:val="bottom"/>
          </w:tcPr>
          <w:p w:rsidR="008B3FF8" w:rsidRDefault="008B3FF8">
            <w:pPr>
              <w:widowControl/>
              <w:jc w:val="left"/>
              <w:rPr>
                <w:rFonts w:ascii="Times New Roman" w:eastAsia="Times New Roman" w:hAnsi="Times New Roman" w:cs="Times New Roman"/>
                <w:kern w:val="0"/>
                <w:sz w:val="20"/>
                <w:szCs w:val="20"/>
              </w:rPr>
            </w:pPr>
          </w:p>
        </w:tc>
        <w:tc>
          <w:tcPr>
            <w:tcW w:w="334" w:type="pct"/>
            <w:tcBorders>
              <w:top w:val="nil"/>
              <w:left w:val="nil"/>
              <w:bottom w:val="single" w:sz="4" w:space="0" w:color="auto"/>
              <w:right w:val="nil"/>
            </w:tcBorders>
            <w:shd w:val="clear" w:color="auto" w:fill="auto"/>
            <w:noWrap/>
            <w:vAlign w:val="bottom"/>
          </w:tcPr>
          <w:p w:rsidR="008B3FF8" w:rsidRDefault="008B3FF8">
            <w:pPr>
              <w:widowControl/>
              <w:jc w:val="left"/>
              <w:rPr>
                <w:rFonts w:ascii="Times New Roman" w:eastAsia="Times New Roman" w:hAnsi="Times New Roman" w:cs="Times New Roman"/>
                <w:kern w:val="0"/>
                <w:sz w:val="20"/>
                <w:szCs w:val="20"/>
              </w:rPr>
            </w:pPr>
          </w:p>
        </w:tc>
        <w:tc>
          <w:tcPr>
            <w:tcW w:w="241" w:type="pct"/>
            <w:tcBorders>
              <w:top w:val="nil"/>
              <w:left w:val="nil"/>
              <w:bottom w:val="single" w:sz="4" w:space="0" w:color="auto"/>
              <w:right w:val="nil"/>
            </w:tcBorders>
            <w:shd w:val="clear" w:color="auto" w:fill="auto"/>
            <w:noWrap/>
            <w:vAlign w:val="bottom"/>
          </w:tcPr>
          <w:p w:rsidR="008B3FF8" w:rsidRDefault="008B3FF8">
            <w:pPr>
              <w:widowControl/>
              <w:jc w:val="left"/>
              <w:rPr>
                <w:rFonts w:ascii="Times New Roman" w:eastAsia="Times New Roman" w:hAnsi="Times New Roman" w:cs="Times New Roman"/>
                <w:kern w:val="0"/>
                <w:sz w:val="20"/>
                <w:szCs w:val="20"/>
              </w:rPr>
            </w:pPr>
          </w:p>
        </w:tc>
        <w:tc>
          <w:tcPr>
            <w:tcW w:w="219" w:type="pct"/>
            <w:tcBorders>
              <w:top w:val="nil"/>
              <w:left w:val="nil"/>
              <w:bottom w:val="single" w:sz="4" w:space="0" w:color="auto"/>
              <w:right w:val="nil"/>
            </w:tcBorders>
            <w:shd w:val="clear" w:color="auto" w:fill="auto"/>
            <w:noWrap/>
            <w:vAlign w:val="bottom"/>
          </w:tcPr>
          <w:p w:rsidR="008B3FF8" w:rsidRDefault="008B3FF8">
            <w:pPr>
              <w:widowControl/>
              <w:jc w:val="left"/>
              <w:rPr>
                <w:rFonts w:ascii="Times New Roman" w:eastAsia="Times New Roman" w:hAnsi="Times New Roman" w:cs="Times New Roman"/>
                <w:kern w:val="0"/>
                <w:sz w:val="20"/>
                <w:szCs w:val="20"/>
              </w:rPr>
            </w:pPr>
          </w:p>
        </w:tc>
        <w:tc>
          <w:tcPr>
            <w:tcW w:w="603" w:type="pct"/>
            <w:gridSpan w:val="2"/>
            <w:tcBorders>
              <w:top w:val="nil"/>
              <w:left w:val="nil"/>
              <w:bottom w:val="single" w:sz="4" w:space="0" w:color="auto"/>
              <w:right w:val="nil"/>
            </w:tcBorders>
            <w:shd w:val="clear" w:color="auto" w:fill="auto"/>
            <w:noWrap/>
            <w:vAlign w:val="bottom"/>
          </w:tcPr>
          <w:p w:rsidR="008B3FF8" w:rsidRDefault="0071195C">
            <w:pPr>
              <w:widowControl/>
              <w:jc w:val="right"/>
              <w:rPr>
                <w:rFonts w:ascii="宋体" w:eastAsia="宋体" w:hAnsi="宋体" w:cs="宋体"/>
                <w:color w:val="000000"/>
                <w:kern w:val="0"/>
                <w:sz w:val="18"/>
                <w:szCs w:val="18"/>
              </w:rPr>
            </w:pPr>
            <w:r>
              <w:rPr>
                <w:rFonts w:asciiTheme="minorEastAsia" w:hAnsiTheme="minorEastAsia" w:cstheme="minorEastAsia" w:hint="eastAsia"/>
                <w:color w:val="000000"/>
                <w:kern w:val="0"/>
                <w:sz w:val="18"/>
                <w:szCs w:val="18"/>
              </w:rPr>
              <w:t>单位：万元</w:t>
            </w:r>
          </w:p>
        </w:tc>
      </w:tr>
      <w:tr w:rsidR="008B3FF8">
        <w:trPr>
          <w:cantSplit/>
          <w:trHeight w:val="283"/>
        </w:trPr>
        <w:tc>
          <w:tcPr>
            <w:tcW w:w="871" w:type="pct"/>
            <w:vMerge w:val="restart"/>
            <w:tcBorders>
              <w:top w:val="single" w:sz="4" w:space="0" w:color="auto"/>
              <w:left w:val="single" w:sz="4" w:space="0" w:color="auto"/>
              <w:right w:val="single" w:sz="4" w:space="0" w:color="auto"/>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单位名称</w:t>
            </w:r>
          </w:p>
        </w:tc>
        <w:tc>
          <w:tcPr>
            <w:tcW w:w="39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合计</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上年结转</w:t>
            </w:r>
          </w:p>
        </w:tc>
        <w:tc>
          <w:tcPr>
            <w:tcW w:w="1332"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财政拨款</w:t>
            </w:r>
          </w:p>
        </w:tc>
        <w:tc>
          <w:tcPr>
            <w:tcW w:w="29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教育收费资金收入</w:t>
            </w:r>
          </w:p>
        </w:tc>
        <w:tc>
          <w:tcPr>
            <w:tcW w:w="36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事业收入</w:t>
            </w:r>
          </w:p>
        </w:tc>
        <w:tc>
          <w:tcPr>
            <w:tcW w:w="33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事业单位经营收入</w:t>
            </w:r>
          </w:p>
        </w:tc>
        <w:tc>
          <w:tcPr>
            <w:tcW w:w="24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附属单位上缴收入</w:t>
            </w:r>
          </w:p>
        </w:tc>
        <w:tc>
          <w:tcPr>
            <w:tcW w:w="21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上级补助收入</w:t>
            </w:r>
          </w:p>
        </w:tc>
        <w:tc>
          <w:tcPr>
            <w:tcW w:w="33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其他收入</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使用非财政拨款结余</w:t>
            </w:r>
          </w:p>
        </w:tc>
      </w:tr>
      <w:tr w:rsidR="008B3FF8">
        <w:trPr>
          <w:cantSplit/>
          <w:trHeight w:val="554"/>
        </w:trPr>
        <w:tc>
          <w:tcPr>
            <w:tcW w:w="871" w:type="pct"/>
            <w:vMerge/>
            <w:tcBorders>
              <w:left w:val="single" w:sz="4" w:space="0" w:color="auto"/>
              <w:bottom w:val="single" w:sz="4" w:space="0" w:color="auto"/>
              <w:right w:val="single" w:sz="4" w:space="0" w:color="auto"/>
            </w:tcBorders>
            <w:vAlign w:val="center"/>
          </w:tcPr>
          <w:p w:rsidR="008B3FF8" w:rsidRDefault="008B3FF8">
            <w:pPr>
              <w:widowControl/>
              <w:jc w:val="left"/>
              <w:rPr>
                <w:rFonts w:ascii="宋体" w:eastAsia="宋体" w:hAnsi="宋体" w:cs="Arial"/>
                <w:color w:val="000000"/>
                <w:kern w:val="0"/>
                <w:sz w:val="13"/>
                <w:szCs w:val="13"/>
              </w:rPr>
            </w:pPr>
          </w:p>
        </w:tc>
        <w:tc>
          <w:tcPr>
            <w:tcW w:w="394" w:type="pct"/>
            <w:vMerge/>
            <w:tcBorders>
              <w:top w:val="single" w:sz="4" w:space="0" w:color="auto"/>
              <w:left w:val="single" w:sz="4" w:space="0" w:color="auto"/>
              <w:bottom w:val="single" w:sz="4" w:space="0" w:color="auto"/>
              <w:right w:val="single" w:sz="4" w:space="0" w:color="auto"/>
            </w:tcBorders>
            <w:vAlign w:val="center"/>
          </w:tcPr>
          <w:p w:rsidR="008B3FF8" w:rsidRDefault="008B3FF8">
            <w:pPr>
              <w:widowControl/>
              <w:jc w:val="left"/>
              <w:rPr>
                <w:rFonts w:ascii="宋体" w:eastAsia="宋体" w:hAnsi="宋体" w:cs="Arial"/>
                <w:color w:val="000000"/>
                <w:kern w:val="0"/>
                <w:sz w:val="13"/>
                <w:szCs w:val="13"/>
              </w:rPr>
            </w:pPr>
          </w:p>
        </w:tc>
        <w:tc>
          <w:tcPr>
            <w:tcW w:w="345" w:type="pct"/>
            <w:vMerge/>
            <w:tcBorders>
              <w:top w:val="single" w:sz="4" w:space="0" w:color="auto"/>
              <w:left w:val="single" w:sz="4" w:space="0" w:color="auto"/>
              <w:bottom w:val="single" w:sz="4" w:space="0" w:color="auto"/>
              <w:right w:val="single" w:sz="4" w:space="0" w:color="auto"/>
            </w:tcBorders>
            <w:vAlign w:val="center"/>
          </w:tcPr>
          <w:p w:rsidR="008B3FF8" w:rsidRDefault="008B3FF8">
            <w:pPr>
              <w:widowControl/>
              <w:jc w:val="left"/>
              <w:rPr>
                <w:rFonts w:ascii="宋体" w:eastAsia="宋体" w:hAnsi="宋体" w:cs="Arial"/>
                <w:color w:val="000000"/>
                <w:kern w:val="0"/>
                <w:sz w:val="13"/>
                <w:szCs w:val="13"/>
              </w:rPr>
            </w:pP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小计</w:t>
            </w:r>
          </w:p>
        </w:tc>
        <w:tc>
          <w:tcPr>
            <w:tcW w:w="422" w:type="pc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一般公共预算拨款收入</w:t>
            </w:r>
          </w:p>
        </w:tc>
        <w:tc>
          <w:tcPr>
            <w:tcW w:w="274" w:type="pc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政府性基金预算拨款收入</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国有资本经营预算收入</w:t>
            </w:r>
          </w:p>
        </w:tc>
        <w:tc>
          <w:tcPr>
            <w:tcW w:w="290" w:type="pct"/>
            <w:vMerge/>
            <w:tcBorders>
              <w:top w:val="single" w:sz="4" w:space="0" w:color="auto"/>
              <w:left w:val="single" w:sz="4" w:space="0" w:color="auto"/>
              <w:bottom w:val="single" w:sz="4" w:space="0" w:color="auto"/>
              <w:right w:val="single" w:sz="4" w:space="0" w:color="auto"/>
            </w:tcBorders>
            <w:vAlign w:val="center"/>
          </w:tcPr>
          <w:p w:rsidR="008B3FF8" w:rsidRDefault="008B3FF8">
            <w:pPr>
              <w:widowControl/>
              <w:jc w:val="left"/>
              <w:rPr>
                <w:rFonts w:ascii="宋体" w:eastAsia="宋体" w:hAnsi="宋体" w:cs="Arial"/>
                <w:color w:val="000000"/>
                <w:kern w:val="0"/>
                <w:sz w:val="13"/>
                <w:szCs w:val="13"/>
              </w:rPr>
            </w:pPr>
          </w:p>
        </w:tc>
        <w:tc>
          <w:tcPr>
            <w:tcW w:w="367" w:type="pct"/>
            <w:vMerge/>
            <w:tcBorders>
              <w:top w:val="single" w:sz="4" w:space="0" w:color="auto"/>
              <w:left w:val="single" w:sz="4" w:space="0" w:color="auto"/>
              <w:bottom w:val="single" w:sz="4" w:space="0" w:color="auto"/>
              <w:right w:val="single" w:sz="4" w:space="0" w:color="auto"/>
            </w:tcBorders>
            <w:vAlign w:val="center"/>
          </w:tcPr>
          <w:p w:rsidR="008B3FF8" w:rsidRDefault="008B3FF8">
            <w:pPr>
              <w:widowControl/>
              <w:jc w:val="left"/>
              <w:rPr>
                <w:rFonts w:ascii="宋体" w:eastAsia="宋体" w:hAnsi="宋体" w:cs="Arial"/>
                <w:color w:val="000000"/>
                <w:kern w:val="0"/>
                <w:sz w:val="13"/>
                <w:szCs w:val="13"/>
              </w:rPr>
            </w:pPr>
          </w:p>
        </w:tc>
        <w:tc>
          <w:tcPr>
            <w:tcW w:w="334" w:type="pct"/>
            <w:vMerge/>
            <w:tcBorders>
              <w:top w:val="single" w:sz="4" w:space="0" w:color="auto"/>
              <w:left w:val="single" w:sz="4" w:space="0" w:color="auto"/>
              <w:bottom w:val="single" w:sz="4" w:space="0" w:color="auto"/>
              <w:right w:val="single" w:sz="4" w:space="0" w:color="auto"/>
            </w:tcBorders>
            <w:vAlign w:val="center"/>
          </w:tcPr>
          <w:p w:rsidR="008B3FF8" w:rsidRDefault="008B3FF8">
            <w:pPr>
              <w:widowControl/>
              <w:jc w:val="left"/>
              <w:rPr>
                <w:rFonts w:ascii="宋体" w:eastAsia="宋体" w:hAnsi="宋体" w:cs="Arial"/>
                <w:color w:val="000000"/>
                <w:kern w:val="0"/>
                <w:sz w:val="13"/>
                <w:szCs w:val="13"/>
              </w:rPr>
            </w:pPr>
          </w:p>
        </w:tc>
        <w:tc>
          <w:tcPr>
            <w:tcW w:w="241" w:type="pct"/>
            <w:vMerge/>
            <w:tcBorders>
              <w:top w:val="single" w:sz="4" w:space="0" w:color="auto"/>
              <w:left w:val="single" w:sz="4" w:space="0" w:color="auto"/>
              <w:bottom w:val="single" w:sz="4" w:space="0" w:color="auto"/>
              <w:right w:val="single" w:sz="4" w:space="0" w:color="auto"/>
            </w:tcBorders>
            <w:vAlign w:val="center"/>
          </w:tcPr>
          <w:p w:rsidR="008B3FF8" w:rsidRDefault="008B3FF8">
            <w:pPr>
              <w:widowControl/>
              <w:jc w:val="left"/>
              <w:rPr>
                <w:rFonts w:ascii="宋体" w:eastAsia="宋体" w:hAnsi="宋体" w:cs="Arial"/>
                <w:color w:val="000000"/>
                <w:kern w:val="0"/>
                <w:sz w:val="13"/>
                <w:szCs w:val="13"/>
              </w:rPr>
            </w:pPr>
          </w:p>
        </w:tc>
        <w:tc>
          <w:tcPr>
            <w:tcW w:w="219" w:type="pct"/>
            <w:vMerge/>
            <w:tcBorders>
              <w:top w:val="single" w:sz="4" w:space="0" w:color="auto"/>
              <w:left w:val="single" w:sz="4" w:space="0" w:color="auto"/>
              <w:bottom w:val="single" w:sz="4" w:space="0" w:color="auto"/>
              <w:right w:val="single" w:sz="4" w:space="0" w:color="auto"/>
            </w:tcBorders>
            <w:vAlign w:val="center"/>
          </w:tcPr>
          <w:p w:rsidR="008B3FF8" w:rsidRDefault="008B3FF8">
            <w:pPr>
              <w:widowControl/>
              <w:jc w:val="left"/>
              <w:rPr>
                <w:rFonts w:ascii="宋体" w:eastAsia="宋体" w:hAnsi="宋体" w:cs="Arial"/>
                <w:color w:val="000000"/>
                <w:kern w:val="0"/>
                <w:sz w:val="13"/>
                <w:szCs w:val="13"/>
              </w:rPr>
            </w:pPr>
          </w:p>
        </w:tc>
        <w:tc>
          <w:tcPr>
            <w:tcW w:w="334" w:type="pct"/>
            <w:vMerge/>
            <w:tcBorders>
              <w:top w:val="single" w:sz="4" w:space="0" w:color="auto"/>
              <w:left w:val="single" w:sz="4" w:space="0" w:color="auto"/>
              <w:bottom w:val="single" w:sz="4" w:space="0" w:color="auto"/>
              <w:right w:val="single" w:sz="4" w:space="0" w:color="auto"/>
            </w:tcBorders>
            <w:vAlign w:val="center"/>
          </w:tcPr>
          <w:p w:rsidR="008B3FF8" w:rsidRDefault="008B3FF8">
            <w:pPr>
              <w:widowControl/>
              <w:jc w:val="left"/>
              <w:rPr>
                <w:rFonts w:ascii="宋体" w:eastAsia="宋体" w:hAnsi="宋体" w:cs="Arial"/>
                <w:color w:val="000000"/>
                <w:kern w:val="0"/>
                <w:sz w:val="13"/>
                <w:szCs w:val="13"/>
              </w:rPr>
            </w:pPr>
          </w:p>
        </w:tc>
        <w:tc>
          <w:tcPr>
            <w:tcW w:w="268" w:type="pct"/>
            <w:vMerge/>
            <w:tcBorders>
              <w:top w:val="single" w:sz="4" w:space="0" w:color="auto"/>
              <w:left w:val="single" w:sz="4" w:space="0" w:color="auto"/>
              <w:bottom w:val="single" w:sz="4" w:space="0" w:color="auto"/>
              <w:right w:val="single" w:sz="4" w:space="0" w:color="auto"/>
            </w:tcBorders>
            <w:vAlign w:val="center"/>
          </w:tcPr>
          <w:p w:rsidR="008B3FF8" w:rsidRDefault="008B3FF8">
            <w:pPr>
              <w:widowControl/>
              <w:jc w:val="left"/>
              <w:rPr>
                <w:rFonts w:ascii="宋体" w:eastAsia="宋体" w:hAnsi="宋体" w:cs="Arial"/>
                <w:color w:val="000000"/>
                <w:kern w:val="0"/>
                <w:sz w:val="13"/>
                <w:szCs w:val="13"/>
              </w:rPr>
            </w:pPr>
          </w:p>
        </w:tc>
      </w:tr>
      <w:tr w:rsidR="008B3FF8">
        <w:trPr>
          <w:cantSplit/>
          <w:trHeight w:val="283"/>
        </w:trPr>
        <w:tc>
          <w:tcPr>
            <w:tcW w:w="8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w:t>
            </w: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1</w:t>
            </w:r>
          </w:p>
        </w:tc>
        <w:tc>
          <w:tcPr>
            <w:tcW w:w="345"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2</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3</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4</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5</w:t>
            </w:r>
          </w:p>
        </w:tc>
        <w:tc>
          <w:tcPr>
            <w:tcW w:w="25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6</w:t>
            </w:r>
          </w:p>
        </w:tc>
        <w:tc>
          <w:tcPr>
            <w:tcW w:w="290"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7</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8</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9</w:t>
            </w:r>
          </w:p>
        </w:tc>
        <w:tc>
          <w:tcPr>
            <w:tcW w:w="2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10</w:t>
            </w: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11</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12</w:t>
            </w:r>
          </w:p>
        </w:tc>
        <w:tc>
          <w:tcPr>
            <w:tcW w:w="268"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13</w:t>
            </w:r>
          </w:p>
        </w:tc>
      </w:tr>
      <w:tr w:rsidR="008B3FF8">
        <w:trPr>
          <w:cantSplit/>
          <w:trHeight w:val="454"/>
        </w:trPr>
        <w:tc>
          <w:tcPr>
            <w:tcW w:w="8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left"/>
              <w:rPr>
                <w:rFonts w:ascii="宋体" w:eastAsia="宋体" w:hAnsi="宋体" w:cs="Arial"/>
                <w:color w:val="000000"/>
                <w:kern w:val="0"/>
                <w:sz w:val="13"/>
                <w:szCs w:val="13"/>
              </w:rPr>
            </w:pPr>
            <w:r>
              <w:rPr>
                <w:rFonts w:ascii="宋体" w:eastAsia="宋体" w:hAnsi="宋体" w:cs="Arial" w:hint="eastAsia"/>
                <w:color w:val="000000"/>
                <w:kern w:val="0"/>
                <w:sz w:val="13"/>
                <w:szCs w:val="13"/>
              </w:rPr>
              <w:t>合计</w:t>
            </w: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5,445.68</w:t>
            </w:r>
          </w:p>
        </w:tc>
        <w:tc>
          <w:tcPr>
            <w:tcW w:w="345"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1,209.85</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3,970.82</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3,970.82</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5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90"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265.00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r>
      <w:tr w:rsidR="008B3FF8">
        <w:trPr>
          <w:cantSplit/>
          <w:trHeight w:val="454"/>
        </w:trPr>
        <w:tc>
          <w:tcPr>
            <w:tcW w:w="8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left"/>
              <w:rPr>
                <w:rFonts w:ascii="宋体" w:eastAsia="宋体" w:hAnsi="宋体" w:cs="Arial"/>
                <w:color w:val="000000"/>
                <w:kern w:val="0"/>
                <w:sz w:val="13"/>
                <w:szCs w:val="13"/>
              </w:rPr>
            </w:pPr>
            <w:r>
              <w:rPr>
                <w:rFonts w:ascii="宋体" w:eastAsia="宋体" w:hAnsi="宋体" w:cs="Arial" w:hint="eastAsia"/>
                <w:color w:val="000000"/>
                <w:kern w:val="0"/>
                <w:sz w:val="13"/>
                <w:szCs w:val="13"/>
              </w:rPr>
              <w:t>南昌市青云谱区人力资源和社会保障局</w:t>
            </w: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3,513.40</w:t>
            </w:r>
          </w:p>
        </w:tc>
        <w:tc>
          <w:tcPr>
            <w:tcW w:w="345"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916.90</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2,556.50</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2,556.50</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5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90"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40.00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r>
      <w:tr w:rsidR="008B3FF8">
        <w:trPr>
          <w:cantSplit/>
          <w:trHeight w:val="454"/>
        </w:trPr>
        <w:tc>
          <w:tcPr>
            <w:tcW w:w="8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left"/>
              <w:rPr>
                <w:rFonts w:ascii="宋体" w:eastAsia="宋体" w:hAnsi="宋体" w:cs="Arial"/>
                <w:color w:val="000000"/>
                <w:kern w:val="0"/>
                <w:sz w:val="13"/>
                <w:szCs w:val="13"/>
              </w:rPr>
            </w:pPr>
            <w:r>
              <w:rPr>
                <w:rFonts w:ascii="宋体" w:eastAsia="宋体" w:hAnsi="宋体" w:cs="Arial" w:hint="eastAsia"/>
                <w:color w:val="000000"/>
                <w:kern w:val="0"/>
                <w:sz w:val="13"/>
                <w:szCs w:val="13"/>
              </w:rPr>
              <w:t>南昌市青云谱区社会保险事业服务中心</w:t>
            </w: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556.81</w:t>
            </w:r>
          </w:p>
        </w:tc>
        <w:tc>
          <w:tcPr>
            <w:tcW w:w="345"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531.81</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531.81</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5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90"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25.00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r>
      <w:tr w:rsidR="008B3FF8">
        <w:trPr>
          <w:cantSplit/>
          <w:trHeight w:val="454"/>
        </w:trPr>
        <w:tc>
          <w:tcPr>
            <w:tcW w:w="8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left"/>
              <w:rPr>
                <w:rFonts w:ascii="宋体" w:eastAsia="宋体" w:hAnsi="宋体" w:cs="Arial"/>
                <w:color w:val="000000"/>
                <w:kern w:val="0"/>
                <w:sz w:val="13"/>
                <w:szCs w:val="13"/>
              </w:rPr>
            </w:pPr>
            <w:r>
              <w:rPr>
                <w:rFonts w:ascii="宋体" w:eastAsia="宋体" w:hAnsi="宋体" w:cs="Arial" w:hint="eastAsia"/>
                <w:color w:val="000000"/>
                <w:kern w:val="0"/>
                <w:sz w:val="13"/>
                <w:szCs w:val="13"/>
              </w:rPr>
              <w:t>南昌市青云谱区公共就业创业人才服务中心</w:t>
            </w: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1,375.46</w:t>
            </w:r>
          </w:p>
        </w:tc>
        <w:tc>
          <w:tcPr>
            <w:tcW w:w="345"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292.95</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882.51</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882.51</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5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90"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200.00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8B3FF8" w:rsidRDefault="0071195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r>
    </w:tbl>
    <w:p w:rsidR="008B3FF8" w:rsidRDefault="008B3FF8">
      <w:pPr>
        <w:widowControl/>
        <w:jc w:val="left"/>
        <w:rPr>
          <w:rStyle w:val="rowtreelevel4"/>
          <w:rFonts w:ascii="仿宋" w:eastAsia="仿宋" w:hAnsi="仿宋"/>
          <w:bCs/>
          <w:sz w:val="32"/>
          <w:szCs w:val="32"/>
        </w:rPr>
        <w:sectPr w:rsidR="008B3FF8">
          <w:pgSz w:w="11906" w:h="16838"/>
          <w:pgMar w:top="720" w:right="720" w:bottom="720" w:left="720" w:header="851" w:footer="992" w:gutter="0"/>
          <w:cols w:space="720"/>
          <w:docGrid w:type="lines" w:linePitch="312"/>
        </w:sectPr>
      </w:pPr>
    </w:p>
    <w:tbl>
      <w:tblPr>
        <w:tblW w:w="5000" w:type="pct"/>
        <w:tblLayout w:type="fixed"/>
        <w:tblLook w:val="04A0"/>
      </w:tblPr>
      <w:tblGrid>
        <w:gridCol w:w="1956"/>
        <w:gridCol w:w="3882"/>
        <w:gridCol w:w="1953"/>
        <w:gridCol w:w="1378"/>
        <w:gridCol w:w="1513"/>
      </w:tblGrid>
      <w:tr w:rsidR="008B3FF8">
        <w:trPr>
          <w:trHeight w:val="585"/>
        </w:trPr>
        <w:tc>
          <w:tcPr>
            <w:tcW w:w="5000" w:type="pct"/>
            <w:gridSpan w:val="5"/>
            <w:tcBorders>
              <w:top w:val="nil"/>
              <w:left w:val="nil"/>
              <w:bottom w:val="nil"/>
              <w:right w:val="nil"/>
            </w:tcBorders>
            <w:shd w:val="clear" w:color="auto" w:fill="auto"/>
            <w:noWrap/>
            <w:vAlign w:val="center"/>
          </w:tcPr>
          <w:p w:rsidR="008B3FF8" w:rsidRDefault="0071195C">
            <w:pPr>
              <w:widowControl/>
              <w:jc w:val="center"/>
              <w:rPr>
                <w:rFonts w:ascii="宋体" w:eastAsia="宋体" w:hAnsi="宋体" w:cs="Arial"/>
                <w:b/>
                <w:bCs/>
                <w:color w:val="000000"/>
                <w:kern w:val="0"/>
                <w:sz w:val="44"/>
                <w:szCs w:val="44"/>
              </w:rPr>
            </w:pPr>
            <w:r>
              <w:rPr>
                <w:rFonts w:asciiTheme="minorEastAsia" w:hAnsiTheme="minorEastAsia" w:cstheme="minorEastAsia" w:hint="eastAsia"/>
                <w:b/>
                <w:bCs/>
                <w:color w:val="000000"/>
                <w:kern w:val="0"/>
                <w:sz w:val="24"/>
                <w:szCs w:val="24"/>
              </w:rPr>
              <w:lastRenderedPageBreak/>
              <w:t>部门支出总表</w:t>
            </w:r>
          </w:p>
        </w:tc>
      </w:tr>
      <w:tr w:rsidR="008B3FF8">
        <w:trPr>
          <w:trHeight w:val="420"/>
        </w:trPr>
        <w:tc>
          <w:tcPr>
            <w:tcW w:w="2733" w:type="pct"/>
            <w:gridSpan w:val="2"/>
            <w:tcBorders>
              <w:top w:val="nil"/>
              <w:left w:val="nil"/>
              <w:bottom w:val="nil"/>
              <w:right w:val="nil"/>
            </w:tcBorders>
            <w:shd w:val="clear" w:color="auto" w:fill="auto"/>
            <w:noWrap/>
            <w:vAlign w:val="center"/>
          </w:tcPr>
          <w:p w:rsidR="008B3FF8" w:rsidRDefault="0071195C">
            <w:pPr>
              <w:widowControl/>
              <w:snapToGrid w:val="0"/>
              <w:jc w:val="lef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填报单位:008南昌市青云谱区人力资源和社会保障局</w:t>
            </w:r>
          </w:p>
        </w:tc>
        <w:tc>
          <w:tcPr>
            <w:tcW w:w="914" w:type="pct"/>
            <w:tcBorders>
              <w:top w:val="nil"/>
              <w:left w:val="nil"/>
              <w:bottom w:val="nil"/>
              <w:right w:val="nil"/>
            </w:tcBorders>
            <w:shd w:val="clear" w:color="auto" w:fill="auto"/>
            <w:noWrap/>
            <w:vAlign w:val="bottom"/>
          </w:tcPr>
          <w:p w:rsidR="008B3FF8" w:rsidRDefault="008B3FF8">
            <w:pPr>
              <w:widowControl/>
              <w:snapToGrid w:val="0"/>
              <w:jc w:val="center"/>
              <w:textAlignment w:val="center"/>
              <w:rPr>
                <w:rFonts w:asciiTheme="minorEastAsia" w:hAnsiTheme="minorEastAsia" w:cstheme="minorEastAsia"/>
                <w:color w:val="000000"/>
                <w:kern w:val="0"/>
                <w:sz w:val="13"/>
                <w:szCs w:val="13"/>
              </w:rPr>
            </w:pPr>
          </w:p>
        </w:tc>
        <w:tc>
          <w:tcPr>
            <w:tcW w:w="645" w:type="pct"/>
            <w:tcBorders>
              <w:top w:val="nil"/>
              <w:left w:val="nil"/>
              <w:bottom w:val="nil"/>
              <w:right w:val="nil"/>
            </w:tcBorders>
            <w:shd w:val="clear" w:color="auto" w:fill="auto"/>
            <w:noWrap/>
            <w:vAlign w:val="bottom"/>
          </w:tcPr>
          <w:p w:rsidR="008B3FF8" w:rsidRDefault="008B3FF8">
            <w:pPr>
              <w:widowControl/>
              <w:snapToGrid w:val="0"/>
              <w:jc w:val="center"/>
              <w:textAlignment w:val="center"/>
              <w:rPr>
                <w:rFonts w:asciiTheme="minorEastAsia" w:hAnsiTheme="minorEastAsia" w:cstheme="minorEastAsia"/>
                <w:color w:val="000000"/>
                <w:kern w:val="0"/>
                <w:sz w:val="13"/>
                <w:szCs w:val="13"/>
              </w:rPr>
            </w:pPr>
          </w:p>
        </w:tc>
        <w:tc>
          <w:tcPr>
            <w:tcW w:w="705" w:type="pct"/>
            <w:tcBorders>
              <w:top w:val="nil"/>
              <w:left w:val="nil"/>
              <w:bottom w:val="nil"/>
              <w:right w:val="nil"/>
            </w:tcBorders>
            <w:shd w:val="clear" w:color="auto" w:fill="auto"/>
            <w:noWrap/>
            <w:vAlign w:val="bottom"/>
          </w:tcPr>
          <w:p w:rsidR="008B3FF8" w:rsidRDefault="0071195C">
            <w:pPr>
              <w:widowControl/>
              <w:snapToGrid w:val="0"/>
              <w:jc w:val="righ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单位：万元</w:t>
            </w:r>
          </w:p>
        </w:tc>
      </w:tr>
      <w:tr w:rsidR="008B3FF8">
        <w:trPr>
          <w:cantSplit/>
          <w:trHeight w:val="283"/>
        </w:trPr>
        <w:tc>
          <w:tcPr>
            <w:tcW w:w="273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支出功能分类科目</w:t>
            </w:r>
          </w:p>
        </w:tc>
        <w:tc>
          <w:tcPr>
            <w:tcW w:w="914" w:type="pct"/>
            <w:vMerge w:val="restart"/>
            <w:tcBorders>
              <w:top w:val="single" w:sz="4" w:space="0" w:color="000000"/>
              <w:left w:val="single" w:sz="4" w:space="0" w:color="000000"/>
              <w:bottom w:val="single" w:sz="4" w:space="0" w:color="000000"/>
              <w:right w:val="nil"/>
            </w:tcBorders>
            <w:shd w:val="clear" w:color="auto" w:fill="auto"/>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合计</w:t>
            </w:r>
          </w:p>
        </w:tc>
        <w:tc>
          <w:tcPr>
            <w:tcW w:w="645" w:type="pct"/>
            <w:vMerge w:val="restart"/>
            <w:tcBorders>
              <w:top w:val="single" w:sz="4" w:space="0" w:color="000000"/>
              <w:left w:val="single" w:sz="4" w:space="0" w:color="000000"/>
              <w:bottom w:val="single" w:sz="4" w:space="0" w:color="000000"/>
              <w:right w:val="nil"/>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基本支出</w:t>
            </w:r>
          </w:p>
        </w:tc>
        <w:tc>
          <w:tcPr>
            <w:tcW w:w="70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项目支出</w:t>
            </w:r>
          </w:p>
        </w:tc>
      </w:tr>
      <w:tr w:rsidR="008B3FF8">
        <w:trPr>
          <w:cantSplit/>
          <w:trHeight w:val="283"/>
        </w:trPr>
        <w:tc>
          <w:tcPr>
            <w:tcW w:w="916" w:type="pct"/>
            <w:tcBorders>
              <w:top w:val="nil"/>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科目编码</w:t>
            </w:r>
          </w:p>
        </w:tc>
        <w:tc>
          <w:tcPr>
            <w:tcW w:w="1816" w:type="pct"/>
            <w:tcBorders>
              <w:top w:val="nil"/>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 xml:space="preserve">科目名称 </w:t>
            </w:r>
          </w:p>
        </w:tc>
        <w:tc>
          <w:tcPr>
            <w:tcW w:w="914" w:type="pct"/>
            <w:vMerge/>
            <w:tcBorders>
              <w:top w:val="single" w:sz="4" w:space="0" w:color="000000"/>
              <w:left w:val="single" w:sz="4" w:space="0" w:color="000000"/>
              <w:bottom w:val="single" w:sz="4" w:space="0" w:color="000000"/>
              <w:right w:val="nil"/>
            </w:tcBorders>
            <w:vAlign w:val="center"/>
          </w:tcPr>
          <w:p w:rsidR="008B3FF8" w:rsidRDefault="008B3FF8">
            <w:pPr>
              <w:widowControl/>
              <w:snapToGrid w:val="0"/>
              <w:jc w:val="center"/>
              <w:textAlignment w:val="center"/>
              <w:rPr>
                <w:rFonts w:asciiTheme="minorEastAsia" w:hAnsiTheme="minorEastAsia" w:cstheme="minorEastAsia"/>
                <w:color w:val="000000"/>
                <w:kern w:val="0"/>
                <w:sz w:val="18"/>
                <w:szCs w:val="18"/>
              </w:rPr>
            </w:pPr>
          </w:p>
        </w:tc>
        <w:tc>
          <w:tcPr>
            <w:tcW w:w="645" w:type="pct"/>
            <w:vMerge/>
            <w:tcBorders>
              <w:top w:val="single" w:sz="4" w:space="0" w:color="000000"/>
              <w:left w:val="single" w:sz="4" w:space="0" w:color="000000"/>
              <w:bottom w:val="single" w:sz="4" w:space="0" w:color="000000"/>
              <w:right w:val="nil"/>
            </w:tcBorders>
            <w:vAlign w:val="center"/>
          </w:tcPr>
          <w:p w:rsidR="008B3FF8" w:rsidRDefault="008B3FF8">
            <w:pPr>
              <w:widowControl/>
              <w:snapToGrid w:val="0"/>
              <w:jc w:val="center"/>
              <w:textAlignment w:val="center"/>
              <w:rPr>
                <w:rFonts w:asciiTheme="minorEastAsia" w:hAnsiTheme="minorEastAsia" w:cstheme="minorEastAsia"/>
                <w:color w:val="000000"/>
                <w:kern w:val="0"/>
                <w:sz w:val="18"/>
                <w:szCs w:val="18"/>
              </w:rPr>
            </w:pPr>
          </w:p>
        </w:tc>
        <w:tc>
          <w:tcPr>
            <w:tcW w:w="705" w:type="pct"/>
            <w:vMerge/>
            <w:tcBorders>
              <w:top w:val="single" w:sz="4" w:space="0" w:color="000000"/>
              <w:left w:val="single" w:sz="4" w:space="0" w:color="000000"/>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 w:val="18"/>
                <w:szCs w:val="18"/>
              </w:rPr>
            </w:pPr>
          </w:p>
        </w:tc>
      </w:tr>
      <w:tr w:rsidR="008B3FF8">
        <w:trPr>
          <w:cantSplit/>
          <w:trHeight w:val="283"/>
        </w:trPr>
        <w:tc>
          <w:tcPr>
            <w:tcW w:w="916" w:type="pct"/>
            <w:tcBorders>
              <w:top w:val="nil"/>
              <w:left w:val="single" w:sz="4" w:space="0" w:color="000000"/>
              <w:bottom w:val="nil"/>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816" w:type="pct"/>
            <w:tcBorders>
              <w:top w:val="nil"/>
              <w:left w:val="nil"/>
              <w:bottom w:val="nil"/>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914" w:type="pct"/>
            <w:tcBorders>
              <w:top w:val="nil"/>
              <w:left w:val="nil"/>
              <w:bottom w:val="nil"/>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w:t>
            </w:r>
          </w:p>
        </w:tc>
        <w:tc>
          <w:tcPr>
            <w:tcW w:w="645" w:type="pct"/>
            <w:tcBorders>
              <w:top w:val="nil"/>
              <w:left w:val="nil"/>
              <w:bottom w:val="nil"/>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w:t>
            </w:r>
          </w:p>
        </w:tc>
        <w:tc>
          <w:tcPr>
            <w:tcW w:w="705" w:type="pct"/>
            <w:tcBorders>
              <w:top w:val="nil"/>
              <w:left w:val="nil"/>
              <w:bottom w:val="nil"/>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8B3FF8">
            <w:pPr>
              <w:widowControl/>
              <w:snapToGrid w:val="0"/>
              <w:jc w:val="center"/>
              <w:textAlignment w:val="center"/>
              <w:rPr>
                <w:rFonts w:asciiTheme="minorEastAsia" w:hAnsiTheme="minorEastAsia" w:cstheme="minorEastAsia"/>
                <w:color w:val="000000"/>
                <w:kern w:val="0"/>
                <w:sz w:val="18"/>
                <w:szCs w:val="18"/>
              </w:rPr>
            </w:pP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合计</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5,445.68</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1,699.89</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3,745.78</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社会保障和就业支出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4,987.08</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1,594.75</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3,392.33</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20801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人力资源和社会保障管理事务</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1,997.48</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1,534.47</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463.01</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2080101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行政运行</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126.98</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126.98</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2080102</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一般行政管理事务</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36.00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36.00</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2080106</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就业管理事务</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643.40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497.29</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146.11</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2080108</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信息化建设</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1.33</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1.33</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2080109</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社会保险经办机构</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448.39</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448.39</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2080150</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事业运行</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58.50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58.50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2080199</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其他人力资源和社会保障管理事务支出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682.89</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403.32</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279.57</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20805</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行政事业单位养老支出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60.28</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60.28</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2080501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行政单位离退休</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24.98</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24.98</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2080502</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事业单位离退休</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35.29</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35.29</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20807</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就业补助</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2,928.36</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2,928.36</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2080701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就业创业服务补贴</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181.85</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181.85</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2080704</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社会保险补贴</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459.00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459.00</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2080711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就业见习补贴</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1,365.30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1,365.30</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2080799</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其他就业补助支出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922.21</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922.21</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20811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残疾人事业</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0.96</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0.96</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2081199</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其他残疾人事业支出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0.96</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0.96</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213</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农林水支出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353.45</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353.45</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21308</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普惠金融发展支出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353.45</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353.45</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2130804</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创业担保贷款贴息</w:t>
            </w:r>
            <w:proofErr w:type="gramStart"/>
            <w:r>
              <w:rPr>
                <w:rFonts w:asciiTheme="minorEastAsia" w:hAnsiTheme="minorEastAsia" w:cstheme="minorEastAsia" w:hint="eastAsia"/>
                <w:color w:val="000000"/>
                <w:kern w:val="0"/>
                <w:sz w:val="18"/>
                <w:szCs w:val="18"/>
              </w:rPr>
              <w:t>及奖补</w:t>
            </w:r>
            <w:proofErr w:type="gramEnd"/>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326.45</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326.45</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2130899</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其他普惠金融发展支出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27.00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27.00</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221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住房保障支出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105.14</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105.14</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22102</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住房改革支出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105.14</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105.14</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8B3FF8">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2210201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住房公积金</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105.14</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105.14</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bl>
    <w:p w:rsidR="008B3FF8" w:rsidRDefault="008B3FF8">
      <w:pPr>
        <w:widowControl/>
        <w:jc w:val="left"/>
        <w:rPr>
          <w:rStyle w:val="rowtreelevel4"/>
          <w:rFonts w:ascii="仿宋" w:eastAsia="仿宋" w:hAnsi="仿宋"/>
          <w:bCs/>
          <w:sz w:val="32"/>
          <w:szCs w:val="32"/>
        </w:rPr>
        <w:sectPr w:rsidR="008B3FF8">
          <w:pgSz w:w="11906" w:h="16838"/>
          <w:pgMar w:top="720" w:right="720" w:bottom="720" w:left="720" w:header="851" w:footer="992" w:gutter="0"/>
          <w:cols w:space="720"/>
          <w:docGrid w:type="lines" w:linePitch="312"/>
        </w:sectPr>
      </w:pPr>
    </w:p>
    <w:tbl>
      <w:tblPr>
        <w:tblW w:w="4995" w:type="pct"/>
        <w:tblLayout w:type="fixed"/>
        <w:tblLook w:val="04A0"/>
      </w:tblPr>
      <w:tblGrid>
        <w:gridCol w:w="2067"/>
        <w:gridCol w:w="1404"/>
        <w:gridCol w:w="2023"/>
        <w:gridCol w:w="1231"/>
        <w:gridCol w:w="1306"/>
        <w:gridCol w:w="1285"/>
        <w:gridCol w:w="1355"/>
      </w:tblGrid>
      <w:tr w:rsidR="008B3FF8">
        <w:trPr>
          <w:trHeight w:val="585"/>
          <w:tblHeader/>
        </w:trPr>
        <w:tc>
          <w:tcPr>
            <w:tcW w:w="5000" w:type="pct"/>
            <w:gridSpan w:val="7"/>
            <w:noWrap/>
            <w:vAlign w:val="center"/>
          </w:tcPr>
          <w:p w:rsidR="008B3FF8" w:rsidRDefault="0071195C">
            <w:pPr>
              <w:widowControl/>
              <w:jc w:val="center"/>
              <w:rPr>
                <w:rFonts w:ascii="宋体" w:eastAsia="宋体" w:hAnsi="宋体" w:cs="Arial"/>
                <w:b/>
                <w:bCs/>
                <w:color w:val="000000"/>
                <w:kern w:val="0"/>
                <w:sz w:val="40"/>
                <w:szCs w:val="40"/>
              </w:rPr>
            </w:pPr>
            <w:r>
              <w:rPr>
                <w:rFonts w:asciiTheme="minorEastAsia" w:hAnsiTheme="minorEastAsia" w:cstheme="minorEastAsia" w:hint="eastAsia"/>
                <w:b/>
                <w:bCs/>
                <w:color w:val="000000"/>
                <w:kern w:val="0"/>
                <w:sz w:val="24"/>
                <w:szCs w:val="24"/>
              </w:rPr>
              <w:lastRenderedPageBreak/>
              <w:br w:type="page"/>
              <w:t>财政拨款收支总表</w:t>
            </w:r>
          </w:p>
        </w:tc>
      </w:tr>
      <w:tr w:rsidR="008B3FF8">
        <w:trPr>
          <w:cantSplit/>
          <w:trHeight w:val="346"/>
          <w:tblHeader/>
        </w:trPr>
        <w:tc>
          <w:tcPr>
            <w:tcW w:w="2574" w:type="pct"/>
            <w:gridSpan w:val="3"/>
            <w:noWrap/>
            <w:vAlign w:val="center"/>
          </w:tcPr>
          <w:p w:rsidR="008B3FF8" w:rsidRDefault="0071195C">
            <w:pPr>
              <w:widowControl/>
              <w:snapToGrid w:val="0"/>
              <w:jc w:val="lef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Cs w:val="21"/>
              </w:rPr>
              <w:t>填报单位:008南昌市青云谱区人力资源和社会保障局</w:t>
            </w:r>
          </w:p>
        </w:tc>
        <w:tc>
          <w:tcPr>
            <w:tcW w:w="577" w:type="pct"/>
            <w:noWrap/>
            <w:vAlign w:val="bottom"/>
          </w:tcPr>
          <w:p w:rsidR="008B3FF8" w:rsidRDefault="008B3FF8">
            <w:pPr>
              <w:widowControl/>
              <w:snapToGrid w:val="0"/>
              <w:jc w:val="center"/>
              <w:textAlignment w:val="center"/>
              <w:rPr>
                <w:rFonts w:asciiTheme="minorEastAsia" w:hAnsiTheme="minorEastAsia" w:cstheme="minorEastAsia"/>
                <w:color w:val="000000"/>
                <w:kern w:val="0"/>
                <w:sz w:val="13"/>
                <w:szCs w:val="13"/>
              </w:rPr>
            </w:pPr>
          </w:p>
        </w:tc>
        <w:tc>
          <w:tcPr>
            <w:tcW w:w="612" w:type="pct"/>
            <w:noWrap/>
            <w:vAlign w:val="bottom"/>
          </w:tcPr>
          <w:p w:rsidR="008B3FF8" w:rsidRDefault="008B3FF8">
            <w:pPr>
              <w:widowControl/>
              <w:snapToGrid w:val="0"/>
              <w:jc w:val="center"/>
              <w:textAlignment w:val="center"/>
              <w:rPr>
                <w:rFonts w:asciiTheme="minorEastAsia" w:hAnsiTheme="minorEastAsia" w:cstheme="minorEastAsia"/>
                <w:color w:val="000000"/>
                <w:kern w:val="0"/>
                <w:sz w:val="13"/>
                <w:szCs w:val="13"/>
              </w:rPr>
            </w:pPr>
          </w:p>
        </w:tc>
        <w:tc>
          <w:tcPr>
            <w:tcW w:w="1235" w:type="pct"/>
            <w:gridSpan w:val="2"/>
            <w:noWrap/>
            <w:vAlign w:val="center"/>
          </w:tcPr>
          <w:p w:rsidR="008B3FF8" w:rsidRDefault="0071195C">
            <w:pPr>
              <w:widowControl/>
              <w:snapToGrid w:val="0"/>
              <w:jc w:val="righ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Cs w:val="21"/>
              </w:rPr>
              <w:t>单位：万元</w:t>
            </w:r>
          </w:p>
        </w:tc>
      </w:tr>
      <w:tr w:rsidR="008B3FF8">
        <w:trPr>
          <w:cantSplit/>
          <w:trHeight w:val="283"/>
          <w:tblHeader/>
        </w:trPr>
        <w:tc>
          <w:tcPr>
            <w:tcW w:w="1626" w:type="pct"/>
            <w:gridSpan w:val="2"/>
            <w:tcBorders>
              <w:top w:val="single" w:sz="4" w:space="0" w:color="000000"/>
              <w:left w:val="single" w:sz="4" w:space="0" w:color="000000"/>
              <w:bottom w:val="single" w:sz="4" w:space="0" w:color="000000"/>
              <w:right w:val="nil"/>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收      入</w:t>
            </w:r>
          </w:p>
        </w:tc>
        <w:tc>
          <w:tcPr>
            <w:tcW w:w="3373" w:type="pct"/>
            <w:gridSpan w:val="5"/>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支      出 </w:t>
            </w:r>
          </w:p>
        </w:tc>
      </w:tr>
      <w:tr w:rsidR="008B3FF8">
        <w:trPr>
          <w:cantSplit/>
          <w:trHeight w:val="283"/>
          <w:tblHeader/>
        </w:trPr>
        <w:tc>
          <w:tcPr>
            <w:tcW w:w="968"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项目</w:t>
            </w:r>
          </w:p>
        </w:tc>
        <w:tc>
          <w:tcPr>
            <w:tcW w:w="657" w:type="pct"/>
            <w:tcBorders>
              <w:top w:val="nil"/>
              <w:left w:val="nil"/>
              <w:bottom w:val="nil"/>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预算数</w:t>
            </w:r>
          </w:p>
        </w:tc>
        <w:tc>
          <w:tcPr>
            <w:tcW w:w="948"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项目(按功能科目)</w:t>
            </w:r>
          </w:p>
        </w:tc>
        <w:tc>
          <w:tcPr>
            <w:tcW w:w="577"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合计</w:t>
            </w:r>
          </w:p>
        </w:tc>
        <w:tc>
          <w:tcPr>
            <w:tcW w:w="61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一般公共预算支出</w:t>
            </w:r>
          </w:p>
        </w:tc>
        <w:tc>
          <w:tcPr>
            <w:tcW w:w="60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政府性基金预算支出</w:t>
            </w:r>
          </w:p>
        </w:tc>
        <w:tc>
          <w:tcPr>
            <w:tcW w:w="63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国有资本经营预算支出</w:t>
            </w: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一、本年收入</w:t>
            </w:r>
          </w:p>
        </w:tc>
        <w:tc>
          <w:tcPr>
            <w:tcW w:w="657"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3,970.82</w:t>
            </w:r>
          </w:p>
        </w:tc>
        <w:tc>
          <w:tcPr>
            <w:tcW w:w="948"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社会保障和就业支出</w:t>
            </w:r>
          </w:p>
        </w:tc>
        <w:tc>
          <w:tcPr>
            <w:tcW w:w="577"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4,722.08</w:t>
            </w:r>
          </w:p>
        </w:tc>
        <w:tc>
          <w:tcPr>
            <w:tcW w:w="61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4,722.08</w:t>
            </w:r>
          </w:p>
        </w:tc>
        <w:tc>
          <w:tcPr>
            <w:tcW w:w="60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63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一般公共预算拨款收入</w:t>
            </w:r>
          </w:p>
        </w:tc>
        <w:tc>
          <w:tcPr>
            <w:tcW w:w="657" w:type="pct"/>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3,970.82</w:t>
            </w:r>
          </w:p>
        </w:tc>
        <w:tc>
          <w:tcPr>
            <w:tcW w:w="948"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农林水支出</w:t>
            </w:r>
          </w:p>
        </w:tc>
        <w:tc>
          <w:tcPr>
            <w:tcW w:w="577"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353.45</w:t>
            </w:r>
          </w:p>
        </w:tc>
        <w:tc>
          <w:tcPr>
            <w:tcW w:w="61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353.45</w:t>
            </w:r>
          </w:p>
        </w:tc>
        <w:tc>
          <w:tcPr>
            <w:tcW w:w="60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0.00</w:t>
            </w:r>
          </w:p>
        </w:tc>
        <w:tc>
          <w:tcPr>
            <w:tcW w:w="63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0.00</w:t>
            </w: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政府性基金预算拨款收入</w:t>
            </w:r>
          </w:p>
        </w:tc>
        <w:tc>
          <w:tcPr>
            <w:tcW w:w="657"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948"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住房保障支出</w:t>
            </w:r>
          </w:p>
        </w:tc>
        <w:tc>
          <w:tcPr>
            <w:tcW w:w="577"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105.14</w:t>
            </w:r>
          </w:p>
        </w:tc>
        <w:tc>
          <w:tcPr>
            <w:tcW w:w="61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105.14</w:t>
            </w:r>
          </w:p>
        </w:tc>
        <w:tc>
          <w:tcPr>
            <w:tcW w:w="60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0.00</w:t>
            </w:r>
          </w:p>
        </w:tc>
        <w:tc>
          <w:tcPr>
            <w:tcW w:w="63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t>0.00</w:t>
            </w: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国有资本经营预算收入</w:t>
            </w:r>
          </w:p>
        </w:tc>
        <w:tc>
          <w:tcPr>
            <w:tcW w:w="657" w:type="pct"/>
            <w:tcBorders>
              <w:top w:val="nil"/>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0.00　</w:t>
            </w: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657" w:type="pct"/>
            <w:tcBorders>
              <w:top w:val="single" w:sz="4" w:space="0" w:color="000000"/>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657" w:type="pct"/>
            <w:tcBorders>
              <w:top w:val="nil"/>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二、上年结转</w:t>
            </w:r>
          </w:p>
        </w:tc>
        <w:tc>
          <w:tcPr>
            <w:tcW w:w="657" w:type="pct"/>
            <w:tcBorders>
              <w:top w:val="nil"/>
              <w:left w:val="nil"/>
              <w:bottom w:val="single" w:sz="4" w:space="0" w:color="auto"/>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1,209.85　</w:t>
            </w:r>
          </w:p>
        </w:tc>
        <w:tc>
          <w:tcPr>
            <w:tcW w:w="948" w:type="pct"/>
            <w:tcBorders>
              <w:top w:val="nil"/>
              <w:left w:val="nil"/>
              <w:bottom w:val="single" w:sz="4" w:space="0" w:color="auto"/>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nil"/>
              <w:left w:val="single" w:sz="4" w:space="0" w:color="000000"/>
              <w:bottom w:val="single" w:sz="4" w:space="0" w:color="auto"/>
              <w:right w:val="single" w:sz="4" w:space="0" w:color="auto"/>
            </w:tcBorders>
            <w:noWrap/>
            <w:vAlign w:val="center"/>
          </w:tcPr>
          <w:p w:rsidR="008B3FF8" w:rsidRDefault="0071195C">
            <w:pPr>
              <w:widowControl/>
              <w:snapToGrid w:val="0"/>
              <w:ind w:firstLineChars="100" w:firstLine="21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一般公共预算拨款结转</w:t>
            </w:r>
          </w:p>
        </w:tc>
        <w:tc>
          <w:tcPr>
            <w:tcW w:w="657" w:type="pct"/>
            <w:tcBorders>
              <w:top w:val="single" w:sz="4" w:space="0" w:color="auto"/>
              <w:left w:val="single" w:sz="4" w:space="0" w:color="auto"/>
              <w:bottom w:val="single" w:sz="4" w:space="0" w:color="auto"/>
              <w:right w:val="single" w:sz="4" w:space="0" w:color="auto"/>
            </w:tcBorders>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1,209.85　</w:t>
            </w:r>
          </w:p>
        </w:tc>
        <w:tc>
          <w:tcPr>
            <w:tcW w:w="948"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577" w:type="pct"/>
            <w:tcBorders>
              <w:top w:val="nil"/>
              <w:left w:val="single" w:sz="4" w:space="0" w:color="auto"/>
              <w:bottom w:val="single" w:sz="4" w:space="0" w:color="auto"/>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auto"/>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auto"/>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auto"/>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政府性基金预算拨款结转</w:t>
            </w:r>
          </w:p>
        </w:tc>
        <w:tc>
          <w:tcPr>
            <w:tcW w:w="657"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948"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577" w:type="pct"/>
            <w:tcBorders>
              <w:top w:val="single" w:sz="4" w:space="0" w:color="auto"/>
              <w:left w:val="single" w:sz="4" w:space="0" w:color="auto"/>
              <w:bottom w:val="single" w:sz="4" w:space="0" w:color="auto"/>
              <w:right w:val="single" w:sz="4" w:space="0" w:color="auto"/>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12" w:type="pct"/>
            <w:tcBorders>
              <w:top w:val="single" w:sz="4" w:space="0" w:color="auto"/>
              <w:left w:val="single" w:sz="4" w:space="0" w:color="auto"/>
              <w:bottom w:val="single" w:sz="4" w:space="0" w:color="auto"/>
              <w:right w:val="single" w:sz="4" w:space="0" w:color="auto"/>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02" w:type="pct"/>
            <w:tcBorders>
              <w:top w:val="single" w:sz="4" w:space="0" w:color="auto"/>
              <w:left w:val="single" w:sz="4" w:space="0" w:color="auto"/>
              <w:bottom w:val="single" w:sz="4" w:space="0" w:color="auto"/>
              <w:right w:val="single" w:sz="4" w:space="0" w:color="auto"/>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c>
          <w:tcPr>
            <w:tcW w:w="632" w:type="pct"/>
            <w:tcBorders>
              <w:top w:val="single" w:sz="4" w:space="0" w:color="auto"/>
              <w:left w:val="single" w:sz="4" w:space="0" w:color="auto"/>
              <w:bottom w:val="single" w:sz="4" w:space="0" w:color="auto"/>
              <w:right w:val="single" w:sz="4" w:space="0" w:color="auto"/>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Cs w:val="21"/>
              </w:rPr>
            </w:pPr>
          </w:p>
        </w:tc>
      </w:tr>
      <w:tr w:rsidR="008B3FF8">
        <w:trPr>
          <w:cantSplit/>
          <w:trHeight w:val="283"/>
        </w:trPr>
        <w:tc>
          <w:tcPr>
            <w:tcW w:w="968"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收入总计</w:t>
            </w:r>
          </w:p>
        </w:tc>
        <w:tc>
          <w:tcPr>
            <w:tcW w:w="657"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5,180.68</w:t>
            </w:r>
          </w:p>
        </w:tc>
        <w:tc>
          <w:tcPr>
            <w:tcW w:w="948"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支出总计</w:t>
            </w:r>
          </w:p>
        </w:tc>
        <w:tc>
          <w:tcPr>
            <w:tcW w:w="577"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5,180.68</w:t>
            </w:r>
          </w:p>
        </w:tc>
        <w:tc>
          <w:tcPr>
            <w:tcW w:w="612"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5,180.68</w:t>
            </w:r>
          </w:p>
        </w:tc>
        <w:tc>
          <w:tcPr>
            <w:tcW w:w="602"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632" w:type="pct"/>
            <w:tcBorders>
              <w:top w:val="single" w:sz="4" w:space="0" w:color="auto"/>
              <w:left w:val="single" w:sz="4" w:space="0" w:color="auto"/>
              <w:bottom w:val="single" w:sz="4" w:space="0" w:color="auto"/>
              <w:right w:val="single" w:sz="4" w:space="0" w:color="auto"/>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r>
    </w:tbl>
    <w:p w:rsidR="008B3FF8" w:rsidRDefault="008B3FF8">
      <w:pPr>
        <w:widowControl/>
        <w:jc w:val="left"/>
        <w:rPr>
          <w:rStyle w:val="rowtreelevel4"/>
          <w:rFonts w:ascii="仿宋" w:eastAsia="仿宋" w:hAnsi="仿宋"/>
          <w:bCs/>
          <w:sz w:val="32"/>
          <w:szCs w:val="32"/>
        </w:rPr>
        <w:sectPr w:rsidR="008B3FF8">
          <w:pgSz w:w="11906" w:h="16838"/>
          <w:pgMar w:top="720" w:right="720" w:bottom="720" w:left="720" w:header="851" w:footer="992" w:gutter="0"/>
          <w:cols w:space="720"/>
          <w:docGrid w:type="lines" w:linePitch="312"/>
        </w:sectPr>
      </w:pPr>
    </w:p>
    <w:tbl>
      <w:tblPr>
        <w:tblW w:w="5000" w:type="pct"/>
        <w:tblLayout w:type="fixed"/>
        <w:tblLook w:val="04A0"/>
      </w:tblPr>
      <w:tblGrid>
        <w:gridCol w:w="1822"/>
        <w:gridCol w:w="3376"/>
        <w:gridCol w:w="2256"/>
        <w:gridCol w:w="1461"/>
        <w:gridCol w:w="1767"/>
      </w:tblGrid>
      <w:tr w:rsidR="008B3FF8">
        <w:trPr>
          <w:trHeight w:val="585"/>
          <w:tblHeader/>
        </w:trPr>
        <w:tc>
          <w:tcPr>
            <w:tcW w:w="5000" w:type="pct"/>
            <w:gridSpan w:val="5"/>
            <w:noWrap/>
            <w:vAlign w:val="center"/>
          </w:tcPr>
          <w:p w:rsidR="008B3FF8" w:rsidRDefault="0071195C">
            <w:pPr>
              <w:widowControl/>
              <w:jc w:val="center"/>
              <w:rPr>
                <w:rFonts w:ascii="宋体" w:eastAsia="宋体" w:hAnsi="宋体" w:cs="Arial"/>
                <w:b/>
                <w:bCs/>
                <w:color w:val="000000"/>
                <w:kern w:val="0"/>
                <w:sz w:val="44"/>
                <w:szCs w:val="44"/>
              </w:rPr>
            </w:pPr>
            <w:r>
              <w:rPr>
                <w:rFonts w:asciiTheme="minorEastAsia" w:hAnsiTheme="minorEastAsia" w:cstheme="minorEastAsia" w:hint="eastAsia"/>
                <w:b/>
                <w:bCs/>
                <w:color w:val="000000"/>
                <w:kern w:val="0"/>
                <w:sz w:val="24"/>
                <w:szCs w:val="24"/>
              </w:rPr>
              <w:lastRenderedPageBreak/>
              <w:br w:type="page"/>
              <w:t>一般公共预算支出表</w:t>
            </w:r>
          </w:p>
        </w:tc>
      </w:tr>
      <w:tr w:rsidR="008B3FF8">
        <w:trPr>
          <w:trHeight w:val="420"/>
          <w:tblHeader/>
        </w:trPr>
        <w:tc>
          <w:tcPr>
            <w:tcW w:w="2433" w:type="pct"/>
            <w:gridSpan w:val="2"/>
            <w:noWrap/>
            <w:vAlign w:val="center"/>
          </w:tcPr>
          <w:p w:rsidR="008B3FF8" w:rsidRDefault="0071195C">
            <w:pPr>
              <w:widowControl/>
              <w:snapToGrid w:val="0"/>
              <w:jc w:val="lef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填报单位:008南昌市青云谱区人力资源和社会保障局</w:t>
            </w:r>
          </w:p>
        </w:tc>
        <w:tc>
          <w:tcPr>
            <w:tcW w:w="1056" w:type="pct"/>
            <w:noWrap/>
            <w:vAlign w:val="bottom"/>
          </w:tcPr>
          <w:p w:rsidR="008B3FF8" w:rsidRDefault="008B3FF8">
            <w:pPr>
              <w:widowControl/>
              <w:snapToGrid w:val="0"/>
              <w:jc w:val="center"/>
              <w:textAlignment w:val="center"/>
              <w:rPr>
                <w:rFonts w:asciiTheme="minorEastAsia" w:hAnsiTheme="minorEastAsia" w:cstheme="minorEastAsia"/>
                <w:color w:val="000000"/>
                <w:kern w:val="0"/>
                <w:sz w:val="13"/>
                <w:szCs w:val="13"/>
              </w:rPr>
            </w:pPr>
          </w:p>
        </w:tc>
        <w:tc>
          <w:tcPr>
            <w:tcW w:w="684" w:type="pct"/>
            <w:noWrap/>
            <w:vAlign w:val="bottom"/>
          </w:tcPr>
          <w:p w:rsidR="008B3FF8" w:rsidRDefault="008B3FF8">
            <w:pPr>
              <w:widowControl/>
              <w:snapToGrid w:val="0"/>
              <w:jc w:val="center"/>
              <w:textAlignment w:val="center"/>
              <w:rPr>
                <w:rFonts w:asciiTheme="minorEastAsia" w:hAnsiTheme="minorEastAsia" w:cstheme="minorEastAsia"/>
                <w:color w:val="000000"/>
                <w:kern w:val="0"/>
                <w:sz w:val="13"/>
                <w:szCs w:val="13"/>
              </w:rPr>
            </w:pPr>
          </w:p>
        </w:tc>
        <w:tc>
          <w:tcPr>
            <w:tcW w:w="825" w:type="pct"/>
            <w:noWrap/>
            <w:vAlign w:val="center"/>
          </w:tcPr>
          <w:p w:rsidR="008B3FF8" w:rsidRDefault="0071195C">
            <w:pPr>
              <w:widowControl/>
              <w:snapToGrid w:val="0"/>
              <w:jc w:val="righ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单位：万元</w:t>
            </w:r>
          </w:p>
        </w:tc>
      </w:tr>
      <w:tr w:rsidR="008B3FF8">
        <w:trPr>
          <w:cantSplit/>
          <w:trHeight w:val="283"/>
          <w:tblHeader/>
        </w:trPr>
        <w:tc>
          <w:tcPr>
            <w:tcW w:w="2433" w:type="pct"/>
            <w:gridSpan w:val="2"/>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支出功能分类科目</w:t>
            </w:r>
          </w:p>
        </w:tc>
        <w:tc>
          <w:tcPr>
            <w:tcW w:w="2566" w:type="pct"/>
            <w:gridSpan w:val="3"/>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2026年预算数</w:t>
            </w:r>
          </w:p>
        </w:tc>
      </w:tr>
      <w:tr w:rsidR="008B3FF8">
        <w:trPr>
          <w:cantSplit/>
          <w:trHeight w:val="283"/>
          <w:tblHeader/>
        </w:trPr>
        <w:tc>
          <w:tcPr>
            <w:tcW w:w="853"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科目编码</w:t>
            </w:r>
          </w:p>
        </w:tc>
        <w:tc>
          <w:tcPr>
            <w:tcW w:w="1579"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 xml:space="preserve">科目名称 </w:t>
            </w:r>
          </w:p>
        </w:tc>
        <w:tc>
          <w:tcPr>
            <w:tcW w:w="1056"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合计</w:t>
            </w:r>
          </w:p>
        </w:tc>
        <w:tc>
          <w:tcPr>
            <w:tcW w:w="684"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基本支出</w:t>
            </w:r>
          </w:p>
        </w:tc>
        <w:tc>
          <w:tcPr>
            <w:tcW w:w="825"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项目支出</w:t>
            </w:r>
          </w:p>
        </w:tc>
      </w:tr>
      <w:tr w:rsidR="008B3FF8">
        <w:trPr>
          <w:cantSplit/>
          <w:trHeight w:val="283"/>
          <w:tblHeader/>
        </w:trPr>
        <w:tc>
          <w:tcPr>
            <w:tcW w:w="853" w:type="pct"/>
            <w:tcBorders>
              <w:top w:val="nil"/>
              <w:left w:val="single" w:sz="4" w:space="0" w:color="000000"/>
              <w:bottom w:val="nil"/>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579" w:type="pct"/>
            <w:tcBorders>
              <w:top w:val="nil"/>
              <w:left w:val="nil"/>
              <w:bottom w:val="nil"/>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056" w:type="pct"/>
            <w:tcBorders>
              <w:top w:val="nil"/>
              <w:left w:val="nil"/>
              <w:bottom w:val="nil"/>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w:t>
            </w:r>
          </w:p>
        </w:tc>
        <w:tc>
          <w:tcPr>
            <w:tcW w:w="684" w:type="pct"/>
            <w:tcBorders>
              <w:top w:val="nil"/>
              <w:left w:val="nil"/>
              <w:bottom w:val="nil"/>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w:t>
            </w:r>
          </w:p>
        </w:tc>
        <w:tc>
          <w:tcPr>
            <w:tcW w:w="825" w:type="pct"/>
            <w:tcBorders>
              <w:top w:val="nil"/>
              <w:left w:val="nil"/>
              <w:bottom w:val="nil"/>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 w:val="18"/>
                <w:szCs w:val="18"/>
              </w:rPr>
            </w:pP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合计</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3,970.82</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1,434.89</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2,535.93</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社会保障和就业支出</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3,715.68</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1,329.75</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2,385.93</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20801</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人力资源和社会保障管理事务</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1,732.48</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1,269.47</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463.01</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2080101</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行政运行</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126.98</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126.98</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2080102</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一般行政管理事务</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36.00</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36.00</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2080106</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就业管理事务</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443.40</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297.29</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146.11</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2080108</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信息化建设</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1.33</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1.33</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2080109</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社会保险经办机构</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423.39</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423.39</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2080150</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事业运行</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58.50</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58.50</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2080199</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其他人力资源和社会保障管理事务支出</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642.89</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363.32</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279.57</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20805</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行政事业单位养老支出</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60.28</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60.28</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2080501</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行政单位离退休</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24.98</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24.98</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2080502</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事业单位离退休</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35.29</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35.29</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20807</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就业补助</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1,921.96</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1,921.96</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2080711</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就业见习补贴</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1,181.96</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1,181.96</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2080799</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其他就业补助支出</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740.00</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740.00</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20811</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残疾人事业</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0.96</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0.96</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2081199</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其他残疾人事业支出</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0.96</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0.96</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213</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农林水支出</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150.00</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150.00</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21308</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普惠金融发展支出</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150.00</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150.00</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2130804</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创业担保贷款贴息</w:t>
            </w:r>
            <w:proofErr w:type="gramStart"/>
            <w:r>
              <w:rPr>
                <w:rFonts w:asciiTheme="minorEastAsia" w:hAnsiTheme="minorEastAsia" w:cstheme="minorEastAsia" w:hint="eastAsia"/>
                <w:color w:val="000000"/>
                <w:kern w:val="0"/>
                <w:sz w:val="18"/>
                <w:szCs w:val="18"/>
              </w:rPr>
              <w:t>及奖补</w:t>
            </w:r>
            <w:proofErr w:type="gramEnd"/>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150.00</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150.00</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221</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住房保障支出</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105.14</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105.14</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22102</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住房改革支出</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105.14</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105.14</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8B3FF8">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2210201</w:t>
            </w:r>
          </w:p>
        </w:tc>
        <w:tc>
          <w:tcPr>
            <w:tcW w:w="1579"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住房公积金</w:t>
            </w:r>
          </w:p>
        </w:tc>
        <w:tc>
          <w:tcPr>
            <w:tcW w:w="1056"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105.14</w:t>
            </w:r>
          </w:p>
        </w:tc>
        <w:tc>
          <w:tcPr>
            <w:tcW w:w="684"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105.14</w:t>
            </w:r>
          </w:p>
        </w:tc>
        <w:tc>
          <w:tcPr>
            <w:tcW w:w="825"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bl>
    <w:p w:rsidR="008B3FF8" w:rsidRDefault="0071195C">
      <w:pPr>
        <w:jc w:val="left"/>
        <w:rPr>
          <w:rStyle w:val="rowtreelevel4"/>
          <w:rFonts w:ascii="仿宋" w:eastAsia="仿宋" w:hAnsi="仿宋"/>
          <w:bCs/>
          <w:sz w:val="32"/>
          <w:szCs w:val="32"/>
        </w:rPr>
      </w:pPr>
      <w:r>
        <w:rPr>
          <w:rStyle w:val="rowtreelevel4"/>
          <w:rFonts w:ascii="仿宋" w:eastAsia="仿宋" w:hAnsi="仿宋" w:hint="eastAsia"/>
          <w:bCs/>
          <w:sz w:val="32"/>
          <w:szCs w:val="32"/>
        </w:rPr>
        <w:br w:type="page"/>
      </w:r>
    </w:p>
    <w:tbl>
      <w:tblPr>
        <w:tblW w:w="5000" w:type="pct"/>
        <w:tblLayout w:type="fixed"/>
        <w:tblLook w:val="04A0"/>
      </w:tblPr>
      <w:tblGrid>
        <w:gridCol w:w="2003"/>
        <w:gridCol w:w="3119"/>
        <w:gridCol w:w="1904"/>
        <w:gridCol w:w="1799"/>
        <w:gridCol w:w="1857"/>
      </w:tblGrid>
      <w:tr w:rsidR="008B3FF8">
        <w:trPr>
          <w:trHeight w:val="585"/>
        </w:trPr>
        <w:tc>
          <w:tcPr>
            <w:tcW w:w="5000" w:type="pct"/>
            <w:gridSpan w:val="5"/>
            <w:noWrap/>
            <w:vAlign w:val="center"/>
          </w:tcPr>
          <w:p w:rsidR="008B3FF8" w:rsidRDefault="0071195C">
            <w:pPr>
              <w:widowControl/>
              <w:jc w:val="center"/>
              <w:rPr>
                <w:rFonts w:ascii="宋体" w:eastAsia="宋体" w:hAnsi="宋体" w:cs="Arial"/>
                <w:b/>
                <w:color w:val="000000"/>
                <w:kern w:val="0"/>
                <w:sz w:val="44"/>
                <w:szCs w:val="44"/>
              </w:rPr>
            </w:pPr>
            <w:r>
              <w:rPr>
                <w:rFonts w:asciiTheme="minorEastAsia" w:hAnsiTheme="minorEastAsia" w:cstheme="minorEastAsia" w:hint="eastAsia"/>
                <w:b/>
                <w:bCs/>
                <w:color w:val="000000"/>
                <w:kern w:val="0"/>
                <w:sz w:val="24"/>
                <w:szCs w:val="24"/>
              </w:rPr>
              <w:lastRenderedPageBreak/>
              <w:t>一般公共预算基本支出表</w:t>
            </w:r>
          </w:p>
        </w:tc>
      </w:tr>
      <w:tr w:rsidR="008B3FF8">
        <w:trPr>
          <w:trHeight w:val="420"/>
        </w:trPr>
        <w:tc>
          <w:tcPr>
            <w:tcW w:w="2398" w:type="pct"/>
            <w:gridSpan w:val="2"/>
            <w:noWrap/>
            <w:vAlign w:val="center"/>
          </w:tcPr>
          <w:p w:rsidR="008B3FF8" w:rsidRDefault="0071195C">
            <w:pPr>
              <w:widowControl/>
              <w:snapToGrid w:val="0"/>
              <w:jc w:val="lef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填报单位:008南昌市青云谱区人力资源和社会保障局</w:t>
            </w:r>
          </w:p>
        </w:tc>
        <w:tc>
          <w:tcPr>
            <w:tcW w:w="891" w:type="pct"/>
            <w:noWrap/>
            <w:vAlign w:val="bottom"/>
          </w:tcPr>
          <w:p w:rsidR="008B3FF8" w:rsidRDefault="008B3FF8">
            <w:pPr>
              <w:widowControl/>
              <w:snapToGrid w:val="0"/>
              <w:jc w:val="center"/>
              <w:textAlignment w:val="center"/>
              <w:rPr>
                <w:rFonts w:asciiTheme="minorEastAsia" w:hAnsiTheme="minorEastAsia" w:cstheme="minorEastAsia"/>
                <w:color w:val="000000"/>
                <w:kern w:val="0"/>
                <w:sz w:val="13"/>
                <w:szCs w:val="13"/>
              </w:rPr>
            </w:pPr>
          </w:p>
        </w:tc>
        <w:tc>
          <w:tcPr>
            <w:tcW w:w="842" w:type="pct"/>
            <w:noWrap/>
            <w:vAlign w:val="bottom"/>
          </w:tcPr>
          <w:p w:rsidR="008B3FF8" w:rsidRDefault="008B3FF8">
            <w:pPr>
              <w:widowControl/>
              <w:snapToGrid w:val="0"/>
              <w:jc w:val="center"/>
              <w:textAlignment w:val="center"/>
              <w:rPr>
                <w:rFonts w:asciiTheme="minorEastAsia" w:hAnsiTheme="minorEastAsia" w:cstheme="minorEastAsia"/>
                <w:color w:val="000000"/>
                <w:kern w:val="0"/>
                <w:sz w:val="13"/>
                <w:szCs w:val="13"/>
              </w:rPr>
            </w:pPr>
          </w:p>
        </w:tc>
        <w:tc>
          <w:tcPr>
            <w:tcW w:w="867" w:type="pct"/>
            <w:noWrap/>
            <w:vAlign w:val="center"/>
          </w:tcPr>
          <w:p w:rsidR="008B3FF8" w:rsidRDefault="0071195C">
            <w:pPr>
              <w:widowControl/>
              <w:snapToGrid w:val="0"/>
              <w:jc w:val="righ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单位：万元</w:t>
            </w:r>
          </w:p>
        </w:tc>
      </w:tr>
      <w:tr w:rsidR="008B3FF8">
        <w:trPr>
          <w:cantSplit/>
          <w:trHeight w:val="283"/>
        </w:trPr>
        <w:tc>
          <w:tcPr>
            <w:tcW w:w="2398" w:type="pct"/>
            <w:gridSpan w:val="2"/>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支出经济分类科目</w:t>
            </w:r>
          </w:p>
        </w:tc>
        <w:tc>
          <w:tcPr>
            <w:tcW w:w="2601" w:type="pct"/>
            <w:gridSpan w:val="3"/>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2026年基本支出</w:t>
            </w:r>
          </w:p>
        </w:tc>
      </w:tr>
      <w:tr w:rsidR="008B3FF8">
        <w:trPr>
          <w:cantSplit/>
          <w:trHeight w:val="283"/>
        </w:trPr>
        <w:tc>
          <w:tcPr>
            <w:tcW w:w="938"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科目编码</w:t>
            </w:r>
          </w:p>
        </w:tc>
        <w:tc>
          <w:tcPr>
            <w:tcW w:w="1460" w:type="pct"/>
            <w:tcBorders>
              <w:top w:val="nil"/>
              <w:left w:val="nil"/>
              <w:bottom w:val="single" w:sz="4" w:space="0" w:color="000000"/>
              <w:right w:val="nil"/>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 xml:space="preserve">科目名称 </w:t>
            </w:r>
          </w:p>
        </w:tc>
        <w:tc>
          <w:tcPr>
            <w:tcW w:w="891"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合计</w:t>
            </w:r>
          </w:p>
        </w:tc>
        <w:tc>
          <w:tcPr>
            <w:tcW w:w="84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人员经费</w:t>
            </w:r>
          </w:p>
        </w:tc>
        <w:tc>
          <w:tcPr>
            <w:tcW w:w="867"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公用经费</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8B3FF8">
            <w:pPr>
              <w:widowControl/>
              <w:snapToGrid w:val="0"/>
              <w:jc w:val="center"/>
              <w:textAlignment w:val="center"/>
              <w:rPr>
                <w:rFonts w:asciiTheme="minorEastAsia" w:hAnsiTheme="minorEastAsia" w:cstheme="minorEastAsia"/>
                <w:color w:val="000000"/>
                <w:kern w:val="0"/>
                <w:sz w:val="18"/>
                <w:szCs w:val="18"/>
              </w:rPr>
            </w:pP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合计</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1,434.89</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1,249.13</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185.76</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301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工资福利支出</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1,240.80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1,240.80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30101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基本工资</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285.38</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285.38</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津贴补贴</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18.62</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18.62</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30103</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奖金</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92.55</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92.55</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30106</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伙食补助费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36.20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36.20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30107</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绩效工资</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445.68</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445.68</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30108</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机关事业单位基本养老保险缴费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115.23</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115.23</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30110</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职工基本医疗保险缴费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48.97</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48.97</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30111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公务员医疗补助缴费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52.24</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52.24</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30112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其他社会保障缴费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5.44</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5.44</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30113</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住房公积金</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107.14</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107.14</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30199</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其他工资福利支出</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33.35</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33.35</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商品和服务支出</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180.38</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180.38</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30201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办公费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35.57</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35.57</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印刷费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0.50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0.50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30206</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电费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30207</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邮电费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2.70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2.70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30211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差旅费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6.50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6.50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30226</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劳务费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1.80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1.80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30227</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委托业务费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26.60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26.60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30228</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工会经费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30.76</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30.76</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30299</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其他商品和服务支出</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71.95</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71.95</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303</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对个人和家庭的补助</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8.33</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8.33</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30302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退休费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3.72</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3.72</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30307</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医疗费补助</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4.11</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4.11</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30399</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其他对个人和家庭的补助</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0.50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0.50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310</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资本性支出</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5.38</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5.38</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31002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办公设备购置</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4.00</w:t>
            </w:r>
          </w:p>
        </w:tc>
      </w:tr>
      <w:tr w:rsidR="008B3FF8">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31007</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信息网络及软件购置更新</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1.38</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1.38</w:t>
            </w:r>
          </w:p>
        </w:tc>
      </w:tr>
    </w:tbl>
    <w:p w:rsidR="008B3FF8" w:rsidRDefault="008B3FF8">
      <w:pPr>
        <w:widowControl/>
        <w:jc w:val="left"/>
        <w:rPr>
          <w:rStyle w:val="rowtreelevel4"/>
          <w:rFonts w:ascii="仿宋" w:eastAsia="仿宋" w:hAnsi="仿宋"/>
          <w:bCs/>
          <w:sz w:val="32"/>
          <w:szCs w:val="32"/>
        </w:rPr>
        <w:sectPr w:rsidR="008B3FF8">
          <w:pgSz w:w="11906" w:h="16838"/>
          <w:pgMar w:top="720" w:right="720" w:bottom="720" w:left="720" w:header="851" w:footer="992" w:gutter="0"/>
          <w:cols w:space="720"/>
          <w:docGrid w:type="lines" w:linePitch="312"/>
        </w:sectPr>
      </w:pPr>
    </w:p>
    <w:tbl>
      <w:tblPr>
        <w:tblW w:w="5001" w:type="pct"/>
        <w:tblLayout w:type="fixed"/>
        <w:tblLook w:val="04A0"/>
      </w:tblPr>
      <w:tblGrid>
        <w:gridCol w:w="1358"/>
        <w:gridCol w:w="649"/>
        <w:gridCol w:w="1462"/>
        <w:gridCol w:w="1152"/>
        <w:gridCol w:w="1586"/>
        <w:gridCol w:w="1013"/>
        <w:gridCol w:w="1274"/>
        <w:gridCol w:w="1160"/>
        <w:gridCol w:w="1030"/>
      </w:tblGrid>
      <w:tr w:rsidR="008B3FF8">
        <w:trPr>
          <w:trHeight w:val="450"/>
          <w:tblHeader/>
        </w:trPr>
        <w:tc>
          <w:tcPr>
            <w:tcW w:w="636" w:type="pct"/>
            <w:noWrap/>
            <w:vAlign w:val="bottom"/>
          </w:tcPr>
          <w:p w:rsidR="008B3FF8" w:rsidRDefault="0071195C">
            <w:pPr>
              <w:widowControl/>
              <w:jc w:val="left"/>
              <w:rPr>
                <w:rFonts w:ascii="宋体" w:eastAsia="宋体" w:hAnsi="宋体" w:cs="宋体"/>
                <w:kern w:val="0"/>
                <w:sz w:val="24"/>
                <w:szCs w:val="24"/>
              </w:rPr>
            </w:pPr>
            <w:r>
              <w:rPr>
                <w:rFonts w:ascii="Times New Roman" w:eastAsia="宋体" w:hAnsi="Times New Roman"/>
                <w:kern w:val="0"/>
                <w:sz w:val="20"/>
                <w:szCs w:val="20"/>
              </w:rPr>
              <w:lastRenderedPageBreak/>
              <w:br w:type="page"/>
            </w:r>
          </w:p>
        </w:tc>
        <w:tc>
          <w:tcPr>
            <w:tcW w:w="303" w:type="pct"/>
            <w:noWrap/>
            <w:vAlign w:val="bottom"/>
          </w:tcPr>
          <w:p w:rsidR="008B3FF8" w:rsidRDefault="008B3FF8">
            <w:pPr>
              <w:widowControl/>
              <w:jc w:val="left"/>
              <w:rPr>
                <w:rFonts w:ascii="Times New Roman" w:eastAsia="宋体" w:hAnsi="Times New Roman"/>
                <w:kern w:val="0"/>
                <w:sz w:val="20"/>
                <w:szCs w:val="20"/>
              </w:rPr>
            </w:pPr>
          </w:p>
        </w:tc>
        <w:tc>
          <w:tcPr>
            <w:tcW w:w="684" w:type="pct"/>
            <w:noWrap/>
            <w:vAlign w:val="bottom"/>
          </w:tcPr>
          <w:p w:rsidR="008B3FF8" w:rsidRDefault="008B3FF8">
            <w:pPr>
              <w:widowControl/>
              <w:jc w:val="left"/>
              <w:rPr>
                <w:rFonts w:ascii="Times New Roman" w:eastAsia="宋体" w:hAnsi="Times New Roman"/>
                <w:kern w:val="0"/>
                <w:sz w:val="20"/>
                <w:szCs w:val="20"/>
              </w:rPr>
            </w:pPr>
          </w:p>
        </w:tc>
        <w:tc>
          <w:tcPr>
            <w:tcW w:w="538" w:type="pct"/>
            <w:noWrap/>
            <w:vAlign w:val="bottom"/>
          </w:tcPr>
          <w:p w:rsidR="008B3FF8" w:rsidRDefault="008B3FF8">
            <w:pPr>
              <w:widowControl/>
              <w:jc w:val="left"/>
              <w:rPr>
                <w:rFonts w:ascii="Times New Roman" w:eastAsia="宋体" w:hAnsi="Times New Roman"/>
                <w:kern w:val="0"/>
                <w:sz w:val="20"/>
                <w:szCs w:val="20"/>
              </w:rPr>
            </w:pPr>
          </w:p>
        </w:tc>
        <w:tc>
          <w:tcPr>
            <w:tcW w:w="2836" w:type="pct"/>
            <w:gridSpan w:val="5"/>
            <w:noWrap/>
            <w:vAlign w:val="center"/>
          </w:tcPr>
          <w:p w:rsidR="008B3FF8" w:rsidRDefault="008B3FF8">
            <w:pPr>
              <w:widowControl/>
              <w:snapToGrid w:val="0"/>
              <w:jc w:val="right"/>
              <w:textAlignment w:val="center"/>
              <w:rPr>
                <w:rFonts w:asciiTheme="minorEastAsia" w:hAnsiTheme="minorEastAsia" w:cstheme="minorEastAsia"/>
                <w:color w:val="000000"/>
                <w:kern w:val="0"/>
                <w:sz w:val="13"/>
                <w:szCs w:val="13"/>
              </w:rPr>
            </w:pPr>
          </w:p>
        </w:tc>
      </w:tr>
      <w:tr w:rsidR="008B3FF8">
        <w:trPr>
          <w:trHeight w:val="485"/>
          <w:tblHeader/>
        </w:trPr>
        <w:tc>
          <w:tcPr>
            <w:tcW w:w="5000" w:type="pct"/>
            <w:gridSpan w:val="9"/>
            <w:noWrap/>
            <w:vAlign w:val="center"/>
          </w:tcPr>
          <w:p w:rsidR="008B3FF8" w:rsidRDefault="0071195C">
            <w:pPr>
              <w:widowControl/>
              <w:snapToGrid w:val="0"/>
              <w:jc w:val="center"/>
              <w:textAlignment w:val="center"/>
              <w:rPr>
                <w:rFonts w:asciiTheme="minorEastAsia" w:eastAsia="仿宋_GB2312" w:hAnsiTheme="minorEastAsia" w:cstheme="minorEastAsia"/>
                <w:color w:val="000000"/>
                <w:kern w:val="0"/>
                <w:sz w:val="13"/>
                <w:szCs w:val="13"/>
              </w:rPr>
            </w:pPr>
            <w:r>
              <w:rPr>
                <w:rFonts w:asciiTheme="minorEastAsia" w:hAnsiTheme="minorEastAsia" w:cstheme="minorEastAsia" w:hint="eastAsia"/>
                <w:b/>
                <w:bCs/>
                <w:color w:val="000000"/>
                <w:kern w:val="0"/>
                <w:sz w:val="24"/>
                <w:szCs w:val="24"/>
              </w:rPr>
              <w:t>财政拨款“三公”经费支出表</w:t>
            </w:r>
          </w:p>
        </w:tc>
      </w:tr>
      <w:tr w:rsidR="008B3FF8">
        <w:trPr>
          <w:trHeight w:val="340"/>
          <w:tblHeader/>
        </w:trPr>
        <w:tc>
          <w:tcPr>
            <w:tcW w:w="2163" w:type="pct"/>
            <w:gridSpan w:val="4"/>
            <w:noWrap/>
            <w:vAlign w:val="center"/>
          </w:tcPr>
          <w:p w:rsidR="008B3FF8" w:rsidRDefault="0071195C">
            <w:pPr>
              <w:widowControl/>
              <w:jc w:val="left"/>
              <w:rPr>
                <w:rFonts w:ascii="Times New Roman" w:eastAsia="宋体" w:hAnsi="Times New Roman"/>
                <w:kern w:val="0"/>
                <w:sz w:val="20"/>
                <w:szCs w:val="20"/>
              </w:rPr>
            </w:pPr>
            <w:r>
              <w:rPr>
                <w:rFonts w:asciiTheme="minorEastAsia" w:hAnsiTheme="minorEastAsia" w:cstheme="minorEastAsia" w:hint="eastAsia"/>
                <w:color w:val="000000"/>
                <w:kern w:val="0"/>
                <w:sz w:val="18"/>
                <w:szCs w:val="18"/>
              </w:rPr>
              <w:t>填报单位:008南昌市青云谱区人力资源和社会保障局</w:t>
            </w:r>
          </w:p>
        </w:tc>
        <w:tc>
          <w:tcPr>
            <w:tcW w:w="742" w:type="pct"/>
            <w:noWrap/>
            <w:vAlign w:val="bottom"/>
          </w:tcPr>
          <w:p w:rsidR="008B3FF8" w:rsidRDefault="008B3FF8">
            <w:pPr>
              <w:widowControl/>
              <w:jc w:val="left"/>
              <w:rPr>
                <w:rFonts w:ascii="Times New Roman" w:eastAsia="宋体" w:hAnsi="Times New Roman"/>
                <w:kern w:val="0"/>
                <w:sz w:val="20"/>
                <w:szCs w:val="20"/>
              </w:rPr>
            </w:pPr>
          </w:p>
        </w:tc>
        <w:tc>
          <w:tcPr>
            <w:tcW w:w="474" w:type="pct"/>
            <w:noWrap/>
            <w:vAlign w:val="bottom"/>
          </w:tcPr>
          <w:p w:rsidR="008B3FF8" w:rsidRDefault="008B3FF8">
            <w:pPr>
              <w:widowControl/>
              <w:jc w:val="left"/>
              <w:rPr>
                <w:rFonts w:ascii="Times New Roman" w:eastAsia="宋体" w:hAnsi="Times New Roman"/>
                <w:kern w:val="0"/>
                <w:sz w:val="20"/>
                <w:szCs w:val="20"/>
              </w:rPr>
            </w:pPr>
          </w:p>
        </w:tc>
        <w:tc>
          <w:tcPr>
            <w:tcW w:w="596" w:type="pct"/>
            <w:noWrap/>
            <w:vAlign w:val="bottom"/>
          </w:tcPr>
          <w:p w:rsidR="008B3FF8" w:rsidRDefault="008B3FF8">
            <w:pPr>
              <w:widowControl/>
              <w:jc w:val="left"/>
              <w:rPr>
                <w:rFonts w:ascii="Times New Roman" w:eastAsia="宋体" w:hAnsi="Times New Roman"/>
                <w:kern w:val="0"/>
                <w:sz w:val="20"/>
                <w:szCs w:val="20"/>
              </w:rPr>
            </w:pPr>
          </w:p>
        </w:tc>
        <w:tc>
          <w:tcPr>
            <w:tcW w:w="1023" w:type="pct"/>
            <w:gridSpan w:val="2"/>
            <w:noWrap/>
            <w:vAlign w:val="bottom"/>
          </w:tcPr>
          <w:p w:rsidR="008B3FF8" w:rsidRDefault="0071195C">
            <w:pPr>
              <w:widowControl/>
              <w:snapToGrid w:val="0"/>
              <w:jc w:val="right"/>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单位：万元</w:t>
            </w:r>
          </w:p>
        </w:tc>
      </w:tr>
      <w:tr w:rsidR="008B3FF8">
        <w:trPr>
          <w:cantSplit/>
          <w:trHeight w:val="283"/>
          <w:tblHeader/>
        </w:trPr>
        <w:tc>
          <w:tcPr>
            <w:tcW w:w="940" w:type="pct"/>
            <w:gridSpan w:val="2"/>
            <w:vMerge w:val="restart"/>
            <w:tcBorders>
              <w:top w:val="single" w:sz="4" w:space="0" w:color="000000"/>
              <w:left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合计</w:t>
            </w:r>
          </w:p>
        </w:tc>
        <w:tc>
          <w:tcPr>
            <w:tcW w:w="1965" w:type="pct"/>
            <w:gridSpan w:val="3"/>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因公出国(境)费</w:t>
            </w:r>
          </w:p>
        </w:tc>
        <w:tc>
          <w:tcPr>
            <w:tcW w:w="474" w:type="pct"/>
            <w:vMerge w:val="restar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公务接待费</w:t>
            </w:r>
          </w:p>
        </w:tc>
        <w:tc>
          <w:tcPr>
            <w:tcW w:w="1620" w:type="pct"/>
            <w:gridSpan w:val="3"/>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公务用车购置及运行维护费</w:t>
            </w:r>
          </w:p>
        </w:tc>
      </w:tr>
      <w:tr w:rsidR="008B3FF8">
        <w:trPr>
          <w:cantSplit/>
          <w:trHeight w:val="512"/>
          <w:tblHeader/>
        </w:trPr>
        <w:tc>
          <w:tcPr>
            <w:tcW w:w="940" w:type="pct"/>
            <w:gridSpan w:val="2"/>
            <w:vMerge/>
            <w:tcBorders>
              <w:left w:val="single" w:sz="4" w:space="0" w:color="000000"/>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 w:val="18"/>
                <w:szCs w:val="18"/>
              </w:rPr>
            </w:pPr>
          </w:p>
        </w:tc>
        <w:tc>
          <w:tcPr>
            <w:tcW w:w="684"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小计</w:t>
            </w:r>
          </w:p>
        </w:tc>
        <w:tc>
          <w:tcPr>
            <w:tcW w:w="538" w:type="pct"/>
            <w:tcBorders>
              <w:top w:val="nil"/>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一般公务出国（境）费</w:t>
            </w:r>
          </w:p>
        </w:tc>
        <w:tc>
          <w:tcPr>
            <w:tcW w:w="742" w:type="pct"/>
            <w:tcBorders>
              <w:top w:val="nil"/>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高等院校和科研院所学术交流合作出国（境）费</w:t>
            </w:r>
          </w:p>
        </w:tc>
        <w:tc>
          <w:tcPr>
            <w:tcW w:w="474" w:type="pct"/>
            <w:vMerge/>
            <w:tcBorders>
              <w:top w:val="single" w:sz="4" w:space="0" w:color="000000"/>
              <w:left w:val="single" w:sz="4" w:space="0" w:color="000000"/>
              <w:bottom w:val="single" w:sz="4" w:space="0" w:color="000000"/>
              <w:right w:val="single" w:sz="4" w:space="0" w:color="000000"/>
            </w:tcBorders>
            <w:vAlign w:val="center"/>
          </w:tcPr>
          <w:p w:rsidR="008B3FF8" w:rsidRDefault="008B3FF8">
            <w:pPr>
              <w:widowControl/>
              <w:snapToGrid w:val="0"/>
              <w:jc w:val="center"/>
              <w:textAlignment w:val="center"/>
              <w:rPr>
                <w:rFonts w:asciiTheme="minorEastAsia" w:hAnsiTheme="minorEastAsia" w:cstheme="minorEastAsia"/>
                <w:color w:val="000000"/>
                <w:kern w:val="0"/>
                <w:sz w:val="18"/>
                <w:szCs w:val="18"/>
              </w:rPr>
            </w:pPr>
          </w:p>
        </w:tc>
        <w:tc>
          <w:tcPr>
            <w:tcW w:w="596"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小计</w:t>
            </w:r>
          </w:p>
        </w:tc>
        <w:tc>
          <w:tcPr>
            <w:tcW w:w="543" w:type="pct"/>
            <w:tcBorders>
              <w:top w:val="nil"/>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公务用车运行维护费</w:t>
            </w:r>
          </w:p>
        </w:tc>
        <w:tc>
          <w:tcPr>
            <w:tcW w:w="479"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公务用车购置</w:t>
            </w:r>
          </w:p>
        </w:tc>
      </w:tr>
      <w:tr w:rsidR="008B3FF8">
        <w:trPr>
          <w:cantSplit/>
          <w:trHeight w:val="283"/>
          <w:tblHeader/>
        </w:trPr>
        <w:tc>
          <w:tcPr>
            <w:tcW w:w="940" w:type="pct"/>
            <w:gridSpan w:val="2"/>
            <w:tcBorders>
              <w:top w:val="nil"/>
              <w:left w:val="single" w:sz="4" w:space="0" w:color="000000"/>
              <w:bottom w:val="nil"/>
              <w:right w:val="nil"/>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w:t>
            </w:r>
          </w:p>
        </w:tc>
        <w:tc>
          <w:tcPr>
            <w:tcW w:w="684" w:type="pct"/>
            <w:tcBorders>
              <w:top w:val="nil"/>
              <w:left w:val="single" w:sz="4" w:space="0" w:color="000000"/>
              <w:bottom w:val="nil"/>
              <w:right w:val="nil"/>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w:t>
            </w:r>
          </w:p>
        </w:tc>
        <w:tc>
          <w:tcPr>
            <w:tcW w:w="538" w:type="pct"/>
            <w:tcBorders>
              <w:top w:val="nil"/>
              <w:left w:val="single" w:sz="4" w:space="0" w:color="000000"/>
              <w:bottom w:val="nil"/>
              <w:right w:val="nil"/>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w:t>
            </w:r>
          </w:p>
        </w:tc>
        <w:tc>
          <w:tcPr>
            <w:tcW w:w="742" w:type="pct"/>
            <w:tcBorders>
              <w:top w:val="nil"/>
              <w:left w:val="single" w:sz="4" w:space="0" w:color="000000"/>
              <w:bottom w:val="nil"/>
              <w:right w:val="nil"/>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w:t>
            </w:r>
          </w:p>
        </w:tc>
        <w:tc>
          <w:tcPr>
            <w:tcW w:w="474" w:type="pct"/>
            <w:tcBorders>
              <w:top w:val="nil"/>
              <w:left w:val="single" w:sz="4" w:space="0" w:color="000000"/>
              <w:bottom w:val="nil"/>
              <w:right w:val="nil"/>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w:t>
            </w:r>
          </w:p>
        </w:tc>
        <w:tc>
          <w:tcPr>
            <w:tcW w:w="596" w:type="pct"/>
            <w:tcBorders>
              <w:top w:val="nil"/>
              <w:left w:val="single" w:sz="4" w:space="0" w:color="000000"/>
              <w:bottom w:val="nil"/>
              <w:right w:val="nil"/>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6</w:t>
            </w:r>
          </w:p>
        </w:tc>
        <w:tc>
          <w:tcPr>
            <w:tcW w:w="543" w:type="pct"/>
            <w:tcBorders>
              <w:top w:val="nil"/>
              <w:left w:val="single" w:sz="4" w:space="0" w:color="000000"/>
              <w:bottom w:val="nil"/>
              <w:right w:val="nil"/>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7</w:t>
            </w:r>
          </w:p>
        </w:tc>
        <w:tc>
          <w:tcPr>
            <w:tcW w:w="479" w:type="pct"/>
            <w:tcBorders>
              <w:top w:val="nil"/>
              <w:left w:val="single" w:sz="4" w:space="0" w:color="000000"/>
              <w:bottom w:val="nil"/>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8</w:t>
            </w:r>
          </w:p>
        </w:tc>
      </w:tr>
      <w:tr w:rsidR="008B3FF8">
        <w:trPr>
          <w:cantSplit/>
          <w:trHeight w:val="717"/>
        </w:trPr>
        <w:tc>
          <w:tcPr>
            <w:tcW w:w="940" w:type="pct"/>
            <w:gridSpan w:val="2"/>
            <w:tcBorders>
              <w:top w:val="single" w:sz="4" w:space="0" w:color="000000"/>
              <w:left w:val="single" w:sz="4" w:space="0" w:color="000000"/>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684" w:type="pct"/>
            <w:tcBorders>
              <w:top w:val="single" w:sz="4" w:space="0" w:color="000000"/>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538" w:type="pct"/>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742" w:type="pct"/>
            <w:tcBorders>
              <w:top w:val="single" w:sz="4" w:space="0" w:color="000000"/>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474" w:type="pct"/>
            <w:tcBorders>
              <w:top w:val="single" w:sz="4" w:space="0" w:color="000000"/>
              <w:left w:val="nil"/>
              <w:bottom w:val="single" w:sz="4" w:space="0" w:color="000000"/>
              <w:right w:val="nil"/>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596" w:type="pct"/>
            <w:tcBorders>
              <w:top w:val="single" w:sz="4" w:space="0" w:color="000000"/>
              <w:left w:val="single" w:sz="4" w:space="0" w:color="000000"/>
              <w:bottom w:val="single" w:sz="4" w:space="0" w:color="000000"/>
              <w:right w:val="nil"/>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543" w:type="pct"/>
            <w:tcBorders>
              <w:top w:val="single" w:sz="4" w:space="0" w:color="000000"/>
              <w:left w:val="single" w:sz="4" w:space="0" w:color="000000"/>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479" w:type="pct"/>
            <w:tcBorders>
              <w:top w:val="single" w:sz="4" w:space="0" w:color="000000"/>
              <w:left w:val="nil"/>
              <w:bottom w:val="single" w:sz="4" w:space="0" w:color="000000"/>
              <w:right w:val="single" w:sz="4" w:space="0" w:color="000000"/>
            </w:tcBorders>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bl>
    <w:p w:rsidR="008B3FF8" w:rsidRDefault="008B3FF8">
      <w:pPr>
        <w:widowControl/>
        <w:jc w:val="left"/>
        <w:rPr>
          <w:rStyle w:val="rowtreelevel4"/>
          <w:rFonts w:ascii="仿宋" w:eastAsia="仿宋" w:hAnsi="仿宋"/>
          <w:bCs/>
          <w:sz w:val="32"/>
          <w:szCs w:val="32"/>
        </w:rPr>
        <w:sectPr w:rsidR="008B3FF8">
          <w:pgSz w:w="11906" w:h="16838"/>
          <w:pgMar w:top="720" w:right="720" w:bottom="720" w:left="720" w:header="851" w:footer="992" w:gutter="0"/>
          <w:cols w:space="720"/>
          <w:docGrid w:type="lines" w:linePitch="312"/>
        </w:sectPr>
      </w:pPr>
    </w:p>
    <w:tbl>
      <w:tblPr>
        <w:tblW w:w="5002" w:type="pct"/>
        <w:tblInd w:w="10" w:type="dxa"/>
        <w:tblLayout w:type="fixed"/>
        <w:tblLook w:val="04A0"/>
      </w:tblPr>
      <w:tblGrid>
        <w:gridCol w:w="2085"/>
        <w:gridCol w:w="2612"/>
        <w:gridCol w:w="2349"/>
        <w:gridCol w:w="1637"/>
        <w:gridCol w:w="2003"/>
      </w:tblGrid>
      <w:tr w:rsidR="008B3FF8">
        <w:trPr>
          <w:trHeight w:val="507"/>
          <w:tblHeader/>
        </w:trPr>
        <w:tc>
          <w:tcPr>
            <w:tcW w:w="976" w:type="pct"/>
            <w:noWrap/>
            <w:vAlign w:val="bottom"/>
          </w:tcPr>
          <w:p w:rsidR="008B3FF8" w:rsidRDefault="0071195C">
            <w:pPr>
              <w:widowControl/>
              <w:jc w:val="left"/>
              <w:rPr>
                <w:rFonts w:ascii="宋体" w:eastAsia="宋体" w:hAnsi="宋体" w:cs="宋体"/>
                <w:kern w:val="0"/>
                <w:sz w:val="24"/>
                <w:szCs w:val="24"/>
              </w:rPr>
            </w:pPr>
            <w:r>
              <w:rPr>
                <w:rFonts w:ascii="Times New Roman" w:eastAsia="宋体" w:hAnsi="Times New Roman"/>
                <w:kern w:val="0"/>
                <w:sz w:val="20"/>
                <w:szCs w:val="20"/>
              </w:rPr>
              <w:lastRenderedPageBreak/>
              <w:br w:type="page"/>
            </w:r>
          </w:p>
        </w:tc>
        <w:tc>
          <w:tcPr>
            <w:tcW w:w="1221" w:type="pct"/>
            <w:noWrap/>
            <w:vAlign w:val="bottom"/>
          </w:tcPr>
          <w:p w:rsidR="008B3FF8" w:rsidRDefault="008B3FF8">
            <w:pPr>
              <w:widowControl/>
              <w:jc w:val="left"/>
              <w:rPr>
                <w:rFonts w:ascii="Times New Roman" w:eastAsia="宋体" w:hAnsi="Times New Roman"/>
                <w:kern w:val="0"/>
                <w:sz w:val="20"/>
                <w:szCs w:val="20"/>
              </w:rPr>
            </w:pPr>
          </w:p>
        </w:tc>
        <w:tc>
          <w:tcPr>
            <w:tcW w:w="2801" w:type="pct"/>
            <w:gridSpan w:val="3"/>
            <w:noWrap/>
            <w:vAlign w:val="center"/>
          </w:tcPr>
          <w:p w:rsidR="008B3FF8" w:rsidRDefault="0071195C">
            <w:pPr>
              <w:widowControl/>
              <w:snapToGrid w:val="0"/>
              <w:jc w:val="righ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注：若为空表，则为该部门（单位）无政府性基金支出</w:t>
            </w:r>
          </w:p>
        </w:tc>
      </w:tr>
      <w:tr w:rsidR="008B3FF8">
        <w:trPr>
          <w:trHeight w:val="564"/>
          <w:tblHeader/>
        </w:trPr>
        <w:tc>
          <w:tcPr>
            <w:tcW w:w="5000" w:type="pct"/>
            <w:gridSpan w:val="5"/>
            <w:noWrap/>
            <w:vAlign w:val="center"/>
          </w:tcPr>
          <w:p w:rsidR="008B3FF8" w:rsidRDefault="0071195C">
            <w:pPr>
              <w:widowControl/>
              <w:jc w:val="center"/>
              <w:rPr>
                <w:rFonts w:ascii="宋体" w:eastAsia="宋体" w:hAnsi="宋体" w:cs="Arial"/>
                <w:b/>
                <w:bCs/>
                <w:color w:val="000000"/>
                <w:kern w:val="0"/>
                <w:sz w:val="44"/>
                <w:szCs w:val="44"/>
              </w:rPr>
            </w:pPr>
            <w:r>
              <w:rPr>
                <w:rFonts w:asciiTheme="minorEastAsia" w:hAnsiTheme="minorEastAsia" w:cstheme="minorEastAsia" w:hint="eastAsia"/>
                <w:b/>
                <w:bCs/>
                <w:color w:val="000000"/>
                <w:kern w:val="0"/>
                <w:sz w:val="24"/>
                <w:szCs w:val="24"/>
              </w:rPr>
              <w:t>政府性基金预算支出表</w:t>
            </w:r>
          </w:p>
        </w:tc>
      </w:tr>
      <w:tr w:rsidR="008B3FF8">
        <w:trPr>
          <w:trHeight w:val="405"/>
          <w:tblHeader/>
        </w:trPr>
        <w:tc>
          <w:tcPr>
            <w:tcW w:w="2198" w:type="pct"/>
            <w:gridSpan w:val="2"/>
            <w:noWrap/>
            <w:vAlign w:val="center"/>
          </w:tcPr>
          <w:p w:rsidR="008B3FF8" w:rsidRDefault="0071195C">
            <w:pPr>
              <w:widowControl/>
              <w:rPr>
                <w:rFonts w:ascii="宋体" w:eastAsia="宋体" w:hAnsi="宋体" w:cs="Arial"/>
                <w:color w:val="000000"/>
                <w:kern w:val="0"/>
                <w:sz w:val="24"/>
                <w:szCs w:val="24"/>
              </w:rPr>
            </w:pPr>
            <w:r>
              <w:rPr>
                <w:rFonts w:asciiTheme="minorEastAsia" w:hAnsiTheme="minorEastAsia" w:cstheme="minorEastAsia" w:hint="eastAsia"/>
                <w:color w:val="000000"/>
                <w:kern w:val="0"/>
                <w:sz w:val="18"/>
                <w:szCs w:val="18"/>
              </w:rPr>
              <w:t>填报单位:008南昌市青云谱区人力资源和社会保障局</w:t>
            </w:r>
          </w:p>
        </w:tc>
        <w:tc>
          <w:tcPr>
            <w:tcW w:w="1099" w:type="pct"/>
            <w:noWrap/>
            <w:vAlign w:val="bottom"/>
          </w:tcPr>
          <w:p w:rsidR="008B3FF8" w:rsidRDefault="008B3FF8">
            <w:pPr>
              <w:rPr>
                <w:rFonts w:ascii="宋体" w:eastAsia="宋体" w:hAnsi="宋体" w:cs="Arial"/>
                <w:color w:val="000000"/>
                <w:kern w:val="0"/>
                <w:sz w:val="24"/>
                <w:szCs w:val="24"/>
              </w:rPr>
            </w:pPr>
          </w:p>
        </w:tc>
        <w:tc>
          <w:tcPr>
            <w:tcW w:w="766" w:type="pct"/>
            <w:noWrap/>
            <w:vAlign w:val="bottom"/>
          </w:tcPr>
          <w:p w:rsidR="008B3FF8" w:rsidRDefault="008B3FF8">
            <w:pPr>
              <w:widowControl/>
              <w:jc w:val="left"/>
              <w:rPr>
                <w:rFonts w:ascii="Times New Roman" w:eastAsia="宋体" w:hAnsi="Times New Roman"/>
                <w:kern w:val="0"/>
                <w:sz w:val="20"/>
                <w:szCs w:val="20"/>
              </w:rPr>
            </w:pPr>
          </w:p>
        </w:tc>
        <w:tc>
          <w:tcPr>
            <w:tcW w:w="935" w:type="pct"/>
            <w:noWrap/>
            <w:vAlign w:val="center"/>
          </w:tcPr>
          <w:p w:rsidR="008B3FF8" w:rsidRDefault="0071195C">
            <w:pPr>
              <w:widowControl/>
              <w:jc w:val="right"/>
              <w:rPr>
                <w:rFonts w:ascii="宋体" w:eastAsia="宋体" w:hAnsi="宋体" w:cs="Arial"/>
                <w:color w:val="000000"/>
                <w:kern w:val="0"/>
                <w:sz w:val="24"/>
                <w:szCs w:val="24"/>
              </w:rPr>
            </w:pPr>
            <w:r>
              <w:rPr>
                <w:rFonts w:asciiTheme="minorEastAsia" w:hAnsiTheme="minorEastAsia" w:cstheme="minorEastAsia" w:hint="eastAsia"/>
                <w:color w:val="000000"/>
                <w:kern w:val="0"/>
                <w:sz w:val="18"/>
                <w:szCs w:val="18"/>
              </w:rPr>
              <w:t>单位：万元</w:t>
            </w:r>
          </w:p>
        </w:tc>
      </w:tr>
      <w:tr w:rsidR="008B3FF8">
        <w:trPr>
          <w:cantSplit/>
          <w:trHeight w:val="283"/>
          <w:tblHeader/>
        </w:trPr>
        <w:tc>
          <w:tcPr>
            <w:tcW w:w="2198" w:type="pct"/>
            <w:gridSpan w:val="2"/>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支出功能分类科目</w:t>
            </w:r>
          </w:p>
        </w:tc>
        <w:tc>
          <w:tcPr>
            <w:tcW w:w="2801" w:type="pct"/>
            <w:gridSpan w:val="3"/>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2026年预算数</w:t>
            </w:r>
          </w:p>
        </w:tc>
      </w:tr>
      <w:tr w:rsidR="008B3FF8">
        <w:trPr>
          <w:cantSplit/>
          <w:trHeight w:val="283"/>
          <w:tblHeader/>
        </w:trPr>
        <w:tc>
          <w:tcPr>
            <w:tcW w:w="976"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科目编码</w:t>
            </w:r>
          </w:p>
        </w:tc>
        <w:tc>
          <w:tcPr>
            <w:tcW w:w="1221"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 xml:space="preserve">科目名称 </w:t>
            </w:r>
          </w:p>
        </w:tc>
        <w:tc>
          <w:tcPr>
            <w:tcW w:w="1099"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合计</w:t>
            </w:r>
          </w:p>
        </w:tc>
        <w:tc>
          <w:tcPr>
            <w:tcW w:w="766"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基本支出</w:t>
            </w:r>
          </w:p>
        </w:tc>
        <w:tc>
          <w:tcPr>
            <w:tcW w:w="935"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项目支出</w:t>
            </w:r>
          </w:p>
        </w:tc>
      </w:tr>
      <w:tr w:rsidR="008B3FF8">
        <w:trPr>
          <w:cantSplit/>
          <w:trHeight w:val="283"/>
          <w:tblHeader/>
        </w:trPr>
        <w:tc>
          <w:tcPr>
            <w:tcW w:w="976"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221"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099"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w:t>
            </w:r>
          </w:p>
        </w:tc>
        <w:tc>
          <w:tcPr>
            <w:tcW w:w="766"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w:t>
            </w:r>
          </w:p>
        </w:tc>
        <w:tc>
          <w:tcPr>
            <w:tcW w:w="935"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w:t>
            </w:r>
          </w:p>
        </w:tc>
      </w:tr>
    </w:tbl>
    <w:p w:rsidR="008B3FF8" w:rsidRDefault="0071195C">
      <w:pPr>
        <w:jc w:val="left"/>
        <w:rPr>
          <w:rStyle w:val="rowtreelevel4"/>
          <w:rFonts w:ascii="仿宋" w:eastAsia="仿宋" w:hAnsi="仿宋"/>
          <w:bCs/>
          <w:sz w:val="32"/>
          <w:szCs w:val="32"/>
        </w:rPr>
      </w:pPr>
      <w:r>
        <w:rPr>
          <w:rStyle w:val="rowtreelevel4"/>
          <w:rFonts w:ascii="仿宋" w:eastAsia="仿宋" w:hAnsi="仿宋" w:hint="eastAsia"/>
          <w:bCs/>
          <w:sz w:val="32"/>
          <w:szCs w:val="32"/>
        </w:rPr>
        <w:br w:type="page"/>
      </w:r>
    </w:p>
    <w:tbl>
      <w:tblPr>
        <w:tblW w:w="5026" w:type="pct"/>
        <w:tblInd w:w="10" w:type="dxa"/>
        <w:tblLayout w:type="fixed"/>
        <w:tblLook w:val="04A0"/>
      </w:tblPr>
      <w:tblGrid>
        <w:gridCol w:w="2062"/>
        <w:gridCol w:w="2650"/>
        <w:gridCol w:w="2337"/>
        <w:gridCol w:w="1636"/>
        <w:gridCol w:w="2053"/>
      </w:tblGrid>
      <w:tr w:rsidR="008B3FF8">
        <w:trPr>
          <w:trHeight w:val="619"/>
          <w:tblHeader/>
        </w:trPr>
        <w:tc>
          <w:tcPr>
            <w:tcW w:w="960" w:type="pct"/>
            <w:noWrap/>
            <w:vAlign w:val="bottom"/>
          </w:tcPr>
          <w:p w:rsidR="008B3FF8" w:rsidRDefault="008B3FF8">
            <w:pPr>
              <w:rPr>
                <w:rStyle w:val="rowtreelevel4"/>
                <w:rFonts w:ascii="仿宋" w:eastAsia="仿宋" w:hAnsi="仿宋"/>
                <w:bCs/>
                <w:sz w:val="32"/>
                <w:szCs w:val="32"/>
              </w:rPr>
            </w:pPr>
          </w:p>
        </w:tc>
        <w:tc>
          <w:tcPr>
            <w:tcW w:w="1233" w:type="pct"/>
            <w:noWrap/>
            <w:vAlign w:val="bottom"/>
          </w:tcPr>
          <w:p w:rsidR="008B3FF8" w:rsidRDefault="008B3FF8">
            <w:pPr>
              <w:widowControl/>
              <w:jc w:val="left"/>
              <w:rPr>
                <w:rFonts w:ascii="Times New Roman" w:eastAsia="宋体" w:hAnsi="Times New Roman"/>
                <w:kern w:val="0"/>
                <w:sz w:val="20"/>
                <w:szCs w:val="20"/>
              </w:rPr>
            </w:pPr>
          </w:p>
        </w:tc>
        <w:tc>
          <w:tcPr>
            <w:tcW w:w="2805" w:type="pct"/>
            <w:gridSpan w:val="3"/>
            <w:noWrap/>
            <w:vAlign w:val="center"/>
          </w:tcPr>
          <w:p w:rsidR="008B3FF8" w:rsidRDefault="0071195C">
            <w:pPr>
              <w:widowControl/>
              <w:jc w:val="right"/>
              <w:rPr>
                <w:rFonts w:ascii="宋体" w:eastAsia="宋体" w:hAnsi="宋体" w:cs="Arial"/>
                <w:color w:val="000000"/>
                <w:kern w:val="0"/>
                <w:sz w:val="24"/>
                <w:szCs w:val="24"/>
              </w:rPr>
            </w:pPr>
            <w:r>
              <w:rPr>
                <w:rFonts w:ascii="宋体" w:eastAsia="宋体" w:hAnsi="宋体" w:cs="Arial" w:hint="eastAsia"/>
                <w:color w:val="000000"/>
                <w:kern w:val="0"/>
                <w:sz w:val="18"/>
                <w:szCs w:val="18"/>
              </w:rPr>
              <w:t>注：若为空表，则为该部门（单位）无国有资本经营预算支出</w:t>
            </w:r>
          </w:p>
        </w:tc>
      </w:tr>
      <w:tr w:rsidR="008B3FF8">
        <w:trPr>
          <w:trHeight w:val="613"/>
          <w:tblHeader/>
        </w:trPr>
        <w:tc>
          <w:tcPr>
            <w:tcW w:w="5000" w:type="pct"/>
            <w:gridSpan w:val="5"/>
            <w:noWrap/>
            <w:vAlign w:val="center"/>
          </w:tcPr>
          <w:p w:rsidR="008B3FF8" w:rsidRDefault="0071195C">
            <w:pPr>
              <w:widowControl/>
              <w:jc w:val="center"/>
              <w:rPr>
                <w:rFonts w:ascii="宋体" w:eastAsia="宋体" w:hAnsi="宋体" w:cs="Arial"/>
                <w:b/>
                <w:bCs/>
                <w:color w:val="000000"/>
                <w:kern w:val="0"/>
                <w:sz w:val="44"/>
                <w:szCs w:val="44"/>
              </w:rPr>
            </w:pPr>
            <w:r>
              <w:rPr>
                <w:rFonts w:asciiTheme="minorEastAsia" w:hAnsiTheme="minorEastAsia" w:cstheme="minorEastAsia" w:hint="eastAsia"/>
                <w:b/>
                <w:bCs/>
                <w:color w:val="000000"/>
                <w:kern w:val="0"/>
                <w:sz w:val="24"/>
                <w:szCs w:val="24"/>
              </w:rPr>
              <w:t>国有资本经营预算支出表</w:t>
            </w:r>
          </w:p>
        </w:tc>
      </w:tr>
      <w:tr w:rsidR="008B3FF8">
        <w:trPr>
          <w:trHeight w:val="413"/>
          <w:tblHeader/>
        </w:trPr>
        <w:tc>
          <w:tcPr>
            <w:tcW w:w="3282" w:type="pct"/>
            <w:gridSpan w:val="3"/>
            <w:noWrap/>
            <w:vAlign w:val="center"/>
          </w:tcPr>
          <w:p w:rsidR="008B3FF8" w:rsidRDefault="0071195C">
            <w:pPr>
              <w:jc w:val="left"/>
              <w:rPr>
                <w:rFonts w:ascii="宋体" w:eastAsia="宋体" w:hAnsi="宋体" w:cs="Arial"/>
                <w:color w:val="000000"/>
                <w:kern w:val="0"/>
                <w:sz w:val="24"/>
                <w:szCs w:val="24"/>
              </w:rPr>
            </w:pPr>
            <w:r>
              <w:rPr>
                <w:rFonts w:asciiTheme="minorEastAsia" w:hAnsiTheme="minorEastAsia" w:cstheme="minorEastAsia" w:hint="eastAsia"/>
                <w:color w:val="000000"/>
                <w:kern w:val="0"/>
                <w:sz w:val="18"/>
                <w:szCs w:val="18"/>
              </w:rPr>
              <w:t>填报单位:008南昌市青云谱区人力资源和社会保障局</w:t>
            </w:r>
          </w:p>
        </w:tc>
        <w:tc>
          <w:tcPr>
            <w:tcW w:w="762" w:type="pct"/>
            <w:noWrap/>
            <w:vAlign w:val="bottom"/>
          </w:tcPr>
          <w:p w:rsidR="008B3FF8" w:rsidRDefault="008B3FF8">
            <w:pPr>
              <w:widowControl/>
              <w:jc w:val="left"/>
              <w:rPr>
                <w:rFonts w:ascii="Times New Roman" w:eastAsia="宋体" w:hAnsi="Times New Roman"/>
                <w:kern w:val="0"/>
                <w:sz w:val="20"/>
                <w:szCs w:val="20"/>
              </w:rPr>
            </w:pPr>
          </w:p>
        </w:tc>
        <w:tc>
          <w:tcPr>
            <w:tcW w:w="954" w:type="pct"/>
            <w:noWrap/>
            <w:vAlign w:val="center"/>
          </w:tcPr>
          <w:p w:rsidR="008B3FF8" w:rsidRDefault="0071195C">
            <w:pPr>
              <w:widowControl/>
              <w:jc w:val="right"/>
              <w:rPr>
                <w:rFonts w:ascii="宋体" w:eastAsia="宋体" w:hAnsi="宋体" w:cs="Arial"/>
                <w:color w:val="000000"/>
                <w:kern w:val="0"/>
                <w:sz w:val="24"/>
                <w:szCs w:val="24"/>
              </w:rPr>
            </w:pPr>
            <w:r>
              <w:rPr>
                <w:rFonts w:asciiTheme="minorEastAsia" w:hAnsiTheme="minorEastAsia" w:cstheme="minorEastAsia" w:hint="eastAsia"/>
                <w:color w:val="000000"/>
                <w:kern w:val="0"/>
                <w:sz w:val="18"/>
                <w:szCs w:val="18"/>
              </w:rPr>
              <w:t>单位：万元</w:t>
            </w:r>
          </w:p>
        </w:tc>
      </w:tr>
      <w:tr w:rsidR="008B3FF8">
        <w:trPr>
          <w:cantSplit/>
          <w:trHeight w:val="291"/>
          <w:tblHeader/>
        </w:trPr>
        <w:tc>
          <w:tcPr>
            <w:tcW w:w="2194" w:type="pct"/>
            <w:gridSpan w:val="2"/>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支出功能分类科目</w:t>
            </w:r>
          </w:p>
        </w:tc>
        <w:tc>
          <w:tcPr>
            <w:tcW w:w="2805" w:type="pct"/>
            <w:gridSpan w:val="3"/>
            <w:tcBorders>
              <w:top w:val="single" w:sz="4" w:space="0" w:color="000000"/>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2026年预算数</w:t>
            </w:r>
          </w:p>
        </w:tc>
      </w:tr>
      <w:tr w:rsidR="008B3FF8">
        <w:trPr>
          <w:cantSplit/>
          <w:trHeight w:val="291"/>
          <w:tblHeader/>
        </w:trPr>
        <w:tc>
          <w:tcPr>
            <w:tcW w:w="960" w:type="pct"/>
            <w:tcBorders>
              <w:top w:val="nil"/>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科目编码</w:t>
            </w:r>
          </w:p>
        </w:tc>
        <w:tc>
          <w:tcPr>
            <w:tcW w:w="1233"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 xml:space="preserve">科目名称 </w:t>
            </w:r>
          </w:p>
        </w:tc>
        <w:tc>
          <w:tcPr>
            <w:tcW w:w="1088"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合计</w:t>
            </w:r>
          </w:p>
        </w:tc>
        <w:tc>
          <w:tcPr>
            <w:tcW w:w="762"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基本支出</w:t>
            </w:r>
          </w:p>
        </w:tc>
        <w:tc>
          <w:tcPr>
            <w:tcW w:w="954" w:type="pct"/>
            <w:tcBorders>
              <w:top w:val="nil"/>
              <w:left w:val="nil"/>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项目支出</w:t>
            </w:r>
          </w:p>
        </w:tc>
      </w:tr>
      <w:tr w:rsidR="008B3FF8">
        <w:trPr>
          <w:cantSplit/>
          <w:trHeight w:val="291"/>
          <w:tblHeader/>
        </w:trPr>
        <w:tc>
          <w:tcPr>
            <w:tcW w:w="960"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233"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088"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w:t>
            </w:r>
          </w:p>
        </w:tc>
        <w:tc>
          <w:tcPr>
            <w:tcW w:w="762"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w:t>
            </w:r>
          </w:p>
        </w:tc>
        <w:tc>
          <w:tcPr>
            <w:tcW w:w="954" w:type="pct"/>
            <w:tcBorders>
              <w:top w:val="single" w:sz="4" w:space="0" w:color="000000"/>
              <w:left w:val="single" w:sz="4" w:space="0" w:color="000000"/>
              <w:bottom w:val="single" w:sz="4" w:space="0" w:color="000000"/>
              <w:right w:val="single" w:sz="4" w:space="0" w:color="000000"/>
            </w:tcBorders>
            <w:noWrap/>
            <w:vAlign w:val="center"/>
          </w:tcPr>
          <w:p w:rsidR="008B3FF8" w:rsidRDefault="0071195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w:t>
            </w:r>
          </w:p>
        </w:tc>
      </w:tr>
    </w:tbl>
    <w:p w:rsidR="008B3FF8" w:rsidRDefault="0071195C">
      <w:pPr>
        <w:jc w:val="left"/>
        <w:rPr>
          <w:rStyle w:val="rowtreelevel4"/>
          <w:rFonts w:ascii="仿宋" w:eastAsia="仿宋" w:hAnsi="仿宋"/>
          <w:bCs/>
          <w:sz w:val="32"/>
          <w:szCs w:val="32"/>
        </w:rPr>
      </w:pPr>
      <w:r>
        <w:rPr>
          <w:rStyle w:val="rowtreelevel4"/>
          <w:rFonts w:ascii="仿宋" w:eastAsia="仿宋" w:hAnsi="仿宋" w:hint="eastAsia"/>
          <w:bCs/>
          <w:sz w:val="32"/>
          <w:szCs w:val="32"/>
        </w:rPr>
        <w:br w:type="page"/>
      </w:r>
    </w:p>
    <w:tbl>
      <w:tblPr>
        <w:tblW w:w="10825" w:type="dxa"/>
        <w:tblInd w:w="-77" w:type="dxa"/>
        <w:tblLayout w:type="fixed"/>
        <w:tblLook w:val="04A0"/>
      </w:tblPr>
      <w:tblGrid>
        <w:gridCol w:w="1512"/>
        <w:gridCol w:w="1313"/>
        <w:gridCol w:w="2825"/>
        <w:gridCol w:w="1500"/>
        <w:gridCol w:w="912"/>
        <w:gridCol w:w="338"/>
        <w:gridCol w:w="1412"/>
        <w:gridCol w:w="1013"/>
      </w:tblGrid>
      <w:tr w:rsidR="008B3FF8">
        <w:trPr>
          <w:trHeight w:hRule="exact" w:val="475"/>
        </w:trPr>
        <w:tc>
          <w:tcPr>
            <w:tcW w:w="10825" w:type="dxa"/>
            <w:gridSpan w:val="8"/>
            <w:tcBorders>
              <w:top w:val="nil"/>
              <w:left w:val="nil"/>
              <w:bottom w:val="single" w:sz="4" w:space="0" w:color="000000"/>
              <w:right w:val="nil"/>
            </w:tcBorders>
            <w:shd w:val="clear" w:color="auto" w:fill="FFFFFF"/>
            <w:noWrap/>
            <w:vAlign w:val="center"/>
          </w:tcPr>
          <w:p w:rsidR="008B3FF8" w:rsidRDefault="0071195C">
            <w:pPr>
              <w:widowControl/>
              <w:jc w:val="center"/>
              <w:textAlignment w:val="center"/>
              <w:rPr>
                <w:rFonts w:asciiTheme="minorEastAsia" w:hAnsiTheme="minorEastAsia" w:cstheme="minorEastAsia"/>
                <w:bCs/>
                <w:color w:val="000000"/>
                <w:kern w:val="0"/>
                <w:sz w:val="24"/>
                <w:szCs w:val="24"/>
              </w:rPr>
            </w:pPr>
            <w:r>
              <w:rPr>
                <w:rFonts w:asciiTheme="minorEastAsia" w:hAnsiTheme="minorEastAsia" w:cstheme="minorEastAsia" w:hint="eastAsia"/>
                <w:b/>
                <w:color w:val="000000"/>
                <w:kern w:val="0"/>
                <w:sz w:val="24"/>
                <w:szCs w:val="24"/>
              </w:rPr>
              <w:lastRenderedPageBreak/>
              <w:t>部门整体绩效目标</w:t>
            </w:r>
          </w:p>
        </w:tc>
      </w:tr>
      <w:tr w:rsidR="008B3FF8">
        <w:trPr>
          <w:trHeight w:hRule="exact" w:val="428"/>
        </w:trPr>
        <w:tc>
          <w:tcPr>
            <w:tcW w:w="282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8B3FF8" w:rsidRDefault="0071195C">
            <w:pPr>
              <w:widowControl/>
              <w:jc w:val="center"/>
              <w:textAlignment w:val="center"/>
              <w:rPr>
                <w:rFonts w:asciiTheme="minorEastAsia" w:hAnsiTheme="minorEastAsia" w:cstheme="minorEastAsia"/>
                <w:b/>
                <w:color w:val="000000"/>
                <w:kern w:val="0"/>
                <w:sz w:val="18"/>
                <w:szCs w:val="18"/>
              </w:rPr>
            </w:pPr>
            <w:r>
              <w:rPr>
                <w:rFonts w:asciiTheme="minorEastAsia" w:hAnsiTheme="minorEastAsia" w:cstheme="minorEastAsia" w:hint="eastAsia"/>
                <w:b/>
                <w:color w:val="000000"/>
                <w:kern w:val="0"/>
                <w:sz w:val="18"/>
                <w:szCs w:val="18"/>
              </w:rPr>
              <w:t>部门编码</w:t>
            </w:r>
          </w:p>
        </w:tc>
        <w:tc>
          <w:tcPr>
            <w:tcW w:w="28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b/>
                <w:color w:val="000000"/>
                <w:kern w:val="0"/>
                <w:sz w:val="18"/>
                <w:szCs w:val="18"/>
              </w:rPr>
            </w:pPr>
            <w:r>
              <w:rPr>
                <w:rFonts w:asciiTheme="minorEastAsia" w:hAnsiTheme="minorEastAsia" w:cstheme="minorEastAsia" w:hint="eastAsia"/>
                <w:bCs/>
                <w:color w:val="000000"/>
                <w:kern w:val="0"/>
                <w:sz w:val="18"/>
                <w:szCs w:val="18"/>
              </w:rPr>
              <w:t>008</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8B3FF8" w:rsidRDefault="0071195C">
            <w:pPr>
              <w:widowControl/>
              <w:jc w:val="center"/>
              <w:textAlignment w:val="center"/>
              <w:rPr>
                <w:rFonts w:asciiTheme="minorEastAsia" w:hAnsiTheme="minorEastAsia" w:cstheme="minorEastAsia"/>
                <w:b/>
                <w:color w:val="000000"/>
                <w:kern w:val="0"/>
                <w:sz w:val="18"/>
                <w:szCs w:val="18"/>
              </w:rPr>
            </w:pPr>
            <w:r>
              <w:rPr>
                <w:rFonts w:asciiTheme="minorEastAsia" w:hAnsiTheme="minorEastAsia" w:cstheme="minorEastAsia" w:hint="eastAsia"/>
                <w:b/>
                <w:color w:val="000000"/>
                <w:kern w:val="0"/>
                <w:sz w:val="18"/>
                <w:szCs w:val="18"/>
              </w:rPr>
              <w:t>部门名称</w:t>
            </w:r>
          </w:p>
        </w:tc>
        <w:tc>
          <w:tcPr>
            <w:tcW w:w="2763"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b/>
                <w:color w:val="000000"/>
                <w:kern w:val="0"/>
                <w:sz w:val="18"/>
                <w:szCs w:val="18"/>
              </w:rPr>
            </w:pPr>
            <w:r>
              <w:rPr>
                <w:rFonts w:asciiTheme="minorEastAsia" w:hAnsiTheme="minorEastAsia" w:cstheme="minorEastAsia" w:hint="eastAsia"/>
                <w:bCs/>
                <w:color w:val="000000"/>
                <w:kern w:val="0"/>
                <w:sz w:val="18"/>
                <w:szCs w:val="18"/>
              </w:rPr>
              <w:t>南昌市青云谱区人力资源和社会保障局</w:t>
            </w:r>
          </w:p>
        </w:tc>
      </w:tr>
      <w:tr w:rsidR="008B3FF8">
        <w:trPr>
          <w:trHeight w:hRule="exact" w:val="320"/>
        </w:trPr>
        <w:tc>
          <w:tcPr>
            <w:tcW w:w="1512"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Style w:val="font01"/>
                <w:rFonts w:asciiTheme="minorEastAsia" w:eastAsiaTheme="minorEastAsia" w:hAnsiTheme="minorEastAsia" w:cstheme="minorEastAsia" w:hint="default"/>
                <w:b/>
                <w:bCs/>
                <w:sz w:val="18"/>
                <w:szCs w:val="18"/>
              </w:rPr>
              <w:t>年度绩效总目标</w:t>
            </w:r>
          </w:p>
        </w:tc>
        <w:tc>
          <w:tcPr>
            <w:tcW w:w="9313"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left"/>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紧紧围绕“稳就业，聚人才，保民生，护权益，优社保”工作主线，统筹推进就业创业，人才引育，劳动维权，社会保障四大核心任务，为区域经济社会高质量发展提供坚实保障。</w:t>
            </w:r>
          </w:p>
        </w:tc>
      </w:tr>
      <w:tr w:rsidR="008B3FF8">
        <w:trPr>
          <w:trHeight w:val="340"/>
        </w:trPr>
        <w:tc>
          <w:tcPr>
            <w:tcW w:w="1512"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8B3FF8" w:rsidRDefault="008B3FF8">
            <w:pPr>
              <w:jc w:val="center"/>
              <w:rPr>
                <w:rFonts w:asciiTheme="minorEastAsia" w:hAnsiTheme="minorEastAsia" w:cstheme="minorEastAsia"/>
                <w:color w:val="000000"/>
                <w:sz w:val="18"/>
                <w:szCs w:val="18"/>
              </w:rPr>
            </w:pPr>
          </w:p>
        </w:tc>
        <w:tc>
          <w:tcPr>
            <w:tcW w:w="9313" w:type="dxa"/>
            <w:gridSpan w:val="7"/>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8B3FF8">
            <w:pPr>
              <w:jc w:val="center"/>
              <w:rPr>
                <w:rFonts w:asciiTheme="minorEastAsia" w:hAnsiTheme="minorEastAsia" w:cstheme="minorEastAsia"/>
                <w:color w:val="000000"/>
                <w:sz w:val="18"/>
                <w:szCs w:val="18"/>
              </w:rPr>
            </w:pPr>
          </w:p>
        </w:tc>
      </w:tr>
      <w:tr w:rsidR="008B3FF8">
        <w:trPr>
          <w:trHeight w:val="340"/>
        </w:trPr>
        <w:tc>
          <w:tcPr>
            <w:tcW w:w="1512"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8B3FF8" w:rsidRDefault="008B3FF8">
            <w:pPr>
              <w:jc w:val="center"/>
              <w:rPr>
                <w:rFonts w:asciiTheme="minorEastAsia" w:hAnsiTheme="minorEastAsia" w:cstheme="minorEastAsia"/>
                <w:color w:val="000000"/>
                <w:sz w:val="18"/>
                <w:szCs w:val="18"/>
              </w:rPr>
            </w:pPr>
          </w:p>
        </w:tc>
        <w:tc>
          <w:tcPr>
            <w:tcW w:w="9313" w:type="dxa"/>
            <w:gridSpan w:val="7"/>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8B3FF8">
            <w:pPr>
              <w:jc w:val="center"/>
              <w:rPr>
                <w:rFonts w:asciiTheme="minorEastAsia" w:hAnsiTheme="minorEastAsia" w:cstheme="minorEastAsia"/>
                <w:color w:val="000000"/>
                <w:sz w:val="18"/>
                <w:szCs w:val="18"/>
              </w:rPr>
            </w:pPr>
          </w:p>
        </w:tc>
      </w:tr>
      <w:tr w:rsidR="008B3FF8">
        <w:trPr>
          <w:trHeight w:val="352"/>
        </w:trPr>
        <w:tc>
          <w:tcPr>
            <w:tcW w:w="15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8B3FF8" w:rsidRDefault="0071195C">
            <w:pPr>
              <w:widowControl/>
              <w:jc w:val="center"/>
              <w:textAlignment w:val="center"/>
              <w:rPr>
                <w:rFonts w:asciiTheme="minorEastAsia" w:hAnsiTheme="minorEastAsia" w:cstheme="minorEastAsia"/>
                <w:b/>
                <w:bCs/>
                <w:color w:val="000000"/>
                <w:sz w:val="18"/>
                <w:szCs w:val="18"/>
              </w:rPr>
            </w:pPr>
            <w:r>
              <w:rPr>
                <w:rFonts w:asciiTheme="minorEastAsia" w:hAnsiTheme="minorEastAsia" w:cstheme="minorEastAsia" w:hint="eastAsia"/>
                <w:b/>
                <w:bCs/>
                <w:color w:val="000000"/>
                <w:kern w:val="0"/>
                <w:sz w:val="18"/>
                <w:szCs w:val="18"/>
              </w:rPr>
              <w:t>一级指标</w:t>
            </w:r>
          </w:p>
        </w:tc>
        <w:tc>
          <w:tcPr>
            <w:tcW w:w="13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8B3FF8" w:rsidRDefault="0071195C">
            <w:pPr>
              <w:widowControl/>
              <w:jc w:val="center"/>
              <w:textAlignment w:val="center"/>
              <w:rPr>
                <w:rFonts w:asciiTheme="minorEastAsia" w:hAnsiTheme="minorEastAsia" w:cstheme="minorEastAsia"/>
                <w:b/>
                <w:bCs/>
                <w:color w:val="000000"/>
                <w:sz w:val="18"/>
                <w:szCs w:val="18"/>
              </w:rPr>
            </w:pPr>
            <w:r>
              <w:rPr>
                <w:rFonts w:asciiTheme="minorEastAsia" w:hAnsiTheme="minorEastAsia" w:cstheme="minorEastAsia" w:hint="eastAsia"/>
                <w:b/>
                <w:bCs/>
                <w:color w:val="000000"/>
                <w:kern w:val="0"/>
                <w:sz w:val="18"/>
                <w:szCs w:val="18"/>
              </w:rPr>
              <w:t>二级指标</w:t>
            </w:r>
          </w:p>
        </w:tc>
        <w:tc>
          <w:tcPr>
            <w:tcW w:w="432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8B3FF8" w:rsidRDefault="0071195C">
            <w:pPr>
              <w:widowControl/>
              <w:jc w:val="center"/>
              <w:textAlignment w:val="center"/>
              <w:rPr>
                <w:rFonts w:asciiTheme="minorEastAsia" w:hAnsiTheme="minorEastAsia" w:cstheme="minorEastAsia"/>
                <w:b/>
                <w:bCs/>
                <w:color w:val="000000"/>
                <w:sz w:val="18"/>
                <w:szCs w:val="18"/>
              </w:rPr>
            </w:pPr>
            <w:r>
              <w:rPr>
                <w:rFonts w:asciiTheme="minorEastAsia" w:hAnsiTheme="minorEastAsia" w:cstheme="minorEastAsia" w:hint="eastAsia"/>
                <w:b/>
                <w:bCs/>
                <w:color w:val="000000"/>
                <w:kern w:val="0"/>
                <w:sz w:val="18"/>
                <w:szCs w:val="18"/>
              </w:rPr>
              <w:t>三级指标</w:t>
            </w:r>
          </w:p>
        </w:tc>
        <w:tc>
          <w:tcPr>
            <w:tcW w:w="125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8B3FF8" w:rsidRDefault="0071195C">
            <w:pPr>
              <w:widowControl/>
              <w:jc w:val="center"/>
              <w:textAlignment w:val="center"/>
              <w:rPr>
                <w:rFonts w:asciiTheme="minorEastAsia" w:hAnsiTheme="minorEastAsia" w:cstheme="minorEastAsia"/>
                <w:b/>
                <w:bCs/>
                <w:color w:val="000000"/>
                <w:sz w:val="18"/>
                <w:szCs w:val="18"/>
              </w:rPr>
            </w:pPr>
            <w:r>
              <w:rPr>
                <w:rFonts w:asciiTheme="minorEastAsia" w:hAnsiTheme="minorEastAsia" w:cstheme="minorEastAsia" w:hint="eastAsia"/>
                <w:b/>
                <w:bCs/>
                <w:color w:val="000000"/>
                <w:kern w:val="0"/>
                <w:sz w:val="18"/>
                <w:szCs w:val="18"/>
              </w:rPr>
              <w:t>计算符号</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8B3FF8" w:rsidRDefault="0071195C">
            <w:pPr>
              <w:widowControl/>
              <w:jc w:val="center"/>
              <w:textAlignment w:val="center"/>
              <w:rPr>
                <w:rFonts w:asciiTheme="minorEastAsia" w:hAnsiTheme="minorEastAsia" w:cstheme="minorEastAsia"/>
                <w:b/>
                <w:bCs/>
                <w:color w:val="000000"/>
                <w:sz w:val="18"/>
                <w:szCs w:val="18"/>
              </w:rPr>
            </w:pPr>
            <w:r>
              <w:rPr>
                <w:rFonts w:asciiTheme="minorEastAsia" w:hAnsiTheme="minorEastAsia" w:cstheme="minorEastAsia" w:hint="eastAsia"/>
                <w:b/>
                <w:bCs/>
                <w:color w:val="000000"/>
                <w:kern w:val="0"/>
                <w:sz w:val="18"/>
                <w:szCs w:val="18"/>
              </w:rPr>
              <w:t>目标值</w:t>
            </w:r>
          </w:p>
        </w:tc>
        <w:tc>
          <w:tcPr>
            <w:tcW w:w="10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8B3FF8" w:rsidRDefault="0071195C">
            <w:pPr>
              <w:widowControl/>
              <w:jc w:val="center"/>
              <w:textAlignment w:val="center"/>
              <w:rPr>
                <w:rFonts w:asciiTheme="minorEastAsia" w:hAnsiTheme="minorEastAsia" w:cstheme="minorEastAsia"/>
                <w:b/>
                <w:bCs/>
                <w:color w:val="000000"/>
                <w:sz w:val="18"/>
                <w:szCs w:val="18"/>
              </w:rPr>
            </w:pPr>
            <w:r>
              <w:rPr>
                <w:rFonts w:asciiTheme="minorEastAsia" w:hAnsiTheme="minorEastAsia" w:cstheme="minorEastAsia" w:hint="eastAsia"/>
                <w:b/>
                <w:bCs/>
                <w:color w:val="000000"/>
                <w:kern w:val="0"/>
                <w:sz w:val="18"/>
                <w:szCs w:val="18"/>
              </w:rPr>
              <w:t>度量单位</w:t>
            </w:r>
          </w:p>
        </w:tc>
      </w:tr>
      <w:tr w:rsidR="008B3FF8">
        <w:trPr>
          <w:cantSplit/>
          <w:trHeight w:val="436"/>
        </w:trPr>
        <w:tc>
          <w:tcPr>
            <w:tcW w:w="1512"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产出指标</w:t>
            </w:r>
          </w:p>
        </w:tc>
        <w:tc>
          <w:tcPr>
            <w:tcW w:w="13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数量指标</w:t>
            </w:r>
          </w:p>
        </w:tc>
        <w:tc>
          <w:tcPr>
            <w:tcW w:w="432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left"/>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全区城镇新增就业人数</w:t>
            </w:r>
          </w:p>
        </w:tc>
        <w:tc>
          <w:tcPr>
            <w:tcW w:w="125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w:t>
            </w:r>
          </w:p>
        </w:tc>
        <w:tc>
          <w:tcPr>
            <w:tcW w:w="14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5000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人</w:t>
            </w:r>
          </w:p>
        </w:tc>
      </w:tr>
      <w:tr w:rsidR="008B3FF8">
        <w:trPr>
          <w:cantSplit/>
          <w:trHeight w:val="436"/>
        </w:trPr>
        <w:tc>
          <w:tcPr>
            <w:tcW w:w="1512"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产出指标</w:t>
            </w:r>
          </w:p>
        </w:tc>
        <w:tc>
          <w:tcPr>
            <w:tcW w:w="13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质量指标</w:t>
            </w:r>
          </w:p>
        </w:tc>
        <w:tc>
          <w:tcPr>
            <w:tcW w:w="432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left"/>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就业家庭安置率</w:t>
            </w:r>
          </w:p>
        </w:tc>
        <w:tc>
          <w:tcPr>
            <w:tcW w:w="125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w:t>
            </w:r>
          </w:p>
        </w:tc>
        <w:tc>
          <w:tcPr>
            <w:tcW w:w="14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98</w:t>
            </w:r>
          </w:p>
        </w:tc>
        <w:tc>
          <w:tcPr>
            <w:tcW w:w="10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w:t>
            </w:r>
          </w:p>
        </w:tc>
      </w:tr>
      <w:tr w:rsidR="008B3FF8">
        <w:trPr>
          <w:cantSplit/>
          <w:trHeight w:val="436"/>
        </w:trPr>
        <w:tc>
          <w:tcPr>
            <w:tcW w:w="1512"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产出指标</w:t>
            </w:r>
          </w:p>
        </w:tc>
        <w:tc>
          <w:tcPr>
            <w:tcW w:w="13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时效指标</w:t>
            </w:r>
          </w:p>
        </w:tc>
        <w:tc>
          <w:tcPr>
            <w:tcW w:w="432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left"/>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发放补贴及时性</w:t>
            </w:r>
          </w:p>
        </w:tc>
        <w:tc>
          <w:tcPr>
            <w:tcW w:w="125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定性</w:t>
            </w:r>
          </w:p>
        </w:tc>
        <w:tc>
          <w:tcPr>
            <w:tcW w:w="14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及时</w:t>
            </w:r>
          </w:p>
        </w:tc>
        <w:tc>
          <w:tcPr>
            <w:tcW w:w="10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8B3FF8">
            <w:pPr>
              <w:widowControl/>
              <w:jc w:val="center"/>
              <w:textAlignment w:val="center"/>
              <w:rPr>
                <w:rFonts w:asciiTheme="minorEastAsia" w:hAnsiTheme="minorEastAsia" w:cstheme="minorEastAsia"/>
                <w:color w:val="000000"/>
                <w:sz w:val="18"/>
                <w:szCs w:val="18"/>
              </w:rPr>
            </w:pPr>
          </w:p>
        </w:tc>
      </w:tr>
      <w:tr w:rsidR="008B3FF8">
        <w:trPr>
          <w:cantSplit/>
          <w:trHeight w:val="436"/>
        </w:trPr>
        <w:tc>
          <w:tcPr>
            <w:tcW w:w="1512"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产出指标</w:t>
            </w:r>
          </w:p>
        </w:tc>
        <w:tc>
          <w:tcPr>
            <w:tcW w:w="1313"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成本指标</w:t>
            </w:r>
          </w:p>
        </w:tc>
        <w:tc>
          <w:tcPr>
            <w:tcW w:w="432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left"/>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在职人员控制率</w:t>
            </w:r>
          </w:p>
        </w:tc>
        <w:tc>
          <w:tcPr>
            <w:tcW w:w="125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w:t>
            </w:r>
          </w:p>
        </w:tc>
        <w:tc>
          <w:tcPr>
            <w:tcW w:w="14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w:t>
            </w:r>
          </w:p>
        </w:tc>
      </w:tr>
      <w:tr w:rsidR="008B3FF8">
        <w:trPr>
          <w:cantSplit/>
          <w:trHeight w:val="436"/>
        </w:trPr>
        <w:tc>
          <w:tcPr>
            <w:tcW w:w="1512"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产出指标</w:t>
            </w:r>
          </w:p>
        </w:tc>
        <w:tc>
          <w:tcPr>
            <w:tcW w:w="1313"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成本指标</w:t>
            </w:r>
          </w:p>
        </w:tc>
        <w:tc>
          <w:tcPr>
            <w:tcW w:w="432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left"/>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公用经费控制率</w:t>
            </w:r>
          </w:p>
        </w:tc>
        <w:tc>
          <w:tcPr>
            <w:tcW w:w="125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w:t>
            </w:r>
          </w:p>
        </w:tc>
        <w:tc>
          <w:tcPr>
            <w:tcW w:w="14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w:t>
            </w:r>
          </w:p>
        </w:tc>
      </w:tr>
      <w:tr w:rsidR="008B3FF8">
        <w:trPr>
          <w:cantSplit/>
          <w:trHeight w:val="436"/>
        </w:trPr>
        <w:tc>
          <w:tcPr>
            <w:tcW w:w="1512"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产出指标</w:t>
            </w:r>
          </w:p>
        </w:tc>
        <w:tc>
          <w:tcPr>
            <w:tcW w:w="1313"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成本指标</w:t>
            </w:r>
          </w:p>
        </w:tc>
        <w:tc>
          <w:tcPr>
            <w:tcW w:w="432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left"/>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三</w:t>
            </w:r>
            <w:proofErr w:type="gramStart"/>
            <w:r>
              <w:rPr>
                <w:rFonts w:asciiTheme="minorEastAsia" w:hAnsiTheme="minorEastAsia" w:cstheme="minorEastAsia" w:hint="eastAsia"/>
                <w:color w:val="000000"/>
                <w:kern w:val="0"/>
                <w:sz w:val="18"/>
                <w:szCs w:val="18"/>
              </w:rPr>
              <w:t>公经费</w:t>
            </w:r>
            <w:proofErr w:type="gramEnd"/>
            <w:r>
              <w:rPr>
                <w:rFonts w:asciiTheme="minorEastAsia" w:hAnsiTheme="minorEastAsia" w:cstheme="minorEastAsia" w:hint="eastAsia"/>
                <w:color w:val="000000"/>
                <w:kern w:val="0"/>
                <w:sz w:val="18"/>
                <w:szCs w:val="18"/>
              </w:rPr>
              <w:t>控制率</w:t>
            </w:r>
          </w:p>
        </w:tc>
        <w:tc>
          <w:tcPr>
            <w:tcW w:w="125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w:t>
            </w:r>
          </w:p>
        </w:tc>
        <w:tc>
          <w:tcPr>
            <w:tcW w:w="14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w:t>
            </w:r>
          </w:p>
        </w:tc>
      </w:tr>
      <w:tr w:rsidR="008B3FF8">
        <w:trPr>
          <w:cantSplit/>
          <w:trHeight w:val="436"/>
        </w:trPr>
        <w:tc>
          <w:tcPr>
            <w:tcW w:w="1512"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产出指标</w:t>
            </w:r>
          </w:p>
        </w:tc>
        <w:tc>
          <w:tcPr>
            <w:tcW w:w="1313"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成本指标</w:t>
            </w:r>
          </w:p>
        </w:tc>
        <w:tc>
          <w:tcPr>
            <w:tcW w:w="432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left"/>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预算支出标准执行率</w:t>
            </w:r>
          </w:p>
        </w:tc>
        <w:tc>
          <w:tcPr>
            <w:tcW w:w="125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w:t>
            </w:r>
          </w:p>
        </w:tc>
        <w:tc>
          <w:tcPr>
            <w:tcW w:w="14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w:t>
            </w:r>
          </w:p>
        </w:tc>
      </w:tr>
      <w:tr w:rsidR="008B3FF8">
        <w:trPr>
          <w:cantSplit/>
          <w:trHeight w:val="436"/>
        </w:trPr>
        <w:tc>
          <w:tcPr>
            <w:tcW w:w="1512"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效益指标</w:t>
            </w:r>
          </w:p>
        </w:tc>
        <w:tc>
          <w:tcPr>
            <w:tcW w:w="13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社会效益指标</w:t>
            </w:r>
          </w:p>
        </w:tc>
        <w:tc>
          <w:tcPr>
            <w:tcW w:w="432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left"/>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促进社会经济稳定发展</w:t>
            </w:r>
          </w:p>
        </w:tc>
        <w:tc>
          <w:tcPr>
            <w:tcW w:w="125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定性</w:t>
            </w:r>
          </w:p>
        </w:tc>
        <w:tc>
          <w:tcPr>
            <w:tcW w:w="14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促进</w:t>
            </w:r>
          </w:p>
        </w:tc>
        <w:tc>
          <w:tcPr>
            <w:tcW w:w="10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8B3FF8">
            <w:pPr>
              <w:widowControl/>
              <w:jc w:val="center"/>
              <w:textAlignment w:val="center"/>
              <w:rPr>
                <w:rFonts w:asciiTheme="minorEastAsia" w:hAnsiTheme="minorEastAsia" w:cstheme="minorEastAsia"/>
                <w:color w:val="000000"/>
                <w:sz w:val="18"/>
                <w:szCs w:val="18"/>
              </w:rPr>
            </w:pPr>
          </w:p>
        </w:tc>
      </w:tr>
      <w:tr w:rsidR="008B3FF8">
        <w:trPr>
          <w:cantSplit/>
          <w:trHeight w:val="436"/>
        </w:trPr>
        <w:tc>
          <w:tcPr>
            <w:tcW w:w="1512"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效益指标</w:t>
            </w:r>
          </w:p>
        </w:tc>
        <w:tc>
          <w:tcPr>
            <w:tcW w:w="13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可持续影响指标</w:t>
            </w:r>
          </w:p>
        </w:tc>
        <w:tc>
          <w:tcPr>
            <w:tcW w:w="432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left"/>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吸纳优秀青年人才</w:t>
            </w:r>
            <w:proofErr w:type="gramStart"/>
            <w:r>
              <w:rPr>
                <w:rFonts w:asciiTheme="minorEastAsia" w:hAnsiTheme="minorEastAsia" w:cstheme="minorEastAsia" w:hint="eastAsia"/>
                <w:color w:val="000000"/>
                <w:kern w:val="0"/>
                <w:sz w:val="18"/>
                <w:szCs w:val="18"/>
              </w:rPr>
              <w:t>留昌就业</w:t>
            </w:r>
            <w:proofErr w:type="gramEnd"/>
            <w:r>
              <w:rPr>
                <w:rFonts w:asciiTheme="minorEastAsia" w:hAnsiTheme="minorEastAsia" w:cstheme="minorEastAsia" w:hint="eastAsia"/>
                <w:color w:val="000000"/>
                <w:kern w:val="0"/>
                <w:sz w:val="18"/>
                <w:szCs w:val="18"/>
              </w:rPr>
              <w:t>创业</w:t>
            </w:r>
          </w:p>
        </w:tc>
        <w:tc>
          <w:tcPr>
            <w:tcW w:w="125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定性</w:t>
            </w:r>
          </w:p>
        </w:tc>
        <w:tc>
          <w:tcPr>
            <w:tcW w:w="14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促进</w:t>
            </w:r>
          </w:p>
        </w:tc>
        <w:tc>
          <w:tcPr>
            <w:tcW w:w="10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8B3FF8">
            <w:pPr>
              <w:widowControl/>
              <w:jc w:val="center"/>
              <w:textAlignment w:val="center"/>
              <w:rPr>
                <w:rFonts w:asciiTheme="minorEastAsia" w:hAnsiTheme="minorEastAsia" w:cstheme="minorEastAsia"/>
                <w:color w:val="000000"/>
                <w:sz w:val="18"/>
                <w:szCs w:val="18"/>
              </w:rPr>
            </w:pPr>
          </w:p>
        </w:tc>
      </w:tr>
      <w:tr w:rsidR="008B3FF8">
        <w:trPr>
          <w:cantSplit/>
          <w:trHeight w:val="436"/>
        </w:trPr>
        <w:tc>
          <w:tcPr>
            <w:tcW w:w="15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满意度指标</w:t>
            </w:r>
          </w:p>
        </w:tc>
        <w:tc>
          <w:tcPr>
            <w:tcW w:w="13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服务对象满意度指标</w:t>
            </w:r>
          </w:p>
        </w:tc>
        <w:tc>
          <w:tcPr>
            <w:tcW w:w="432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left"/>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群众满意度</w:t>
            </w:r>
          </w:p>
        </w:tc>
        <w:tc>
          <w:tcPr>
            <w:tcW w:w="125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w:t>
            </w:r>
          </w:p>
        </w:tc>
        <w:tc>
          <w:tcPr>
            <w:tcW w:w="14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80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8B3FF8" w:rsidRDefault="0071195C">
            <w:pPr>
              <w:widowControl/>
              <w:jc w:val="center"/>
              <w:textAlignment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rPr>
              <w:t>%</w:t>
            </w:r>
          </w:p>
        </w:tc>
      </w:tr>
    </w:tbl>
    <w:p w:rsidR="008B3FF8" w:rsidRDefault="008B3FF8">
      <w:pPr>
        <w:sectPr w:rsidR="008B3FF8">
          <w:pgSz w:w="11906" w:h="16838"/>
          <w:pgMar w:top="720" w:right="720" w:bottom="720" w:left="720" w:header="851" w:footer="992" w:gutter="0"/>
          <w:cols w:space="425"/>
          <w:docGrid w:type="lines" w:linePitch="312"/>
        </w:sectPr>
      </w:pPr>
    </w:p>
    <w:p w:rsidR="008B3FF8" w:rsidRDefault="0071195C">
      <w:pPr>
        <w:pStyle w:val="a"/>
        <w:numPr>
          <w:ilvl w:val="0"/>
          <w:numId w:val="0"/>
        </w:numPr>
        <w:ind w:leftChars="200" w:left="420"/>
        <w:jc w:val="center"/>
      </w:pPr>
      <w:r>
        <w:rPr>
          <w:rFonts w:hint="eastAsia"/>
        </w:rPr>
        <w:lastRenderedPageBreak/>
        <w:t>第三部分  南昌市青云谱区人力资源和社会保障局2026年部门预算情况说明</w:t>
      </w:r>
    </w:p>
    <w:p w:rsidR="008B3FF8" w:rsidRDefault="008B3FF8">
      <w:pPr>
        <w:widowControl/>
        <w:spacing w:line="580" w:lineRule="exact"/>
        <w:jc w:val="center"/>
        <w:rPr>
          <w:rFonts w:ascii="仿宋_GB2312" w:eastAsia="仿宋_GB2312"/>
          <w:b/>
          <w:sz w:val="32"/>
          <w:szCs w:val="30"/>
        </w:rPr>
      </w:pPr>
    </w:p>
    <w:p w:rsidR="008B3FF8" w:rsidRDefault="0071195C">
      <w:pPr>
        <w:pStyle w:val="a"/>
        <w:numPr>
          <w:ilvl w:val="0"/>
          <w:numId w:val="0"/>
        </w:numPr>
        <w:ind w:leftChars="200" w:left="420" w:firstLineChars="100" w:firstLine="320"/>
        <w:rPr>
          <w:rFonts w:ascii="楷体_GB2312" w:eastAsia="楷体_GB2312"/>
          <w:b/>
          <w:szCs w:val="30"/>
        </w:rPr>
      </w:pPr>
      <w:r>
        <w:rPr>
          <w:rFonts w:ascii="楷体_GB2312" w:eastAsia="楷体_GB2312" w:hint="eastAsia"/>
          <w:b/>
          <w:szCs w:val="30"/>
        </w:rPr>
        <w:t>一、2026年部门预算收支情况说明</w:t>
      </w:r>
    </w:p>
    <w:p w:rsidR="008B3FF8" w:rsidRDefault="0071195C">
      <w:pPr>
        <w:pStyle w:val="a0"/>
        <w:numPr>
          <w:ilvl w:val="0"/>
          <w:numId w:val="0"/>
        </w:numPr>
        <w:ind w:leftChars="200" w:left="420"/>
      </w:pPr>
      <w:r>
        <w:rPr>
          <w:rFonts w:hint="eastAsia"/>
        </w:rPr>
        <w:t xml:space="preserve"> (</w:t>
      </w:r>
      <w:proofErr w:type="gramStart"/>
      <w:r>
        <w:rPr>
          <w:rFonts w:hint="eastAsia"/>
        </w:rPr>
        <w:t>一</w:t>
      </w:r>
      <w:proofErr w:type="gramEnd"/>
      <w:r>
        <w:rPr>
          <w:rFonts w:hint="eastAsia"/>
        </w:rPr>
        <w:t>)收入预算情况</w:t>
      </w:r>
    </w:p>
    <w:p w:rsidR="008B3FF8" w:rsidRDefault="0071195C" w:rsidP="008B3FF8">
      <w:pPr>
        <w:pStyle w:val="a9"/>
        <w:ind w:firstLine="640"/>
      </w:pPr>
      <w:r>
        <w:rPr>
          <w:rFonts w:hint="eastAsia"/>
        </w:rPr>
        <w:t>2026年南昌市青云谱区人力资源和社会保障</w:t>
      </w:r>
      <w:proofErr w:type="gramStart"/>
      <w:r>
        <w:rPr>
          <w:rFonts w:hint="eastAsia"/>
        </w:rPr>
        <w:t>局收入</w:t>
      </w:r>
      <w:proofErr w:type="gramEnd"/>
      <w:r>
        <w:rPr>
          <w:rFonts w:hint="eastAsia"/>
        </w:rPr>
        <w:t>预算总额为5445.68万元，较上年预算安排</w:t>
      </w:r>
      <w:r w:rsidR="00463FDC">
        <w:rPr>
          <w:rFonts w:hint="eastAsia"/>
        </w:rPr>
        <w:t>增加2260.47</w:t>
      </w:r>
      <w:r>
        <w:rPr>
          <w:rFonts w:hint="eastAsia"/>
        </w:rPr>
        <w:t>万元；本年收入合计4235.82</w:t>
      </w:r>
      <w:r w:rsidR="00463FDC">
        <w:rPr>
          <w:rFonts w:hint="eastAsia"/>
        </w:rPr>
        <w:t>万元，较上年预算安排增加1050.61</w:t>
      </w:r>
      <w:r>
        <w:rPr>
          <w:rFonts w:hint="eastAsia"/>
        </w:rPr>
        <w:t>万元；包括：财政拨款收入3970.82万元，较上年预算安排增加</w:t>
      </w:r>
      <w:r w:rsidR="00463FDC">
        <w:rPr>
          <w:rFonts w:hint="eastAsia"/>
        </w:rPr>
        <w:t>1925.61</w:t>
      </w:r>
      <w:r>
        <w:rPr>
          <w:rFonts w:hint="eastAsia"/>
        </w:rPr>
        <w:t>万元；其他收入265.00万元，较上年预算安排</w:t>
      </w:r>
      <w:r w:rsidR="00463FDC">
        <w:rPr>
          <w:rFonts w:hint="eastAsia"/>
        </w:rPr>
        <w:t>减少875</w:t>
      </w:r>
      <w:r>
        <w:rPr>
          <w:rFonts w:hint="eastAsia"/>
        </w:rPr>
        <w:t>万元。上年结转1209.85万元，较上年预算安排增加</w:t>
      </w:r>
      <w:r w:rsidR="00463FDC">
        <w:rPr>
          <w:rFonts w:hint="eastAsia"/>
        </w:rPr>
        <w:t>1209.85万元。</w:t>
      </w:r>
    </w:p>
    <w:p w:rsidR="008B3FF8" w:rsidRDefault="0071195C">
      <w:pPr>
        <w:pStyle w:val="a0"/>
        <w:numPr>
          <w:ilvl w:val="0"/>
          <w:numId w:val="0"/>
        </w:numPr>
        <w:ind w:leftChars="200" w:left="420"/>
      </w:pPr>
      <w:r>
        <w:rPr>
          <w:rFonts w:hint="eastAsia"/>
        </w:rPr>
        <w:t xml:space="preserve"> (二)支出预算情况</w:t>
      </w:r>
    </w:p>
    <w:p w:rsidR="008B3FF8" w:rsidRDefault="0071195C" w:rsidP="008B3FF8">
      <w:pPr>
        <w:pStyle w:val="a9"/>
        <w:ind w:firstLine="640"/>
      </w:pPr>
      <w:r>
        <w:rPr>
          <w:rFonts w:hint="eastAsia"/>
        </w:rPr>
        <w:t>2026年南昌市青云谱区人力资源和社会保障局支出预算总额为5445.68万元，较上年预算安排增加</w:t>
      </w:r>
      <w:r w:rsidR="00463FDC">
        <w:rPr>
          <w:rFonts w:hint="eastAsia"/>
        </w:rPr>
        <w:t>2260.47</w:t>
      </w:r>
      <w:r>
        <w:rPr>
          <w:rFonts w:hint="eastAsia"/>
        </w:rPr>
        <w:t xml:space="preserve">万元。 </w:t>
      </w:r>
    </w:p>
    <w:p w:rsidR="008B3FF8" w:rsidRDefault="0071195C" w:rsidP="008B3FF8">
      <w:pPr>
        <w:pStyle w:val="a9"/>
        <w:ind w:firstLine="640"/>
      </w:pPr>
      <w:r>
        <w:rPr>
          <w:rFonts w:hint="eastAsia"/>
        </w:rPr>
        <w:t>按支出项目类别划分：基本支出1699.89</w:t>
      </w:r>
      <w:r w:rsidR="00072406">
        <w:rPr>
          <w:rFonts w:hint="eastAsia"/>
        </w:rPr>
        <w:t>万元，较上年预算安排减少644.32</w:t>
      </w:r>
      <w:r>
        <w:rPr>
          <w:rFonts w:hint="eastAsia"/>
        </w:rPr>
        <w:t>万元；项目支出3745.78万元，较上年预算安排增加</w:t>
      </w:r>
      <w:r w:rsidR="00072406">
        <w:rPr>
          <w:rFonts w:hint="eastAsia"/>
        </w:rPr>
        <w:t>2904.78</w:t>
      </w:r>
      <w:r>
        <w:rPr>
          <w:rFonts w:hint="eastAsia"/>
        </w:rPr>
        <w:t>万元。</w:t>
      </w:r>
    </w:p>
    <w:p w:rsidR="008B3FF8" w:rsidRDefault="0071195C" w:rsidP="008B3FF8">
      <w:pPr>
        <w:pStyle w:val="a9"/>
        <w:ind w:firstLine="640"/>
      </w:pPr>
      <w:r>
        <w:rPr>
          <w:rFonts w:hint="eastAsia"/>
        </w:rPr>
        <w:t>按支出功能科目划分：社会保障和就业支出4987.08万元，较上年预算安排增加</w:t>
      </w:r>
      <w:r w:rsidR="00023DEA">
        <w:rPr>
          <w:rFonts w:hint="eastAsia"/>
        </w:rPr>
        <w:t>2001.3</w:t>
      </w:r>
      <w:r>
        <w:rPr>
          <w:rFonts w:hint="eastAsia"/>
        </w:rPr>
        <w:t>万元；农林水支出353.45万元，较上年预算安排增加</w:t>
      </w:r>
      <w:r w:rsidR="00023DEA">
        <w:rPr>
          <w:rFonts w:hint="eastAsia"/>
        </w:rPr>
        <w:t>203.45</w:t>
      </w:r>
      <w:r>
        <w:rPr>
          <w:rFonts w:hint="eastAsia"/>
        </w:rPr>
        <w:t>万元；住房保障支出105.14万元，</w:t>
      </w:r>
      <w:r>
        <w:rPr>
          <w:rFonts w:hint="eastAsia"/>
        </w:rPr>
        <w:lastRenderedPageBreak/>
        <w:t>较上年预算安排增加</w:t>
      </w:r>
      <w:r w:rsidR="00023DEA">
        <w:rPr>
          <w:rFonts w:hint="eastAsia"/>
        </w:rPr>
        <w:t>55.71</w:t>
      </w:r>
      <w:r>
        <w:rPr>
          <w:rFonts w:hint="eastAsia"/>
        </w:rPr>
        <w:t>万元。</w:t>
      </w:r>
    </w:p>
    <w:p w:rsidR="008B3FF8" w:rsidRDefault="0071195C" w:rsidP="008B3FF8">
      <w:pPr>
        <w:pStyle w:val="a9"/>
        <w:ind w:firstLine="640"/>
      </w:pPr>
      <w:r>
        <w:rPr>
          <w:rFonts w:hint="eastAsia"/>
        </w:rPr>
        <w:t>按支出经济分类划分：工资福利支出1240.80万元，；商品和服务支出3110.83万元，；对个人和家庭的补助1087.33万元，；资本性支出5.38万元，；对企业补助1.33万元。</w:t>
      </w:r>
    </w:p>
    <w:p w:rsidR="008B3FF8" w:rsidRDefault="0071195C">
      <w:pPr>
        <w:pStyle w:val="a0"/>
        <w:numPr>
          <w:ilvl w:val="0"/>
          <w:numId w:val="0"/>
        </w:numPr>
        <w:ind w:leftChars="200" w:left="420"/>
      </w:pPr>
      <w:r>
        <w:rPr>
          <w:rFonts w:hint="eastAsia"/>
        </w:rPr>
        <w:t xml:space="preserve"> (三)财政拨款支出情况</w:t>
      </w:r>
    </w:p>
    <w:p w:rsidR="008B3FF8" w:rsidRDefault="0071195C" w:rsidP="008B3FF8">
      <w:pPr>
        <w:pStyle w:val="a9"/>
        <w:ind w:firstLine="640"/>
      </w:pPr>
      <w:r>
        <w:rPr>
          <w:rFonts w:hint="eastAsia"/>
        </w:rPr>
        <w:t>2026年南昌市青云谱区人力资源和社会保障局财政拨款支出预算总额5180.68万元,较上年预算安排增加（减少）______万元。</w:t>
      </w:r>
    </w:p>
    <w:p w:rsidR="008B3FF8" w:rsidRDefault="0071195C" w:rsidP="008B3FF8">
      <w:pPr>
        <w:pStyle w:val="a9"/>
        <w:ind w:firstLine="640"/>
      </w:pPr>
      <w:r>
        <w:rPr>
          <w:rFonts w:hint="eastAsia"/>
        </w:rPr>
        <w:t>按支出功能科目划分：社会保障和就业支出4722.08万元，农林水支出353.45万元，住房保障支出105.14万元。</w:t>
      </w:r>
    </w:p>
    <w:p w:rsidR="008B3FF8" w:rsidRDefault="0071195C" w:rsidP="008B3FF8">
      <w:pPr>
        <w:pStyle w:val="a9"/>
        <w:ind w:firstLine="640"/>
      </w:pPr>
      <w:r>
        <w:rPr>
          <w:rFonts w:hint="eastAsia"/>
        </w:rPr>
        <w:t>按支出项目类别划分：基本支出1434.89万元,项目支出3745.78万元。</w:t>
      </w:r>
    </w:p>
    <w:p w:rsidR="008B3FF8" w:rsidRDefault="0071195C" w:rsidP="008B3FF8">
      <w:pPr>
        <w:pStyle w:val="a9"/>
        <w:ind w:firstLine="640"/>
      </w:pPr>
      <w:r>
        <w:rPr>
          <w:rFonts w:hint="eastAsia"/>
        </w:rPr>
        <w:t>按支出经济分类划分：工资福利支出1240.80万元，商品和服务支出2845.83万元（其中委托业务费36.60万元），对个人和家庭的补助1087.33万元，资本性支出5.38万元，对企业补助1.33万元。</w:t>
      </w:r>
    </w:p>
    <w:p w:rsidR="008B3FF8" w:rsidRDefault="0071195C">
      <w:pPr>
        <w:pStyle w:val="a0"/>
        <w:numPr>
          <w:ilvl w:val="0"/>
          <w:numId w:val="0"/>
        </w:numPr>
        <w:ind w:firstLineChars="200" w:firstLine="640"/>
      </w:pPr>
      <w:r>
        <w:rPr>
          <w:rFonts w:hint="eastAsia"/>
        </w:rPr>
        <w:t>(四)政府性基金情况</w:t>
      </w:r>
    </w:p>
    <w:p w:rsidR="008B3FF8" w:rsidRDefault="0071195C" w:rsidP="008B3FF8">
      <w:pPr>
        <w:pStyle w:val="a9"/>
        <w:ind w:firstLine="640"/>
      </w:pPr>
      <w:r>
        <w:rPr>
          <w:rFonts w:hint="eastAsia"/>
        </w:rPr>
        <w:t>2026年南昌市青云谱区人力资源和社会保障局政府性基金支出预算总额万元,较上年预算安排增加（减少）</w:t>
      </w:r>
      <w:r w:rsidR="00B66D29">
        <w:rPr>
          <w:rFonts w:hint="eastAsia"/>
        </w:rPr>
        <w:t>0</w:t>
      </w:r>
      <w:r>
        <w:rPr>
          <w:rFonts w:hint="eastAsia"/>
        </w:rPr>
        <w:t>万元。</w:t>
      </w:r>
    </w:p>
    <w:p w:rsidR="008B3FF8" w:rsidRDefault="00B66D29" w:rsidP="008B3FF8">
      <w:pPr>
        <w:pStyle w:val="a9"/>
        <w:ind w:firstLine="640"/>
      </w:pPr>
      <w:r>
        <w:rPr>
          <w:rFonts w:hint="eastAsia"/>
        </w:rPr>
        <w:t xml:space="preserve"> </w:t>
      </w:r>
      <w:r w:rsidR="0071195C">
        <w:rPr>
          <w:rFonts w:hint="eastAsia"/>
        </w:rPr>
        <w:t>(如无，则说明“本部门没有使用政府性基金预算拨款安排的支出”)</w:t>
      </w:r>
    </w:p>
    <w:p w:rsidR="008B3FF8" w:rsidRDefault="0071195C">
      <w:pPr>
        <w:pStyle w:val="a0"/>
        <w:numPr>
          <w:ilvl w:val="0"/>
          <w:numId w:val="0"/>
        </w:numPr>
        <w:ind w:firstLineChars="200" w:firstLine="640"/>
      </w:pPr>
      <w:r>
        <w:rPr>
          <w:rFonts w:hint="eastAsia"/>
        </w:rPr>
        <w:lastRenderedPageBreak/>
        <w:t>(五)国有资本经营情况</w:t>
      </w:r>
    </w:p>
    <w:p w:rsidR="008B3FF8" w:rsidRDefault="0071195C" w:rsidP="008B3FF8">
      <w:pPr>
        <w:pStyle w:val="a9"/>
        <w:ind w:firstLine="640"/>
      </w:pPr>
      <w:r>
        <w:rPr>
          <w:rFonts w:hint="eastAsia"/>
        </w:rPr>
        <w:t>2026年南昌市青云谱区人力资源和社会保障</w:t>
      </w:r>
      <w:proofErr w:type="gramStart"/>
      <w:r>
        <w:rPr>
          <w:rFonts w:hint="eastAsia"/>
        </w:rPr>
        <w:t>局国有</w:t>
      </w:r>
      <w:proofErr w:type="gramEnd"/>
      <w:r>
        <w:rPr>
          <w:rFonts w:hint="eastAsia"/>
        </w:rPr>
        <w:t>资本经营支出预算总额为</w:t>
      </w:r>
      <w:r w:rsidR="0050648C">
        <w:rPr>
          <w:rFonts w:hint="eastAsia"/>
        </w:rPr>
        <w:t>0</w:t>
      </w:r>
      <w:r>
        <w:rPr>
          <w:rFonts w:hint="eastAsia"/>
        </w:rPr>
        <w:t>万元,较上年预算安排增加（减少）</w:t>
      </w:r>
      <w:r w:rsidR="0050648C">
        <w:rPr>
          <w:rFonts w:hint="eastAsia"/>
        </w:rPr>
        <w:t>0</w:t>
      </w:r>
      <w:r>
        <w:rPr>
          <w:rFonts w:hint="eastAsia"/>
        </w:rPr>
        <w:t>万元。</w:t>
      </w:r>
    </w:p>
    <w:p w:rsidR="008B3FF8" w:rsidRDefault="0050648C" w:rsidP="008B3FF8">
      <w:pPr>
        <w:pStyle w:val="a9"/>
        <w:ind w:firstLine="640"/>
      </w:pPr>
      <w:r>
        <w:rPr>
          <w:rFonts w:hint="eastAsia"/>
        </w:rPr>
        <w:t xml:space="preserve"> </w:t>
      </w:r>
      <w:r w:rsidR="0071195C">
        <w:rPr>
          <w:rFonts w:hint="eastAsia"/>
        </w:rPr>
        <w:t>(如无，则说明“本部门没有使用国有资本经营预算拨款安排的支出”)</w:t>
      </w:r>
    </w:p>
    <w:p w:rsidR="008B3FF8" w:rsidRDefault="0071195C">
      <w:pPr>
        <w:pStyle w:val="a0"/>
        <w:numPr>
          <w:ilvl w:val="0"/>
          <w:numId w:val="0"/>
        </w:numPr>
        <w:ind w:firstLineChars="200" w:firstLine="640"/>
      </w:pPr>
      <w:r>
        <w:rPr>
          <w:rFonts w:hint="eastAsia"/>
        </w:rPr>
        <w:t>(六)机关运行经费等重要事项的说明</w:t>
      </w:r>
    </w:p>
    <w:p w:rsidR="008B3FF8" w:rsidRDefault="0071195C" w:rsidP="008B3FF8">
      <w:pPr>
        <w:pStyle w:val="a9"/>
        <w:ind w:firstLine="640"/>
      </w:pPr>
      <w:r>
        <w:rPr>
          <w:rFonts w:hint="eastAsia"/>
        </w:rPr>
        <w:t>2026年部门机关运行费预算</w:t>
      </w:r>
      <w:r w:rsidR="0050648C">
        <w:rPr>
          <w:rFonts w:hint="eastAsia"/>
        </w:rPr>
        <w:t>75.25</w:t>
      </w:r>
      <w:r>
        <w:rPr>
          <w:rFonts w:hint="eastAsia"/>
        </w:rPr>
        <w:t>万元，比2025年预算增减少</w:t>
      </w:r>
      <w:r w:rsidR="0050648C">
        <w:rPr>
          <w:rFonts w:hint="eastAsia"/>
        </w:rPr>
        <w:t>45.75</w:t>
      </w:r>
      <w:r>
        <w:rPr>
          <w:rFonts w:hint="eastAsia"/>
        </w:rPr>
        <w:t>万元，</w:t>
      </w:r>
      <w:r w:rsidR="0050648C">
        <w:rPr>
          <w:rFonts w:hint="eastAsia"/>
        </w:rPr>
        <w:t>下降37.81</w:t>
      </w:r>
      <w:r>
        <w:rPr>
          <w:rFonts w:hint="eastAsia"/>
        </w:rPr>
        <w:t>%。</w:t>
      </w:r>
    </w:p>
    <w:p w:rsidR="008B3FF8" w:rsidRDefault="0071195C" w:rsidP="008B3FF8">
      <w:pPr>
        <w:pStyle w:val="a9"/>
        <w:ind w:firstLine="640"/>
      </w:pPr>
      <w:r>
        <w:rPr>
          <w:rFonts w:hint="eastAsia"/>
        </w:rPr>
        <w:t>（如无，则说明“本部门无行政参公单位，无机关运行经费”）</w:t>
      </w:r>
    </w:p>
    <w:p w:rsidR="008B3FF8" w:rsidRDefault="008B3FF8">
      <w:pPr>
        <w:widowControl/>
        <w:spacing w:line="580" w:lineRule="exact"/>
        <w:ind w:firstLine="636"/>
        <w:jc w:val="left"/>
        <w:rPr>
          <w:rFonts w:ascii="Adobe 仿宋 Std R" w:eastAsia="Adobe 仿宋 Std R" w:hAnsi="Adobe 仿宋 Std R"/>
          <w:sz w:val="32"/>
          <w:szCs w:val="32"/>
        </w:rPr>
      </w:pPr>
    </w:p>
    <w:p w:rsidR="008B3FF8" w:rsidRDefault="0071195C">
      <w:pPr>
        <w:pStyle w:val="a0"/>
        <w:numPr>
          <w:ilvl w:val="0"/>
          <w:numId w:val="0"/>
        </w:numPr>
        <w:ind w:firstLineChars="200" w:firstLine="640"/>
      </w:pPr>
      <w:r>
        <w:rPr>
          <w:rFonts w:hint="eastAsia"/>
        </w:rPr>
        <w:t>(七)政府采购情况</w:t>
      </w:r>
    </w:p>
    <w:p w:rsidR="008B3FF8" w:rsidRDefault="0071195C" w:rsidP="008B3FF8">
      <w:pPr>
        <w:pStyle w:val="a9"/>
        <w:ind w:firstLine="640"/>
      </w:pPr>
      <w:r>
        <w:rPr>
          <w:rFonts w:hint="eastAsia"/>
        </w:rPr>
        <w:t>2026年部门所属各单位政府采购总额 636.15 万元,其中: 政府采购货物预算  9.67 万元, 政府采购工程预算 0.00 万元, 政府采购服务预算 626.48 万元。</w:t>
      </w:r>
    </w:p>
    <w:p w:rsidR="008B3FF8" w:rsidRDefault="0071195C">
      <w:pPr>
        <w:pStyle w:val="a9"/>
        <w:ind w:firstLine="640"/>
      </w:pPr>
      <w:r>
        <w:rPr>
          <w:rFonts w:hint="eastAsia"/>
        </w:rPr>
        <w:t>(为“0”的内容也应保留，如“政府采购工程预算0万元”)</w:t>
      </w:r>
    </w:p>
    <w:p w:rsidR="008B3FF8" w:rsidRDefault="008B3FF8" w:rsidP="008B3FF8">
      <w:pPr>
        <w:pStyle w:val="a9"/>
        <w:ind w:firstLine="640"/>
      </w:pPr>
    </w:p>
    <w:p w:rsidR="008B3FF8" w:rsidRDefault="0071195C">
      <w:pPr>
        <w:pStyle w:val="a0"/>
        <w:numPr>
          <w:ilvl w:val="0"/>
          <w:numId w:val="0"/>
        </w:numPr>
        <w:ind w:firstLineChars="200" w:firstLine="640"/>
      </w:pPr>
      <w:r>
        <w:rPr>
          <w:rFonts w:hint="eastAsia"/>
        </w:rPr>
        <w:t>(八)国有资产占有使用情况</w:t>
      </w:r>
    </w:p>
    <w:p w:rsidR="008B3FF8" w:rsidRDefault="0071195C" w:rsidP="008B3FF8">
      <w:pPr>
        <w:pStyle w:val="a9"/>
        <w:ind w:firstLine="640"/>
      </w:pPr>
      <w:r>
        <w:rPr>
          <w:rFonts w:hint="eastAsia"/>
        </w:rPr>
        <w:t>截至2025年7月31日, 部门共有车辆</w:t>
      </w:r>
      <w:r w:rsidR="0050648C">
        <w:rPr>
          <w:rFonts w:hint="eastAsia"/>
        </w:rPr>
        <w:t xml:space="preserve"> 1</w:t>
      </w:r>
      <w:r>
        <w:rPr>
          <w:rFonts w:hint="eastAsia"/>
        </w:rPr>
        <w:t xml:space="preserve"> 辆,其中：一般公务用车实有数</w:t>
      </w:r>
      <w:r w:rsidR="0050648C">
        <w:rPr>
          <w:rFonts w:hint="eastAsia"/>
        </w:rPr>
        <w:t xml:space="preserve"> </w:t>
      </w:r>
      <w:r w:rsidR="008347B8">
        <w:rPr>
          <w:rFonts w:hint="eastAsia"/>
        </w:rPr>
        <w:t>1</w:t>
      </w:r>
      <w:r>
        <w:rPr>
          <w:rFonts w:hint="eastAsia"/>
        </w:rPr>
        <w:t xml:space="preserve"> 辆。</w:t>
      </w:r>
    </w:p>
    <w:p w:rsidR="008B3FF8" w:rsidRDefault="0071195C" w:rsidP="008B3FF8">
      <w:pPr>
        <w:pStyle w:val="a9"/>
        <w:ind w:firstLine="640"/>
      </w:pPr>
      <w:r>
        <w:rPr>
          <w:rFonts w:hint="eastAsia"/>
        </w:rPr>
        <w:t>2026年部门预算安排购置车辆</w:t>
      </w:r>
      <w:r w:rsidR="0050648C">
        <w:rPr>
          <w:rFonts w:hint="eastAsia"/>
        </w:rPr>
        <w:t>0</w:t>
      </w:r>
      <w:r>
        <w:rPr>
          <w:rFonts w:hint="eastAsia"/>
        </w:rPr>
        <w:t>，安排购置单位价值200</w:t>
      </w:r>
      <w:r w:rsidR="0050648C">
        <w:rPr>
          <w:rFonts w:hint="eastAsia"/>
        </w:rPr>
        <w:lastRenderedPageBreak/>
        <w:t>万元以上大型设备具体为0</w:t>
      </w:r>
      <w:r>
        <w:rPr>
          <w:rFonts w:hint="eastAsia"/>
        </w:rPr>
        <w:t>。</w:t>
      </w:r>
    </w:p>
    <w:p w:rsidR="008B3FF8" w:rsidRDefault="0071195C" w:rsidP="008B3FF8">
      <w:pPr>
        <w:pStyle w:val="a9"/>
        <w:ind w:firstLine="640"/>
      </w:pPr>
      <w:r>
        <w:rPr>
          <w:rFonts w:hint="eastAsia"/>
        </w:rPr>
        <w:t>（为“0”的内容也应保留，如“部门共有车辆0辆”）</w:t>
      </w:r>
    </w:p>
    <w:p w:rsidR="001C5212" w:rsidRDefault="001C5212" w:rsidP="001C5212">
      <w:pPr>
        <w:pStyle w:val="a0"/>
        <w:numPr>
          <w:ilvl w:val="0"/>
          <w:numId w:val="0"/>
        </w:numPr>
        <w:ind w:firstLineChars="200" w:firstLine="640"/>
      </w:pPr>
      <w:r>
        <w:rPr>
          <w:rFonts w:hint="eastAsia"/>
        </w:rPr>
        <w:t>(九)区级配套就业资金项目情况说明</w:t>
      </w:r>
    </w:p>
    <w:p w:rsidR="001C5212" w:rsidRDefault="001C5212" w:rsidP="001C5212">
      <w:pPr>
        <w:pStyle w:val="a9"/>
        <w:ind w:firstLine="640"/>
      </w:pPr>
      <w:r w:rsidRPr="003213AC">
        <w:rPr>
          <w:rFonts w:ascii="Adobe 仿宋 Std R" w:eastAsia="Adobe 仿宋 Std R" w:hAnsi="Adobe 仿宋 Std R" w:hint="eastAsia"/>
        </w:rPr>
        <w:t xml:space="preserve">  </w:t>
      </w:r>
      <w:r w:rsidRPr="003213AC">
        <w:rPr>
          <w:rFonts w:hint="eastAsia"/>
        </w:rPr>
        <w:t xml:space="preserve"> 1）项目概述</w:t>
      </w:r>
    </w:p>
    <w:p w:rsidR="001C5212" w:rsidRDefault="001C5212" w:rsidP="001C5212">
      <w:pPr>
        <w:pStyle w:val="a9"/>
        <w:ind w:firstLine="640"/>
      </w:pPr>
      <w:r w:rsidRPr="00BD50A7">
        <w:rPr>
          <w:rFonts w:hint="eastAsia"/>
        </w:rPr>
        <w:t>根据2008年1月1日起实施的《就业促进法》有关规定，</w:t>
      </w:r>
      <w:proofErr w:type="gramStart"/>
      <w:r w:rsidRPr="00BD50A7">
        <w:rPr>
          <w:rFonts w:hint="eastAsia"/>
        </w:rPr>
        <w:t>赣财社【2019】</w:t>
      </w:r>
      <w:proofErr w:type="gramEnd"/>
      <w:r w:rsidRPr="00BD50A7">
        <w:rPr>
          <w:rFonts w:hint="eastAsia"/>
        </w:rPr>
        <w:t>1号，县级以上人民政府应当把扩大就业作为重要职责，统筹协调产业政策与就业政策。国家实行有利于促进就业的财政政策，加大资金投入，改善就业环境，扩大就业。县级以上人民政府应当根据就业状况和就业工作目标，在财政预算中安排就业专项资金用于促进就业工作。就业专项资金用于见习、职业培训、公益性岗位、职业技能鉴定、特定就业政策和社会保险等的补贴。</w:t>
      </w:r>
    </w:p>
    <w:p w:rsidR="001C5212" w:rsidRDefault="001C5212" w:rsidP="001C5212">
      <w:pPr>
        <w:pStyle w:val="a9"/>
        <w:ind w:firstLine="640"/>
      </w:pPr>
      <w:r w:rsidRPr="003213AC">
        <w:rPr>
          <w:rFonts w:hint="eastAsia"/>
        </w:rPr>
        <w:t xml:space="preserve">   2）立项依据</w:t>
      </w:r>
    </w:p>
    <w:p w:rsidR="001C5212" w:rsidRDefault="001C5212" w:rsidP="001C5212">
      <w:pPr>
        <w:pStyle w:val="a9"/>
        <w:ind w:firstLine="640"/>
      </w:pPr>
      <w:r w:rsidRPr="00BD50A7">
        <w:rPr>
          <w:rFonts w:hint="eastAsia"/>
        </w:rPr>
        <w:t>根据2008年1月1日起实施的《就业促进法》有关规定，</w:t>
      </w:r>
      <w:proofErr w:type="gramStart"/>
      <w:r w:rsidRPr="00BD50A7">
        <w:rPr>
          <w:rFonts w:hint="eastAsia"/>
        </w:rPr>
        <w:t>赣财社【2019】</w:t>
      </w:r>
      <w:proofErr w:type="gramEnd"/>
      <w:r w:rsidRPr="00BD50A7">
        <w:rPr>
          <w:rFonts w:hint="eastAsia"/>
        </w:rPr>
        <w:t>1号</w:t>
      </w:r>
    </w:p>
    <w:p w:rsidR="001C5212" w:rsidRDefault="001C5212" w:rsidP="001C5212">
      <w:pPr>
        <w:pStyle w:val="a9"/>
        <w:ind w:firstLine="640"/>
      </w:pPr>
      <w:r w:rsidRPr="003213AC">
        <w:rPr>
          <w:rFonts w:hint="eastAsia"/>
        </w:rPr>
        <w:t xml:space="preserve">   3）实施主体</w:t>
      </w:r>
    </w:p>
    <w:p w:rsidR="001C5212" w:rsidRPr="003213AC" w:rsidRDefault="001C5212" w:rsidP="001C5212">
      <w:pPr>
        <w:pStyle w:val="a9"/>
        <w:ind w:firstLine="640"/>
      </w:pPr>
      <w:r>
        <w:rPr>
          <w:rFonts w:hint="eastAsia"/>
        </w:rPr>
        <w:t>南昌市青云谱区人力资源和社会保障局本级</w:t>
      </w:r>
    </w:p>
    <w:p w:rsidR="001C5212" w:rsidRDefault="001C5212" w:rsidP="001C5212">
      <w:pPr>
        <w:pStyle w:val="a9"/>
        <w:ind w:firstLine="640"/>
      </w:pPr>
      <w:r w:rsidRPr="003213AC">
        <w:rPr>
          <w:rFonts w:hint="eastAsia"/>
        </w:rPr>
        <w:t xml:space="preserve">   4）实施方案</w:t>
      </w:r>
    </w:p>
    <w:p w:rsidR="001C5212" w:rsidRPr="003213AC" w:rsidRDefault="001C5212" w:rsidP="001C5212">
      <w:pPr>
        <w:pStyle w:val="a9"/>
        <w:ind w:firstLine="600"/>
      </w:pPr>
      <w:r>
        <w:rPr>
          <w:rFonts w:cs="仿宋_GB2312" w:hint="eastAsia"/>
          <w:sz w:val="30"/>
          <w:szCs w:val="30"/>
        </w:rPr>
        <w:t>2026年</w:t>
      </w:r>
      <w:proofErr w:type="gramStart"/>
      <w:r>
        <w:rPr>
          <w:rFonts w:cs="仿宋_GB2312" w:hint="eastAsia"/>
          <w:sz w:val="30"/>
          <w:szCs w:val="30"/>
        </w:rPr>
        <w:t>我部门</w:t>
      </w:r>
      <w:proofErr w:type="gramEnd"/>
      <w:r>
        <w:rPr>
          <w:rFonts w:cs="仿宋_GB2312" w:hint="eastAsia"/>
          <w:sz w:val="30"/>
          <w:szCs w:val="30"/>
        </w:rPr>
        <w:t>及时按补贴标准，对符合政策规定的人员和企业进行就业创业补贴，</w:t>
      </w:r>
      <w:proofErr w:type="gramStart"/>
      <w:r>
        <w:rPr>
          <w:rFonts w:cs="仿宋_GB2312" w:hint="eastAsia"/>
          <w:sz w:val="30"/>
          <w:szCs w:val="30"/>
        </w:rPr>
        <w:t>实就业</w:t>
      </w:r>
      <w:proofErr w:type="gramEnd"/>
      <w:r>
        <w:rPr>
          <w:rFonts w:cs="仿宋_GB2312" w:hint="eastAsia"/>
          <w:sz w:val="30"/>
          <w:szCs w:val="30"/>
        </w:rPr>
        <w:t>创业扶持政策，能有效的提高人民群众就业创业率。</w:t>
      </w:r>
    </w:p>
    <w:p w:rsidR="001C5212" w:rsidRDefault="001C5212" w:rsidP="001C5212">
      <w:pPr>
        <w:pStyle w:val="a9"/>
        <w:ind w:firstLine="640"/>
      </w:pPr>
      <w:r w:rsidRPr="003213AC">
        <w:rPr>
          <w:rFonts w:hint="eastAsia"/>
        </w:rPr>
        <w:lastRenderedPageBreak/>
        <w:t xml:space="preserve">   5）实施周期</w:t>
      </w:r>
    </w:p>
    <w:p w:rsidR="001C5212" w:rsidRPr="003213AC" w:rsidRDefault="001C5212" w:rsidP="001C5212">
      <w:pPr>
        <w:pStyle w:val="a9"/>
        <w:ind w:firstLine="640"/>
      </w:pPr>
      <w:r>
        <w:rPr>
          <w:rFonts w:hint="eastAsia"/>
        </w:rPr>
        <w:t xml:space="preserve">  2026年1月1日至2026年12月31日</w:t>
      </w:r>
    </w:p>
    <w:p w:rsidR="001C5212" w:rsidRDefault="001C5212" w:rsidP="001C5212">
      <w:pPr>
        <w:pStyle w:val="a9"/>
        <w:ind w:firstLine="640"/>
      </w:pPr>
      <w:r w:rsidRPr="003213AC">
        <w:rPr>
          <w:rFonts w:hint="eastAsia"/>
        </w:rPr>
        <w:t xml:space="preserve">   6）年度预算安排</w:t>
      </w:r>
    </w:p>
    <w:p w:rsidR="001C5212" w:rsidRDefault="001C5212" w:rsidP="001C5212">
      <w:pPr>
        <w:pStyle w:val="a9"/>
        <w:ind w:firstLine="640"/>
      </w:pPr>
      <w:r>
        <w:rPr>
          <w:rFonts w:hint="eastAsia"/>
        </w:rPr>
        <w:t xml:space="preserve">  预算安排资金500万元</w:t>
      </w:r>
    </w:p>
    <w:p w:rsidR="008B3FF8" w:rsidRPr="001C5212" w:rsidRDefault="008B3FF8" w:rsidP="008B3FF8">
      <w:pPr>
        <w:pStyle w:val="a9"/>
        <w:ind w:firstLine="640"/>
      </w:pPr>
    </w:p>
    <w:p w:rsidR="008B3FF8" w:rsidRDefault="0071195C">
      <w:pPr>
        <w:pStyle w:val="a"/>
        <w:numPr>
          <w:ilvl w:val="0"/>
          <w:numId w:val="0"/>
        </w:numPr>
        <w:ind w:leftChars="200" w:left="420" w:firstLineChars="100" w:firstLine="320"/>
        <w:rPr>
          <w:rFonts w:ascii="楷体_GB2312" w:eastAsia="楷体_GB2312"/>
          <w:b/>
          <w:szCs w:val="30"/>
        </w:rPr>
      </w:pPr>
      <w:r>
        <w:rPr>
          <w:rFonts w:ascii="楷体_GB2312" w:eastAsia="楷体_GB2312" w:hint="eastAsia"/>
          <w:b/>
          <w:szCs w:val="30"/>
        </w:rPr>
        <w:t>二、2026年财政拨款“三公”经费预算情况说明</w:t>
      </w:r>
    </w:p>
    <w:p w:rsidR="001C5212" w:rsidRPr="003213AC" w:rsidRDefault="001C5212" w:rsidP="001C5212">
      <w:pPr>
        <w:pStyle w:val="a9"/>
        <w:ind w:firstLine="640"/>
      </w:pPr>
      <w:r w:rsidRPr="003213AC">
        <w:rPr>
          <w:rFonts w:hint="eastAsia"/>
        </w:rPr>
        <w:t>2026年南昌市青云谱区人力资源和社会保障局财政拨款"三公"经费安排0.00万元，其中：</w:t>
      </w:r>
    </w:p>
    <w:p w:rsidR="001C5212" w:rsidRDefault="001C5212" w:rsidP="001C5212">
      <w:pPr>
        <w:pStyle w:val="a9"/>
        <w:ind w:firstLine="640"/>
      </w:pPr>
      <w:r w:rsidRPr="003213AC">
        <w:rPr>
          <w:rFonts w:hint="eastAsia"/>
        </w:rPr>
        <w:t>因公出国0.00万元, 比上年增（减）</w:t>
      </w:r>
      <w:r>
        <w:rPr>
          <w:rFonts w:hint="eastAsia"/>
        </w:rPr>
        <w:t>0</w:t>
      </w:r>
      <w:r w:rsidRPr="003213AC">
        <w:rPr>
          <w:rFonts w:hint="eastAsia"/>
        </w:rPr>
        <w:t>万元，主要原因是：与上年安排保持一致。</w:t>
      </w:r>
    </w:p>
    <w:p w:rsidR="001C5212" w:rsidRPr="003213AC" w:rsidRDefault="001C5212" w:rsidP="001C5212">
      <w:pPr>
        <w:pStyle w:val="a9"/>
        <w:ind w:firstLine="640"/>
      </w:pPr>
      <w:r w:rsidRPr="003213AC">
        <w:rPr>
          <w:rFonts w:hint="eastAsia"/>
        </w:rPr>
        <w:t>公务接待0.00万元,比上年增（减）</w:t>
      </w:r>
      <w:r>
        <w:rPr>
          <w:rFonts w:hint="eastAsia"/>
        </w:rPr>
        <w:t>0</w:t>
      </w:r>
      <w:r w:rsidRPr="003213AC">
        <w:rPr>
          <w:rFonts w:hint="eastAsia"/>
        </w:rPr>
        <w:t>万元，主要原因是：与上年安排保持一致。</w:t>
      </w:r>
    </w:p>
    <w:p w:rsidR="001C5212" w:rsidRDefault="001C5212" w:rsidP="001C5212">
      <w:pPr>
        <w:pStyle w:val="a9"/>
        <w:ind w:firstLine="640"/>
      </w:pPr>
      <w:r w:rsidRPr="003213AC">
        <w:rPr>
          <w:rFonts w:hint="eastAsia"/>
        </w:rPr>
        <w:t>公务用车运行0.00万元, 比上年增（减）</w:t>
      </w:r>
      <w:r>
        <w:rPr>
          <w:rFonts w:hint="eastAsia"/>
        </w:rPr>
        <w:t>0</w:t>
      </w:r>
      <w:r w:rsidRPr="003213AC">
        <w:rPr>
          <w:rFonts w:hint="eastAsia"/>
        </w:rPr>
        <w:t>万元，主要原因是：与上年安排保持一致。</w:t>
      </w:r>
    </w:p>
    <w:p w:rsidR="001C5212" w:rsidRDefault="001C5212" w:rsidP="001C5212">
      <w:pPr>
        <w:pStyle w:val="a9"/>
        <w:ind w:firstLine="640"/>
      </w:pPr>
      <w:r w:rsidRPr="003213AC">
        <w:rPr>
          <w:rFonts w:hint="eastAsia"/>
        </w:rPr>
        <w:t>公务用车购置0.00万元, 比上年增（减）</w:t>
      </w:r>
      <w:r>
        <w:rPr>
          <w:rFonts w:hint="eastAsia"/>
        </w:rPr>
        <w:t>0</w:t>
      </w:r>
      <w:r w:rsidRPr="003213AC">
        <w:rPr>
          <w:rFonts w:hint="eastAsia"/>
        </w:rPr>
        <w:t>万元，主要原因是：与上年安排保持一致。</w:t>
      </w:r>
    </w:p>
    <w:p w:rsidR="001C5212" w:rsidRPr="003213AC" w:rsidRDefault="001C5212" w:rsidP="001C5212">
      <w:pPr>
        <w:pStyle w:val="a9"/>
        <w:ind w:firstLine="640"/>
      </w:pPr>
      <w:r w:rsidRPr="003213AC">
        <w:rPr>
          <w:rFonts w:hint="eastAsia"/>
        </w:rPr>
        <w:t>（增减变化为0的也请填写，并在主要原因说明“与上年安排保持一致”）</w:t>
      </w:r>
    </w:p>
    <w:p w:rsidR="001C5212" w:rsidRPr="003213AC" w:rsidRDefault="001C5212" w:rsidP="001C5212">
      <w:pPr>
        <w:pStyle w:val="a"/>
        <w:numPr>
          <w:ilvl w:val="0"/>
          <w:numId w:val="0"/>
        </w:numPr>
        <w:ind w:leftChars="200" w:left="420"/>
        <w:jc w:val="center"/>
      </w:pPr>
      <w:r w:rsidRPr="003213AC">
        <w:rPr>
          <w:rFonts w:hint="eastAsia"/>
        </w:rPr>
        <w:t>第四部分   名词解释</w:t>
      </w:r>
    </w:p>
    <w:p w:rsidR="001C5212" w:rsidRPr="003213AC" w:rsidRDefault="001C5212" w:rsidP="001C5212">
      <w:pPr>
        <w:pStyle w:val="a"/>
        <w:numPr>
          <w:ilvl w:val="0"/>
          <w:numId w:val="0"/>
        </w:numPr>
        <w:ind w:leftChars="200" w:left="420" w:firstLineChars="100" w:firstLine="320"/>
        <w:rPr>
          <w:rFonts w:ascii="楷体_GB2312" w:eastAsia="楷体_GB2312"/>
          <w:b/>
          <w:szCs w:val="30"/>
        </w:rPr>
      </w:pPr>
      <w:r w:rsidRPr="003213AC">
        <w:rPr>
          <w:rFonts w:ascii="楷体_GB2312" w:eastAsia="楷体_GB2312" w:hint="eastAsia"/>
          <w:b/>
          <w:szCs w:val="30"/>
        </w:rPr>
        <w:t>一、收入科目</w:t>
      </w:r>
    </w:p>
    <w:p w:rsidR="001C5212" w:rsidRPr="003213AC" w:rsidRDefault="001C5212" w:rsidP="001C5212">
      <w:pPr>
        <w:pStyle w:val="a9"/>
        <w:ind w:firstLine="640"/>
      </w:pPr>
      <w:r w:rsidRPr="003213AC">
        <w:rPr>
          <w:rFonts w:hint="eastAsia"/>
        </w:rPr>
        <w:t>各单位结合实际进行解释。</w:t>
      </w:r>
    </w:p>
    <w:p w:rsidR="001C5212" w:rsidRPr="003213AC" w:rsidRDefault="001C5212" w:rsidP="001C5212">
      <w:pPr>
        <w:pStyle w:val="a9"/>
        <w:ind w:firstLine="640"/>
      </w:pPr>
      <w:r w:rsidRPr="003213AC">
        <w:rPr>
          <w:rFonts w:hint="eastAsia"/>
        </w:rPr>
        <w:lastRenderedPageBreak/>
        <w:t>（一）财政拨款：指省级财政当年拨付的资金。</w:t>
      </w:r>
    </w:p>
    <w:p w:rsidR="001C5212" w:rsidRPr="003213AC" w:rsidRDefault="001C5212" w:rsidP="001C5212">
      <w:pPr>
        <w:pStyle w:val="a9"/>
        <w:ind w:firstLine="640"/>
      </w:pPr>
      <w:r w:rsidRPr="003213AC">
        <w:rPr>
          <w:rFonts w:hint="eastAsia"/>
        </w:rPr>
        <w:t>（二）教育收费资金收入：指实行专项管理的高中以上学费、住宿费，高校委托培养费，函大、电大、夜大及短训班培训费等教育收费取得的收入。</w:t>
      </w:r>
    </w:p>
    <w:p w:rsidR="001C5212" w:rsidRPr="003213AC" w:rsidRDefault="001C5212" w:rsidP="001C5212">
      <w:pPr>
        <w:pStyle w:val="a9"/>
        <w:ind w:firstLine="640"/>
      </w:pPr>
      <w:r w:rsidRPr="003213AC">
        <w:rPr>
          <w:rFonts w:hint="eastAsia"/>
        </w:rPr>
        <w:t>（三）事业收入：指事业单位开展专业业务活动及辅助活动取得的收入。</w:t>
      </w:r>
    </w:p>
    <w:p w:rsidR="001C5212" w:rsidRPr="003213AC" w:rsidRDefault="001C5212" w:rsidP="001C5212">
      <w:pPr>
        <w:pStyle w:val="a9"/>
        <w:ind w:firstLine="640"/>
      </w:pPr>
      <w:r w:rsidRPr="003213AC">
        <w:rPr>
          <w:rFonts w:hint="eastAsia"/>
        </w:rPr>
        <w:t>（四）事业单位经营收入：指事业单位在专业业务活动及辅助活动之外开展非独立核算经营活动取得的收入。</w:t>
      </w:r>
    </w:p>
    <w:p w:rsidR="001C5212" w:rsidRPr="003213AC" w:rsidRDefault="001C5212" w:rsidP="001C5212">
      <w:pPr>
        <w:pStyle w:val="a9"/>
        <w:ind w:firstLine="640"/>
      </w:pPr>
      <w:r w:rsidRPr="003213AC">
        <w:rPr>
          <w:rFonts w:hint="eastAsia"/>
        </w:rPr>
        <w:t>（五）附属单位上缴收入：指事业单位附属的独立核算单位按规定标准或比例缴纳的各项收入。包括附属的事业单位上缴的收入和附属的企业上缴的利润等。</w:t>
      </w:r>
    </w:p>
    <w:p w:rsidR="001C5212" w:rsidRPr="003213AC" w:rsidRDefault="001C5212" w:rsidP="001C5212">
      <w:pPr>
        <w:pStyle w:val="a9"/>
        <w:ind w:firstLine="640"/>
      </w:pPr>
      <w:r w:rsidRPr="003213AC">
        <w:rPr>
          <w:rFonts w:hint="eastAsia"/>
        </w:rPr>
        <w:t>（六）上级补助收入：指事业单位从主管部门和上级单位取得的非财政补助收入。</w:t>
      </w:r>
    </w:p>
    <w:p w:rsidR="001C5212" w:rsidRPr="003213AC" w:rsidRDefault="001C5212" w:rsidP="001C5212">
      <w:pPr>
        <w:pStyle w:val="a9"/>
        <w:ind w:firstLine="640"/>
      </w:pPr>
      <w:r w:rsidRPr="003213AC">
        <w:rPr>
          <w:rFonts w:hint="eastAsia"/>
        </w:rPr>
        <w:t>（七）其他收入：指除财政拨款、事业收入、事业单位经营收入等以外的各项收入。</w:t>
      </w:r>
    </w:p>
    <w:p w:rsidR="001C5212" w:rsidRPr="003213AC" w:rsidRDefault="001C5212" w:rsidP="001C5212">
      <w:pPr>
        <w:pStyle w:val="a9"/>
        <w:ind w:firstLine="640"/>
      </w:pPr>
      <w:r w:rsidRPr="003213AC">
        <w:rPr>
          <w:rFonts w:hint="eastAsia"/>
        </w:rPr>
        <w:t>（八）使用非财政拨款结余：指历年</w:t>
      </w:r>
      <w:proofErr w:type="gramStart"/>
      <w:r w:rsidRPr="003213AC">
        <w:rPr>
          <w:rFonts w:hint="eastAsia"/>
        </w:rPr>
        <w:t>滚存非</w:t>
      </w:r>
      <w:proofErr w:type="gramEnd"/>
      <w:r w:rsidRPr="003213AC">
        <w:rPr>
          <w:rFonts w:hint="eastAsia"/>
        </w:rPr>
        <w:t>限定用途的非财政拨款结余弥补本年度收支差额的数额。</w:t>
      </w:r>
    </w:p>
    <w:p w:rsidR="001C5212" w:rsidRPr="003213AC" w:rsidRDefault="001C5212" w:rsidP="001C5212">
      <w:pPr>
        <w:pStyle w:val="a9"/>
        <w:ind w:firstLine="640"/>
      </w:pPr>
      <w:r w:rsidRPr="003213AC">
        <w:rPr>
          <w:rFonts w:hint="eastAsia"/>
        </w:rPr>
        <w:t>（九）上年结转和结余：指以前年度全部结转和结余的资金数，包括当年结转结余资金和历年滚存结转结余资金。</w:t>
      </w:r>
    </w:p>
    <w:p w:rsidR="001C5212" w:rsidRPr="003213AC" w:rsidRDefault="001C5212" w:rsidP="001C5212">
      <w:pPr>
        <w:ind w:firstLineChars="200" w:firstLine="640"/>
        <w:rPr>
          <w:rFonts w:ascii="Adobe 仿宋 Std R" w:eastAsia="Adobe 仿宋 Std R" w:hAnsi="Adobe 仿宋 Std R"/>
          <w:sz w:val="32"/>
          <w:szCs w:val="32"/>
        </w:rPr>
      </w:pPr>
    </w:p>
    <w:p w:rsidR="001C5212" w:rsidRPr="003213AC" w:rsidRDefault="001C5212" w:rsidP="001C5212">
      <w:pPr>
        <w:pStyle w:val="a"/>
        <w:numPr>
          <w:ilvl w:val="0"/>
          <w:numId w:val="0"/>
        </w:numPr>
        <w:ind w:leftChars="200" w:left="420" w:firstLineChars="100" w:firstLine="320"/>
        <w:rPr>
          <w:rFonts w:ascii="楷体_GB2312" w:eastAsia="楷体_GB2312"/>
          <w:b/>
          <w:szCs w:val="30"/>
        </w:rPr>
      </w:pPr>
      <w:r w:rsidRPr="003213AC">
        <w:rPr>
          <w:rFonts w:ascii="楷体_GB2312" w:eastAsia="楷体_GB2312" w:hint="eastAsia"/>
          <w:b/>
          <w:szCs w:val="30"/>
        </w:rPr>
        <w:lastRenderedPageBreak/>
        <w:t>二、支出科目</w:t>
      </w:r>
    </w:p>
    <w:p w:rsidR="001C5212" w:rsidRPr="003213AC" w:rsidRDefault="001C5212" w:rsidP="001C5212">
      <w:pPr>
        <w:pStyle w:val="a9"/>
        <w:ind w:firstLine="640"/>
      </w:pPr>
      <w:r w:rsidRPr="003213AC">
        <w:rPr>
          <w:rFonts w:hint="eastAsia"/>
        </w:rPr>
        <w:t>对部门预算中涉及的支出功能分类科目（</w:t>
      </w:r>
      <w:proofErr w:type="gramStart"/>
      <w:r w:rsidRPr="003213AC">
        <w:rPr>
          <w:rFonts w:hint="eastAsia"/>
        </w:rPr>
        <w:t>明细到项级</w:t>
      </w:r>
      <w:proofErr w:type="gramEnd"/>
      <w:r w:rsidRPr="003213AC">
        <w:rPr>
          <w:rFonts w:hint="eastAsia"/>
        </w:rPr>
        <w:t>），结合单位实际，参照《2026年政府收支分类科目》的规范说明进行解释。</w:t>
      </w:r>
    </w:p>
    <w:p w:rsidR="001C5212" w:rsidRPr="003213AC" w:rsidRDefault="001C5212" w:rsidP="001C5212">
      <w:pPr>
        <w:widowControl/>
        <w:spacing w:line="600" w:lineRule="exact"/>
        <w:ind w:firstLineChars="200" w:firstLine="640"/>
        <w:jc w:val="left"/>
        <w:rPr>
          <w:rFonts w:ascii="仿宋_GB2312" w:eastAsia="仿宋_GB2312"/>
          <w:color w:val="000000"/>
          <w:sz w:val="32"/>
          <w:szCs w:val="30"/>
        </w:rPr>
      </w:pPr>
    </w:p>
    <w:p w:rsidR="001C5212" w:rsidRPr="003213AC" w:rsidRDefault="001C5212" w:rsidP="001C5212">
      <w:pPr>
        <w:pStyle w:val="a"/>
        <w:numPr>
          <w:ilvl w:val="0"/>
          <w:numId w:val="0"/>
        </w:numPr>
        <w:ind w:leftChars="200" w:left="420" w:firstLineChars="100" w:firstLine="320"/>
        <w:rPr>
          <w:rFonts w:ascii="楷体_GB2312" w:eastAsia="楷体_GB2312"/>
          <w:b/>
          <w:szCs w:val="30"/>
        </w:rPr>
      </w:pPr>
      <w:r w:rsidRPr="003213AC">
        <w:rPr>
          <w:rFonts w:ascii="楷体_GB2312" w:eastAsia="楷体_GB2312" w:hint="eastAsia"/>
          <w:b/>
          <w:szCs w:val="30"/>
        </w:rPr>
        <w:t>三、相关专业名词</w:t>
      </w:r>
    </w:p>
    <w:p w:rsidR="001C5212" w:rsidRPr="003213AC" w:rsidRDefault="001C5212" w:rsidP="001C5212">
      <w:pPr>
        <w:pStyle w:val="a9"/>
        <w:ind w:firstLine="640"/>
      </w:pPr>
      <w:r w:rsidRPr="003213AC">
        <w:rPr>
          <w:rFonts w:hint="eastAsia"/>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rsidR="001C5212" w:rsidRPr="003213AC" w:rsidRDefault="001C5212" w:rsidP="001C5212">
      <w:pPr>
        <w:pStyle w:val="a9"/>
        <w:ind w:firstLine="640"/>
      </w:pPr>
      <w:r w:rsidRPr="003213AC">
        <w:rPr>
          <w:rFonts w:hint="eastAsia"/>
        </w:rPr>
        <w:t>（二）“三公”经费：指用财政拨款安排的因公出国（境）费、公务用车购置及运行维护费和公务接待费。其中，因公出国（境）</w:t>
      </w:r>
      <w:proofErr w:type="gramStart"/>
      <w:r w:rsidRPr="003213AC">
        <w:rPr>
          <w:rFonts w:hint="eastAsia"/>
        </w:rPr>
        <w:t>费反映</w:t>
      </w:r>
      <w:proofErr w:type="gramEnd"/>
      <w:r w:rsidRPr="003213AC">
        <w:rPr>
          <w:rFonts w:hint="eastAsia"/>
        </w:rPr>
        <w:t>单位公务出国（境）的国际旅费、国外城市间交通费、住宿费、伙食费、培训费、公杂费等支出；公务用车购置及运行维护费反映单位公务用车车辆购置支出（</w:t>
      </w:r>
      <w:proofErr w:type="gramStart"/>
      <w:r w:rsidRPr="003213AC">
        <w:rPr>
          <w:rFonts w:hint="eastAsia"/>
        </w:rPr>
        <w:t>含车辆</w:t>
      </w:r>
      <w:proofErr w:type="gramEnd"/>
      <w:r w:rsidRPr="003213AC">
        <w:rPr>
          <w:rFonts w:hint="eastAsia"/>
        </w:rPr>
        <w:t>购置税、牌照费），按规定保留的公务用车燃料费、新能源汽车充电费、维修费、过桥过路费、保险费、安全奖励费 用等支出；公务接待</w:t>
      </w:r>
      <w:proofErr w:type="gramStart"/>
      <w:r w:rsidRPr="003213AC">
        <w:rPr>
          <w:rFonts w:hint="eastAsia"/>
        </w:rPr>
        <w:t>费反映</w:t>
      </w:r>
      <w:proofErr w:type="gramEnd"/>
      <w:r w:rsidRPr="003213AC">
        <w:rPr>
          <w:rFonts w:hint="eastAsia"/>
        </w:rPr>
        <w:t>单位按规定开支的各类公务接待（含外宾接待）支出。</w:t>
      </w:r>
    </w:p>
    <w:p w:rsidR="008B3FF8" w:rsidRPr="001C5212" w:rsidRDefault="008B3FF8" w:rsidP="001C5212">
      <w:pPr>
        <w:pStyle w:val="a"/>
        <w:numPr>
          <w:ilvl w:val="0"/>
          <w:numId w:val="0"/>
        </w:numPr>
        <w:ind w:leftChars="200" w:left="420"/>
        <w:jc w:val="center"/>
      </w:pPr>
    </w:p>
    <w:sectPr w:rsidR="008B3FF8" w:rsidRPr="001C5212" w:rsidSect="008B3FF8">
      <w:pgSz w:w="11906" w:h="16838"/>
      <w:pgMar w:top="2098" w:right="1587" w:bottom="2098" w:left="158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545F" w:rsidRDefault="0065545F" w:rsidP="008B3FF8">
      <w:r>
        <w:separator/>
      </w:r>
    </w:p>
  </w:endnote>
  <w:endnote w:type="continuationSeparator" w:id="0">
    <w:p w:rsidR="0065545F" w:rsidRDefault="0065545F" w:rsidP="008B3F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Arial Unicode MS"/>
    <w:charset w:val="86"/>
    <w:family w:val="modern"/>
    <w:pitch w:val="default"/>
    <w:sig w:usb0="00000000" w:usb1="080E0000" w:usb2="00000000" w:usb3="00000000" w:csb0="00040000" w:csb1="00000000"/>
  </w:font>
  <w:font w:name="Adobe 仿宋 Std R">
    <w:altName w:val="仿宋"/>
    <w:charset w:val="86"/>
    <w:family w:val="auto"/>
    <w:pitch w:val="default"/>
    <w:sig w:usb0="00000000" w:usb1="00000000" w:usb2="00000016" w:usb3="00000000" w:csb0="00060007"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545F" w:rsidRDefault="0065545F" w:rsidP="008B3FF8">
      <w:r>
        <w:separator/>
      </w:r>
    </w:p>
  </w:footnote>
  <w:footnote w:type="continuationSeparator" w:id="0">
    <w:p w:rsidR="0065545F" w:rsidRDefault="0065545F" w:rsidP="008B3F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F8" w:rsidRDefault="008B3FF8">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D1273"/>
    <w:multiLevelType w:val="singleLevel"/>
    <w:tmpl w:val="0C7D1273"/>
    <w:lvl w:ilvl="0">
      <w:start w:val="1"/>
      <w:numFmt w:val="chineseCounting"/>
      <w:pStyle w:val="a"/>
      <w:suff w:val="nothing"/>
      <w:lvlText w:val="%1、"/>
      <w:lvlJc w:val="left"/>
      <w:pPr>
        <w:ind w:left="0" w:firstLine="420"/>
      </w:pPr>
      <w:rPr>
        <w:rFonts w:hint="eastAsia"/>
      </w:rPr>
    </w:lvl>
  </w:abstractNum>
  <w:abstractNum w:abstractNumId="1">
    <w:nsid w:val="79F6942D"/>
    <w:multiLevelType w:val="singleLevel"/>
    <w:tmpl w:val="79F6942D"/>
    <w:lvl w:ilvl="0">
      <w:start w:val="1"/>
      <w:numFmt w:val="chineseCounting"/>
      <w:pStyle w:val="a0"/>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jRjYzY5ZmMwZWEzMzQxOWIwM2QyODc3MDk3NDFhOWMifQ=="/>
  </w:docVars>
  <w:rsids>
    <w:rsidRoot w:val="00172A27"/>
    <w:rsid w:val="000001B2"/>
    <w:rsid w:val="00014049"/>
    <w:rsid w:val="0001648A"/>
    <w:rsid w:val="00022CB3"/>
    <w:rsid w:val="00023DEA"/>
    <w:rsid w:val="00031749"/>
    <w:rsid w:val="00041EAA"/>
    <w:rsid w:val="000501C3"/>
    <w:rsid w:val="00055F20"/>
    <w:rsid w:val="000630BE"/>
    <w:rsid w:val="0006515E"/>
    <w:rsid w:val="00072406"/>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72A27"/>
    <w:rsid w:val="001823EA"/>
    <w:rsid w:val="00186709"/>
    <w:rsid w:val="00192620"/>
    <w:rsid w:val="00193C37"/>
    <w:rsid w:val="001C4ED5"/>
    <w:rsid w:val="001C5212"/>
    <w:rsid w:val="001C6F31"/>
    <w:rsid w:val="001D2644"/>
    <w:rsid w:val="001D539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0738A"/>
    <w:rsid w:val="004345D9"/>
    <w:rsid w:val="00436836"/>
    <w:rsid w:val="0044016E"/>
    <w:rsid w:val="00446148"/>
    <w:rsid w:val="004535A0"/>
    <w:rsid w:val="004564C0"/>
    <w:rsid w:val="00456869"/>
    <w:rsid w:val="00463FDC"/>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0648C"/>
    <w:rsid w:val="00516279"/>
    <w:rsid w:val="0052565B"/>
    <w:rsid w:val="00526265"/>
    <w:rsid w:val="00526CE0"/>
    <w:rsid w:val="00532264"/>
    <w:rsid w:val="005378E3"/>
    <w:rsid w:val="00544895"/>
    <w:rsid w:val="00551239"/>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45F"/>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1195C"/>
    <w:rsid w:val="007314A1"/>
    <w:rsid w:val="0075709B"/>
    <w:rsid w:val="007574FE"/>
    <w:rsid w:val="00777795"/>
    <w:rsid w:val="00777962"/>
    <w:rsid w:val="007913DC"/>
    <w:rsid w:val="00792A6C"/>
    <w:rsid w:val="0079393D"/>
    <w:rsid w:val="00796F4F"/>
    <w:rsid w:val="007A4D44"/>
    <w:rsid w:val="007B4314"/>
    <w:rsid w:val="007C27E0"/>
    <w:rsid w:val="007D10D2"/>
    <w:rsid w:val="007D4ACC"/>
    <w:rsid w:val="007F1616"/>
    <w:rsid w:val="007F4968"/>
    <w:rsid w:val="007F5C86"/>
    <w:rsid w:val="007F79A6"/>
    <w:rsid w:val="008032D2"/>
    <w:rsid w:val="00804C42"/>
    <w:rsid w:val="00823697"/>
    <w:rsid w:val="008347B8"/>
    <w:rsid w:val="00846526"/>
    <w:rsid w:val="008506D9"/>
    <w:rsid w:val="00863898"/>
    <w:rsid w:val="00865CCE"/>
    <w:rsid w:val="00872CE4"/>
    <w:rsid w:val="00875B04"/>
    <w:rsid w:val="00876D17"/>
    <w:rsid w:val="008827CA"/>
    <w:rsid w:val="00882C91"/>
    <w:rsid w:val="00884FAE"/>
    <w:rsid w:val="008979F6"/>
    <w:rsid w:val="00897CAC"/>
    <w:rsid w:val="008A2491"/>
    <w:rsid w:val="008B3FF8"/>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205C"/>
    <w:rsid w:val="00AF57C9"/>
    <w:rsid w:val="00AF62CD"/>
    <w:rsid w:val="00B0337F"/>
    <w:rsid w:val="00B128C8"/>
    <w:rsid w:val="00B169A7"/>
    <w:rsid w:val="00B348A8"/>
    <w:rsid w:val="00B51022"/>
    <w:rsid w:val="00B619F8"/>
    <w:rsid w:val="00B6242B"/>
    <w:rsid w:val="00B66D29"/>
    <w:rsid w:val="00B71EBE"/>
    <w:rsid w:val="00B82840"/>
    <w:rsid w:val="00B96CEB"/>
    <w:rsid w:val="00BA572C"/>
    <w:rsid w:val="00BA7CA7"/>
    <w:rsid w:val="00BF0316"/>
    <w:rsid w:val="00C03AFB"/>
    <w:rsid w:val="00C32F17"/>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71A18"/>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3143"/>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60EC"/>
    <w:rsid w:val="00FF6368"/>
    <w:rsid w:val="01671BDD"/>
    <w:rsid w:val="01861103"/>
    <w:rsid w:val="019127B6"/>
    <w:rsid w:val="01AC3A93"/>
    <w:rsid w:val="01EF572E"/>
    <w:rsid w:val="020411DA"/>
    <w:rsid w:val="02176B4D"/>
    <w:rsid w:val="0288005D"/>
    <w:rsid w:val="02C06A14"/>
    <w:rsid w:val="02F05C02"/>
    <w:rsid w:val="0313418A"/>
    <w:rsid w:val="03183089"/>
    <w:rsid w:val="033409AD"/>
    <w:rsid w:val="036543A8"/>
    <w:rsid w:val="03713379"/>
    <w:rsid w:val="03A26EFC"/>
    <w:rsid w:val="03C54F15"/>
    <w:rsid w:val="044C3E08"/>
    <w:rsid w:val="048760F2"/>
    <w:rsid w:val="04AB0032"/>
    <w:rsid w:val="04D1736D"/>
    <w:rsid w:val="0548762F"/>
    <w:rsid w:val="056335EC"/>
    <w:rsid w:val="058E403A"/>
    <w:rsid w:val="05A96FBC"/>
    <w:rsid w:val="067A6028"/>
    <w:rsid w:val="069027A8"/>
    <w:rsid w:val="06BE4E5C"/>
    <w:rsid w:val="06D10F0F"/>
    <w:rsid w:val="06EB090E"/>
    <w:rsid w:val="070F6488"/>
    <w:rsid w:val="072E0AA7"/>
    <w:rsid w:val="07493DE4"/>
    <w:rsid w:val="076646E5"/>
    <w:rsid w:val="07944DAE"/>
    <w:rsid w:val="07DA39BA"/>
    <w:rsid w:val="07FD6DF7"/>
    <w:rsid w:val="089B644D"/>
    <w:rsid w:val="08AA6372"/>
    <w:rsid w:val="0957140D"/>
    <w:rsid w:val="097430E9"/>
    <w:rsid w:val="09813405"/>
    <w:rsid w:val="098466E2"/>
    <w:rsid w:val="099A2423"/>
    <w:rsid w:val="09C63CB7"/>
    <w:rsid w:val="0A1A2AD5"/>
    <w:rsid w:val="0A3B59B5"/>
    <w:rsid w:val="0A522CFE"/>
    <w:rsid w:val="0A603A28"/>
    <w:rsid w:val="0A7E3AF3"/>
    <w:rsid w:val="0B2E6C33"/>
    <w:rsid w:val="0B471443"/>
    <w:rsid w:val="0B582596"/>
    <w:rsid w:val="0B776EC0"/>
    <w:rsid w:val="0BD22464"/>
    <w:rsid w:val="0C0F6191"/>
    <w:rsid w:val="0C210BDA"/>
    <w:rsid w:val="0C22507E"/>
    <w:rsid w:val="0C234952"/>
    <w:rsid w:val="0C97247A"/>
    <w:rsid w:val="0CE40340"/>
    <w:rsid w:val="0D1D3A97"/>
    <w:rsid w:val="0D7F0935"/>
    <w:rsid w:val="0D906017"/>
    <w:rsid w:val="0DB3098E"/>
    <w:rsid w:val="0DC46BAD"/>
    <w:rsid w:val="0E4868F2"/>
    <w:rsid w:val="0EC56195"/>
    <w:rsid w:val="0ED334BB"/>
    <w:rsid w:val="0EED77D1"/>
    <w:rsid w:val="0EFE5F92"/>
    <w:rsid w:val="0F2509E1"/>
    <w:rsid w:val="0F77472F"/>
    <w:rsid w:val="0FA364D6"/>
    <w:rsid w:val="0FFC5BE6"/>
    <w:rsid w:val="10374E70"/>
    <w:rsid w:val="1042584C"/>
    <w:rsid w:val="10C76C75"/>
    <w:rsid w:val="10EC7A09"/>
    <w:rsid w:val="118C7F17"/>
    <w:rsid w:val="11A83289"/>
    <w:rsid w:val="11BA18B5"/>
    <w:rsid w:val="12AB25F0"/>
    <w:rsid w:val="12C66037"/>
    <w:rsid w:val="12D71EE1"/>
    <w:rsid w:val="13024677"/>
    <w:rsid w:val="132316DC"/>
    <w:rsid w:val="13257202"/>
    <w:rsid w:val="137A24B0"/>
    <w:rsid w:val="146A26EA"/>
    <w:rsid w:val="14972381"/>
    <w:rsid w:val="14DB226E"/>
    <w:rsid w:val="15F1786F"/>
    <w:rsid w:val="161C45A6"/>
    <w:rsid w:val="163E20B5"/>
    <w:rsid w:val="167909DF"/>
    <w:rsid w:val="16790A4B"/>
    <w:rsid w:val="16A62BCA"/>
    <w:rsid w:val="16B57185"/>
    <w:rsid w:val="16D72F09"/>
    <w:rsid w:val="16D73651"/>
    <w:rsid w:val="17201A96"/>
    <w:rsid w:val="175943AB"/>
    <w:rsid w:val="177B5642"/>
    <w:rsid w:val="183121A5"/>
    <w:rsid w:val="183D4FEE"/>
    <w:rsid w:val="187973A6"/>
    <w:rsid w:val="189E6FE8"/>
    <w:rsid w:val="18D62220"/>
    <w:rsid w:val="190A1374"/>
    <w:rsid w:val="1911314F"/>
    <w:rsid w:val="192341E3"/>
    <w:rsid w:val="19264D41"/>
    <w:rsid w:val="195E521C"/>
    <w:rsid w:val="198B71A1"/>
    <w:rsid w:val="19B228EF"/>
    <w:rsid w:val="19B72B7E"/>
    <w:rsid w:val="19BE5CBA"/>
    <w:rsid w:val="19DD5162"/>
    <w:rsid w:val="19F65454"/>
    <w:rsid w:val="1A9E7E47"/>
    <w:rsid w:val="1AAC4E51"/>
    <w:rsid w:val="1B106CD9"/>
    <w:rsid w:val="1B1E744F"/>
    <w:rsid w:val="1B477CB6"/>
    <w:rsid w:val="1B513369"/>
    <w:rsid w:val="1B5543FC"/>
    <w:rsid w:val="1B9273FE"/>
    <w:rsid w:val="1D022362"/>
    <w:rsid w:val="1D156539"/>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F4DDA"/>
    <w:rsid w:val="1F240CB5"/>
    <w:rsid w:val="1F647304"/>
    <w:rsid w:val="1FF163B0"/>
    <w:rsid w:val="206D0602"/>
    <w:rsid w:val="20757BCC"/>
    <w:rsid w:val="208D0D40"/>
    <w:rsid w:val="212A1E87"/>
    <w:rsid w:val="218C669E"/>
    <w:rsid w:val="21C916A0"/>
    <w:rsid w:val="221F7512"/>
    <w:rsid w:val="22421D13"/>
    <w:rsid w:val="22430342"/>
    <w:rsid w:val="22601146"/>
    <w:rsid w:val="226F2247"/>
    <w:rsid w:val="22A5210D"/>
    <w:rsid w:val="22BD518D"/>
    <w:rsid w:val="230518A8"/>
    <w:rsid w:val="23F95523"/>
    <w:rsid w:val="2418246B"/>
    <w:rsid w:val="24407927"/>
    <w:rsid w:val="248511A6"/>
    <w:rsid w:val="2584425C"/>
    <w:rsid w:val="25B931E9"/>
    <w:rsid w:val="25CE54D7"/>
    <w:rsid w:val="25F4209D"/>
    <w:rsid w:val="265579A6"/>
    <w:rsid w:val="267A7ED7"/>
    <w:rsid w:val="267B565F"/>
    <w:rsid w:val="26BE72FA"/>
    <w:rsid w:val="26CB02AF"/>
    <w:rsid w:val="26FE5E6C"/>
    <w:rsid w:val="27DA63B5"/>
    <w:rsid w:val="27E234BC"/>
    <w:rsid w:val="27EE6A79"/>
    <w:rsid w:val="28020B08"/>
    <w:rsid w:val="2828673B"/>
    <w:rsid w:val="28F31C90"/>
    <w:rsid w:val="291678C1"/>
    <w:rsid w:val="29415831"/>
    <w:rsid w:val="295B01BA"/>
    <w:rsid w:val="29804E7F"/>
    <w:rsid w:val="299A22A0"/>
    <w:rsid w:val="299B130F"/>
    <w:rsid w:val="29A22F02"/>
    <w:rsid w:val="29D357B2"/>
    <w:rsid w:val="29F545C8"/>
    <w:rsid w:val="2A3B60E3"/>
    <w:rsid w:val="2A6B66A5"/>
    <w:rsid w:val="2A8962DA"/>
    <w:rsid w:val="2A9E289C"/>
    <w:rsid w:val="2AD4533E"/>
    <w:rsid w:val="2B5E72FD"/>
    <w:rsid w:val="2B6A1B7F"/>
    <w:rsid w:val="2B7D1E25"/>
    <w:rsid w:val="2B82123D"/>
    <w:rsid w:val="2BE124D6"/>
    <w:rsid w:val="2C245EB1"/>
    <w:rsid w:val="2C2D2A07"/>
    <w:rsid w:val="2C532DA0"/>
    <w:rsid w:val="2C57797E"/>
    <w:rsid w:val="2CA86A82"/>
    <w:rsid w:val="2CB371D5"/>
    <w:rsid w:val="2CBC42DB"/>
    <w:rsid w:val="2D0D5D1F"/>
    <w:rsid w:val="2D12214D"/>
    <w:rsid w:val="2D5E2035"/>
    <w:rsid w:val="2D864873"/>
    <w:rsid w:val="2DA96B06"/>
    <w:rsid w:val="2E051E23"/>
    <w:rsid w:val="2ED008F1"/>
    <w:rsid w:val="2EE1627B"/>
    <w:rsid w:val="2F221578"/>
    <w:rsid w:val="2F3276C7"/>
    <w:rsid w:val="2F656EAC"/>
    <w:rsid w:val="2F875DDB"/>
    <w:rsid w:val="30007685"/>
    <w:rsid w:val="300F4902"/>
    <w:rsid w:val="303A64D0"/>
    <w:rsid w:val="303B4255"/>
    <w:rsid w:val="30427C69"/>
    <w:rsid w:val="30A0509E"/>
    <w:rsid w:val="30D065A7"/>
    <w:rsid w:val="311B06F3"/>
    <w:rsid w:val="31480833"/>
    <w:rsid w:val="317909ED"/>
    <w:rsid w:val="31D10739"/>
    <w:rsid w:val="31E5110E"/>
    <w:rsid w:val="31FA476A"/>
    <w:rsid w:val="32101599"/>
    <w:rsid w:val="3240775C"/>
    <w:rsid w:val="32827D75"/>
    <w:rsid w:val="32C510AF"/>
    <w:rsid w:val="32D911D9"/>
    <w:rsid w:val="33207934"/>
    <w:rsid w:val="3328400E"/>
    <w:rsid w:val="339B7340"/>
    <w:rsid w:val="33B273BE"/>
    <w:rsid w:val="33D60378"/>
    <w:rsid w:val="33EB1F16"/>
    <w:rsid w:val="34024CC3"/>
    <w:rsid w:val="346F257B"/>
    <w:rsid w:val="34967B08"/>
    <w:rsid w:val="349A316D"/>
    <w:rsid w:val="34B57D75"/>
    <w:rsid w:val="34B63D06"/>
    <w:rsid w:val="34F95019"/>
    <w:rsid w:val="35123632"/>
    <w:rsid w:val="35132F06"/>
    <w:rsid w:val="35192EC2"/>
    <w:rsid w:val="35306BDB"/>
    <w:rsid w:val="354E3F3E"/>
    <w:rsid w:val="359B22B4"/>
    <w:rsid w:val="35C66E2C"/>
    <w:rsid w:val="35E11256"/>
    <w:rsid w:val="35E83F05"/>
    <w:rsid w:val="35FF348B"/>
    <w:rsid w:val="36015455"/>
    <w:rsid w:val="363E00C4"/>
    <w:rsid w:val="369B31B3"/>
    <w:rsid w:val="36C95F72"/>
    <w:rsid w:val="371F5B92"/>
    <w:rsid w:val="375717D0"/>
    <w:rsid w:val="37692CB0"/>
    <w:rsid w:val="37773C20"/>
    <w:rsid w:val="377E2B92"/>
    <w:rsid w:val="37F44BF3"/>
    <w:rsid w:val="38FD49CD"/>
    <w:rsid w:val="39363AEB"/>
    <w:rsid w:val="397330FD"/>
    <w:rsid w:val="39827A59"/>
    <w:rsid w:val="39932267"/>
    <w:rsid w:val="399D4784"/>
    <w:rsid w:val="399F2FBB"/>
    <w:rsid w:val="39B20F40"/>
    <w:rsid w:val="39ED7FCB"/>
    <w:rsid w:val="39F647B9"/>
    <w:rsid w:val="3A811F62"/>
    <w:rsid w:val="3A841EE9"/>
    <w:rsid w:val="3A8D375B"/>
    <w:rsid w:val="3A9F1A72"/>
    <w:rsid w:val="3AC82A1D"/>
    <w:rsid w:val="3ACE216B"/>
    <w:rsid w:val="3AE72E6B"/>
    <w:rsid w:val="3B33742C"/>
    <w:rsid w:val="3B64626A"/>
    <w:rsid w:val="3B7346FF"/>
    <w:rsid w:val="3B7D1841"/>
    <w:rsid w:val="3BA50630"/>
    <w:rsid w:val="3BD333EF"/>
    <w:rsid w:val="3BE60A52"/>
    <w:rsid w:val="3BF740BD"/>
    <w:rsid w:val="3BF75330"/>
    <w:rsid w:val="3C1001A0"/>
    <w:rsid w:val="3C587148"/>
    <w:rsid w:val="3C62791F"/>
    <w:rsid w:val="3C7E3E84"/>
    <w:rsid w:val="3C965237"/>
    <w:rsid w:val="3CFB44C3"/>
    <w:rsid w:val="3D01676D"/>
    <w:rsid w:val="3D121CF5"/>
    <w:rsid w:val="3D2A5291"/>
    <w:rsid w:val="3D6A7D83"/>
    <w:rsid w:val="3D8449A1"/>
    <w:rsid w:val="3D8A2CB0"/>
    <w:rsid w:val="3D8F7591"/>
    <w:rsid w:val="3E272EE8"/>
    <w:rsid w:val="3E344619"/>
    <w:rsid w:val="3E534E03"/>
    <w:rsid w:val="3E864749"/>
    <w:rsid w:val="3E917C19"/>
    <w:rsid w:val="3EBE2135"/>
    <w:rsid w:val="3ED656D0"/>
    <w:rsid w:val="3F12422F"/>
    <w:rsid w:val="3F1F4BA2"/>
    <w:rsid w:val="3F383632"/>
    <w:rsid w:val="3F44662B"/>
    <w:rsid w:val="3F453306"/>
    <w:rsid w:val="3F740A45"/>
    <w:rsid w:val="3FAF58B0"/>
    <w:rsid w:val="3FFF47B3"/>
    <w:rsid w:val="400E7546"/>
    <w:rsid w:val="40183119"/>
    <w:rsid w:val="4052477A"/>
    <w:rsid w:val="4052753A"/>
    <w:rsid w:val="40B30B18"/>
    <w:rsid w:val="413E130B"/>
    <w:rsid w:val="41B7665D"/>
    <w:rsid w:val="422514B1"/>
    <w:rsid w:val="426E79CE"/>
    <w:rsid w:val="42DE4B54"/>
    <w:rsid w:val="43422F5A"/>
    <w:rsid w:val="439416B6"/>
    <w:rsid w:val="4394233B"/>
    <w:rsid w:val="43B35A16"/>
    <w:rsid w:val="441308E0"/>
    <w:rsid w:val="45B7128B"/>
    <w:rsid w:val="45C970A0"/>
    <w:rsid w:val="45EA198E"/>
    <w:rsid w:val="461E51EB"/>
    <w:rsid w:val="467D28D5"/>
    <w:rsid w:val="46902609"/>
    <w:rsid w:val="46B35164"/>
    <w:rsid w:val="46C430DC"/>
    <w:rsid w:val="46D1677D"/>
    <w:rsid w:val="475F022D"/>
    <w:rsid w:val="47704B50"/>
    <w:rsid w:val="48967C7F"/>
    <w:rsid w:val="48BC3499"/>
    <w:rsid w:val="493F20C4"/>
    <w:rsid w:val="49A3337A"/>
    <w:rsid w:val="49BE0F52"/>
    <w:rsid w:val="4A0A0193"/>
    <w:rsid w:val="4A3D4856"/>
    <w:rsid w:val="4A875AD1"/>
    <w:rsid w:val="4A9D48C2"/>
    <w:rsid w:val="4ABB15CA"/>
    <w:rsid w:val="4B0E1D4E"/>
    <w:rsid w:val="4BCC5D64"/>
    <w:rsid w:val="4BD50ABE"/>
    <w:rsid w:val="4BE40D01"/>
    <w:rsid w:val="4C363892"/>
    <w:rsid w:val="4C4023DB"/>
    <w:rsid w:val="4C632900"/>
    <w:rsid w:val="4C787DC7"/>
    <w:rsid w:val="4CA30BBC"/>
    <w:rsid w:val="4CB041A4"/>
    <w:rsid w:val="4D106251"/>
    <w:rsid w:val="4D1D271C"/>
    <w:rsid w:val="4D3073ED"/>
    <w:rsid w:val="4D824567"/>
    <w:rsid w:val="4DA22C22"/>
    <w:rsid w:val="4DC25072"/>
    <w:rsid w:val="4DDA284D"/>
    <w:rsid w:val="4E600F7F"/>
    <w:rsid w:val="4E946A0E"/>
    <w:rsid w:val="4ECB579F"/>
    <w:rsid w:val="4ED32A15"/>
    <w:rsid w:val="4EFE20DA"/>
    <w:rsid w:val="4F136BAF"/>
    <w:rsid w:val="4F5C39D0"/>
    <w:rsid w:val="4F786330"/>
    <w:rsid w:val="4FA9337C"/>
    <w:rsid w:val="501F67AB"/>
    <w:rsid w:val="50852AB2"/>
    <w:rsid w:val="50B9275C"/>
    <w:rsid w:val="50D47596"/>
    <w:rsid w:val="50F15594"/>
    <w:rsid w:val="51000915"/>
    <w:rsid w:val="51025EB1"/>
    <w:rsid w:val="51A451BA"/>
    <w:rsid w:val="51A93D45"/>
    <w:rsid w:val="51D860AE"/>
    <w:rsid w:val="52313BAC"/>
    <w:rsid w:val="5245699D"/>
    <w:rsid w:val="527A416D"/>
    <w:rsid w:val="52B15DE1"/>
    <w:rsid w:val="52C00AB5"/>
    <w:rsid w:val="52CD6993"/>
    <w:rsid w:val="52D32C59"/>
    <w:rsid w:val="52D33227"/>
    <w:rsid w:val="52D7336D"/>
    <w:rsid w:val="52ED493F"/>
    <w:rsid w:val="53516268"/>
    <w:rsid w:val="53BA6F17"/>
    <w:rsid w:val="53C94501"/>
    <w:rsid w:val="54942314"/>
    <w:rsid w:val="54A315F0"/>
    <w:rsid w:val="551F080C"/>
    <w:rsid w:val="557D01FC"/>
    <w:rsid w:val="558649E9"/>
    <w:rsid w:val="559B757A"/>
    <w:rsid w:val="55B21658"/>
    <w:rsid w:val="560222CE"/>
    <w:rsid w:val="560A3E85"/>
    <w:rsid w:val="561E35DE"/>
    <w:rsid w:val="56423283"/>
    <w:rsid w:val="56C47F55"/>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A113609"/>
    <w:rsid w:val="5A124512"/>
    <w:rsid w:val="5A3D61AC"/>
    <w:rsid w:val="5AD61C4C"/>
    <w:rsid w:val="5B063489"/>
    <w:rsid w:val="5B196FF7"/>
    <w:rsid w:val="5B2630E4"/>
    <w:rsid w:val="5B7A6F8C"/>
    <w:rsid w:val="5B852845"/>
    <w:rsid w:val="5B8D3163"/>
    <w:rsid w:val="5BCB45A3"/>
    <w:rsid w:val="5BF226BA"/>
    <w:rsid w:val="5C084598"/>
    <w:rsid w:val="5C2A6C04"/>
    <w:rsid w:val="5C2D0A9F"/>
    <w:rsid w:val="5C78171D"/>
    <w:rsid w:val="5C986C68"/>
    <w:rsid w:val="5CCB4C52"/>
    <w:rsid w:val="5CD235A2"/>
    <w:rsid w:val="5D1256CE"/>
    <w:rsid w:val="5EB629D1"/>
    <w:rsid w:val="5ED43404"/>
    <w:rsid w:val="5F28567D"/>
    <w:rsid w:val="5F5A15AE"/>
    <w:rsid w:val="5F7563E8"/>
    <w:rsid w:val="6025390F"/>
    <w:rsid w:val="602A730A"/>
    <w:rsid w:val="604A0FC0"/>
    <w:rsid w:val="6062071A"/>
    <w:rsid w:val="609E54CA"/>
    <w:rsid w:val="60B60A66"/>
    <w:rsid w:val="60FF065F"/>
    <w:rsid w:val="614348BF"/>
    <w:rsid w:val="61E909C7"/>
    <w:rsid w:val="628F77C1"/>
    <w:rsid w:val="629372B1"/>
    <w:rsid w:val="631906FD"/>
    <w:rsid w:val="638D7E1B"/>
    <w:rsid w:val="63E33020"/>
    <w:rsid w:val="63F313D6"/>
    <w:rsid w:val="641F4B74"/>
    <w:rsid w:val="64300B2F"/>
    <w:rsid w:val="644A7E43"/>
    <w:rsid w:val="644B29EB"/>
    <w:rsid w:val="64C21A65"/>
    <w:rsid w:val="64D2036D"/>
    <w:rsid w:val="6503311C"/>
    <w:rsid w:val="651641C9"/>
    <w:rsid w:val="656D7047"/>
    <w:rsid w:val="65943DCC"/>
    <w:rsid w:val="6645502F"/>
    <w:rsid w:val="66592A75"/>
    <w:rsid w:val="66B33C62"/>
    <w:rsid w:val="66CB34B0"/>
    <w:rsid w:val="66CE552F"/>
    <w:rsid w:val="66F978FF"/>
    <w:rsid w:val="67005A4F"/>
    <w:rsid w:val="67010C05"/>
    <w:rsid w:val="674F1B70"/>
    <w:rsid w:val="67607CDE"/>
    <w:rsid w:val="67795450"/>
    <w:rsid w:val="67987117"/>
    <w:rsid w:val="67BA0013"/>
    <w:rsid w:val="67C33BC0"/>
    <w:rsid w:val="67FA392E"/>
    <w:rsid w:val="6874548F"/>
    <w:rsid w:val="687F5F93"/>
    <w:rsid w:val="68B95597"/>
    <w:rsid w:val="68F41F57"/>
    <w:rsid w:val="69054339"/>
    <w:rsid w:val="6914022D"/>
    <w:rsid w:val="696C260A"/>
    <w:rsid w:val="699851AD"/>
    <w:rsid w:val="699B2EEF"/>
    <w:rsid w:val="699D6C67"/>
    <w:rsid w:val="69B84EDC"/>
    <w:rsid w:val="6A0339D1"/>
    <w:rsid w:val="6A2151A2"/>
    <w:rsid w:val="6ACC771E"/>
    <w:rsid w:val="6AE727FB"/>
    <w:rsid w:val="6B476A1E"/>
    <w:rsid w:val="6B4C44A1"/>
    <w:rsid w:val="6B755743"/>
    <w:rsid w:val="6BAA7419"/>
    <w:rsid w:val="6BE248E5"/>
    <w:rsid w:val="6C021003"/>
    <w:rsid w:val="6C1F1BB5"/>
    <w:rsid w:val="6C540873"/>
    <w:rsid w:val="6C6F1216"/>
    <w:rsid w:val="6C9A56E0"/>
    <w:rsid w:val="6CA82785"/>
    <w:rsid w:val="6CB20E55"/>
    <w:rsid w:val="6CE85848"/>
    <w:rsid w:val="6D15191A"/>
    <w:rsid w:val="6D3A6CB4"/>
    <w:rsid w:val="6D6B4986"/>
    <w:rsid w:val="6DEA61F3"/>
    <w:rsid w:val="6DFC5FDF"/>
    <w:rsid w:val="6E0D2F46"/>
    <w:rsid w:val="6E3D6323"/>
    <w:rsid w:val="6E9E40AE"/>
    <w:rsid w:val="6EA97E5C"/>
    <w:rsid w:val="6ECC5FE7"/>
    <w:rsid w:val="6EDB6140"/>
    <w:rsid w:val="6F9E1043"/>
    <w:rsid w:val="6FB14B95"/>
    <w:rsid w:val="6FBB39A3"/>
    <w:rsid w:val="6FD42CB7"/>
    <w:rsid w:val="70077DE7"/>
    <w:rsid w:val="7029485D"/>
    <w:rsid w:val="70B56644"/>
    <w:rsid w:val="710366B1"/>
    <w:rsid w:val="71CF1988"/>
    <w:rsid w:val="71D13952"/>
    <w:rsid w:val="722021E3"/>
    <w:rsid w:val="723C4321"/>
    <w:rsid w:val="72800ED4"/>
    <w:rsid w:val="72F316A6"/>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8B0767"/>
    <w:rsid w:val="75B275F6"/>
    <w:rsid w:val="761422CC"/>
    <w:rsid w:val="76224CCF"/>
    <w:rsid w:val="762F6E99"/>
    <w:rsid w:val="76530DD9"/>
    <w:rsid w:val="770B16B4"/>
    <w:rsid w:val="770E4B54"/>
    <w:rsid w:val="772E7150"/>
    <w:rsid w:val="77A15B74"/>
    <w:rsid w:val="77A86F03"/>
    <w:rsid w:val="77F0668A"/>
    <w:rsid w:val="785045C8"/>
    <w:rsid w:val="789456D9"/>
    <w:rsid w:val="79020895"/>
    <w:rsid w:val="79110AD8"/>
    <w:rsid w:val="791A1FD1"/>
    <w:rsid w:val="791A5BDE"/>
    <w:rsid w:val="79294073"/>
    <w:rsid w:val="79AE6381"/>
    <w:rsid w:val="7AA535EF"/>
    <w:rsid w:val="7B2B0079"/>
    <w:rsid w:val="7B4C4049"/>
    <w:rsid w:val="7B4C6C5F"/>
    <w:rsid w:val="7B590514"/>
    <w:rsid w:val="7B5F2B22"/>
    <w:rsid w:val="7B833D31"/>
    <w:rsid w:val="7BAC2D3A"/>
    <w:rsid w:val="7BC71BE8"/>
    <w:rsid w:val="7BCE7F00"/>
    <w:rsid w:val="7BEE3352"/>
    <w:rsid w:val="7C0E12FE"/>
    <w:rsid w:val="7C213CD7"/>
    <w:rsid w:val="7C2F624D"/>
    <w:rsid w:val="7C6A15B3"/>
    <w:rsid w:val="7CFA01CB"/>
    <w:rsid w:val="7D2E5D91"/>
    <w:rsid w:val="7DA55C93"/>
    <w:rsid w:val="7DCD5C31"/>
    <w:rsid w:val="7E4D2CFE"/>
    <w:rsid w:val="7E741677"/>
    <w:rsid w:val="7E8D404B"/>
    <w:rsid w:val="7F46479C"/>
    <w:rsid w:val="7F6364A4"/>
    <w:rsid w:val="7FA75CF2"/>
    <w:rsid w:val="7FB7473A"/>
    <w:rsid w:val="7FF54CA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B3FF8"/>
    <w:pPr>
      <w:widowControl w:val="0"/>
      <w:jc w:val="both"/>
    </w:pPr>
    <w:rPr>
      <w:rFonts w:asciiTheme="minorHAnsi" w:eastAsiaTheme="minorEastAsia" w:hAnsiTheme="minorHAnsi" w:cstheme="minorBidi"/>
      <w:kern w:val="2"/>
      <w:sz w:val="21"/>
      <w:szCs w:val="22"/>
      <w:lang w:eastAsia="zh-CN"/>
    </w:rPr>
  </w:style>
  <w:style w:type="paragraph" w:styleId="1">
    <w:name w:val="heading 1"/>
    <w:basedOn w:val="a1"/>
    <w:next w:val="a1"/>
    <w:uiPriority w:val="9"/>
    <w:qFormat/>
    <w:rsid w:val="008B3FF8"/>
    <w:pPr>
      <w:keepNext/>
      <w:keepLines/>
      <w:spacing w:line="576" w:lineRule="auto"/>
      <w:outlineLvl w:val="0"/>
    </w:pPr>
    <w:rPr>
      <w:b/>
      <w:kern w:val="44"/>
      <w:sz w:val="44"/>
    </w:rPr>
  </w:style>
  <w:style w:type="paragraph" w:styleId="2">
    <w:name w:val="heading 2"/>
    <w:basedOn w:val="a1"/>
    <w:next w:val="a1"/>
    <w:uiPriority w:val="9"/>
    <w:unhideWhenUsed/>
    <w:qFormat/>
    <w:rsid w:val="008B3FF8"/>
    <w:pPr>
      <w:keepNext/>
      <w:keepLines/>
      <w:spacing w:line="413" w:lineRule="auto"/>
      <w:outlineLvl w:val="1"/>
    </w:pPr>
    <w:rPr>
      <w:rFonts w:ascii="Arial" w:eastAsia="黑体" w:hAnsi="Arial"/>
      <w:b/>
      <w:sz w:val="3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Char"/>
    <w:uiPriority w:val="99"/>
    <w:unhideWhenUsed/>
    <w:qFormat/>
    <w:rsid w:val="008B3FF8"/>
    <w:pPr>
      <w:tabs>
        <w:tab w:val="center" w:pos="4153"/>
        <w:tab w:val="right" w:pos="8306"/>
      </w:tabs>
      <w:snapToGrid w:val="0"/>
      <w:jc w:val="left"/>
    </w:pPr>
    <w:rPr>
      <w:sz w:val="18"/>
      <w:szCs w:val="18"/>
    </w:rPr>
  </w:style>
  <w:style w:type="paragraph" w:styleId="a6">
    <w:name w:val="header"/>
    <w:basedOn w:val="a1"/>
    <w:link w:val="Char0"/>
    <w:uiPriority w:val="99"/>
    <w:unhideWhenUsed/>
    <w:qFormat/>
    <w:rsid w:val="008B3FF8"/>
    <w:pPr>
      <w:pBdr>
        <w:bottom w:val="single" w:sz="6" w:space="1" w:color="auto"/>
      </w:pBdr>
      <w:tabs>
        <w:tab w:val="center" w:pos="4153"/>
        <w:tab w:val="right" w:pos="8306"/>
      </w:tabs>
      <w:snapToGrid w:val="0"/>
      <w:jc w:val="center"/>
    </w:pPr>
    <w:rPr>
      <w:sz w:val="18"/>
      <w:szCs w:val="18"/>
    </w:rPr>
  </w:style>
  <w:style w:type="character" w:styleId="a7">
    <w:name w:val="Hyperlink"/>
    <w:basedOn w:val="a2"/>
    <w:qFormat/>
    <w:rsid w:val="008B3FF8"/>
    <w:rPr>
      <w:color w:val="0000FF"/>
      <w:u w:val="single"/>
    </w:rPr>
  </w:style>
  <w:style w:type="character" w:customStyle="1" w:styleId="Char0">
    <w:name w:val="页眉 Char"/>
    <w:basedOn w:val="a2"/>
    <w:link w:val="a6"/>
    <w:uiPriority w:val="99"/>
    <w:qFormat/>
    <w:rsid w:val="008B3FF8"/>
    <w:rPr>
      <w:sz w:val="18"/>
      <w:szCs w:val="18"/>
    </w:rPr>
  </w:style>
  <w:style w:type="character" w:customStyle="1" w:styleId="Char">
    <w:name w:val="页脚 Char"/>
    <w:basedOn w:val="a2"/>
    <w:link w:val="a5"/>
    <w:uiPriority w:val="99"/>
    <w:qFormat/>
    <w:rsid w:val="008B3FF8"/>
    <w:rPr>
      <w:sz w:val="18"/>
      <w:szCs w:val="18"/>
    </w:rPr>
  </w:style>
  <w:style w:type="character" w:customStyle="1" w:styleId="rowtreelevel3">
    <w:name w:val="row_tree_level_3"/>
    <w:basedOn w:val="a2"/>
    <w:qFormat/>
    <w:rsid w:val="008B3FF8"/>
  </w:style>
  <w:style w:type="character" w:customStyle="1" w:styleId="rowtreelevel4">
    <w:name w:val="row_tree_level_4"/>
    <w:basedOn w:val="a2"/>
    <w:qFormat/>
    <w:rsid w:val="008B3FF8"/>
  </w:style>
  <w:style w:type="paragraph" w:customStyle="1" w:styleId="p0">
    <w:name w:val="p0"/>
    <w:basedOn w:val="a1"/>
    <w:qFormat/>
    <w:rsid w:val="008B3FF8"/>
    <w:pPr>
      <w:widowControl/>
    </w:pPr>
    <w:rPr>
      <w:rFonts w:ascii="Times New Roman" w:eastAsia="宋体" w:hAnsi="Times New Roman" w:cs="Times New Roman"/>
      <w:kern w:val="0"/>
      <w:szCs w:val="21"/>
    </w:rPr>
  </w:style>
  <w:style w:type="character" w:customStyle="1" w:styleId="15">
    <w:name w:val="15"/>
    <w:basedOn w:val="a2"/>
    <w:qFormat/>
    <w:rsid w:val="008B3FF8"/>
    <w:rPr>
      <w:rFonts w:ascii="Times New Roman" w:hAnsi="Times New Roman" w:cs="Times New Roman" w:hint="default"/>
      <w:sz w:val="20"/>
      <w:szCs w:val="20"/>
    </w:rPr>
  </w:style>
  <w:style w:type="character" w:customStyle="1" w:styleId="font01">
    <w:name w:val="font01"/>
    <w:basedOn w:val="a2"/>
    <w:qFormat/>
    <w:rsid w:val="008B3FF8"/>
    <w:rPr>
      <w:rFonts w:ascii="等线" w:eastAsia="等线" w:hAnsi="等线" w:cs="等线" w:hint="eastAsia"/>
      <w:color w:val="000000"/>
      <w:sz w:val="22"/>
      <w:szCs w:val="22"/>
      <w:u w:val="none"/>
    </w:rPr>
  </w:style>
  <w:style w:type="paragraph" w:customStyle="1" w:styleId="a8">
    <w:name w:val="标题 方正小标宋 二号 不加粗"/>
    <w:basedOn w:val="a1"/>
    <w:qFormat/>
    <w:rsid w:val="008B3FF8"/>
    <w:pPr>
      <w:spacing w:line="660" w:lineRule="exact"/>
      <w:jc w:val="center"/>
    </w:pPr>
    <w:rPr>
      <w:rFonts w:ascii="方正小标宋简体" w:eastAsia="方正小标宋简体" w:hAnsi="方正小标宋简体" w:cs="方正小标宋简体" w:hint="eastAsia"/>
      <w:sz w:val="44"/>
      <w:szCs w:val="44"/>
    </w:rPr>
  </w:style>
  <w:style w:type="paragraph" w:customStyle="1" w:styleId="a">
    <w:name w:val="一级标题 黑体三号不加粗"/>
    <w:basedOn w:val="a1"/>
    <w:next w:val="a1"/>
    <w:qFormat/>
    <w:rsid w:val="008B3FF8"/>
    <w:pPr>
      <w:keepNext/>
      <w:keepLines/>
      <w:numPr>
        <w:numId w:val="1"/>
      </w:numPr>
      <w:spacing w:line="600" w:lineRule="exact"/>
      <w:ind w:firstLineChars="200" w:firstLine="723"/>
      <w:outlineLvl w:val="0"/>
    </w:pPr>
    <w:rPr>
      <w:rFonts w:ascii="黑体" w:eastAsia="黑体" w:hAnsi="黑体"/>
      <w:kern w:val="44"/>
      <w:sz w:val="32"/>
      <w:szCs w:val="32"/>
    </w:rPr>
  </w:style>
  <w:style w:type="paragraph" w:customStyle="1" w:styleId="a9">
    <w:name w:val="正文 仿宋国标三号 不加粗"/>
    <w:basedOn w:val="a1"/>
    <w:qFormat/>
    <w:rsid w:val="008B3FF8"/>
    <w:pPr>
      <w:spacing w:line="600" w:lineRule="exact"/>
      <w:ind w:firstLineChars="200" w:firstLine="880"/>
    </w:pPr>
    <w:rPr>
      <w:rFonts w:ascii="仿宋_GB2312" w:eastAsia="仿宋_GB2312" w:hAnsi="仿宋_GB2312"/>
      <w:sz w:val="32"/>
      <w:szCs w:val="32"/>
    </w:rPr>
  </w:style>
  <w:style w:type="paragraph" w:customStyle="1" w:styleId="a0">
    <w:name w:val="二级标题 楷体国标 三号不加粗"/>
    <w:basedOn w:val="a1"/>
    <w:next w:val="a1"/>
    <w:qFormat/>
    <w:rsid w:val="008B3FF8"/>
    <w:pPr>
      <w:keepNext/>
      <w:keepLines/>
      <w:numPr>
        <w:numId w:val="2"/>
      </w:numPr>
      <w:spacing w:line="600" w:lineRule="exact"/>
      <w:ind w:firstLineChars="200" w:firstLine="200"/>
      <w:outlineLvl w:val="1"/>
    </w:pPr>
    <w:rPr>
      <w:rFonts w:ascii="楷体_GB2312" w:eastAsia="楷体_GB2312" w:hAnsi="楷体_GB2312"/>
      <w:b/>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387</TotalTime>
  <Pages>22</Pages>
  <Words>1528</Words>
  <Characters>8711</Characters>
  <Application>Microsoft Office Word</Application>
  <DocSecurity>0</DocSecurity>
  <Lines>72</Lines>
  <Paragraphs>20</Paragraphs>
  <ScaleCrop>false</ScaleCrop>
  <Company/>
  <LinksUpToDate>false</LinksUpToDate>
  <CharactersWithSpaces>10219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user</cp:lastModifiedBy>
  <cp:revision>30</cp:revision>
  <dcterms:created xsi:type="dcterms:W3CDTF">2025-12-18T11:22:00Z</dcterms:created>
  <dcterms:modified xsi:type="dcterms:W3CDTF">2026-03-06T08:34:00Z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97DE4861186A498F85D2D6E5BA9C76BC_13</vt:lpwstr>
  </property>
  <property fmtid="{D5CDD505-2E9C-101B-9397-08002B2CF9AE}" pid="3" name="KSOProductBuildVer">
    <vt:lpwstr>2052-12.1.0.16929</vt:lpwstr>
  </property>
</Properties>
</file>