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CA353">
      <w:pPr>
        <w:pStyle w:val="4"/>
        <w:bidi w:val="0"/>
        <w:outlineLvl w:val="9"/>
        <w:rPr>
          <w:rFonts w:hint="default"/>
          <w:lang w:val="en-US" w:eastAsia="zh-CN"/>
        </w:rPr>
      </w:pPr>
      <w:r>
        <w:rPr>
          <w:rFonts w:hint="eastAsia"/>
          <w:lang w:val="en-US" w:eastAsia="zh-CN"/>
        </w:rPr>
        <w:t xml:space="preserve"> </w:t>
      </w:r>
    </w:p>
    <w:p w14:paraId="149BDF9B">
      <w:pPr>
        <w:rPr>
          <w:rFonts w:hint="eastAsia"/>
          <w:lang w:val="en-US" w:eastAsia="zh-CN"/>
        </w:rPr>
      </w:pPr>
    </w:p>
    <w:p w14:paraId="7F424C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w w:val="100"/>
          <w:sz w:val="44"/>
          <w:szCs w:val="44"/>
          <w:lang w:val="en-US" w:eastAsia="zh-CN"/>
        </w:rPr>
      </w:pPr>
      <w:r>
        <w:rPr>
          <w:rFonts w:hint="eastAsia" w:ascii="黑体" w:hAnsi="黑体" w:eastAsia="黑体" w:cs="黑体"/>
          <w:b/>
          <w:bCs/>
          <w:w w:val="100"/>
          <w:sz w:val="44"/>
          <w:szCs w:val="44"/>
          <w:lang w:val="en-US" w:eastAsia="zh-CN"/>
        </w:rPr>
        <w:t>2020年度南昌市青云谱区</w:t>
      </w:r>
      <w:r>
        <w:rPr>
          <w:rFonts w:hint="eastAsia" w:ascii="黑体" w:hAnsi="黑体" w:eastAsia="黑体" w:cs="黑体"/>
          <w:b/>
          <w:color w:val="000000"/>
          <w:kern w:val="0"/>
          <w:sz w:val="44"/>
          <w:szCs w:val="44"/>
        </w:rPr>
        <w:t>医疗保障局</w:t>
      </w:r>
    </w:p>
    <w:p w14:paraId="147DE7B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w w:val="100"/>
          <w:sz w:val="44"/>
          <w:szCs w:val="44"/>
          <w:lang w:val="en-US" w:eastAsia="zh-CN"/>
        </w:rPr>
      </w:pPr>
      <w:r>
        <w:rPr>
          <w:rFonts w:hint="eastAsia" w:ascii="黑体" w:hAnsi="黑体" w:eastAsia="黑体" w:cs="黑体"/>
          <w:b/>
          <w:bCs/>
          <w:w w:val="100"/>
          <w:sz w:val="44"/>
          <w:szCs w:val="44"/>
          <w:lang w:val="en-US" w:eastAsia="zh-CN"/>
        </w:rPr>
        <w:t>部门整体支出绩效评价报告</w:t>
      </w:r>
    </w:p>
    <w:p w14:paraId="2D0EC91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0D6420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5B966A8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3846871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024FF3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1C14439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2236601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697308B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02C43D3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13D8F60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35753D0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01390B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738FD1B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6177A1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p>
    <w:p w14:paraId="0C7968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江西源起思成管理咨询有限公司</w:t>
      </w:r>
    </w:p>
    <w:p w14:paraId="334C417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sz w:val="44"/>
          <w:szCs w:val="44"/>
          <w:lang w:val="en-US" w:eastAsia="zh-CN"/>
        </w:rPr>
        <w:sectPr>
          <w:headerReference r:id="rId5" w:type="default"/>
          <w:pgSz w:w="11906" w:h="16838"/>
          <w:pgMar w:top="1440" w:right="1800" w:bottom="1440" w:left="1800" w:header="851" w:footer="992" w:gutter="0"/>
          <w:cols w:space="425" w:num="1"/>
          <w:docGrid w:type="lines" w:linePitch="312" w:charSpace="0"/>
        </w:sectPr>
      </w:pPr>
      <w:r>
        <w:rPr>
          <w:rFonts w:hint="eastAsia" w:ascii="黑体" w:hAnsi="黑体" w:eastAsia="黑体" w:cs="黑体"/>
          <w:b/>
          <w:bCs/>
          <w:sz w:val="44"/>
          <w:szCs w:val="44"/>
          <w:lang w:val="en-US" w:eastAsia="zh-CN"/>
        </w:rPr>
        <w:t>2021年11月10日</w:t>
      </w:r>
    </w:p>
    <w:sdt>
      <w:sdtPr>
        <w:rPr>
          <w:rFonts w:hint="eastAsia" w:ascii="黑体" w:hAnsi="黑体" w:eastAsia="黑体" w:cs="黑体"/>
          <w:kern w:val="2"/>
          <w:sz w:val="32"/>
          <w:szCs w:val="32"/>
          <w:lang w:val="en-US" w:eastAsia="zh-CN" w:bidi="ar-SA"/>
        </w:rPr>
        <w:id w:val="147458616"/>
        <w15:color w:val="DBDBDB"/>
        <w:docPartObj>
          <w:docPartGallery w:val="Table of Contents"/>
          <w:docPartUnique/>
        </w:docPartObj>
      </w:sdtPr>
      <w:sdtEndPr>
        <w:rPr>
          <w:rFonts w:hint="eastAsia" w:ascii="宋体" w:hAnsi="宋体" w:eastAsia="宋体" w:cs="宋体"/>
          <w:b/>
          <w:kern w:val="2"/>
          <w:sz w:val="28"/>
          <w:szCs w:val="28"/>
          <w:lang w:val="en-US" w:eastAsia="zh-CN" w:bidi="ar-SA"/>
        </w:rPr>
      </w:sdtEndPr>
      <w:sdtContent>
        <w:p w14:paraId="1CC1C158">
          <w:pPr>
            <w:keepNext w:val="0"/>
            <w:keepLines w:val="0"/>
            <w:pageBreakBefore w:val="0"/>
            <w:kinsoku/>
            <w:wordWrap/>
            <w:overflowPunct/>
            <w:topLinePunct w:val="0"/>
            <w:autoSpaceDE/>
            <w:autoSpaceDN/>
            <w:bidi w:val="0"/>
            <w:adjustRightInd/>
            <w:snapToGrid/>
            <w:spacing w:before="0" w:beforeLines="0" w:after="0" w:afterLines="0" w:line="600" w:lineRule="auto"/>
            <w:ind w:left="0" w:leftChars="0" w:right="0" w:righ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7D6D7973">
          <w:pPr>
            <w:pStyle w:val="21"/>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TOC \o "1-2" \h \u </w:instrText>
          </w:r>
          <w:r>
            <w:rPr>
              <w:rFonts w:hint="eastAsia" w:ascii="宋体" w:hAnsi="宋体" w:eastAsia="宋体" w:cs="宋体"/>
              <w:sz w:val="28"/>
              <w:szCs w:val="28"/>
              <w:lang w:val="en-US" w:eastAsia="zh-CN"/>
            </w:rPr>
            <w:fldChar w:fldCharType="separate"/>
          </w: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_Toc23807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一、部门（单位）概况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_Toc23807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1</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4625545A">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_Toc19202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（一）部门（单位）主要职责职能，组织架构、人员及资产</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_Toc19202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1</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2F6A8994">
          <w:pPr>
            <w:pStyle w:val="22"/>
            <w:keepNext w:val="0"/>
            <w:keepLines w:val="0"/>
            <w:pageBreakBefore w:val="0"/>
            <w:tabs>
              <w:tab w:val="right" w:leader="dot" w:pos="8306"/>
            </w:tabs>
            <w:kinsoku/>
            <w:wordWrap/>
            <w:overflowPunct/>
            <w:topLinePunct w:val="0"/>
            <w:autoSpaceDE/>
            <w:autoSpaceDN/>
            <w:bidi w:val="0"/>
            <w:adjustRightInd/>
            <w:snapToGrid/>
            <w:spacing w:line="600" w:lineRule="auto"/>
            <w:ind w:left="0" w:leftChars="0" w:firstLine="0" w:firstLineChars="0"/>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_Toc14053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等基本情况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_Toc14053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1</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54736329">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_Toc16423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（二）当年部门（单位）履职总体目标、工作任务</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_Toc16423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2</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63A588B9">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_Toc12685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（三）当年部门（单位）年度整体支出绩效目标</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_Toc12685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5</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19C234FD">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_Toc6666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（四）部门（单位）预算绩效管理开展情况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_Toc6666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5</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3D69D6B4">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_Toc15865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（五）当年部门（单位）预算及执行情况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_Toc15865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5</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3CBE3D2D">
          <w:pPr>
            <w:pStyle w:val="21"/>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_Toc16299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二、部门（单位）整体支出绩效实现情况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_Toc16299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6</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0D6820A4">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_Toc8456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（一）履职完成情况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_Toc8456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6</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648E3806">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_Toc31944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（二）履职效果情况</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_Toc31944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8</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6EB4D192">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_Toc4211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（三）社会满意度及可持续性影响</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_Toc4211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9</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4EBA7694">
          <w:pPr>
            <w:pStyle w:val="21"/>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_Toc11615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三、部门（单位）整体支出绩效中存在问题及改进措施</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_Toc11615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10</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4DAED126">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_Toc10434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（一）主要问题及原因分析</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_Toc10434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10</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66864E2E">
          <w:pPr>
            <w:pStyle w:val="22"/>
            <w:keepNext w:val="0"/>
            <w:keepLines w:val="0"/>
            <w:pageBreakBefore w:val="0"/>
            <w:tabs>
              <w:tab w:val="right" w:leader="dot" w:pos="8306"/>
            </w:tabs>
            <w:kinsoku/>
            <w:wordWrap/>
            <w:overflowPunct/>
            <w:topLinePunct w:val="0"/>
            <w:autoSpaceDE/>
            <w:autoSpaceDN/>
            <w:bidi w:val="0"/>
            <w:adjustRightInd/>
            <w:snapToGrid/>
            <w:spacing w:line="600" w:lineRule="auto"/>
            <w:textAlignment w:val="auto"/>
            <w:rPr>
              <w:rFonts w:hint="eastAsia" w:ascii="宋体" w:hAnsi="宋体" w:eastAsia="宋体" w:cs="宋体"/>
              <w:sz w:val="28"/>
              <w:szCs w:val="28"/>
            </w:rPr>
          </w:pPr>
          <w:r>
            <w:rPr>
              <w:rFonts w:hint="eastAsia" w:ascii="仿宋" w:hAnsi="仿宋" w:eastAsia="仿宋" w:cs="仿宋"/>
              <w:b w:val="0"/>
              <w:bCs/>
              <w:sz w:val="28"/>
              <w:szCs w:val="28"/>
              <w:lang w:val="en-US" w:eastAsia="zh-CN"/>
            </w:rPr>
            <w:fldChar w:fldCharType="begin"/>
          </w:r>
          <w:r>
            <w:rPr>
              <w:rFonts w:hint="eastAsia" w:ascii="仿宋" w:hAnsi="仿宋" w:eastAsia="仿宋" w:cs="仿宋"/>
              <w:b w:val="0"/>
              <w:bCs/>
              <w:sz w:val="28"/>
              <w:szCs w:val="28"/>
              <w:lang w:val="en-US" w:eastAsia="zh-CN"/>
            </w:rPr>
            <w:instrText xml:space="preserve"> HYPERLINK \l _Toc29268 </w:instrText>
          </w:r>
          <w:r>
            <w:rPr>
              <w:rFonts w:hint="eastAsia" w:ascii="仿宋" w:hAnsi="仿宋" w:eastAsia="仿宋" w:cs="仿宋"/>
              <w:b w:val="0"/>
              <w:bCs/>
              <w:sz w:val="28"/>
              <w:szCs w:val="28"/>
              <w:lang w:val="en-US" w:eastAsia="zh-CN"/>
            </w:rPr>
            <w:fldChar w:fldCharType="separate"/>
          </w:r>
          <w:r>
            <w:rPr>
              <w:rFonts w:hint="eastAsia" w:ascii="仿宋" w:hAnsi="仿宋" w:eastAsia="仿宋" w:cs="仿宋"/>
              <w:b w:val="0"/>
              <w:bCs/>
              <w:sz w:val="28"/>
              <w:szCs w:val="28"/>
              <w:lang w:val="en-US" w:eastAsia="zh-CN"/>
            </w:rPr>
            <w:t>（二）改进的方向和具体措施</w:t>
          </w:r>
          <w:r>
            <w:rPr>
              <w:rFonts w:hint="eastAsia" w:ascii="仿宋" w:hAnsi="仿宋" w:eastAsia="仿宋" w:cs="仿宋"/>
              <w:b w:val="0"/>
              <w:bCs/>
              <w:sz w:val="28"/>
              <w:szCs w:val="28"/>
            </w:rPr>
            <w:tab/>
          </w:r>
          <w:r>
            <w:rPr>
              <w:rFonts w:hint="eastAsia" w:ascii="仿宋" w:hAnsi="仿宋" w:eastAsia="仿宋" w:cs="仿宋"/>
              <w:b w:val="0"/>
              <w:bCs/>
              <w:sz w:val="28"/>
              <w:szCs w:val="28"/>
            </w:rPr>
            <w:fldChar w:fldCharType="begin"/>
          </w:r>
          <w:r>
            <w:rPr>
              <w:rFonts w:hint="eastAsia" w:ascii="仿宋" w:hAnsi="仿宋" w:eastAsia="仿宋" w:cs="仿宋"/>
              <w:b w:val="0"/>
              <w:bCs/>
              <w:sz w:val="28"/>
              <w:szCs w:val="28"/>
            </w:rPr>
            <w:instrText xml:space="preserve"> PAGEREF _Toc29268 </w:instrText>
          </w:r>
          <w:r>
            <w:rPr>
              <w:rFonts w:hint="eastAsia" w:ascii="仿宋" w:hAnsi="仿宋" w:eastAsia="仿宋" w:cs="仿宋"/>
              <w:b w:val="0"/>
              <w:bCs/>
              <w:sz w:val="28"/>
              <w:szCs w:val="28"/>
            </w:rPr>
            <w:fldChar w:fldCharType="separate"/>
          </w:r>
          <w:r>
            <w:rPr>
              <w:rFonts w:hint="eastAsia" w:ascii="仿宋" w:hAnsi="仿宋" w:eastAsia="仿宋" w:cs="仿宋"/>
              <w:b w:val="0"/>
              <w:bCs/>
              <w:sz w:val="28"/>
              <w:szCs w:val="28"/>
            </w:rPr>
            <w:t>11</w:t>
          </w:r>
          <w:r>
            <w:rPr>
              <w:rFonts w:hint="eastAsia" w:ascii="仿宋" w:hAnsi="仿宋" w:eastAsia="仿宋" w:cs="仿宋"/>
              <w:b w:val="0"/>
              <w:bCs/>
              <w:sz w:val="28"/>
              <w:szCs w:val="28"/>
            </w:rPr>
            <w:fldChar w:fldCharType="end"/>
          </w:r>
          <w:r>
            <w:rPr>
              <w:rFonts w:hint="eastAsia" w:ascii="仿宋" w:hAnsi="仿宋" w:eastAsia="仿宋" w:cs="仿宋"/>
              <w:b w:val="0"/>
              <w:bCs/>
              <w:sz w:val="28"/>
              <w:szCs w:val="28"/>
              <w:lang w:val="en-US" w:eastAsia="zh-CN"/>
            </w:rPr>
            <w:fldChar w:fldCharType="end"/>
          </w:r>
        </w:p>
        <w:p w14:paraId="7FADA564">
          <w:pPr>
            <w:keepNext w:val="0"/>
            <w:keepLines w:val="0"/>
            <w:pageBreakBefore w:val="0"/>
            <w:widowControl w:val="0"/>
            <w:kinsoku/>
            <w:wordWrap/>
            <w:overflowPunct/>
            <w:topLinePunct w:val="0"/>
            <w:autoSpaceDE/>
            <w:autoSpaceDN/>
            <w:bidi w:val="0"/>
            <w:adjustRightInd/>
            <w:snapToGrid/>
            <w:spacing w:line="600" w:lineRule="auto"/>
            <w:ind w:firstLine="0" w:firstLineChars="0"/>
            <w:jc w:val="center"/>
            <w:textAlignment w:val="auto"/>
            <w:rPr>
              <w:rFonts w:hint="eastAsia" w:ascii="宋体" w:hAnsi="宋体" w:eastAsia="宋体" w:cs="宋体"/>
              <w:sz w:val="28"/>
              <w:szCs w:val="28"/>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sz w:val="28"/>
              <w:szCs w:val="28"/>
              <w:lang w:val="en-US" w:eastAsia="zh-CN"/>
            </w:rPr>
            <w:fldChar w:fldCharType="end"/>
          </w:r>
        </w:p>
      </w:sdtContent>
    </w:sdt>
    <w:p w14:paraId="424EF0C4">
      <w:pPr>
        <w:pStyle w:val="4"/>
        <w:bidi w:val="0"/>
        <w:rPr>
          <w:rFonts w:hint="eastAsia" w:ascii="黑体" w:hAnsi="黑体" w:eastAsia="黑体" w:cs="黑体"/>
          <w:lang w:val="en-US" w:eastAsia="zh-CN"/>
        </w:rPr>
      </w:pPr>
      <w:bookmarkStart w:id="0" w:name="_Toc23807"/>
      <w:bookmarkStart w:id="1" w:name="_Toc17371"/>
      <w:bookmarkStart w:id="2" w:name="_Toc3807"/>
      <w:r>
        <w:rPr>
          <w:rFonts w:hint="eastAsia" w:ascii="黑体" w:hAnsi="黑体" w:eastAsia="黑体" w:cs="黑体"/>
          <w:lang w:val="en-US" w:eastAsia="zh-CN"/>
        </w:rPr>
        <w:t>一、部门（单位）概况</w:t>
      </w:r>
      <w:bookmarkEnd w:id="0"/>
      <w:bookmarkEnd w:id="1"/>
      <w:bookmarkEnd w:id="2"/>
    </w:p>
    <w:p w14:paraId="700661F2">
      <w:pPr>
        <w:pStyle w:val="5"/>
        <w:bidi w:val="0"/>
        <w:rPr>
          <w:rFonts w:hint="eastAsia" w:ascii="黑体" w:hAnsi="黑体" w:eastAsia="黑体" w:cs="黑体"/>
          <w:lang w:val="en-US" w:eastAsia="zh-CN"/>
        </w:rPr>
      </w:pPr>
      <w:bookmarkStart w:id="3" w:name="_Toc19202"/>
      <w:bookmarkStart w:id="4" w:name="_Toc3763"/>
      <w:bookmarkStart w:id="5" w:name="_Toc13153"/>
      <w:r>
        <w:rPr>
          <w:rFonts w:hint="eastAsia" w:ascii="黑体" w:hAnsi="黑体" w:eastAsia="黑体" w:cs="黑体"/>
          <w:lang w:val="en-US" w:eastAsia="zh-CN"/>
        </w:rPr>
        <w:t>（一）部门（单位）主要职责职能，组织架构、人员及资产</w:t>
      </w:r>
      <w:bookmarkEnd w:id="3"/>
      <w:bookmarkEnd w:id="4"/>
      <w:bookmarkEnd w:id="5"/>
    </w:p>
    <w:p w14:paraId="25336690">
      <w:pPr>
        <w:pStyle w:val="5"/>
        <w:bidi w:val="0"/>
        <w:rPr>
          <w:rFonts w:hint="eastAsia" w:ascii="黑体" w:hAnsi="黑体" w:eastAsia="黑体" w:cs="黑体"/>
          <w:lang w:val="en-US" w:eastAsia="zh-CN"/>
        </w:rPr>
      </w:pPr>
      <w:bookmarkStart w:id="6" w:name="_Toc21071"/>
      <w:bookmarkStart w:id="7" w:name="_Toc14053"/>
      <w:bookmarkStart w:id="8" w:name="_Toc22907"/>
      <w:r>
        <w:rPr>
          <w:rFonts w:hint="eastAsia" w:ascii="黑体" w:hAnsi="黑体" w:eastAsia="黑体" w:cs="黑体"/>
          <w:lang w:val="en-US" w:eastAsia="zh-CN"/>
        </w:rPr>
        <w:t>等基本情况</w:t>
      </w:r>
      <w:bookmarkEnd w:id="6"/>
      <w:bookmarkEnd w:id="7"/>
      <w:bookmarkEnd w:id="8"/>
      <w:r>
        <w:rPr>
          <w:rFonts w:hint="eastAsia" w:ascii="黑体" w:hAnsi="黑体" w:eastAsia="黑体" w:cs="黑体"/>
          <w:lang w:val="en-US" w:eastAsia="zh-CN"/>
        </w:rPr>
        <w:t xml:space="preserve"> </w:t>
      </w:r>
    </w:p>
    <w:p w14:paraId="06416271">
      <w:pPr>
        <w:pStyle w:val="6"/>
        <w:bidi w:val="0"/>
        <w:rPr>
          <w:rFonts w:hint="eastAsia" w:ascii="黑体" w:hAnsi="黑体" w:eastAsia="黑体" w:cs="黑体"/>
          <w:sz w:val="32"/>
          <w:szCs w:val="32"/>
          <w:lang w:val="en-US" w:eastAsia="zh-CN"/>
        </w:rPr>
      </w:pPr>
      <w:bookmarkStart w:id="9" w:name="_Toc8840"/>
      <w:bookmarkStart w:id="10" w:name="_Toc28216"/>
      <w:r>
        <w:rPr>
          <w:rFonts w:hint="eastAsia" w:ascii="黑体" w:hAnsi="黑体" w:eastAsia="黑体" w:cs="黑体"/>
          <w:sz w:val="32"/>
          <w:szCs w:val="32"/>
          <w:lang w:val="en-US" w:eastAsia="zh-CN"/>
        </w:rPr>
        <w:t>1、部门（单位）主要职能</w:t>
      </w:r>
      <w:bookmarkEnd w:id="9"/>
      <w:bookmarkEnd w:id="10"/>
    </w:p>
    <w:p w14:paraId="1F283D2D">
      <w:pPr>
        <w:bidi w:val="0"/>
        <w:rPr>
          <w:rFonts w:hint="eastAsia" w:ascii="仿宋" w:hAnsi="仿宋" w:eastAsia="仿宋" w:cs="仿宋"/>
          <w:lang w:val="en-US" w:eastAsia="zh-CN"/>
        </w:rPr>
      </w:pPr>
      <w:bookmarkStart w:id="11" w:name="_Toc29352"/>
      <w:bookmarkStart w:id="12" w:name="_Toc11473"/>
      <w:r>
        <w:rPr>
          <w:rFonts w:hint="eastAsia" w:ascii="仿宋" w:hAnsi="仿宋" w:eastAsia="仿宋" w:cs="仿宋"/>
          <w:lang w:val="en-US" w:eastAsia="zh-CN"/>
        </w:rPr>
        <w:t>根据《区委办公室 区政府办公室关于印发&lt;青云谱区医疗保障局职能配置、内设机构和人员编制规定&gt;的通知》（青办字〔2019〕44号），青云谱区医疗保障局为区人民政府的工作部门，正科级建制。根据《青云谱区医疗保障局职能配置、内设机构和人员编制规定》文件规定，区应急管理局主要职责如下：</w:t>
      </w:r>
    </w:p>
    <w:p w14:paraId="51CF7921">
      <w:pPr>
        <w:bidi w:val="0"/>
        <w:rPr>
          <w:rFonts w:hint="eastAsia" w:ascii="仿宋" w:hAnsi="仿宋" w:eastAsia="仿宋" w:cs="仿宋"/>
          <w:lang w:val="en-US" w:eastAsia="zh-CN"/>
        </w:rPr>
      </w:pPr>
      <w:r>
        <w:rPr>
          <w:rFonts w:hint="eastAsia" w:ascii="仿宋" w:hAnsi="仿宋" w:eastAsia="仿宋" w:cs="仿宋"/>
          <w:lang w:val="en-US" w:eastAsia="zh-CN"/>
        </w:rPr>
        <w:t>（一）贯彻执行国家、省、市医疗保险、生育保险、医疗救助等法律法规、政策、规划和标准；编制全区医疗保障事业年度计划，并组织实施。</w:t>
      </w:r>
    </w:p>
    <w:p w14:paraId="0D37532E">
      <w:pPr>
        <w:bidi w:val="0"/>
        <w:rPr>
          <w:rFonts w:hint="eastAsia" w:ascii="仿宋" w:hAnsi="仿宋" w:eastAsia="仿宋" w:cs="仿宋"/>
          <w:lang w:val="en-US" w:eastAsia="zh-CN"/>
        </w:rPr>
      </w:pPr>
      <w:r>
        <w:rPr>
          <w:rFonts w:hint="eastAsia" w:ascii="仿宋" w:hAnsi="仿宋" w:eastAsia="仿宋" w:cs="仿宋"/>
          <w:lang w:val="en-US" w:eastAsia="zh-CN"/>
        </w:rPr>
        <w:t>（二）监督管理全区医疗保障基金，建立健全医疗保障基金安全防控机制，配合实施全市医疗保障基金支付方式改革。</w:t>
      </w:r>
    </w:p>
    <w:p w14:paraId="1DCB122D">
      <w:pPr>
        <w:bidi w:val="0"/>
        <w:rPr>
          <w:rFonts w:hint="eastAsia" w:ascii="仿宋" w:hAnsi="仿宋" w:eastAsia="仿宋" w:cs="仿宋"/>
          <w:lang w:val="en-US" w:eastAsia="zh-CN"/>
        </w:rPr>
      </w:pPr>
      <w:r>
        <w:rPr>
          <w:rFonts w:hint="eastAsia" w:ascii="仿宋" w:hAnsi="仿宋" w:eastAsia="仿宋" w:cs="仿宋"/>
          <w:lang w:val="en-US" w:eastAsia="zh-CN"/>
        </w:rPr>
        <w:t>（三）贯彻执行全市统一的药品、医用耗材、医疗服务项目、医疗服务设施等医保目录和支付标准。</w:t>
      </w:r>
    </w:p>
    <w:p w14:paraId="5C42A753">
      <w:pPr>
        <w:bidi w:val="0"/>
        <w:rPr>
          <w:rFonts w:hint="eastAsia" w:ascii="仿宋" w:hAnsi="仿宋" w:eastAsia="仿宋" w:cs="仿宋"/>
          <w:lang w:val="en-US" w:eastAsia="zh-CN"/>
        </w:rPr>
      </w:pPr>
      <w:r>
        <w:rPr>
          <w:rFonts w:hint="eastAsia" w:ascii="仿宋" w:hAnsi="仿宋" w:eastAsia="仿宋" w:cs="仿宋"/>
          <w:lang w:val="en-US" w:eastAsia="zh-CN"/>
        </w:rPr>
        <w:t>（四）贯彻执行全市药品、医用耗材、医疗服务项目、医疗服务设施收费等政策；落实全市市场主导的社会医药服务加个形成机制、价格信息监测和信息发布制度。</w:t>
      </w:r>
    </w:p>
    <w:p w14:paraId="702A30E6">
      <w:pPr>
        <w:bidi w:val="0"/>
        <w:rPr>
          <w:rFonts w:hint="eastAsia" w:ascii="仿宋" w:hAnsi="仿宋" w:eastAsia="仿宋" w:cs="仿宋"/>
          <w:lang w:val="en-US" w:eastAsia="zh-CN"/>
        </w:rPr>
      </w:pPr>
      <w:r>
        <w:rPr>
          <w:rFonts w:hint="eastAsia" w:ascii="仿宋" w:hAnsi="仿宋" w:eastAsia="仿宋" w:cs="仿宋"/>
          <w:lang w:val="en-US" w:eastAsia="zh-CN"/>
        </w:rPr>
        <w:t>（五）贯彻执行全市定点医药机构协议和支付管理办法；落实医疗保障信用评价体系和信息披露制度；监督管理纳入医保范围内的医疗服务行为和医疗费用，依法查处医疗保障领域违法违规行为。</w:t>
      </w:r>
    </w:p>
    <w:p w14:paraId="2573ECAB">
      <w:pPr>
        <w:bidi w:val="0"/>
        <w:rPr>
          <w:rFonts w:hint="eastAsia" w:ascii="仿宋" w:hAnsi="仿宋" w:eastAsia="仿宋" w:cs="仿宋"/>
          <w:lang w:val="en-US" w:eastAsia="zh-CN"/>
        </w:rPr>
      </w:pPr>
      <w:r>
        <w:rPr>
          <w:rFonts w:hint="eastAsia" w:ascii="仿宋" w:hAnsi="仿宋" w:eastAsia="仿宋" w:cs="仿宋"/>
          <w:lang w:val="en-US" w:eastAsia="zh-CN"/>
        </w:rPr>
        <w:t>（六）负责全区医疗保障经办管理，公共服务体系和信息化建设；贯彻执行国家、省、市异地就医管理和费用结算政策；落实医疗保障关系转移接续制度。</w:t>
      </w:r>
    </w:p>
    <w:p w14:paraId="76CE0192">
      <w:pPr>
        <w:bidi w:val="0"/>
        <w:rPr>
          <w:rFonts w:hint="eastAsia" w:ascii="仿宋" w:hAnsi="仿宋" w:eastAsia="仿宋" w:cs="仿宋"/>
          <w:lang w:val="en-US" w:eastAsia="zh-CN"/>
        </w:rPr>
      </w:pPr>
      <w:r>
        <w:rPr>
          <w:rFonts w:hint="eastAsia" w:ascii="仿宋" w:hAnsi="仿宋" w:eastAsia="仿宋" w:cs="仿宋"/>
          <w:lang w:val="en-US" w:eastAsia="zh-CN"/>
        </w:rPr>
        <w:t>（七）完成区委和区政府交办的其他事物。</w:t>
      </w:r>
    </w:p>
    <w:p w14:paraId="37F34CE6">
      <w:pPr>
        <w:pStyle w:val="6"/>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2、部门（单位）组织架构及人员情况</w:t>
      </w:r>
      <w:bookmarkEnd w:id="11"/>
      <w:bookmarkEnd w:id="12"/>
    </w:p>
    <w:p w14:paraId="2D6B5011">
      <w:pPr>
        <w:rPr>
          <w:rFonts w:hint="eastAsia" w:ascii="仿宋" w:hAnsi="仿宋" w:eastAsia="仿宋" w:cs="仿宋"/>
          <w:sz w:val="28"/>
          <w:szCs w:val="28"/>
          <w:highlight w:val="none"/>
          <w:lang w:val="en-US" w:eastAsia="zh-CN"/>
        </w:rPr>
      </w:pPr>
      <w:r>
        <w:rPr>
          <w:rFonts w:hint="eastAsia" w:ascii="仿宋" w:hAnsi="仿宋" w:eastAsia="仿宋" w:cs="仿宋"/>
          <w:bCs/>
          <w:color w:val="000000"/>
          <w:kern w:val="0"/>
          <w:sz w:val="28"/>
          <w:szCs w:val="28"/>
          <w:lang w:val="en-US" w:eastAsia="zh-CN"/>
        </w:rPr>
        <w:t>南昌市</w:t>
      </w:r>
      <w:r>
        <w:rPr>
          <w:rFonts w:hint="eastAsia" w:ascii="仿宋" w:hAnsi="仿宋" w:eastAsia="仿宋" w:cs="仿宋"/>
          <w:bCs/>
          <w:color w:val="000000"/>
          <w:kern w:val="0"/>
          <w:sz w:val="28"/>
          <w:szCs w:val="28"/>
        </w:rPr>
        <w:t>青云谱区医疗保障局</w:t>
      </w:r>
      <w:r>
        <w:rPr>
          <w:rFonts w:hint="eastAsia" w:ascii="仿宋" w:hAnsi="仿宋" w:eastAsia="仿宋" w:cs="仿宋"/>
          <w:bCs/>
          <w:color w:val="000000"/>
          <w:kern w:val="0"/>
          <w:sz w:val="28"/>
          <w:szCs w:val="28"/>
          <w:lang w:val="en-US" w:eastAsia="zh-CN"/>
        </w:rPr>
        <w:t>内设一下机构：办公室、业务科、基金监督管理科。</w:t>
      </w:r>
      <w:r>
        <w:rPr>
          <w:rFonts w:hint="eastAsia" w:ascii="仿宋" w:hAnsi="仿宋" w:eastAsia="仿宋" w:cs="仿宋"/>
          <w:bCs/>
          <w:color w:val="000000"/>
          <w:kern w:val="0"/>
          <w:sz w:val="28"/>
          <w:szCs w:val="28"/>
        </w:rPr>
        <w:t>青云谱区医疗保障局</w:t>
      </w:r>
      <w:r>
        <w:rPr>
          <w:rFonts w:hint="eastAsia" w:ascii="仿宋" w:hAnsi="仿宋" w:eastAsia="仿宋" w:cs="仿宋"/>
          <w:kern w:val="0"/>
          <w:sz w:val="28"/>
          <w:szCs w:val="28"/>
          <w:lang w:bidi="ar"/>
        </w:rPr>
        <w:t>编制4人；实有人数3人。下属二级单位“青云谱区医疗保险事业管理局”编制13人；实有人数12人，其中：在职人数11人，1人停薪留职。</w:t>
      </w:r>
    </w:p>
    <w:p w14:paraId="6D23BE03">
      <w:pPr>
        <w:pStyle w:val="6"/>
        <w:bidi w:val="0"/>
        <w:rPr>
          <w:rFonts w:hint="eastAsia" w:ascii="黑体" w:hAnsi="黑体" w:eastAsia="黑体" w:cs="黑体"/>
          <w:sz w:val="32"/>
          <w:szCs w:val="32"/>
          <w:lang w:val="en-US" w:eastAsia="zh-CN"/>
        </w:rPr>
      </w:pPr>
      <w:bookmarkStart w:id="13" w:name="_Toc18980"/>
      <w:bookmarkStart w:id="14" w:name="_Toc1214"/>
      <w:r>
        <w:rPr>
          <w:rFonts w:hint="eastAsia" w:ascii="黑体" w:hAnsi="黑体" w:eastAsia="黑体" w:cs="黑体"/>
          <w:sz w:val="32"/>
          <w:szCs w:val="32"/>
          <w:lang w:val="en-US" w:eastAsia="zh-CN"/>
        </w:rPr>
        <w:t>3、部门（单位）资产情况</w:t>
      </w:r>
      <w:bookmarkEnd w:id="13"/>
      <w:bookmarkEnd w:id="14"/>
    </w:p>
    <w:p w14:paraId="3C5A2752">
      <w:pPr>
        <w:rPr>
          <w:rFonts w:hint="default"/>
          <w:color w:val="0000FF"/>
          <w:highlight w:val="none"/>
          <w:lang w:val="en-US" w:eastAsia="zh-CN"/>
        </w:rPr>
      </w:pPr>
      <w:r>
        <w:rPr>
          <w:rFonts w:hint="eastAsia" w:ascii="仿宋" w:hAnsi="仿宋" w:eastAsia="仿宋" w:cs="仿宋"/>
          <w:lang w:val="en-US" w:eastAsia="zh-CN"/>
        </w:rPr>
        <w:t>截至2020年12月31日，南昌市</w:t>
      </w:r>
      <w:r>
        <w:rPr>
          <w:rFonts w:hint="eastAsia" w:ascii="仿宋" w:hAnsi="仿宋" w:eastAsia="仿宋" w:cs="仿宋"/>
          <w:bCs/>
          <w:color w:val="000000"/>
          <w:kern w:val="0"/>
          <w:sz w:val="28"/>
          <w:szCs w:val="28"/>
        </w:rPr>
        <w:t>青云谱区医疗保障局</w:t>
      </w:r>
      <w:r>
        <w:rPr>
          <w:rFonts w:hint="eastAsia" w:ascii="仿宋" w:hAnsi="仿宋" w:eastAsia="仿宋" w:cs="仿宋"/>
          <w:lang w:val="en-US" w:eastAsia="zh-CN"/>
        </w:rPr>
        <w:t>共有固定资产110件，含从医疗保险事业局合并转入医疗保障局部分固定资产</w:t>
      </w:r>
      <w:r>
        <w:rPr>
          <w:rFonts w:hint="eastAsia" w:ascii="仿宋" w:hAnsi="仿宋" w:eastAsia="仿宋" w:cs="仿宋"/>
          <w:highlight w:val="none"/>
          <w:lang w:val="en-US" w:eastAsia="zh-CN"/>
        </w:rPr>
        <w:t>。</w:t>
      </w:r>
      <w:r>
        <w:rPr>
          <w:rFonts w:hint="eastAsia" w:ascii="仿宋" w:hAnsi="仿宋" w:eastAsia="仿宋" w:cs="仿宋"/>
          <w:bCs/>
          <w:color w:val="auto"/>
          <w:kern w:val="0"/>
          <w:sz w:val="28"/>
          <w:szCs w:val="28"/>
        </w:rPr>
        <w:t>青云谱区医疗保障局</w:t>
      </w:r>
      <w:r>
        <w:rPr>
          <w:rFonts w:hint="eastAsia" w:ascii="仿宋" w:hAnsi="仿宋" w:eastAsia="仿宋" w:cs="仿宋"/>
          <w:color w:val="auto"/>
          <w:highlight w:val="none"/>
          <w:lang w:val="en-US" w:eastAsia="zh-CN"/>
        </w:rPr>
        <w:t>制定有《青云谱区</w:t>
      </w:r>
      <w:r>
        <w:rPr>
          <w:rFonts w:hint="eastAsia" w:ascii="仿宋" w:hAnsi="仿宋" w:eastAsia="仿宋" w:cs="仿宋"/>
          <w:bCs/>
          <w:color w:val="auto"/>
          <w:kern w:val="0"/>
          <w:sz w:val="28"/>
          <w:szCs w:val="28"/>
        </w:rPr>
        <w:t>医疗保障局</w:t>
      </w:r>
      <w:r>
        <w:rPr>
          <w:rFonts w:hint="eastAsia" w:ascii="仿宋" w:hAnsi="仿宋" w:eastAsia="仿宋" w:cs="仿宋"/>
          <w:color w:val="auto"/>
          <w:highlight w:val="none"/>
          <w:lang w:val="en-US" w:eastAsia="zh-CN"/>
        </w:rPr>
        <w:t>固定资产管理办法》，资产管理制度落实情况较好。</w:t>
      </w:r>
    </w:p>
    <w:p w14:paraId="095A9113">
      <w:pPr>
        <w:pStyle w:val="5"/>
        <w:bidi w:val="0"/>
        <w:rPr>
          <w:rFonts w:hint="eastAsia" w:ascii="黑体" w:hAnsi="黑体" w:eastAsia="黑体" w:cs="黑体"/>
          <w:lang w:val="en-US" w:eastAsia="zh-CN"/>
        </w:rPr>
      </w:pPr>
      <w:r>
        <w:rPr>
          <w:rFonts w:hint="eastAsia"/>
          <w:lang w:val="en-US" w:eastAsia="zh-CN"/>
        </w:rPr>
        <w:t xml:space="preserve"> </w:t>
      </w:r>
      <w:bookmarkStart w:id="15" w:name="_Toc16423"/>
      <w:bookmarkStart w:id="16" w:name="_Toc20235"/>
      <w:bookmarkStart w:id="17" w:name="_Toc8640"/>
      <w:r>
        <w:rPr>
          <w:rFonts w:hint="eastAsia" w:ascii="黑体" w:hAnsi="黑体" w:eastAsia="黑体" w:cs="黑体"/>
          <w:lang w:val="en-US" w:eastAsia="zh-CN"/>
        </w:rPr>
        <w:t>（二）当年部门（单位）履职总体目标、工作任务</w:t>
      </w:r>
      <w:bookmarkEnd w:id="15"/>
      <w:bookmarkEnd w:id="16"/>
      <w:bookmarkEnd w:id="17"/>
    </w:p>
    <w:p w14:paraId="6A26AD0E">
      <w:pPr>
        <w:bidi w:val="0"/>
        <w:rPr>
          <w:rFonts w:hint="eastAsia" w:ascii="仿宋" w:hAnsi="仿宋" w:eastAsia="仿宋" w:cs="仿宋"/>
          <w:lang w:val="en-US" w:eastAsia="zh-CN"/>
        </w:rPr>
      </w:pPr>
      <w:r>
        <w:rPr>
          <w:rFonts w:hint="eastAsia" w:ascii="仿宋" w:hAnsi="仿宋" w:eastAsia="仿宋" w:cs="仿宋"/>
          <w:lang w:val="en-US" w:eastAsia="zh-CN"/>
        </w:rPr>
        <w:t>根据《青云谱区委2020年部门预算草案编制说明》，2020年区</w:t>
      </w:r>
      <w:r>
        <w:rPr>
          <w:rFonts w:hint="eastAsia" w:ascii="仿宋" w:hAnsi="仿宋" w:eastAsia="仿宋" w:cs="仿宋"/>
          <w:bCs/>
          <w:color w:val="000000"/>
          <w:kern w:val="0"/>
          <w:sz w:val="28"/>
          <w:szCs w:val="28"/>
        </w:rPr>
        <w:t>医疗保障局</w:t>
      </w:r>
      <w:r>
        <w:rPr>
          <w:rFonts w:hint="eastAsia" w:ascii="仿宋" w:hAnsi="仿宋" w:eastAsia="仿宋" w:cs="仿宋"/>
          <w:lang w:val="en-US" w:eastAsia="zh-CN"/>
        </w:rPr>
        <w:t>履职总体目标为：强化医保政策宣传，提升医保服务效能；强化干部队伍建设，提升医保服务水平；强化稽核监督职能，提升风险防控能力，主要任务如下：</w:t>
      </w:r>
    </w:p>
    <w:p w14:paraId="529AFF86">
      <w:pPr>
        <w:pStyle w:val="7"/>
        <w:rPr>
          <w:rFonts w:hint="eastAsia"/>
          <w:lang w:val="en-US" w:eastAsia="zh-CN"/>
        </w:rPr>
      </w:pPr>
    </w:p>
    <w:p w14:paraId="20C30998">
      <w:pPr>
        <w:bidi w:val="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w:t>
      </w:r>
      <w:r>
        <w:rPr>
          <w:rFonts w:hint="eastAsia" w:ascii="仿宋" w:hAnsi="仿宋" w:eastAsia="仿宋" w:cs="仿宋"/>
          <w:b/>
          <w:kern w:val="2"/>
          <w:sz w:val="28"/>
          <w:szCs w:val="28"/>
          <w:lang w:val="en-US" w:eastAsia="zh-CN" w:bidi="ar-SA"/>
        </w:rPr>
        <w:t>强化医保政策宣传，提升医保服务效能。</w:t>
      </w:r>
    </w:p>
    <w:p w14:paraId="757AC162">
      <w:pPr>
        <w:keepNext w:val="0"/>
        <w:keepLines w:val="0"/>
        <w:pageBreakBefore w:val="0"/>
        <w:numPr>
          <w:ilvl w:val="0"/>
          <w:numId w:val="0"/>
        </w:numPr>
        <w:kinsoku/>
        <w:wordWrap/>
        <w:overflowPunct/>
        <w:topLinePunct w:val="0"/>
        <w:autoSpaceDE/>
        <w:autoSpaceDN/>
        <w:bidi w:val="0"/>
        <w:spacing w:line="580" w:lineRule="exact"/>
        <w:ind w:firstLine="560" w:firstLineChars="200"/>
        <w:textAlignment w:val="auto"/>
        <w:rPr>
          <w:rFonts w:hint="eastAsia" w:ascii="仿宋" w:hAnsi="仿宋" w:eastAsia="仿宋" w:cs="仿宋"/>
          <w:b w:val="0"/>
          <w:bCs w:val="0"/>
          <w:sz w:val="28"/>
          <w:szCs w:val="28"/>
          <w:shd w:val="clear" w:color="auto" w:fill="FFFFFF"/>
          <w:lang w:val="en-US" w:eastAsia="zh-CN"/>
        </w:rPr>
      </w:pPr>
      <w:r>
        <w:rPr>
          <w:rFonts w:hint="eastAsia" w:ascii="仿宋" w:hAnsi="仿宋" w:eastAsia="仿宋" w:cs="仿宋"/>
          <w:b w:val="0"/>
          <w:bCs w:val="0"/>
          <w:sz w:val="28"/>
          <w:szCs w:val="28"/>
          <w:lang w:val="en-US" w:eastAsia="zh-CN"/>
        </w:rPr>
        <w:t>一是增加“宣传点”。通过多处布点、主动设点、包干挂点等方式，充分发挥街道、社区（村）、两定机构医保业务经办人员宣传员的作用，使每个经办点都成为一个宣传点，</w:t>
      </w:r>
      <w:r>
        <w:rPr>
          <w:rFonts w:hint="eastAsia" w:ascii="仿宋" w:hAnsi="仿宋" w:eastAsia="仿宋" w:cs="仿宋"/>
          <w:b w:val="0"/>
          <w:bCs w:val="0"/>
          <w:sz w:val="28"/>
          <w:szCs w:val="28"/>
          <w:shd w:val="clear" w:color="auto" w:fill="FFFFFF"/>
          <w:lang w:val="en-US" w:eastAsia="zh-CN"/>
        </w:rPr>
        <w:t>解决平时集中宣传人员难以抽调的难题。</w:t>
      </w:r>
    </w:p>
    <w:p w14:paraId="4E6F0FC6">
      <w:pPr>
        <w:keepNext w:val="0"/>
        <w:keepLines w:val="0"/>
        <w:pageBreakBefore w:val="0"/>
        <w:numPr>
          <w:ilvl w:val="0"/>
          <w:numId w:val="0"/>
        </w:numPr>
        <w:kinsoku/>
        <w:wordWrap/>
        <w:overflowPunct/>
        <w:topLinePunct w:val="0"/>
        <w:autoSpaceDE/>
        <w:autoSpaceDN/>
        <w:bidi w:val="0"/>
        <w:spacing w:line="58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kern w:val="2"/>
          <w:sz w:val="28"/>
          <w:szCs w:val="28"/>
          <w:lang w:val="en-US" w:eastAsia="zh-CN" w:bidi="ar-SA"/>
        </w:rPr>
        <w:t>二是延伸“宣传线”。</w:t>
      </w:r>
      <w:r>
        <w:rPr>
          <w:rFonts w:hint="eastAsia" w:ascii="仿宋" w:hAnsi="仿宋" w:eastAsia="仿宋" w:cs="仿宋"/>
          <w:b w:val="0"/>
          <w:bCs w:val="0"/>
          <w:sz w:val="28"/>
          <w:szCs w:val="28"/>
          <w:lang w:val="en-US" w:eastAsia="zh-CN"/>
        </w:rPr>
        <w:t>加强与省市对接，及时领受省市对医保新政策宣传的任务，保持与省市统一步调；将宣传线向社区（村）、企业、学校、两定机构每个点延伸，以提高百姓对政策的知晓度。</w:t>
      </w:r>
    </w:p>
    <w:p w14:paraId="7919FD62">
      <w:pPr>
        <w:keepNext w:val="0"/>
        <w:keepLines w:val="0"/>
        <w:pageBreakBefore w:val="0"/>
        <w:numPr>
          <w:ilvl w:val="0"/>
          <w:numId w:val="0"/>
        </w:numPr>
        <w:kinsoku/>
        <w:wordWrap/>
        <w:overflowPunct/>
        <w:topLinePunct w:val="0"/>
        <w:autoSpaceDE/>
        <w:autoSpaceDN/>
        <w:bidi w:val="0"/>
        <w:spacing w:line="580" w:lineRule="exact"/>
        <w:ind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三是扩大“宣传面”。</w:t>
      </w:r>
      <w:r>
        <w:rPr>
          <w:rFonts w:hint="eastAsia" w:ascii="仿宋" w:hAnsi="仿宋" w:eastAsia="仿宋" w:cs="仿宋"/>
          <w:b w:val="0"/>
          <w:bCs w:val="0"/>
          <w:sz w:val="28"/>
          <w:szCs w:val="28"/>
          <w:lang w:val="en-US" w:eastAsia="zh-CN"/>
        </w:rPr>
        <w:t>充分运用传统媒体和新型媒体，扩大宣传覆盖面和影响力。如印制海报、横幅、展板、折页、手册，在各宣传点张贴，集中宣传时发放；制作宣传短片在经办窗口、两定机构和社区（村）等地方滚动播放；利用社区志愿服务走进行动不便的特殊群众家门，讲解医保政策；及时更新医保微信公众号政策信息。通过多种宣传措施，从而增强群众的获得感和幸福感。</w:t>
      </w:r>
    </w:p>
    <w:p w14:paraId="6EB9EFEB">
      <w:pPr>
        <w:numPr>
          <w:ilvl w:val="0"/>
          <w:numId w:val="1"/>
        </w:numPr>
        <w:bidi w:val="0"/>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强化干部队伍建设，提升医保服务水平</w:t>
      </w:r>
    </w:p>
    <w:p w14:paraId="540E459E">
      <w:pPr>
        <w:pStyle w:val="7"/>
        <w:numPr>
          <w:ilvl w:val="0"/>
          <w:numId w:val="0"/>
        </w:numPr>
        <w:ind w:firstLine="560" w:firstLineChars="200"/>
        <w:rPr>
          <w:rFonts w:hint="eastAsia" w:ascii="仿宋" w:hAnsi="仿宋" w:eastAsia="仿宋" w:cs="仿宋"/>
          <w:lang w:val="en-US" w:eastAsia="zh-CN"/>
        </w:rPr>
      </w:pPr>
      <w:r>
        <w:rPr>
          <w:rFonts w:hint="eastAsia" w:ascii="仿宋" w:hAnsi="仿宋" w:eastAsia="仿宋" w:cs="仿宋"/>
          <w:lang w:val="en-US" w:eastAsia="zh-CN"/>
        </w:rPr>
        <w:t>一是强化学习，提高思想站位。充分利用集中学习、主题党课教育、民主生活会等形式，常态化开展政治理论学习，以提高干部政治觉悟和组织凝聚力。针对性地加大业务培训，定期组织干部深入系统地学习医保政策和业务流程，优化细节，减少失误，以提高干部履职尽责能力和水平。</w:t>
      </w:r>
    </w:p>
    <w:p w14:paraId="01D8D9A1">
      <w:pPr>
        <w:pStyle w:val="7"/>
        <w:numPr>
          <w:ilvl w:val="0"/>
          <w:numId w:val="0"/>
        </w:numPr>
        <w:ind w:firstLine="560" w:firstLineChars="200"/>
        <w:rPr>
          <w:rFonts w:hint="eastAsia" w:ascii="仿宋" w:hAnsi="仿宋" w:eastAsia="仿宋" w:cs="仿宋"/>
          <w:lang w:val="en-US" w:eastAsia="zh-CN"/>
        </w:rPr>
      </w:pPr>
      <w:r>
        <w:rPr>
          <w:rFonts w:hint="eastAsia" w:ascii="仿宋" w:hAnsi="仿宋" w:eastAsia="仿宋" w:cs="仿宋"/>
          <w:lang w:val="en-US" w:eastAsia="zh-CN"/>
        </w:rPr>
        <w:t>二是理顺机制，强化责任担当。通过制定切实可行、操作性强的管理制度，实现管理有章法、服务有规范、考核有标准，以促进干部严格按照工作权限和程序履行职责。通过对干部综合能力、工作态度、工作业绩等方面的考核，建立健全激励引导机制，以营造“干部比作为”的浓厚氛围。</w:t>
      </w:r>
    </w:p>
    <w:p w14:paraId="031B32C8">
      <w:pPr>
        <w:pStyle w:val="7"/>
        <w:numPr>
          <w:ilvl w:val="0"/>
          <w:numId w:val="0"/>
        </w:numPr>
        <w:ind w:firstLine="560" w:firstLineChars="200"/>
        <w:rPr>
          <w:rFonts w:hint="eastAsia" w:ascii="仿宋" w:hAnsi="仿宋" w:eastAsia="仿宋" w:cs="仿宋"/>
          <w:lang w:val="en-US" w:eastAsia="zh-CN"/>
        </w:rPr>
      </w:pPr>
      <w:r>
        <w:rPr>
          <w:rFonts w:hint="eastAsia" w:ascii="仿宋" w:hAnsi="仿宋" w:eastAsia="仿宋" w:cs="仿宋"/>
          <w:lang w:val="en-US" w:eastAsia="zh-CN"/>
        </w:rPr>
        <w:t>三是改进作风，提升服务水平。牢固树立宗旨意识，通过设置征求意见箱、微信公众号网上留言，积极搭建与群众交流沟通平台，认真听取和搜集参保群众意见建议，并将其作为改善服务和调整工作方式的主导方向，以最大限度解决群众在办理医保业务中遇到的正当诉求。</w:t>
      </w:r>
    </w:p>
    <w:p w14:paraId="18FDC42C">
      <w:pPr>
        <w:bidi w:val="0"/>
        <w:rPr>
          <w:rFonts w:hint="eastAsia" w:ascii="仿宋" w:hAnsi="仿宋" w:eastAsia="仿宋" w:cs="仿宋"/>
          <w:lang w:val="en-US" w:eastAsia="zh-CN"/>
        </w:rPr>
      </w:pPr>
      <w:r>
        <w:rPr>
          <w:rFonts w:hint="eastAsia" w:ascii="仿宋" w:hAnsi="仿宋" w:eastAsia="仿宋" w:cs="仿宋"/>
          <w:b/>
          <w:bCs/>
          <w:lang w:val="en-US" w:eastAsia="zh-CN"/>
        </w:rPr>
        <w:t>（三）</w:t>
      </w:r>
      <w:r>
        <w:rPr>
          <w:rFonts w:hint="eastAsia" w:ascii="仿宋" w:hAnsi="仿宋" w:eastAsia="仿宋" w:cs="仿宋"/>
          <w:b/>
          <w:kern w:val="2"/>
          <w:sz w:val="28"/>
          <w:szCs w:val="28"/>
          <w:lang w:val="en-US" w:eastAsia="zh-CN" w:bidi="ar-SA"/>
        </w:rPr>
        <w:t>强化稽核监督职能，提升风险防控能力</w:t>
      </w:r>
      <w:r>
        <w:rPr>
          <w:rFonts w:hint="eastAsia" w:ascii="仿宋" w:hAnsi="仿宋" w:eastAsia="仿宋" w:cs="仿宋"/>
          <w:b/>
          <w:bCs/>
          <w:lang w:val="en-US" w:eastAsia="zh-CN"/>
        </w:rPr>
        <w:t>。</w:t>
      </w:r>
    </w:p>
    <w:p w14:paraId="7040D42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80" w:lineRule="exact"/>
        <w:ind w:right="0"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一是加强</w:t>
      </w:r>
      <w:r>
        <w:rPr>
          <w:rFonts w:hint="eastAsia" w:ascii="仿宋" w:hAnsi="仿宋" w:eastAsia="仿宋" w:cs="仿宋"/>
          <w:b w:val="0"/>
          <w:bCs w:val="0"/>
          <w:sz w:val="28"/>
          <w:szCs w:val="28"/>
          <w:highlight w:val="none"/>
          <w:lang w:val="en-US" w:eastAsia="zh-CN"/>
        </w:rPr>
        <w:t>党纪法规教育。</w:t>
      </w:r>
      <w:r>
        <w:rPr>
          <w:rFonts w:hint="eastAsia" w:ascii="仿宋" w:hAnsi="仿宋" w:eastAsia="仿宋" w:cs="仿宋"/>
          <w:b w:val="0"/>
          <w:bCs w:val="0"/>
          <w:kern w:val="2"/>
          <w:sz w:val="28"/>
          <w:szCs w:val="28"/>
          <w:lang w:val="en-US" w:eastAsia="zh-CN" w:bidi="ar-SA"/>
        </w:rPr>
        <w:t>加强案例警示教育，用身边人身边事作为警示教材，警钟长鸣，教育干部严守作风关口，始终保持清醒的头脑，在思想上构筑起首道防线，防范和减少违纪问题的发生。</w:t>
      </w:r>
    </w:p>
    <w:p w14:paraId="3EA680E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80" w:lineRule="exact"/>
        <w:ind w:right="0"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二是加强待遇报销审核。通过南昌市医保系统加强基金监管职能，严格监控治疗用药过程，及时发现超量用药、过度诊疗。</w:t>
      </w:r>
    </w:p>
    <w:p w14:paraId="2502385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80" w:lineRule="exact"/>
        <w:ind w:right="0" w:firstLine="560" w:firstLineChars="200"/>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三是加强对“两定机构”稽核力度。采取智能监控系统排查和大数据分析、比对分析医疗机构相关信息记录、现场检查、与患者电话走访等方式，发现是否存在医疗机构虚构服务，零售药店串换项目等违规行为。通过政策法规宣传与稽核行动措施并举，促进定点医疗机构提高履约守法意识，强化医保基金监管制度；同时，增强参保群众维权意识和法治观念，畅通举报投诉渠道，全力打击欺诈骗保行为恶意行为，切实守护人民群众的“救命钱”。</w:t>
      </w:r>
    </w:p>
    <w:p w14:paraId="0A7F462E">
      <w:pPr>
        <w:pStyle w:val="5"/>
        <w:bidi w:val="0"/>
        <w:rPr>
          <w:rFonts w:hint="eastAsia"/>
          <w:highlight w:val="none"/>
          <w:lang w:val="en-US" w:eastAsia="zh-CN"/>
        </w:rPr>
      </w:pPr>
    </w:p>
    <w:p w14:paraId="6C0F05E3">
      <w:pPr>
        <w:rPr>
          <w:rFonts w:hint="eastAsia"/>
          <w:lang w:val="en-US" w:eastAsia="zh-CN"/>
        </w:rPr>
      </w:pPr>
    </w:p>
    <w:p w14:paraId="7386B3D0">
      <w:pPr>
        <w:pStyle w:val="5"/>
        <w:bidi w:val="0"/>
        <w:rPr>
          <w:rFonts w:hint="eastAsia" w:ascii="黑体" w:hAnsi="黑体" w:eastAsia="黑体" w:cs="黑体"/>
          <w:highlight w:val="none"/>
          <w:lang w:val="en-US" w:eastAsia="zh-CN"/>
        </w:rPr>
      </w:pPr>
      <w:r>
        <w:rPr>
          <w:rFonts w:hint="eastAsia"/>
          <w:highlight w:val="none"/>
          <w:lang w:val="en-US" w:eastAsia="zh-CN"/>
        </w:rPr>
        <w:t xml:space="preserve"> </w:t>
      </w:r>
      <w:bookmarkStart w:id="18" w:name="_Toc6209"/>
      <w:bookmarkStart w:id="19" w:name="_Toc24081"/>
      <w:bookmarkStart w:id="20" w:name="_Toc12685"/>
      <w:r>
        <w:rPr>
          <w:rFonts w:hint="eastAsia" w:ascii="黑体" w:hAnsi="黑体" w:eastAsia="黑体" w:cs="黑体"/>
          <w:highlight w:val="none"/>
          <w:lang w:val="en-US" w:eastAsia="zh-CN"/>
        </w:rPr>
        <w:t>（三）当年部门（单位）年度整体支出绩效目标</w:t>
      </w:r>
      <w:bookmarkEnd w:id="18"/>
      <w:bookmarkEnd w:id="19"/>
      <w:bookmarkEnd w:id="20"/>
      <w:r>
        <w:rPr>
          <w:rFonts w:hint="eastAsia" w:ascii="黑体" w:hAnsi="黑体" w:eastAsia="黑体" w:cs="黑体"/>
          <w:highlight w:val="none"/>
          <w:lang w:val="en-US" w:eastAsia="zh-CN"/>
        </w:rPr>
        <w:t xml:space="preserve"> </w:t>
      </w:r>
    </w:p>
    <w:p w14:paraId="4F9B9731">
      <w:pPr>
        <w:rPr>
          <w:rFonts w:hint="eastAsia" w:ascii="仿宋" w:hAnsi="仿宋" w:eastAsia="仿宋" w:cs="仿宋"/>
          <w:lang w:val="en-US" w:eastAsia="zh-CN"/>
        </w:rPr>
      </w:pPr>
      <w:r>
        <w:rPr>
          <w:rFonts w:hint="eastAsia" w:ascii="仿宋" w:hAnsi="仿宋" w:eastAsia="仿宋" w:cs="仿宋"/>
          <w:lang w:val="en-US" w:eastAsia="zh-CN"/>
        </w:rPr>
        <w:t>根据《南昌市青云谱区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部门整体支出绩效目标申报表》，当年度部门整体支出绩效目标为：聚焦医保工作，保障民生权益；聚焦痛点难点，提升经办服务；聚焦贫困群体，攻坚医保扶贫聚焦打击欺诈骗保，维护基金安全。</w:t>
      </w:r>
    </w:p>
    <w:p w14:paraId="61C220B5">
      <w:pPr>
        <w:pStyle w:val="5"/>
        <w:bidi w:val="0"/>
        <w:rPr>
          <w:rFonts w:hint="eastAsia"/>
          <w:highlight w:val="none"/>
          <w:lang w:val="en-US" w:eastAsia="zh-CN"/>
        </w:rPr>
      </w:pPr>
      <w:r>
        <w:rPr>
          <w:rFonts w:hint="eastAsia"/>
          <w:highlight w:val="none"/>
          <w:lang w:val="en-US" w:eastAsia="zh-CN"/>
        </w:rPr>
        <w:t xml:space="preserve"> </w:t>
      </w:r>
      <w:bookmarkStart w:id="21" w:name="_Toc6666"/>
      <w:bookmarkStart w:id="22" w:name="_Toc22856"/>
      <w:bookmarkStart w:id="23" w:name="_Toc13931"/>
      <w:r>
        <w:rPr>
          <w:rFonts w:hint="eastAsia" w:ascii="黑体" w:hAnsi="黑体" w:eastAsia="黑体" w:cs="黑体"/>
          <w:highlight w:val="none"/>
          <w:lang w:val="en-US" w:eastAsia="zh-CN"/>
        </w:rPr>
        <w:t>（四）部门（单位）预算绩效管理开展情况</w:t>
      </w:r>
      <w:bookmarkEnd w:id="21"/>
      <w:bookmarkEnd w:id="22"/>
      <w:bookmarkEnd w:id="23"/>
      <w:r>
        <w:rPr>
          <w:rFonts w:hint="eastAsia" w:ascii="黑体" w:hAnsi="黑体" w:eastAsia="黑体" w:cs="黑体"/>
          <w:highlight w:val="none"/>
          <w:lang w:val="en-US" w:eastAsia="zh-CN"/>
        </w:rPr>
        <w:t xml:space="preserve"> </w:t>
      </w:r>
    </w:p>
    <w:p w14:paraId="3A09C240">
      <w:pPr>
        <w:bidi w:val="0"/>
        <w:rPr>
          <w:rFonts w:hint="eastAsia" w:ascii="仿宋" w:hAnsi="仿宋" w:eastAsia="仿宋" w:cs="仿宋"/>
          <w:highlight w:val="none"/>
          <w:lang w:val="en-US" w:eastAsia="zh-CN"/>
        </w:rPr>
      </w:pPr>
      <w:r>
        <w:rPr>
          <w:rFonts w:hint="eastAsia" w:ascii="仿宋" w:hAnsi="仿宋" w:eastAsia="仿宋" w:cs="仿宋"/>
          <w:lang w:val="en-US" w:eastAsia="zh-CN"/>
        </w:rPr>
        <w:t>南昌市青云谱区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明确了预算绩效管理职能，指定人</w:t>
      </w:r>
      <w:r>
        <w:rPr>
          <w:rFonts w:hint="eastAsia" w:ascii="仿宋" w:hAnsi="仿宋" w:eastAsia="仿宋" w:cs="仿宋"/>
          <w:highlight w:val="none"/>
          <w:lang w:val="en-US" w:eastAsia="zh-CN"/>
        </w:rPr>
        <w:t>员专门负责预算绩效管理工作。</w:t>
      </w:r>
    </w:p>
    <w:p w14:paraId="1EB19EE5">
      <w:pPr>
        <w:bidi w:val="0"/>
        <w:rPr>
          <w:rFonts w:hint="eastAsia" w:ascii="仿宋" w:hAnsi="仿宋" w:eastAsia="仿宋" w:cs="仿宋"/>
          <w:lang w:val="en-US" w:eastAsia="zh-CN"/>
        </w:rPr>
      </w:pPr>
      <w:r>
        <w:rPr>
          <w:rFonts w:hint="eastAsia" w:ascii="仿宋" w:hAnsi="仿宋" w:eastAsia="仿宋" w:cs="仿宋"/>
          <w:lang w:val="en-US" w:eastAsia="zh-CN"/>
        </w:rPr>
        <w:t>2020年南昌市青云谱区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对局属项目开展了两次绩效运行监控，对项目执行进度进行了监控，总结了项目执行过程中存在的问题，有效发挥了绩效运行监控对项目执行进度纠偏的作用</w:t>
      </w:r>
    </w:p>
    <w:p w14:paraId="21FEFC47">
      <w:pPr>
        <w:bidi w:val="0"/>
        <w:rPr>
          <w:rFonts w:hint="eastAsia" w:ascii="仿宋" w:hAnsi="仿宋" w:eastAsia="仿宋" w:cs="仿宋"/>
          <w:lang w:val="en-US" w:eastAsia="zh-CN"/>
        </w:rPr>
      </w:pPr>
      <w:r>
        <w:rPr>
          <w:rFonts w:hint="eastAsia" w:ascii="仿宋" w:hAnsi="仿宋" w:eastAsia="仿宋" w:cs="仿宋"/>
          <w:lang w:val="en-US" w:eastAsia="zh-CN"/>
        </w:rPr>
        <w:t>2019年末编制了2020年度项目支出绩效目标。</w:t>
      </w:r>
    </w:p>
    <w:p w14:paraId="0C8353BE">
      <w:pPr>
        <w:bidi w:val="0"/>
        <w:rPr>
          <w:rFonts w:hint="eastAsia" w:ascii="仿宋" w:hAnsi="仿宋" w:eastAsia="仿宋" w:cs="仿宋"/>
          <w:lang w:val="en-US" w:eastAsia="zh-CN"/>
        </w:rPr>
      </w:pPr>
      <w:r>
        <w:rPr>
          <w:rFonts w:hint="eastAsia" w:ascii="仿宋" w:hAnsi="仿宋" w:eastAsia="仿宋" w:cs="仿宋"/>
          <w:lang w:val="en-US" w:eastAsia="zh-CN"/>
        </w:rPr>
        <w:t>南昌市青云谱区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预算绩效管理情况总体良好，各项绩效工作能够积极有效开展，但预算绩效管理范围有待完整，绩效目标申报和项目支出绩效评价水平均有待提升。</w:t>
      </w:r>
    </w:p>
    <w:p w14:paraId="70832DF1">
      <w:pPr>
        <w:pStyle w:val="5"/>
        <w:bidi w:val="0"/>
        <w:rPr>
          <w:rFonts w:hint="eastAsia"/>
          <w:lang w:val="en-US" w:eastAsia="zh-CN"/>
        </w:rPr>
      </w:pPr>
      <w:r>
        <w:rPr>
          <w:rFonts w:hint="eastAsia"/>
          <w:lang w:val="en-US" w:eastAsia="zh-CN"/>
        </w:rPr>
        <w:t xml:space="preserve"> </w:t>
      </w:r>
      <w:bookmarkStart w:id="24" w:name="_Toc3743"/>
      <w:bookmarkStart w:id="25" w:name="_Toc15865"/>
      <w:bookmarkStart w:id="26" w:name="_Toc29025"/>
      <w:r>
        <w:rPr>
          <w:rFonts w:hint="eastAsia" w:ascii="黑体" w:hAnsi="黑体" w:eastAsia="黑体" w:cs="黑体"/>
          <w:lang w:val="en-US" w:eastAsia="zh-CN"/>
        </w:rPr>
        <w:t>（五）</w:t>
      </w:r>
      <w:r>
        <w:rPr>
          <w:rFonts w:hint="eastAsia" w:ascii="黑体" w:hAnsi="黑体" w:eastAsia="黑体" w:cs="黑体"/>
          <w:highlight w:val="none"/>
          <w:lang w:val="en-US" w:eastAsia="zh-CN"/>
        </w:rPr>
        <w:t>当年部门（单位）预算及执行</w:t>
      </w:r>
      <w:r>
        <w:rPr>
          <w:rFonts w:hint="eastAsia" w:ascii="黑体" w:hAnsi="黑体" w:eastAsia="黑体" w:cs="黑体"/>
          <w:lang w:val="en-US" w:eastAsia="zh-CN"/>
        </w:rPr>
        <w:t>情况</w:t>
      </w:r>
      <w:bookmarkEnd w:id="24"/>
      <w:bookmarkEnd w:id="25"/>
      <w:bookmarkEnd w:id="26"/>
      <w:r>
        <w:rPr>
          <w:rFonts w:hint="eastAsia" w:ascii="黑体" w:hAnsi="黑体" w:eastAsia="黑体" w:cs="黑体"/>
          <w:lang w:val="en-US" w:eastAsia="zh-CN"/>
        </w:rPr>
        <w:t xml:space="preserve"> </w:t>
      </w:r>
    </w:p>
    <w:p w14:paraId="5BEE91FF">
      <w:pPr>
        <w:rPr>
          <w:rFonts w:hint="default" w:ascii="仿宋" w:hAnsi="仿宋" w:eastAsia="仿宋" w:cs="仿宋"/>
          <w:lang w:val="en-US" w:eastAsia="zh-CN"/>
        </w:rPr>
      </w:pPr>
      <w:r>
        <w:rPr>
          <w:rFonts w:hint="eastAsia" w:ascii="仿宋" w:hAnsi="仿宋" w:eastAsia="仿宋" w:cs="仿宋"/>
          <w:bCs/>
          <w:color w:val="auto"/>
          <w:kern w:val="0"/>
          <w:sz w:val="28"/>
          <w:szCs w:val="28"/>
          <w:lang w:val="en-US" w:eastAsia="zh-CN"/>
        </w:rPr>
        <w:t>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2020年年初收入预算总额186.54万元，上年结余10万元；调整后预算为325.64万元，决算支出为325.64万元，结余0。预算有小幅度调整。</w:t>
      </w:r>
    </w:p>
    <w:p w14:paraId="58B498B7">
      <w:pPr>
        <w:rPr>
          <w:rFonts w:hint="eastAsia" w:ascii="仿宋" w:hAnsi="仿宋" w:eastAsia="仿宋" w:cs="仿宋"/>
          <w:lang w:val="en-US" w:eastAsia="zh-CN"/>
        </w:rPr>
      </w:pPr>
      <w:r>
        <w:rPr>
          <w:rFonts w:hint="eastAsia" w:ascii="仿宋" w:hAnsi="仿宋" w:eastAsia="仿宋" w:cs="仿宋"/>
          <w:lang w:val="en-US" w:eastAsia="zh-CN"/>
        </w:rPr>
        <w:t>根据区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2020年决算公开表格，南昌市青云谱区</w:t>
      </w:r>
      <w:r>
        <w:rPr>
          <w:rFonts w:hint="eastAsia" w:ascii="仿宋" w:hAnsi="仿宋" w:eastAsia="仿宋" w:cs="仿宋"/>
          <w:bCs/>
          <w:color w:val="auto"/>
          <w:kern w:val="0"/>
          <w:sz w:val="28"/>
          <w:szCs w:val="28"/>
          <w:lang w:val="en-US" w:eastAsia="zh-CN"/>
        </w:rPr>
        <w:t>区</w:t>
      </w:r>
      <w:r>
        <w:rPr>
          <w:rFonts w:hint="eastAsia" w:ascii="仿宋" w:hAnsi="仿宋" w:eastAsia="仿宋" w:cs="仿宋"/>
          <w:bCs/>
          <w:color w:val="auto"/>
          <w:kern w:val="0"/>
          <w:sz w:val="28"/>
          <w:szCs w:val="28"/>
        </w:rPr>
        <w:t>医疗保障局</w:t>
      </w:r>
      <w:r>
        <w:rPr>
          <w:rFonts w:hint="eastAsia" w:ascii="仿宋" w:hAnsi="仿宋" w:eastAsia="仿宋" w:cs="仿宋"/>
          <w:lang w:val="en-US" w:eastAsia="zh-CN"/>
        </w:rPr>
        <w:t>全年预算325.64万元，全年执行数325.64万元，预算执行率100%。其中基本支出全年执行数311.73万元，项目支出全年执行数13.9万元。</w:t>
      </w:r>
    </w:p>
    <w:p w14:paraId="23184B92">
      <w:pPr>
        <w:pStyle w:val="4"/>
        <w:bidi w:val="0"/>
        <w:rPr>
          <w:rFonts w:hint="eastAsia" w:ascii="黑体" w:hAnsi="黑体" w:eastAsia="黑体" w:cs="黑体"/>
          <w:sz w:val="32"/>
          <w:szCs w:val="32"/>
          <w:lang w:val="en-US" w:eastAsia="zh-CN"/>
        </w:rPr>
      </w:pPr>
      <w:bookmarkStart w:id="27" w:name="_Toc5004"/>
      <w:bookmarkStart w:id="28" w:name="_Toc16299"/>
      <w:bookmarkStart w:id="29" w:name="_Toc5789"/>
      <w:r>
        <w:rPr>
          <w:rFonts w:hint="eastAsia" w:ascii="黑体" w:hAnsi="黑体" w:eastAsia="黑体" w:cs="黑体"/>
          <w:sz w:val="32"/>
          <w:szCs w:val="32"/>
          <w:lang w:val="en-US" w:eastAsia="zh-CN"/>
        </w:rPr>
        <w:t>二、部门（单位）整体支出绩效实现情况</w:t>
      </w:r>
      <w:bookmarkEnd w:id="27"/>
      <w:bookmarkEnd w:id="28"/>
      <w:bookmarkEnd w:id="29"/>
      <w:r>
        <w:rPr>
          <w:rFonts w:hint="eastAsia" w:ascii="黑体" w:hAnsi="黑体" w:eastAsia="黑体" w:cs="黑体"/>
          <w:sz w:val="32"/>
          <w:szCs w:val="32"/>
          <w:lang w:val="en-US" w:eastAsia="zh-CN"/>
        </w:rPr>
        <w:t xml:space="preserve"> </w:t>
      </w:r>
    </w:p>
    <w:p w14:paraId="7733F4C1">
      <w:pPr>
        <w:pStyle w:val="5"/>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bookmarkStart w:id="30" w:name="_Toc8456"/>
      <w:bookmarkStart w:id="31" w:name="_Toc4808"/>
      <w:bookmarkStart w:id="32" w:name="_Toc5786"/>
      <w:r>
        <w:rPr>
          <w:rFonts w:hint="eastAsia" w:ascii="黑体" w:hAnsi="黑体" w:eastAsia="黑体" w:cs="黑体"/>
          <w:sz w:val="32"/>
          <w:szCs w:val="32"/>
          <w:lang w:val="en-US" w:eastAsia="zh-CN"/>
        </w:rPr>
        <w:t>（一）履职完成情况</w:t>
      </w:r>
      <w:bookmarkEnd w:id="30"/>
      <w:bookmarkEnd w:id="31"/>
      <w:bookmarkEnd w:id="32"/>
    </w:p>
    <w:p w14:paraId="2357E641">
      <w:pPr>
        <w:pStyle w:val="6"/>
        <w:bidi w:val="0"/>
        <w:rPr>
          <w:rFonts w:hint="eastAsia" w:ascii="黑体" w:hAnsi="黑体" w:eastAsia="黑体" w:cs="黑体"/>
          <w:sz w:val="32"/>
          <w:szCs w:val="32"/>
          <w:lang w:val="en-US" w:eastAsia="zh-CN"/>
        </w:rPr>
      </w:pPr>
      <w:bookmarkStart w:id="33" w:name="_Toc5617"/>
      <w:bookmarkStart w:id="34" w:name="_Toc20486"/>
      <w:r>
        <w:rPr>
          <w:rFonts w:hint="eastAsia" w:ascii="黑体" w:hAnsi="黑体" w:eastAsia="黑体" w:cs="黑体"/>
          <w:sz w:val="32"/>
          <w:szCs w:val="32"/>
          <w:lang w:val="en-US" w:eastAsia="zh-CN"/>
        </w:rPr>
        <w:t>1、数量方面</w:t>
      </w:r>
      <w:bookmarkEnd w:id="33"/>
      <w:bookmarkEnd w:id="34"/>
    </w:p>
    <w:p w14:paraId="34AE2067">
      <w:pPr>
        <w:bidi w:val="0"/>
        <w:rPr>
          <w:rFonts w:hint="eastAsia" w:ascii="仿宋" w:hAnsi="仿宋" w:eastAsia="仿宋" w:cs="仿宋"/>
          <w:b/>
          <w:bCs/>
          <w:lang w:val="en-US" w:eastAsia="zh-CN"/>
        </w:rPr>
      </w:pPr>
      <w:bookmarkStart w:id="35" w:name="_Toc30847"/>
      <w:bookmarkStart w:id="36" w:name="_Toc28376"/>
      <w:r>
        <w:rPr>
          <w:rFonts w:hint="eastAsia" w:ascii="仿宋" w:hAnsi="仿宋" w:eastAsia="仿宋" w:cs="仿宋"/>
          <w:b/>
          <w:bCs/>
          <w:lang w:val="en-US" w:eastAsia="zh-CN"/>
        </w:rPr>
        <w:t>（1）医保政策宣传次数</w:t>
      </w:r>
    </w:p>
    <w:p w14:paraId="0D44D379">
      <w:pPr>
        <w:pStyle w:val="7"/>
        <w:rPr>
          <w:rFonts w:hint="eastAsia" w:ascii="仿宋" w:hAnsi="仿宋" w:eastAsia="仿宋" w:cs="仿宋"/>
          <w:b w:val="0"/>
          <w:bCs w:val="0"/>
          <w:lang w:val="en-US" w:eastAsia="zh-CN"/>
        </w:rPr>
      </w:pPr>
      <w:r>
        <w:rPr>
          <w:rFonts w:hint="eastAsia" w:ascii="仿宋" w:hAnsi="仿宋" w:eastAsia="仿宋" w:cs="仿宋"/>
          <w:b w:val="0"/>
          <w:bCs w:val="0"/>
          <w:lang w:val="en-US" w:eastAsia="zh-CN"/>
        </w:rPr>
        <w:t>区医疗保障局开展医保政策进社区宣传活动15场，发放宣传册10000余份。与此同时，区医保局加大新闻媒体的宣传力度。全年在国家、省、市、区各类媒体平台上稿量达152篇。其中区级平台“五型政府建设”信息报送得分排名第七名。通过多种宣传措施，从而增强群众的获得感和幸福感。</w:t>
      </w:r>
    </w:p>
    <w:p w14:paraId="45BD4711">
      <w:pPr>
        <w:bidi w:val="0"/>
        <w:rPr>
          <w:rFonts w:hint="eastAsia" w:ascii="仿宋" w:hAnsi="仿宋" w:eastAsia="仿宋" w:cs="仿宋"/>
          <w:highlight w:val="none"/>
          <w:lang w:val="en-US" w:eastAsia="zh-CN"/>
        </w:rPr>
      </w:pPr>
      <w:r>
        <w:rPr>
          <w:rFonts w:hint="eastAsia" w:ascii="仿宋" w:hAnsi="仿宋" w:eastAsia="仿宋" w:cs="仿宋"/>
          <w:b/>
          <w:bCs/>
          <w:highlight w:val="none"/>
          <w:lang w:val="en-US" w:eastAsia="zh-CN"/>
        </w:rPr>
        <w:t>（2）培训社区干部人数</w:t>
      </w:r>
    </w:p>
    <w:p w14:paraId="71FA7C2A">
      <w:pPr>
        <w:bidi w:val="0"/>
        <w:rPr>
          <w:rFonts w:hint="eastAsia" w:ascii="仿宋" w:hAnsi="仿宋" w:eastAsia="仿宋" w:cs="仿宋"/>
          <w:lang w:val="en-US" w:eastAsia="zh-CN"/>
        </w:rPr>
      </w:pPr>
      <w:r>
        <w:rPr>
          <w:rFonts w:hint="eastAsia" w:ascii="仿宋" w:hAnsi="仿宋" w:eastAsia="仿宋" w:cs="仿宋"/>
          <w:b w:val="0"/>
          <w:bCs w:val="0"/>
          <w:lang w:val="en-US" w:eastAsia="zh-CN"/>
        </w:rPr>
        <w:t>区医疗保障局</w:t>
      </w:r>
      <w:r>
        <w:rPr>
          <w:rFonts w:hint="eastAsia" w:ascii="仿宋" w:hAnsi="仿宋" w:eastAsia="仿宋" w:cs="仿宋"/>
          <w:lang w:val="en-US" w:eastAsia="zh-CN"/>
        </w:rPr>
        <w:t>依据2020年工作计划及部门整体绩效目标中关于干部医保专业知识培训的工作预期，开展多次医疗保障专业知识培训活动，涉及培训相关人数120余人。</w:t>
      </w:r>
    </w:p>
    <w:p w14:paraId="6CF8EA37">
      <w:pPr>
        <w:bidi w:val="0"/>
        <w:rPr>
          <w:rFonts w:hint="eastAsia" w:ascii="仿宋" w:hAnsi="仿宋" w:eastAsia="仿宋" w:cs="仿宋"/>
          <w:b/>
          <w:bCs/>
          <w:lang w:val="en-US" w:eastAsia="zh-CN"/>
        </w:rPr>
      </w:pPr>
      <w:r>
        <w:rPr>
          <w:rFonts w:hint="eastAsia" w:ascii="仿宋" w:hAnsi="仿宋" w:eastAsia="仿宋" w:cs="仿宋"/>
          <w:b/>
          <w:bCs/>
          <w:lang w:val="en-US" w:eastAsia="zh-CN"/>
        </w:rPr>
        <w:t>（3）开展专项医保治理次数</w:t>
      </w:r>
    </w:p>
    <w:p w14:paraId="54F4C3A3">
      <w:pPr>
        <w:pStyle w:val="7"/>
        <w:keepNext w:val="0"/>
        <w:keepLines w:val="0"/>
        <w:pageBreakBefore w:val="0"/>
        <w:numPr>
          <w:ilvl w:val="0"/>
          <w:numId w:val="0"/>
        </w:numPr>
        <w:kinsoku/>
        <w:wordWrap/>
        <w:overflowPunct/>
        <w:topLinePunct w:val="0"/>
        <w:autoSpaceDE/>
        <w:autoSpaceDN/>
        <w:bidi w:val="0"/>
        <w:adjustRightInd/>
        <w:snapToGrid/>
        <w:spacing w:line="580" w:lineRule="exact"/>
        <w:ind w:firstLine="592" w:firstLineChars="200"/>
        <w:textAlignment w:val="auto"/>
        <w:rPr>
          <w:rFonts w:hint="eastAsia" w:ascii="仿宋_GB2312" w:hAnsi="仿宋_GB2312" w:eastAsia="仿宋_GB2312" w:cs="仿宋_GB2312"/>
          <w:b w:val="0"/>
          <w:i w:val="0"/>
          <w:caps w:val="0"/>
          <w:color w:val="0E0E0E"/>
          <w:spacing w:val="8"/>
          <w:kern w:val="2"/>
          <w:sz w:val="32"/>
          <w:szCs w:val="32"/>
          <w:highlight w:val="none"/>
          <w:shd w:val="clear" w:color="auto" w:fill="FFFFFF"/>
          <w:lang w:val="en-US" w:eastAsia="zh-CN" w:bidi="ar-SA"/>
        </w:rPr>
      </w:pPr>
      <w:r>
        <w:rPr>
          <w:rFonts w:hint="eastAsia" w:ascii="仿宋" w:hAnsi="仿宋" w:eastAsia="仿宋" w:cs="仿宋"/>
          <w:b w:val="0"/>
          <w:i w:val="0"/>
          <w:caps w:val="0"/>
          <w:color w:val="0E0E0E"/>
          <w:spacing w:val="8"/>
          <w:kern w:val="2"/>
          <w:sz w:val="28"/>
          <w:szCs w:val="28"/>
          <w:highlight w:val="none"/>
          <w:shd w:val="clear" w:color="auto" w:fill="FFFFFF"/>
          <w:lang w:val="en-US" w:eastAsia="zh-CN" w:bidi="ar-SA"/>
        </w:rPr>
        <w:t>加强依法依规意识和稽核业务能力，提升行政执法能力水平，逐步规范稽核执法程序，开展打击欺诈骗保专项治理行动。</w:t>
      </w:r>
      <w:r>
        <w:rPr>
          <w:rFonts w:hint="eastAsia" w:ascii="仿宋" w:hAnsi="仿宋" w:eastAsia="仿宋" w:cs="仿宋"/>
          <w:color w:val="auto"/>
          <w:kern w:val="2"/>
          <w:sz w:val="28"/>
          <w:szCs w:val="28"/>
          <w:lang w:val="en-US" w:eastAsia="zh-CN" w:bidi="ar-SA"/>
        </w:rPr>
        <w:t>共查开展专项治理26次，查处辖区26家医药机构，暂停医保服务6家，解除服务协议1家，追回医保基金153.69万元。</w:t>
      </w:r>
    </w:p>
    <w:p w14:paraId="20DAE03C">
      <w:pPr>
        <w:bidi w:val="0"/>
        <w:rPr>
          <w:rFonts w:hint="eastAsia" w:ascii="仿宋" w:hAnsi="仿宋" w:eastAsia="仿宋" w:cs="仿宋"/>
          <w:lang w:val="en-US" w:eastAsia="zh-CN"/>
        </w:rPr>
      </w:pPr>
    </w:p>
    <w:p w14:paraId="767D6327">
      <w:pPr>
        <w:pStyle w:val="6"/>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2、质量方面</w:t>
      </w:r>
      <w:bookmarkEnd w:id="35"/>
      <w:bookmarkEnd w:id="36"/>
    </w:p>
    <w:p w14:paraId="7A8193E9">
      <w:pPr>
        <w:bidi w:val="0"/>
        <w:rPr>
          <w:rFonts w:hint="default" w:ascii="仿宋" w:hAnsi="仿宋" w:eastAsia="仿宋" w:cs="仿宋"/>
          <w:b/>
          <w:bCs/>
          <w:lang w:val="en-US" w:eastAsia="zh-CN"/>
        </w:rPr>
      </w:pPr>
      <w:bookmarkStart w:id="37" w:name="_Toc15911"/>
      <w:bookmarkStart w:id="38" w:name="_Toc19984"/>
      <w:r>
        <w:rPr>
          <w:rFonts w:hint="eastAsia" w:ascii="仿宋" w:hAnsi="仿宋" w:eastAsia="仿宋" w:cs="仿宋"/>
          <w:b/>
          <w:bCs/>
          <w:lang w:val="en-US" w:eastAsia="zh-CN"/>
        </w:rPr>
        <w:t>（1）医保政策宣传覆盖率</w:t>
      </w:r>
    </w:p>
    <w:p w14:paraId="62922DE1">
      <w:pPr>
        <w:bidi w:val="0"/>
        <w:rPr>
          <w:rFonts w:hint="eastAsia" w:ascii="仿宋" w:hAnsi="仿宋" w:eastAsia="仿宋" w:cs="仿宋"/>
          <w:kern w:val="2"/>
          <w:sz w:val="28"/>
          <w:szCs w:val="28"/>
          <w:highlight w:val="none"/>
          <w:lang w:val="en-US" w:eastAsia="zh-CN" w:bidi="ar-SA"/>
        </w:rPr>
      </w:pPr>
      <w:r>
        <w:rPr>
          <w:rFonts w:hint="eastAsia" w:ascii="仿宋" w:hAnsi="仿宋" w:eastAsia="仿宋" w:cs="仿宋"/>
          <w:bCs/>
          <w:color w:val="auto"/>
          <w:kern w:val="0"/>
          <w:sz w:val="28"/>
          <w:szCs w:val="28"/>
          <w:lang w:val="en-US" w:eastAsia="zh-CN"/>
        </w:rPr>
        <w:t>区</w:t>
      </w:r>
      <w:r>
        <w:rPr>
          <w:rFonts w:hint="eastAsia" w:ascii="仿宋" w:hAnsi="仿宋" w:eastAsia="仿宋" w:cs="仿宋"/>
          <w:bCs/>
          <w:color w:val="auto"/>
          <w:kern w:val="0"/>
          <w:sz w:val="28"/>
          <w:szCs w:val="28"/>
        </w:rPr>
        <w:t>医疗保障局</w:t>
      </w:r>
      <w:r>
        <w:rPr>
          <w:rFonts w:hint="eastAsia" w:ascii="仿宋" w:hAnsi="仿宋" w:eastAsia="仿宋" w:cs="仿宋"/>
          <w:sz w:val="28"/>
          <w:szCs w:val="28"/>
          <w:lang w:val="en-US" w:eastAsia="zh-CN"/>
        </w:rPr>
        <w:t>通过多处布点、主动设点、包干挂点等方式，充分发挥街道、社区（村）、两定机构医保业务经办人员宣传员的作用，使每个经办点都成为一个宣传点，</w:t>
      </w:r>
      <w:r>
        <w:rPr>
          <w:rFonts w:hint="eastAsia" w:ascii="仿宋" w:hAnsi="仿宋" w:eastAsia="仿宋" w:cs="仿宋"/>
          <w:sz w:val="28"/>
          <w:szCs w:val="28"/>
          <w:shd w:val="clear" w:color="auto" w:fill="FFFFFF"/>
          <w:lang w:val="en-US" w:eastAsia="zh-CN"/>
        </w:rPr>
        <w:t>解决平时集中宣传人员难以抽调的难题。</w:t>
      </w:r>
      <w:r>
        <w:rPr>
          <w:rFonts w:hint="eastAsia" w:ascii="仿宋" w:hAnsi="仿宋" w:eastAsia="仿宋" w:cs="仿宋"/>
          <w:sz w:val="28"/>
          <w:szCs w:val="28"/>
          <w:lang w:val="en-US" w:eastAsia="zh-CN"/>
        </w:rPr>
        <w:t>充分运用传统媒体和新型媒体，扩大宣传覆盖面和影响力。如印制海报、横幅、展板、折页、手册，在各宣传点张贴，集中宣传时发放；制作宣传短片在经办窗口、两定机构和社区（村）等地方滚动播放；利用社区志愿服务走进行动不便的特殊群众家门，讲解医保政策；及时更新医保微信公众号政策信息。</w:t>
      </w:r>
      <w:r>
        <w:rPr>
          <w:rFonts w:hint="eastAsia" w:ascii="仿宋" w:hAnsi="仿宋" w:eastAsia="仿宋" w:cs="仿宋"/>
          <w:kern w:val="2"/>
          <w:sz w:val="28"/>
          <w:szCs w:val="28"/>
          <w:highlight w:val="none"/>
          <w:lang w:val="en-US" w:eastAsia="zh-CN" w:bidi="ar-SA"/>
        </w:rPr>
        <w:t>通过送政策进基层，送服务进家门，答疑解惑到机构等方式，提高医保政策的知晓度。</w:t>
      </w:r>
    </w:p>
    <w:p w14:paraId="2ED78348">
      <w:pPr>
        <w:bidi w:val="0"/>
        <w:rPr>
          <w:rFonts w:hint="eastAsia" w:ascii="仿宋" w:hAnsi="仿宋" w:eastAsia="仿宋" w:cs="仿宋"/>
          <w:b/>
          <w:bCs/>
          <w:highlight w:val="none"/>
          <w:lang w:val="en-US" w:eastAsia="zh-CN"/>
        </w:rPr>
      </w:pPr>
      <w:r>
        <w:rPr>
          <w:rFonts w:hint="eastAsia" w:ascii="仿宋" w:hAnsi="仿宋" w:eastAsia="仿宋" w:cs="仿宋"/>
          <w:b/>
          <w:bCs/>
          <w:highlight w:val="none"/>
          <w:lang w:val="en-US" w:eastAsia="zh-CN"/>
        </w:rPr>
        <w:t>（2）医保政策培训合格率</w:t>
      </w:r>
    </w:p>
    <w:p w14:paraId="28551C4F">
      <w:pPr>
        <w:bidi w:val="0"/>
        <w:rPr>
          <w:rFonts w:hint="eastAsia" w:ascii="仿宋" w:hAnsi="仿宋" w:eastAsia="仿宋" w:cs="仿宋"/>
          <w:lang w:val="en-US" w:eastAsia="zh-CN"/>
        </w:rPr>
      </w:pPr>
      <w:r>
        <w:rPr>
          <w:rFonts w:hint="eastAsia" w:ascii="仿宋" w:hAnsi="仿宋" w:eastAsia="仿宋" w:cs="仿宋"/>
          <w:bCs/>
          <w:color w:val="auto"/>
          <w:kern w:val="0"/>
          <w:sz w:val="28"/>
          <w:szCs w:val="28"/>
          <w:lang w:val="en-US" w:eastAsia="zh-CN"/>
        </w:rPr>
        <w:t>区</w:t>
      </w:r>
      <w:r>
        <w:rPr>
          <w:rFonts w:hint="eastAsia" w:ascii="仿宋" w:hAnsi="仿宋" w:eastAsia="仿宋" w:cs="仿宋"/>
          <w:bCs/>
          <w:color w:val="auto"/>
          <w:kern w:val="0"/>
          <w:sz w:val="28"/>
          <w:szCs w:val="28"/>
        </w:rPr>
        <w:t>医疗保障局</w:t>
      </w:r>
      <w:r>
        <w:rPr>
          <w:rFonts w:hint="eastAsia" w:ascii="仿宋" w:hAnsi="仿宋" w:eastAsia="仿宋" w:cs="仿宋"/>
          <w:bCs/>
          <w:color w:val="auto"/>
          <w:kern w:val="0"/>
          <w:sz w:val="28"/>
          <w:szCs w:val="28"/>
          <w:lang w:val="en-US" w:eastAsia="zh-CN"/>
        </w:rPr>
        <w:t>开</w:t>
      </w:r>
      <w:r>
        <w:rPr>
          <w:rFonts w:hint="eastAsia" w:ascii="仿宋" w:hAnsi="仿宋" w:eastAsia="仿宋" w:cs="仿宋"/>
          <w:lang w:val="en-US" w:eastAsia="zh-CN"/>
        </w:rPr>
        <w:t>展多次医疗保障专业知识培训活动，培训社区干部120余人，由社区干部进一步对相关医保政策进行宣传，加大医保政策的宣传力度与宣传覆盖人群。</w:t>
      </w:r>
    </w:p>
    <w:p w14:paraId="49397C40">
      <w:pPr>
        <w:bidi w:val="0"/>
        <w:rPr>
          <w:rFonts w:hint="default" w:ascii="仿宋" w:hAnsi="仿宋" w:eastAsia="仿宋" w:cs="仿宋"/>
          <w:b/>
          <w:bCs/>
          <w:lang w:val="en-US" w:eastAsia="zh-CN"/>
        </w:rPr>
      </w:pPr>
      <w:r>
        <w:rPr>
          <w:rFonts w:hint="eastAsia" w:ascii="仿宋" w:hAnsi="仿宋" w:eastAsia="仿宋" w:cs="仿宋"/>
          <w:b/>
          <w:bCs/>
          <w:lang w:val="en-US" w:eastAsia="zh-CN"/>
        </w:rPr>
        <w:t>（3）开展专项治理合规性</w:t>
      </w:r>
    </w:p>
    <w:p w14:paraId="0692EEF5">
      <w:pPr>
        <w:pStyle w:val="7"/>
        <w:keepNext w:val="0"/>
        <w:keepLines w:val="0"/>
        <w:pageBreakBefore w:val="0"/>
        <w:numPr>
          <w:ilvl w:val="0"/>
          <w:numId w:val="0"/>
        </w:numPr>
        <w:kinsoku/>
        <w:wordWrap/>
        <w:overflowPunct/>
        <w:topLinePunct w:val="0"/>
        <w:autoSpaceDE/>
        <w:autoSpaceDN/>
        <w:bidi w:val="0"/>
        <w:adjustRightInd/>
        <w:snapToGrid/>
        <w:spacing w:line="580" w:lineRule="exact"/>
        <w:ind w:firstLine="592" w:firstLineChars="200"/>
        <w:textAlignment w:val="auto"/>
        <w:rPr>
          <w:rFonts w:hint="eastAsia" w:ascii="仿宋" w:hAnsi="仿宋" w:eastAsia="仿宋" w:cs="仿宋"/>
          <w:b w:val="0"/>
          <w:i w:val="0"/>
          <w:caps w:val="0"/>
          <w:color w:val="0E0E0E"/>
          <w:spacing w:val="8"/>
          <w:kern w:val="2"/>
          <w:sz w:val="28"/>
          <w:szCs w:val="28"/>
          <w:highlight w:val="none"/>
          <w:shd w:val="clear" w:color="auto" w:fill="FFFFFF"/>
          <w:lang w:val="en-US" w:eastAsia="zh-CN" w:bidi="ar-SA"/>
        </w:rPr>
      </w:pPr>
      <w:r>
        <w:rPr>
          <w:rFonts w:hint="eastAsia" w:ascii="仿宋" w:hAnsi="仿宋" w:eastAsia="仿宋" w:cs="仿宋"/>
          <w:b w:val="0"/>
          <w:i w:val="0"/>
          <w:caps w:val="0"/>
          <w:color w:val="0E0E0E"/>
          <w:spacing w:val="8"/>
          <w:kern w:val="2"/>
          <w:sz w:val="28"/>
          <w:szCs w:val="28"/>
          <w:highlight w:val="none"/>
          <w:shd w:val="clear" w:color="auto" w:fill="FFFFFF"/>
          <w:lang w:val="en-US" w:eastAsia="zh-CN" w:bidi="ar-SA"/>
        </w:rPr>
        <w:t>加强依法依规意识和稽核业务能力，提升行政执法能力水平，逐步规范稽核执法程序，开展打击欺诈骗保专项治理行动。进一步加强了对全区定点医疗服务机构和定点零售药店的监督和管理，构建了“不敢骗、不能骗、不想骗”的医保基金监管新格局，切实守护了人民群众的“救命钱”。</w:t>
      </w:r>
    </w:p>
    <w:p w14:paraId="4A7054FC">
      <w:pPr>
        <w:bidi w:val="0"/>
        <w:rPr>
          <w:rFonts w:hint="eastAsia" w:ascii="仿宋" w:hAnsi="仿宋" w:eastAsia="仿宋" w:cs="仿宋"/>
          <w:lang w:val="en-US" w:eastAsia="zh-CN"/>
        </w:rPr>
      </w:pPr>
    </w:p>
    <w:p w14:paraId="3904C34F">
      <w:pPr>
        <w:bidi w:val="0"/>
        <w:rPr>
          <w:rFonts w:hint="eastAsia" w:ascii="仿宋" w:hAnsi="仿宋" w:eastAsia="仿宋" w:cs="仿宋"/>
          <w:b/>
          <w:bCs/>
          <w:lang w:val="en-US" w:eastAsia="zh-CN"/>
        </w:rPr>
      </w:pPr>
    </w:p>
    <w:p w14:paraId="009F1E1A">
      <w:pPr>
        <w:pStyle w:val="6"/>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3、时效方面</w:t>
      </w:r>
      <w:bookmarkEnd w:id="37"/>
      <w:bookmarkEnd w:id="38"/>
    </w:p>
    <w:p w14:paraId="4BE57A31">
      <w:pPr>
        <w:bidi w:val="0"/>
        <w:rPr>
          <w:rFonts w:hint="eastAsia" w:ascii="仿宋" w:hAnsi="仿宋" w:eastAsia="仿宋" w:cs="仿宋"/>
          <w:b/>
          <w:bCs/>
          <w:lang w:val="en-US" w:eastAsia="zh-CN"/>
        </w:rPr>
      </w:pPr>
      <w:r>
        <w:rPr>
          <w:rFonts w:hint="eastAsia" w:ascii="仿宋" w:hAnsi="仿宋" w:eastAsia="仿宋" w:cs="仿宋"/>
          <w:b/>
          <w:bCs/>
          <w:lang w:val="en-US" w:eastAsia="zh-CN"/>
        </w:rPr>
        <w:t>（1）部门工作完成时间</w:t>
      </w:r>
    </w:p>
    <w:p w14:paraId="5B513B35">
      <w:pPr>
        <w:bidi w:val="0"/>
        <w:rPr>
          <w:rFonts w:hint="default"/>
          <w:b w:val="0"/>
          <w:bCs w:val="0"/>
          <w:lang w:val="en-US" w:eastAsia="zh-CN"/>
        </w:rPr>
      </w:pPr>
      <w:r>
        <w:rPr>
          <w:rFonts w:hint="eastAsia" w:ascii="仿宋" w:hAnsi="仿宋" w:eastAsia="仿宋" w:cs="仿宋"/>
          <w:b w:val="0"/>
          <w:bCs w:val="0"/>
          <w:lang w:val="en-US" w:eastAsia="zh-CN"/>
        </w:rPr>
        <w:t>2020年度</w:t>
      </w:r>
      <w:r>
        <w:rPr>
          <w:rFonts w:hint="eastAsia" w:ascii="仿宋" w:hAnsi="仿宋" w:eastAsia="仿宋" w:cs="仿宋"/>
          <w:b w:val="0"/>
          <w:bCs w:val="0"/>
          <w:color w:val="auto"/>
          <w:kern w:val="0"/>
          <w:sz w:val="28"/>
          <w:szCs w:val="28"/>
          <w:lang w:val="en-US" w:eastAsia="zh-CN"/>
        </w:rPr>
        <w:t>区</w:t>
      </w:r>
      <w:r>
        <w:rPr>
          <w:rFonts w:hint="eastAsia" w:ascii="仿宋" w:hAnsi="仿宋" w:eastAsia="仿宋" w:cs="仿宋"/>
          <w:b w:val="0"/>
          <w:bCs w:val="0"/>
          <w:color w:val="auto"/>
          <w:kern w:val="0"/>
          <w:sz w:val="28"/>
          <w:szCs w:val="28"/>
        </w:rPr>
        <w:t>医疗保障局</w:t>
      </w:r>
      <w:r>
        <w:rPr>
          <w:rFonts w:hint="eastAsia" w:ascii="仿宋" w:hAnsi="仿宋" w:eastAsia="仿宋" w:cs="仿宋"/>
          <w:b w:val="0"/>
          <w:bCs w:val="0"/>
          <w:lang w:val="en-US" w:eastAsia="zh-CN"/>
        </w:rPr>
        <w:t>预计开展医保政策宣传、</w:t>
      </w:r>
      <w:r>
        <w:rPr>
          <w:rFonts w:hint="eastAsia" w:ascii="仿宋" w:hAnsi="仿宋" w:eastAsia="仿宋" w:cs="仿宋"/>
          <w:b w:val="0"/>
          <w:bCs w:val="0"/>
          <w:highlight w:val="none"/>
          <w:lang w:val="en-US" w:eastAsia="zh-CN"/>
        </w:rPr>
        <w:t>培训社区干部</w:t>
      </w:r>
      <w:r>
        <w:rPr>
          <w:rFonts w:hint="eastAsia" w:ascii="仿宋" w:hAnsi="仿宋" w:eastAsia="仿宋" w:cs="仿宋"/>
          <w:b w:val="0"/>
          <w:bCs w:val="0"/>
          <w:lang w:val="en-US" w:eastAsia="zh-CN"/>
        </w:rPr>
        <w:t>及开展专项医保治理等工作，实际完成时间均在2020年12月20日之前，符合工作计划要求。</w:t>
      </w:r>
    </w:p>
    <w:p w14:paraId="5591B272">
      <w:pPr>
        <w:pStyle w:val="5"/>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bookmarkStart w:id="39" w:name="_Toc26259"/>
      <w:bookmarkStart w:id="40" w:name="_Toc20710"/>
      <w:bookmarkStart w:id="41" w:name="_Toc31944"/>
      <w:r>
        <w:rPr>
          <w:rFonts w:hint="eastAsia" w:ascii="黑体" w:hAnsi="黑体" w:eastAsia="黑体" w:cs="黑体"/>
          <w:sz w:val="32"/>
          <w:szCs w:val="32"/>
          <w:lang w:val="en-US" w:eastAsia="zh-CN"/>
        </w:rPr>
        <w:t>（二）履职效果情况</w:t>
      </w:r>
      <w:bookmarkEnd w:id="39"/>
      <w:bookmarkEnd w:id="40"/>
      <w:bookmarkEnd w:id="41"/>
    </w:p>
    <w:p w14:paraId="06251A1F">
      <w:pPr>
        <w:pStyle w:val="6"/>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1、社会效益</w:t>
      </w:r>
    </w:p>
    <w:p w14:paraId="76AB89F2">
      <w:pPr>
        <w:bidi w:val="0"/>
        <w:rPr>
          <w:rFonts w:hint="default" w:ascii="仿宋" w:hAnsi="仿宋" w:eastAsia="仿宋" w:cs="仿宋"/>
          <w:b/>
          <w:bCs/>
          <w:lang w:val="en-US" w:eastAsia="zh-CN"/>
        </w:rPr>
      </w:pPr>
      <w:r>
        <w:rPr>
          <w:rFonts w:hint="eastAsia" w:ascii="仿宋" w:hAnsi="仿宋" w:eastAsia="仿宋" w:cs="仿宋"/>
          <w:b/>
          <w:bCs/>
          <w:lang w:val="en-US" w:eastAsia="zh-CN"/>
        </w:rPr>
        <w:t>（1）医保政策宣传知晓度</w:t>
      </w:r>
    </w:p>
    <w:p w14:paraId="499E63A8">
      <w:pPr>
        <w:pStyle w:val="7"/>
        <w:rPr>
          <w:rFonts w:hint="default"/>
          <w:lang w:val="en-US" w:eastAsia="zh-CN"/>
        </w:rPr>
      </w:pPr>
      <w:r>
        <w:rPr>
          <w:rFonts w:hint="eastAsia" w:ascii="仿宋" w:hAnsi="仿宋" w:eastAsia="仿宋" w:cs="仿宋"/>
          <w:b w:val="0"/>
          <w:bCs w:val="0"/>
          <w:lang w:val="en-US" w:eastAsia="zh-CN"/>
        </w:rPr>
        <w:t>2020年度</w:t>
      </w:r>
      <w:r>
        <w:rPr>
          <w:rFonts w:hint="eastAsia" w:ascii="仿宋" w:hAnsi="仿宋" w:eastAsia="仿宋" w:cs="仿宋"/>
          <w:b w:val="0"/>
          <w:bCs w:val="0"/>
          <w:color w:val="auto"/>
          <w:kern w:val="0"/>
          <w:sz w:val="28"/>
          <w:szCs w:val="28"/>
          <w:lang w:val="en-US" w:eastAsia="zh-CN"/>
        </w:rPr>
        <w:t>区</w:t>
      </w:r>
      <w:r>
        <w:rPr>
          <w:rFonts w:hint="eastAsia" w:ascii="仿宋" w:hAnsi="仿宋" w:eastAsia="仿宋" w:cs="仿宋"/>
          <w:b w:val="0"/>
          <w:bCs w:val="0"/>
          <w:color w:val="auto"/>
          <w:kern w:val="0"/>
          <w:sz w:val="28"/>
          <w:szCs w:val="28"/>
        </w:rPr>
        <w:t>医疗保障局</w:t>
      </w:r>
      <w:r>
        <w:rPr>
          <w:rFonts w:hint="eastAsia" w:ascii="仿宋" w:hAnsi="仿宋" w:eastAsia="仿宋" w:cs="仿宋"/>
          <w:b w:val="0"/>
          <w:bCs w:val="0"/>
          <w:lang w:val="en-US" w:eastAsia="zh-CN"/>
        </w:rPr>
        <w:t>预计开展医保政策宣传，通过各种宣传手段，加大群众对医保政策的知晓性，并且通过培训干部来加大政策宣传的力度，</w:t>
      </w:r>
      <w:r>
        <w:rPr>
          <w:rFonts w:hint="eastAsia" w:ascii="仿宋" w:hAnsi="仿宋" w:eastAsia="仿宋" w:cs="仿宋"/>
          <w:kern w:val="2"/>
          <w:sz w:val="28"/>
          <w:szCs w:val="28"/>
          <w:highlight w:val="none"/>
          <w:lang w:val="en-US" w:eastAsia="zh-CN" w:bidi="ar-SA"/>
        </w:rPr>
        <w:t>通过送政策进基层，送服务进家门，答疑解惑到机构等方式，提高医保政策的知晓度。</w:t>
      </w:r>
    </w:p>
    <w:p w14:paraId="221EF001">
      <w:pPr>
        <w:bidi w:val="0"/>
        <w:rPr>
          <w:rFonts w:hint="eastAsia" w:ascii="仿宋" w:hAnsi="仿宋" w:eastAsia="仿宋" w:cs="仿宋"/>
          <w:lang w:val="en-US" w:eastAsia="zh-CN"/>
        </w:rPr>
      </w:pPr>
      <w:r>
        <w:rPr>
          <w:rFonts w:hint="eastAsia" w:ascii="仿宋" w:hAnsi="仿宋" w:eastAsia="仿宋" w:cs="仿宋"/>
          <w:b/>
          <w:bCs/>
          <w:lang w:val="en-US" w:eastAsia="zh-CN"/>
        </w:rPr>
        <w:t>（2）问题整改率</w:t>
      </w:r>
    </w:p>
    <w:p w14:paraId="13A3BDA5">
      <w:pPr>
        <w:pStyle w:val="7"/>
        <w:keepNext w:val="0"/>
        <w:keepLines w:val="0"/>
        <w:pageBreakBefore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lang w:val="en-US" w:eastAsia="zh-CN"/>
        </w:rPr>
      </w:pPr>
      <w:r>
        <w:rPr>
          <w:rFonts w:hint="eastAsia" w:ascii="仿宋" w:hAnsi="仿宋" w:eastAsia="仿宋" w:cs="仿宋"/>
          <w:sz w:val="28"/>
          <w:szCs w:val="28"/>
          <w:lang w:val="en-US" w:eastAsia="zh-CN"/>
        </w:rPr>
        <w:t>专项整治期间，</w:t>
      </w:r>
      <w:r>
        <w:rPr>
          <w:rFonts w:hint="eastAsia" w:ascii="仿宋" w:hAnsi="仿宋" w:eastAsia="仿宋" w:cs="仿宋"/>
          <w:color w:val="auto"/>
          <w:kern w:val="2"/>
          <w:sz w:val="28"/>
          <w:szCs w:val="28"/>
          <w:lang w:val="en-US" w:eastAsia="zh-CN" w:bidi="ar-SA"/>
        </w:rPr>
        <w:t>共查处辖区26家医药机构，暂停医保服务6家，解除服务协议1家，追回医保基金153.69万元，</w:t>
      </w:r>
      <w:r>
        <w:rPr>
          <w:rFonts w:hint="eastAsia" w:ascii="仿宋" w:hAnsi="仿宋" w:eastAsia="仿宋" w:cs="仿宋"/>
          <w:b w:val="0"/>
          <w:i w:val="0"/>
          <w:caps w:val="0"/>
          <w:color w:val="0E0E0E"/>
          <w:spacing w:val="8"/>
          <w:kern w:val="2"/>
          <w:sz w:val="28"/>
          <w:szCs w:val="28"/>
          <w:highlight w:val="none"/>
          <w:shd w:val="clear" w:color="auto" w:fill="FFFFFF"/>
          <w:lang w:val="en-US" w:eastAsia="zh-CN" w:bidi="ar-SA"/>
        </w:rPr>
        <w:t>进一步加强了对全区定点医疗服务机构和定点零售药店的监督和管理，构建了“不敢骗、不能骗、不想骗”的医保基金监管新格局，切实守护了人民群众的“救命钱”。</w:t>
      </w:r>
    </w:p>
    <w:p w14:paraId="5B7901B6">
      <w:pPr>
        <w:numPr>
          <w:ilvl w:val="0"/>
          <w:numId w:val="2"/>
        </w:numPr>
        <w:bidi w:val="0"/>
        <w:rPr>
          <w:rFonts w:hint="eastAsia" w:ascii="仿宋_GB2312" w:hAnsi="仿宋_GB2312" w:eastAsia="仿宋_GB2312" w:cs="仿宋_GB2312"/>
          <w:b/>
          <w:bCs/>
          <w:i w:val="0"/>
          <w:caps w:val="0"/>
          <w:color w:val="0E0E0E"/>
          <w:spacing w:val="8"/>
          <w:kern w:val="2"/>
          <w:sz w:val="28"/>
          <w:szCs w:val="28"/>
          <w:highlight w:val="none"/>
          <w:shd w:val="clear" w:color="auto" w:fill="FFFFFF"/>
          <w:lang w:val="en-US" w:eastAsia="zh-CN" w:bidi="ar-SA"/>
        </w:rPr>
      </w:pPr>
      <w:r>
        <w:rPr>
          <w:rFonts w:hint="eastAsia" w:ascii="仿宋_GB2312" w:hAnsi="仿宋_GB2312" w:eastAsia="仿宋_GB2312" w:cs="仿宋_GB2312"/>
          <w:b/>
          <w:bCs/>
          <w:i w:val="0"/>
          <w:caps w:val="0"/>
          <w:color w:val="0E0E0E"/>
          <w:spacing w:val="8"/>
          <w:kern w:val="2"/>
          <w:sz w:val="28"/>
          <w:szCs w:val="28"/>
          <w:highlight w:val="none"/>
          <w:shd w:val="clear" w:color="auto" w:fill="FFFFFF"/>
          <w:lang w:val="en-US" w:eastAsia="zh-CN" w:bidi="ar-SA"/>
        </w:rPr>
        <w:t>营造良好的参保氛围</w:t>
      </w:r>
    </w:p>
    <w:p w14:paraId="6F1296F5">
      <w:pPr>
        <w:pStyle w:val="7"/>
        <w:keepNext w:val="0"/>
        <w:keepLines w:val="0"/>
        <w:pageBreakBefore w:val="0"/>
        <w:numPr>
          <w:ilvl w:val="0"/>
          <w:numId w:val="0"/>
        </w:numPr>
        <w:kinsoku/>
        <w:wordWrap/>
        <w:overflowPunct/>
        <w:topLinePunct w:val="0"/>
        <w:autoSpaceDE/>
        <w:autoSpaceDN/>
        <w:bidi w:val="0"/>
        <w:adjustRightInd/>
        <w:snapToGrid/>
        <w:spacing w:line="580" w:lineRule="exact"/>
        <w:ind w:firstLine="592" w:firstLineChars="200"/>
        <w:textAlignment w:val="auto"/>
        <w:rPr>
          <w:rFonts w:hint="eastAsia" w:ascii="仿宋" w:hAnsi="仿宋" w:eastAsia="仿宋" w:cs="仿宋"/>
          <w:b/>
          <w:bCs/>
          <w:sz w:val="28"/>
          <w:szCs w:val="28"/>
        </w:rPr>
      </w:pPr>
      <w:r>
        <w:rPr>
          <w:rFonts w:hint="eastAsia" w:ascii="仿宋" w:hAnsi="仿宋" w:eastAsia="仿宋" w:cs="仿宋"/>
          <w:b w:val="0"/>
          <w:i w:val="0"/>
          <w:caps w:val="0"/>
          <w:color w:val="0E0E0E"/>
          <w:spacing w:val="8"/>
          <w:kern w:val="2"/>
          <w:sz w:val="28"/>
          <w:szCs w:val="28"/>
          <w:highlight w:val="none"/>
          <w:shd w:val="clear" w:color="auto" w:fill="FFFFFF"/>
          <w:lang w:val="en-US" w:eastAsia="zh-CN" w:bidi="ar-SA"/>
        </w:rPr>
        <w:t>通过采取“线上+线下”宣传方式，充分利用宣传栏、定点机构LED显示屏、微信公众号等渠道，广泛宣传医保基监管政策，提高辖区定点医疗机构的履约守法意识，强化参保群众的维权意识和法制意识，营造全社会关注并自觉维护医保基金安全的良好氛围。</w:t>
      </w:r>
    </w:p>
    <w:p w14:paraId="616B7730">
      <w:pPr>
        <w:pStyle w:val="5"/>
        <w:bidi w:val="0"/>
        <w:rPr>
          <w:rFonts w:hint="eastAsia" w:ascii="黑体" w:hAnsi="黑体" w:eastAsia="黑体" w:cs="黑体"/>
          <w:sz w:val="32"/>
          <w:szCs w:val="32"/>
          <w:lang w:val="en-US" w:eastAsia="zh-CN"/>
        </w:rPr>
      </w:pPr>
      <w:r>
        <w:rPr>
          <w:rFonts w:hint="eastAsia"/>
          <w:lang w:val="en-US" w:eastAsia="zh-CN"/>
        </w:rPr>
        <w:t xml:space="preserve"> </w:t>
      </w:r>
      <w:bookmarkStart w:id="42" w:name="_Toc4211"/>
      <w:bookmarkStart w:id="43" w:name="_Toc26793"/>
      <w:bookmarkStart w:id="44" w:name="_Toc11594"/>
      <w:r>
        <w:rPr>
          <w:rFonts w:hint="eastAsia" w:ascii="黑体" w:hAnsi="黑体" w:eastAsia="黑体" w:cs="黑体"/>
          <w:sz w:val="32"/>
          <w:szCs w:val="32"/>
          <w:lang w:val="en-US" w:eastAsia="zh-CN"/>
        </w:rPr>
        <w:t>（三）社会满意度及可持续性影响</w:t>
      </w:r>
      <w:bookmarkEnd w:id="42"/>
      <w:bookmarkEnd w:id="43"/>
      <w:bookmarkEnd w:id="44"/>
    </w:p>
    <w:p w14:paraId="52EB9CCF">
      <w:pPr>
        <w:pStyle w:val="6"/>
        <w:bidi w:val="0"/>
        <w:rPr>
          <w:rFonts w:hint="eastAsia" w:ascii="黑体" w:hAnsi="黑体" w:eastAsia="黑体" w:cs="黑体"/>
          <w:sz w:val="32"/>
          <w:szCs w:val="32"/>
          <w:lang w:val="en-US" w:eastAsia="zh-CN"/>
        </w:rPr>
      </w:pPr>
      <w:bookmarkStart w:id="45" w:name="_Toc10599"/>
      <w:bookmarkStart w:id="46" w:name="_Toc21225"/>
      <w:r>
        <w:rPr>
          <w:rFonts w:hint="eastAsia" w:ascii="黑体" w:hAnsi="黑体" w:eastAsia="黑体" w:cs="黑体"/>
          <w:sz w:val="32"/>
          <w:szCs w:val="32"/>
          <w:lang w:val="en-US" w:eastAsia="zh-CN"/>
        </w:rPr>
        <w:t>1、可持续影响</w:t>
      </w:r>
    </w:p>
    <w:p w14:paraId="606E47F1">
      <w:pPr>
        <w:bidi w:val="0"/>
        <w:rPr>
          <w:rFonts w:hint="default" w:ascii="仿宋" w:hAnsi="仿宋" w:eastAsia="仿宋" w:cs="仿宋"/>
          <w:b/>
          <w:bCs/>
          <w:lang w:val="en-US" w:eastAsia="zh-CN"/>
        </w:rPr>
      </w:pPr>
      <w:r>
        <w:rPr>
          <w:rFonts w:hint="eastAsia" w:ascii="仿宋" w:hAnsi="仿宋" w:eastAsia="仿宋" w:cs="仿宋"/>
          <w:b/>
          <w:bCs/>
          <w:lang w:val="en-US" w:eastAsia="zh-CN"/>
        </w:rPr>
        <w:t>（1）改进作风，提升服务水平</w:t>
      </w:r>
    </w:p>
    <w:p w14:paraId="227C6F63">
      <w:pPr>
        <w:bidi w:val="0"/>
        <w:rPr>
          <w:rFonts w:hint="eastAsia" w:ascii="仿宋" w:hAnsi="仿宋" w:eastAsia="仿宋" w:cs="仿宋"/>
          <w:lang w:val="en-US" w:eastAsia="zh-CN"/>
        </w:rPr>
      </w:pPr>
      <w:r>
        <w:rPr>
          <w:rFonts w:hint="eastAsia" w:ascii="仿宋" w:hAnsi="仿宋" w:eastAsia="仿宋" w:cs="仿宋"/>
          <w:lang w:val="en-US" w:eastAsia="zh-CN"/>
        </w:rPr>
        <w:t>牢固树立宗旨意识，通过设置征求意见箱、微信公众号网上留言，积极搭建与群众交流沟通平台，认真听取和搜集参保群众意见建议，并将其作为改善服务和调整工作方式的主导方向，以最大限度解决群众在办理医保业务中遇到的正当诉求。</w:t>
      </w:r>
    </w:p>
    <w:p w14:paraId="15A2E041">
      <w:pPr>
        <w:bidi w:val="0"/>
        <w:rPr>
          <w:rFonts w:hint="eastAsia" w:ascii="仿宋" w:hAnsi="仿宋" w:eastAsia="仿宋" w:cs="仿宋"/>
          <w:b/>
          <w:bCs/>
          <w:lang w:val="en-US" w:eastAsia="zh-CN"/>
        </w:rPr>
      </w:pPr>
      <w:r>
        <w:rPr>
          <w:rFonts w:hint="eastAsia" w:ascii="仿宋" w:hAnsi="仿宋" w:eastAsia="仿宋" w:cs="仿宋"/>
          <w:b/>
          <w:bCs/>
          <w:lang w:val="en-US" w:eastAsia="zh-CN"/>
        </w:rPr>
        <w:t>（2）政策导向，医保工作平稳运行情况</w:t>
      </w:r>
    </w:p>
    <w:p w14:paraId="277DF8E8">
      <w:pPr>
        <w:bidi w:val="0"/>
        <w:rPr>
          <w:rFonts w:hint="eastAsia" w:ascii="仿宋" w:hAnsi="仿宋" w:eastAsia="仿宋" w:cs="仿宋"/>
          <w:lang w:val="en-US" w:eastAsia="zh-CN"/>
        </w:rPr>
      </w:pPr>
      <w:r>
        <w:rPr>
          <w:rFonts w:hint="eastAsia" w:ascii="仿宋" w:hAnsi="仿宋" w:eastAsia="仿宋" w:cs="仿宋"/>
          <w:lang w:val="en-US" w:eastAsia="zh-CN"/>
        </w:rPr>
        <w:t>通过南昌市医保系统加强基金监管职能，严格监控治疗用药过程，及时发现超量用药、过度诊疗，采取智能监控系统排查和大数据分析、比对分析医疗机构相关信息记录、现场检查、与患者电话走访等方式，发现是否存在医疗机构虚构服务，零售药店串换项目等违规行为。通过政策法规宣传与稽核行动措施并举，促进定点医疗机构提高履约守法意识，强化医保基金监管制度；同时，增强参保群众维权意识和法治观念，畅通举报投诉渠道，全力打击欺诈骗保行为恶意行为。</w:t>
      </w:r>
    </w:p>
    <w:p w14:paraId="038115C7">
      <w:pPr>
        <w:pStyle w:val="6"/>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2、社会满意度</w:t>
      </w:r>
      <w:bookmarkEnd w:id="45"/>
      <w:bookmarkEnd w:id="46"/>
    </w:p>
    <w:p w14:paraId="05CADA82">
      <w:pPr>
        <w:bidi w:val="0"/>
        <w:rPr>
          <w:rFonts w:hint="eastAsia" w:ascii="仿宋" w:hAnsi="仿宋" w:eastAsia="仿宋" w:cs="仿宋"/>
          <w:lang w:val="en-US" w:eastAsia="zh-CN"/>
        </w:rPr>
      </w:pPr>
      <w:r>
        <w:rPr>
          <w:rFonts w:hint="eastAsia" w:ascii="仿宋" w:hAnsi="仿宋" w:eastAsia="仿宋" w:cs="仿宋"/>
          <w:b/>
          <w:bCs/>
          <w:lang w:val="en-US" w:eastAsia="zh-CN"/>
        </w:rPr>
        <w:t>（1）相关人员满意度</w:t>
      </w:r>
    </w:p>
    <w:p w14:paraId="11B53235">
      <w:pPr>
        <w:bidi w:val="0"/>
        <w:rPr>
          <w:rFonts w:hint="eastAsia" w:ascii="仿宋" w:hAnsi="仿宋" w:eastAsia="仿宋" w:cs="仿宋"/>
          <w:lang w:val="en-US" w:eastAsia="zh-CN"/>
        </w:rPr>
      </w:pPr>
      <w:r>
        <w:rPr>
          <w:rFonts w:hint="eastAsia" w:ascii="仿宋" w:hAnsi="仿宋" w:eastAsia="仿宋" w:cs="仿宋"/>
          <w:lang w:val="en-US" w:eastAsia="zh-CN"/>
        </w:rPr>
        <w:t>为落实医保工作，明确医保政策宣传工作及整治任务和工作要求，针对辖区内医保定点以及相关企业开展检查，确保所有问题隐患整改到位，相关企业依据规定对隐患进行积极整改，相关人员以及参保群众满意度较高。</w:t>
      </w:r>
    </w:p>
    <w:p w14:paraId="5793ECA9">
      <w:pPr>
        <w:pStyle w:val="4"/>
        <w:bidi w:val="0"/>
        <w:rPr>
          <w:rFonts w:hint="eastAsia" w:ascii="黑体" w:hAnsi="黑体" w:eastAsia="黑体" w:cs="黑体"/>
          <w:sz w:val="32"/>
          <w:szCs w:val="32"/>
          <w:highlight w:val="none"/>
          <w:lang w:val="en-US" w:eastAsia="zh-CN"/>
        </w:rPr>
      </w:pPr>
      <w:bookmarkStart w:id="47" w:name="_Toc29403"/>
      <w:bookmarkStart w:id="48" w:name="_Toc17532"/>
      <w:bookmarkStart w:id="49" w:name="_Toc11615"/>
      <w:r>
        <w:rPr>
          <w:rFonts w:hint="eastAsia" w:ascii="黑体" w:hAnsi="黑体" w:eastAsia="黑体" w:cs="黑体"/>
          <w:sz w:val="32"/>
          <w:szCs w:val="32"/>
          <w:lang w:val="en-US" w:eastAsia="zh-CN"/>
        </w:rPr>
        <w:t>三、</w:t>
      </w:r>
      <w:r>
        <w:rPr>
          <w:rFonts w:hint="eastAsia" w:ascii="黑体" w:hAnsi="黑体" w:eastAsia="黑体" w:cs="黑体"/>
          <w:sz w:val="32"/>
          <w:szCs w:val="32"/>
          <w:highlight w:val="none"/>
          <w:lang w:val="en-US" w:eastAsia="zh-CN"/>
        </w:rPr>
        <w:t>部门（单位）整体支出绩效中存在问题及改进措施</w:t>
      </w:r>
      <w:bookmarkEnd w:id="47"/>
      <w:bookmarkEnd w:id="48"/>
      <w:bookmarkEnd w:id="49"/>
      <w:r>
        <w:rPr>
          <w:rFonts w:hint="eastAsia" w:ascii="黑体" w:hAnsi="黑体" w:eastAsia="黑体" w:cs="黑体"/>
          <w:sz w:val="32"/>
          <w:szCs w:val="32"/>
          <w:highlight w:val="none"/>
          <w:lang w:val="en-US" w:eastAsia="zh-CN"/>
        </w:rPr>
        <w:t xml:space="preserve"> </w:t>
      </w:r>
    </w:p>
    <w:p w14:paraId="375F0666">
      <w:pPr>
        <w:pStyle w:val="5"/>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bookmarkStart w:id="50" w:name="_Toc12738"/>
      <w:bookmarkStart w:id="51" w:name="_Toc10434"/>
      <w:bookmarkStart w:id="52" w:name="_Toc5094"/>
      <w:r>
        <w:rPr>
          <w:rFonts w:hint="eastAsia" w:ascii="黑体" w:hAnsi="黑体" w:eastAsia="黑体" w:cs="黑体"/>
          <w:sz w:val="32"/>
          <w:szCs w:val="32"/>
          <w:lang w:val="en-US" w:eastAsia="zh-CN"/>
        </w:rPr>
        <w:t>（一）主要问题及原因分析</w:t>
      </w:r>
      <w:bookmarkEnd w:id="50"/>
      <w:bookmarkEnd w:id="51"/>
      <w:bookmarkEnd w:id="52"/>
    </w:p>
    <w:p w14:paraId="698C3386">
      <w:pPr>
        <w:pStyle w:val="6"/>
        <w:bidi w:val="0"/>
        <w:rPr>
          <w:rFonts w:hint="default" w:ascii="仿宋" w:hAnsi="仿宋" w:eastAsia="仿宋" w:cs="仿宋"/>
          <w:lang w:val="en-US" w:eastAsia="zh-CN"/>
        </w:rPr>
      </w:pPr>
      <w:r>
        <w:rPr>
          <w:rFonts w:hint="eastAsia" w:ascii="仿宋" w:hAnsi="仿宋" w:eastAsia="仿宋" w:cs="仿宋"/>
          <w:lang w:val="en-US" w:eastAsia="zh-CN"/>
        </w:rPr>
        <w:t>1、相关费用申请、报销流程不规范</w:t>
      </w:r>
    </w:p>
    <w:p w14:paraId="5415B75A">
      <w:pPr>
        <w:rPr>
          <w:rFonts w:hint="eastAsia" w:ascii="仿宋" w:hAnsi="仿宋" w:eastAsia="仿宋" w:cs="仿宋"/>
          <w:lang w:val="en-US" w:eastAsia="zh-CN"/>
        </w:rPr>
      </w:pPr>
      <w:r>
        <w:rPr>
          <w:rFonts w:hint="eastAsia" w:ascii="仿宋" w:hAnsi="仿宋" w:eastAsia="仿宋" w:cs="仿宋"/>
          <w:lang w:val="en-US" w:eastAsia="zh-CN"/>
        </w:rPr>
        <w:t>根据项目组现场工作核查区医疗保障局明细账过程中发现，医疗保障局存在相关经费报销没有发票并且账本里原始凭证入库不严谨，部分报销单据均用工资单填写，用款申请单均未加盖财务章，财务方面流程不严谨，资金使用安全可能存在隐患。</w:t>
      </w:r>
    </w:p>
    <w:p w14:paraId="0475A160">
      <w:pPr>
        <w:pStyle w:val="6"/>
        <w:bidi w:val="0"/>
        <w:rPr>
          <w:rFonts w:hint="default" w:ascii="仿宋" w:hAnsi="仿宋" w:eastAsia="仿宋" w:cs="仿宋"/>
          <w:lang w:val="en-US" w:eastAsia="zh-CN"/>
        </w:rPr>
      </w:pPr>
      <w:r>
        <w:rPr>
          <w:rFonts w:hint="eastAsia" w:ascii="仿宋" w:hAnsi="仿宋" w:eastAsia="仿宋" w:cs="仿宋"/>
          <w:lang w:val="en-US" w:eastAsia="zh-CN"/>
        </w:rPr>
        <w:t>2、财务制度有待完善</w:t>
      </w:r>
    </w:p>
    <w:p w14:paraId="0298FE8B">
      <w:pPr>
        <w:rPr>
          <w:rFonts w:hint="default" w:ascii="仿宋" w:hAnsi="仿宋" w:eastAsia="仿宋" w:cs="仿宋"/>
          <w:lang w:val="en-US" w:eastAsia="zh-CN"/>
        </w:rPr>
      </w:pPr>
      <w:r>
        <w:rPr>
          <w:rFonts w:hint="eastAsia" w:ascii="仿宋" w:hAnsi="仿宋" w:eastAsia="仿宋" w:cs="仿宋"/>
          <w:lang w:val="en-US" w:eastAsia="zh-CN"/>
        </w:rPr>
        <w:t>根据项目组现场工作核查区医疗保障局管理制度过程中发现，医疗保障局只制定了部分财务管理制度，如预算业务管理制度，并未制定单位专项资金使用管理办法和会计核算制度及财务制度，财务方面管理制度有待加强。</w:t>
      </w:r>
    </w:p>
    <w:p w14:paraId="1C67D8EF">
      <w:pPr>
        <w:pStyle w:val="7"/>
        <w:rPr>
          <w:rFonts w:hint="eastAsia"/>
          <w:lang w:val="en-US" w:eastAsia="zh-CN"/>
        </w:rPr>
      </w:pPr>
    </w:p>
    <w:p w14:paraId="1E2C968F">
      <w:pPr>
        <w:pStyle w:val="6"/>
        <w:bidi w:val="0"/>
        <w:rPr>
          <w:rFonts w:hint="eastAsia" w:ascii="仿宋" w:hAnsi="仿宋" w:eastAsia="仿宋" w:cs="仿宋"/>
          <w:lang w:val="en-US" w:eastAsia="zh-CN"/>
        </w:rPr>
      </w:pPr>
      <w:r>
        <w:rPr>
          <w:rFonts w:hint="eastAsia" w:ascii="仿宋" w:hAnsi="仿宋" w:eastAsia="仿宋" w:cs="仿宋"/>
          <w:lang w:val="en-US" w:eastAsia="zh-CN"/>
        </w:rPr>
        <w:t>3、专业人员队伍有待加强</w:t>
      </w:r>
    </w:p>
    <w:p w14:paraId="0147DB23">
      <w:pPr>
        <w:rPr>
          <w:rFonts w:hint="eastAsia" w:ascii="仿宋" w:hAnsi="仿宋" w:eastAsia="仿宋" w:cs="仿宋"/>
          <w:lang w:val="en-US" w:eastAsia="zh-CN"/>
        </w:rPr>
      </w:pPr>
      <w:r>
        <w:rPr>
          <w:rFonts w:hint="eastAsia" w:ascii="仿宋" w:hAnsi="仿宋" w:eastAsia="仿宋" w:cs="仿宋"/>
          <w:kern w:val="2"/>
          <w:sz w:val="32"/>
          <w:szCs w:val="32"/>
          <w:highlight w:val="none"/>
          <w:lang w:val="en-US" w:eastAsia="zh-CN" w:bidi="ar-SA"/>
        </w:rPr>
        <w:t>2020年定点医疗机构实行属地管理，青云谱区共有8家二级及以下定点医疗机构、44家定点卫生服务站和74家定点药店。定点医疗机构多，医学、药学、财务、大数据专业人员缺乏，基金监管难度加大，队伍建设需加强</w:t>
      </w:r>
      <w:r>
        <w:rPr>
          <w:rFonts w:hint="eastAsia" w:ascii="仿宋" w:hAnsi="仿宋" w:eastAsia="仿宋" w:cs="仿宋"/>
          <w:lang w:val="en-US" w:eastAsia="zh-CN"/>
        </w:rPr>
        <w:t>。</w:t>
      </w:r>
    </w:p>
    <w:p w14:paraId="7036F836">
      <w:pPr>
        <w:pStyle w:val="5"/>
        <w:bidi w:val="0"/>
        <w:rPr>
          <w:rFonts w:hint="eastAsia" w:ascii="黑体" w:hAnsi="黑体" w:eastAsia="黑体" w:cs="黑体"/>
          <w:lang w:val="en-US" w:eastAsia="zh-CN"/>
        </w:rPr>
      </w:pPr>
      <w:r>
        <w:rPr>
          <w:rFonts w:hint="eastAsia" w:ascii="黑体" w:hAnsi="黑体" w:eastAsia="黑体" w:cs="黑体"/>
          <w:lang w:val="en-US" w:eastAsia="zh-CN"/>
        </w:rPr>
        <w:t xml:space="preserve"> </w:t>
      </w:r>
      <w:bookmarkStart w:id="53" w:name="_Toc15801"/>
      <w:bookmarkStart w:id="54" w:name="_Toc22372"/>
      <w:bookmarkStart w:id="55" w:name="_Toc29268"/>
      <w:r>
        <w:rPr>
          <w:rFonts w:hint="eastAsia" w:ascii="黑体" w:hAnsi="黑体" w:eastAsia="黑体" w:cs="黑体"/>
          <w:lang w:val="en-US" w:eastAsia="zh-CN"/>
        </w:rPr>
        <w:t>（二）改进的方向和具体措施</w:t>
      </w:r>
      <w:bookmarkEnd w:id="53"/>
      <w:bookmarkEnd w:id="54"/>
      <w:bookmarkEnd w:id="55"/>
    </w:p>
    <w:p w14:paraId="6DCB3B18">
      <w:pPr>
        <w:pStyle w:val="6"/>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1、进一步规范会计基础工作</w:t>
      </w:r>
    </w:p>
    <w:p w14:paraId="0E66320E">
      <w:pPr>
        <w:keepNext w:val="0"/>
        <w:keepLines w:val="0"/>
        <w:widowControl/>
        <w:numPr>
          <w:ilvl w:val="0"/>
          <w:numId w:val="0"/>
        </w:numPr>
        <w:suppressLineNumbers w:val="0"/>
        <w:ind w:firstLine="560" w:firstLineChars="200"/>
        <w:jc w:val="left"/>
        <w:rPr>
          <w:rFonts w:hint="default" w:ascii="仿宋" w:hAnsi="仿宋" w:eastAsia="仿宋" w:cs="仿宋"/>
          <w:lang w:val="en-US" w:eastAsia="zh-CN"/>
        </w:rPr>
      </w:pPr>
      <w:r>
        <w:rPr>
          <w:rFonts w:hint="eastAsia" w:ascii="仿宋" w:hAnsi="仿宋" w:eastAsia="仿宋" w:cs="仿宋"/>
          <w:sz w:val="28"/>
          <w:szCs w:val="28"/>
          <w:lang w:val="en-US" w:eastAsia="zh-CN"/>
        </w:rPr>
        <w:t>严格按照规定科目及核算内容进行账务处理，规范会计核算，真实、准确、完整的反映单位决算情况、财务收支情况；严格按照《中华人民共和国会计法》、《会计基础工作规范》的规定，对记载不明确、不完整、不合规的原始凭证退回，要求经办人员更正、补充；建立完善现金管理制度，进一步明确该单位负责人和会计、出纳在现金管理中的职责，建立单位负责人事前监督、出纳具体负责以及会计事后监督的体制，以确保现金规范化管理，建立现金管理日常监督制度，确保现金管理制度长期有效发挥作用。</w:t>
      </w:r>
    </w:p>
    <w:p w14:paraId="600AE094">
      <w:pPr>
        <w:pStyle w:val="6"/>
        <w:bidi w:val="0"/>
        <w:rPr>
          <w:rFonts w:hint="default" w:ascii="仿宋" w:hAnsi="仿宋" w:eastAsia="仿宋" w:cs="仿宋"/>
          <w:lang w:val="en-US" w:eastAsia="zh-CN"/>
        </w:rPr>
      </w:pPr>
      <w:r>
        <w:rPr>
          <w:rFonts w:hint="eastAsia" w:ascii="仿宋" w:hAnsi="仿宋" w:eastAsia="仿宋" w:cs="仿宋"/>
          <w:lang w:val="en-US" w:eastAsia="zh-CN"/>
        </w:rPr>
        <w:t>2、积极完善财务制度</w:t>
      </w:r>
    </w:p>
    <w:p w14:paraId="747A2514">
      <w:pPr>
        <w:rPr>
          <w:rFonts w:hint="eastAsia" w:ascii="仿宋" w:hAnsi="仿宋" w:eastAsia="仿宋" w:cs="仿宋"/>
          <w:lang w:val="en-US" w:eastAsia="zh-CN"/>
        </w:rPr>
      </w:pPr>
      <w:r>
        <w:rPr>
          <w:rFonts w:hint="eastAsia" w:ascii="仿宋" w:hAnsi="仿宋" w:eastAsia="仿宋" w:cs="仿宋"/>
          <w:sz w:val="28"/>
          <w:szCs w:val="28"/>
          <w:lang w:val="en-US" w:eastAsia="zh-CN"/>
        </w:rPr>
        <w:t>严格按照《中华人民共和国会计法》、《会计基础工作规范》的相关规定，根据本单位的实际财务情况制定符合法律法规的相关财务制度</w:t>
      </w:r>
      <w:r>
        <w:rPr>
          <w:rFonts w:hint="eastAsia" w:ascii="仿宋" w:hAnsi="仿宋" w:eastAsia="仿宋" w:cs="仿宋"/>
          <w:lang w:val="en-US" w:eastAsia="zh-CN"/>
        </w:rPr>
        <w:t>。</w:t>
      </w:r>
    </w:p>
    <w:p w14:paraId="0EB83E6B">
      <w:pPr>
        <w:pStyle w:val="2"/>
        <w:rPr>
          <w:rFonts w:hint="eastAsia"/>
          <w:lang w:val="en-US" w:eastAsia="zh-CN"/>
        </w:rPr>
      </w:pPr>
    </w:p>
    <w:p w14:paraId="28FAF005">
      <w:pPr>
        <w:pStyle w:val="6"/>
        <w:bidi w:val="0"/>
        <w:rPr>
          <w:rFonts w:hint="default" w:ascii="仿宋" w:hAnsi="仿宋" w:eastAsia="仿宋" w:cs="仿宋"/>
          <w:lang w:val="en-US" w:eastAsia="zh-CN"/>
        </w:rPr>
      </w:pPr>
      <w:r>
        <w:rPr>
          <w:rFonts w:hint="eastAsia" w:ascii="仿宋" w:hAnsi="仿宋" w:eastAsia="仿宋" w:cs="仿宋"/>
          <w:lang w:val="en-US" w:eastAsia="zh-CN"/>
        </w:rPr>
        <w:t>3、加强专业人员队伍建设</w:t>
      </w:r>
    </w:p>
    <w:p w14:paraId="460081C5">
      <w:pPr>
        <w:bidi w:val="0"/>
        <w:rPr>
          <w:rFonts w:hint="eastAsia" w:ascii="仿宋" w:hAnsi="仿宋" w:eastAsia="仿宋" w:cs="仿宋"/>
          <w:lang w:val="en-US" w:eastAsia="zh-CN"/>
        </w:rPr>
      </w:pPr>
      <w:r>
        <w:rPr>
          <w:rFonts w:hint="eastAsia" w:ascii="仿宋" w:hAnsi="仿宋" w:eastAsia="仿宋" w:cs="仿宋"/>
          <w:sz w:val="28"/>
          <w:szCs w:val="28"/>
          <w:lang w:val="en-US" w:eastAsia="zh-CN"/>
        </w:rPr>
        <w:t>加强基层医疗保障专业人员队伍建设，医疗保障局紧紧围绕“为民、便民、惠民”这一主题，立足本职，以“办人民满意医保”为中心，深入推进医疗保障工作，努力打造一支“政治过硬、业务熟练、作风优良、办事公正、服务规范”的医保队伍。一是狠抓廉政教育，筑牢思想防线。开展党风廉政建设，加强学习习近平总书记重要</w:t>
      </w:r>
      <w:bookmarkStart w:id="56" w:name="_GoBack"/>
      <w:bookmarkEnd w:id="56"/>
      <w:r>
        <w:rPr>
          <w:rFonts w:hint="eastAsia" w:ascii="仿宋" w:hAnsi="仿宋" w:eastAsia="仿宋" w:cs="仿宋"/>
          <w:sz w:val="28"/>
          <w:szCs w:val="28"/>
          <w:lang w:val="en-US" w:eastAsia="zh-CN"/>
        </w:rPr>
        <w:t>讲话和党章党规，筑牢思想防线，确保廉政建设落到实处。二是强化政策学习，提高经办水平。结合学习型社会建设，树立医保队伍终身学习理念，采取有计划有步骤的个人自学与集中学习、会议培训等相结合的学习方式全面推进医疗保障政策法规学习，提升干部职工的经办能力和综合素质。三是完善作风建设，强化服务意识。深化作风建设，内强素质，外树形象，重拳整治“庸懒散”，按照“管理制度化、操作程序化、服务规范化”的要求，大力夯实建设基础。四是转变工作作风，树立为民服务理念。组织召开单位干部职工座谈会， 促进单位内部干群关系和谐，领导班子团结，中层干部和睦，单位职工互助互爱，创建“想事、干事、成事”的积极向上的工作团队。</w:t>
      </w:r>
    </w:p>
    <w:sectPr>
      <w:headerReference r:id="rId6" w:type="default"/>
      <w:footerReference r:id="rId7"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5A81">
    <w:pPr>
      <w:pStyle w:val="10"/>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EF9F2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14:paraId="3EEF9F2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CB601">
    <w:pPr>
      <w:pStyle w:val="11"/>
      <w:keepNext w:val="0"/>
      <w:keepLines w:val="0"/>
      <w:pageBreakBefore w:val="0"/>
      <w:widowControl w:val="0"/>
      <w:pBdr>
        <w:bottom w:val="none" w:color="auto" w:sz="0" w:space="1"/>
      </w:pBdr>
      <w:kinsoku/>
      <w:wordWrap/>
      <w:overflowPunct/>
      <w:topLinePunct w:val="0"/>
      <w:autoSpaceDE/>
      <w:autoSpaceDN/>
      <w:bidi w:val="0"/>
      <w:adjustRightInd/>
      <w:snapToGrid w:val="0"/>
      <w:ind w:firstLine="0" w:firstLineChars="0"/>
      <w:jc w:val="center"/>
      <w:textAlignment w:val="auto"/>
      <w:rPr>
        <w:rFonts w:hint="eastAsia"/>
        <w:lang w:val="en-US" w:eastAsia="zh-CN"/>
      </w:rPr>
    </w:pPr>
  </w:p>
  <w:p w14:paraId="4C1F4189">
    <w:pPr>
      <w:pStyle w:val="11"/>
      <w:keepNext w:val="0"/>
      <w:keepLines w:val="0"/>
      <w:pageBreakBefore w:val="0"/>
      <w:widowControl w:val="0"/>
      <w:pBdr>
        <w:bottom w:val="none" w:color="auto" w:sz="0" w:space="1"/>
      </w:pBdr>
      <w:kinsoku/>
      <w:wordWrap/>
      <w:overflowPunct/>
      <w:topLinePunct w:val="0"/>
      <w:autoSpaceDE/>
      <w:autoSpaceDN/>
      <w:bidi w:val="0"/>
      <w:adjustRightInd/>
      <w:snapToGrid w:val="0"/>
      <w:ind w:firstLine="0" w:firstLineChars="0"/>
      <w:jc w:val="center"/>
      <w:textAlignment w:val="auto"/>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583A">
    <w:pPr>
      <w:pStyle w:val="11"/>
      <w:keepNext w:val="0"/>
      <w:keepLines w:val="0"/>
      <w:pageBreakBefore w:val="0"/>
      <w:widowControl w:val="0"/>
      <w:pBdr>
        <w:bottom w:val="none" w:color="auto" w:sz="0" w:space="1"/>
      </w:pBdr>
      <w:kinsoku/>
      <w:wordWrap/>
      <w:overflowPunct/>
      <w:topLinePunct w:val="0"/>
      <w:autoSpaceDE/>
      <w:autoSpaceDN/>
      <w:bidi w:val="0"/>
      <w:adjustRightInd/>
      <w:snapToGrid w:val="0"/>
      <w:ind w:firstLine="0" w:firstLineChars="0"/>
      <w:jc w:val="center"/>
      <w:textAlignment w:val="auto"/>
      <w:rPr>
        <w:rFonts w:hint="eastAsia"/>
        <w:lang w:val="en-US" w:eastAsia="zh-CN"/>
      </w:rPr>
    </w:pPr>
  </w:p>
  <w:p w14:paraId="7C5DF1B5">
    <w:pPr>
      <w:pStyle w:val="11"/>
      <w:keepNext w:val="0"/>
      <w:keepLines w:val="0"/>
      <w:pageBreakBefore w:val="0"/>
      <w:widowControl w:val="0"/>
      <w:pBdr>
        <w:bottom w:val="single" w:color="auto" w:sz="4" w:space="1"/>
      </w:pBdr>
      <w:kinsoku/>
      <w:wordWrap/>
      <w:overflowPunct/>
      <w:topLinePunct w:val="0"/>
      <w:autoSpaceDE/>
      <w:autoSpaceDN/>
      <w:bidi w:val="0"/>
      <w:adjustRightInd/>
      <w:snapToGrid w:val="0"/>
      <w:ind w:firstLine="0" w:firstLineChars="0"/>
      <w:jc w:val="center"/>
      <w:textAlignment w:val="auto"/>
      <w:rPr>
        <w:rFonts w:hint="default"/>
        <w:lang w:val="en-US" w:eastAsia="zh-CN"/>
      </w:rPr>
    </w:pPr>
    <w:r>
      <w:rPr>
        <w:rFonts w:hint="eastAsia"/>
        <w:lang w:val="en-US" w:eastAsia="zh-CN"/>
      </w:rPr>
      <w:t>2020年度南昌市青云谱区</w:t>
    </w:r>
    <w:r>
      <w:rPr>
        <w:rFonts w:hint="eastAsia" w:ascii="宋体" w:hAnsi="宋体" w:eastAsia="宋体" w:cs="宋体"/>
        <w:bCs/>
        <w:color w:val="auto"/>
        <w:kern w:val="0"/>
        <w:sz w:val="18"/>
        <w:szCs w:val="18"/>
      </w:rPr>
      <w:t>医疗保障局</w:t>
    </w:r>
    <w:r>
      <w:rPr>
        <w:rFonts w:hint="eastAsia"/>
        <w:lang w:val="en-US" w:eastAsia="zh-CN"/>
      </w:rPr>
      <w:t>部门整体支出绩效评价报告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9E3BDD"/>
    <w:multiLevelType w:val="singleLevel"/>
    <w:tmpl w:val="FA9E3BDD"/>
    <w:lvl w:ilvl="0" w:tentative="0">
      <w:start w:val="2"/>
      <w:numFmt w:val="chineseCounting"/>
      <w:suff w:val="nothing"/>
      <w:lvlText w:val="（%1）"/>
      <w:lvlJc w:val="left"/>
      <w:rPr>
        <w:rFonts w:hint="eastAsia"/>
      </w:rPr>
    </w:lvl>
  </w:abstractNum>
  <w:abstractNum w:abstractNumId="1">
    <w:nsid w:val="418EEA73"/>
    <w:multiLevelType w:val="singleLevel"/>
    <w:tmpl w:val="418EEA73"/>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17F3D"/>
    <w:rsid w:val="004411AA"/>
    <w:rsid w:val="00525760"/>
    <w:rsid w:val="00693238"/>
    <w:rsid w:val="006D2CFA"/>
    <w:rsid w:val="00CD2251"/>
    <w:rsid w:val="0100517A"/>
    <w:rsid w:val="013C7D41"/>
    <w:rsid w:val="016166F1"/>
    <w:rsid w:val="01761E3A"/>
    <w:rsid w:val="017960AA"/>
    <w:rsid w:val="03313983"/>
    <w:rsid w:val="03D14C1D"/>
    <w:rsid w:val="042411F2"/>
    <w:rsid w:val="04345748"/>
    <w:rsid w:val="044C71D0"/>
    <w:rsid w:val="0465636F"/>
    <w:rsid w:val="048F3F7D"/>
    <w:rsid w:val="04905F32"/>
    <w:rsid w:val="04BA50E1"/>
    <w:rsid w:val="053F642A"/>
    <w:rsid w:val="054F00FA"/>
    <w:rsid w:val="05BA6074"/>
    <w:rsid w:val="05C750C0"/>
    <w:rsid w:val="05CE4C7D"/>
    <w:rsid w:val="05F7475B"/>
    <w:rsid w:val="06326D7F"/>
    <w:rsid w:val="0636247D"/>
    <w:rsid w:val="065611CF"/>
    <w:rsid w:val="06666FAA"/>
    <w:rsid w:val="06841858"/>
    <w:rsid w:val="06D220BC"/>
    <w:rsid w:val="06FD08ED"/>
    <w:rsid w:val="071014FA"/>
    <w:rsid w:val="074D1607"/>
    <w:rsid w:val="077F786A"/>
    <w:rsid w:val="07855290"/>
    <w:rsid w:val="07CA7002"/>
    <w:rsid w:val="07F05F56"/>
    <w:rsid w:val="08C759B9"/>
    <w:rsid w:val="08CD6A3F"/>
    <w:rsid w:val="09506E2A"/>
    <w:rsid w:val="098031DC"/>
    <w:rsid w:val="09927C13"/>
    <w:rsid w:val="09A01C88"/>
    <w:rsid w:val="0A6A367E"/>
    <w:rsid w:val="0A7D0618"/>
    <w:rsid w:val="0A8053C2"/>
    <w:rsid w:val="0B5C6B9F"/>
    <w:rsid w:val="0B83731D"/>
    <w:rsid w:val="0BE94481"/>
    <w:rsid w:val="0C956AF9"/>
    <w:rsid w:val="0CAC4B8A"/>
    <w:rsid w:val="0CC36C9B"/>
    <w:rsid w:val="0CD34381"/>
    <w:rsid w:val="0CF35984"/>
    <w:rsid w:val="0D193DC8"/>
    <w:rsid w:val="0D6045BF"/>
    <w:rsid w:val="0D8E6ECE"/>
    <w:rsid w:val="0DAA647C"/>
    <w:rsid w:val="0DB42907"/>
    <w:rsid w:val="0EBD2625"/>
    <w:rsid w:val="0EF828B8"/>
    <w:rsid w:val="0F657711"/>
    <w:rsid w:val="0FB023D3"/>
    <w:rsid w:val="0FBB7FC9"/>
    <w:rsid w:val="10327145"/>
    <w:rsid w:val="104613A4"/>
    <w:rsid w:val="10DF0028"/>
    <w:rsid w:val="11070E2C"/>
    <w:rsid w:val="11C304A3"/>
    <w:rsid w:val="11FF7A46"/>
    <w:rsid w:val="123A6544"/>
    <w:rsid w:val="12414A8E"/>
    <w:rsid w:val="125E5458"/>
    <w:rsid w:val="12606877"/>
    <w:rsid w:val="127D6870"/>
    <w:rsid w:val="1351432C"/>
    <w:rsid w:val="13621F5E"/>
    <w:rsid w:val="140E5C64"/>
    <w:rsid w:val="1489729A"/>
    <w:rsid w:val="148D0FDF"/>
    <w:rsid w:val="14D23F19"/>
    <w:rsid w:val="15514B8D"/>
    <w:rsid w:val="155C46B3"/>
    <w:rsid w:val="160B464F"/>
    <w:rsid w:val="166310B0"/>
    <w:rsid w:val="168C2D47"/>
    <w:rsid w:val="16D36989"/>
    <w:rsid w:val="16DD0978"/>
    <w:rsid w:val="17042A6C"/>
    <w:rsid w:val="170C2729"/>
    <w:rsid w:val="17306175"/>
    <w:rsid w:val="179B5215"/>
    <w:rsid w:val="180806CB"/>
    <w:rsid w:val="181721DC"/>
    <w:rsid w:val="182F350B"/>
    <w:rsid w:val="18445C9F"/>
    <w:rsid w:val="189260A5"/>
    <w:rsid w:val="194C22CA"/>
    <w:rsid w:val="196A2C46"/>
    <w:rsid w:val="196B2FE6"/>
    <w:rsid w:val="19DF64EE"/>
    <w:rsid w:val="1A0463CD"/>
    <w:rsid w:val="1A4E12BC"/>
    <w:rsid w:val="1A9A336C"/>
    <w:rsid w:val="1AC13FA7"/>
    <w:rsid w:val="1B31497E"/>
    <w:rsid w:val="1B415528"/>
    <w:rsid w:val="1C4A0586"/>
    <w:rsid w:val="1C5B4674"/>
    <w:rsid w:val="1C6B39C5"/>
    <w:rsid w:val="1C906C13"/>
    <w:rsid w:val="1CBF09F8"/>
    <w:rsid w:val="1CC26BC1"/>
    <w:rsid w:val="1D05096E"/>
    <w:rsid w:val="1D136655"/>
    <w:rsid w:val="1D3909A1"/>
    <w:rsid w:val="1D476B6F"/>
    <w:rsid w:val="1DC22211"/>
    <w:rsid w:val="1EE7007E"/>
    <w:rsid w:val="1F06434C"/>
    <w:rsid w:val="1F7D0B95"/>
    <w:rsid w:val="200001EE"/>
    <w:rsid w:val="206B3CDD"/>
    <w:rsid w:val="20D47FD4"/>
    <w:rsid w:val="21016C53"/>
    <w:rsid w:val="2161646D"/>
    <w:rsid w:val="216E172E"/>
    <w:rsid w:val="21F85D17"/>
    <w:rsid w:val="2206121E"/>
    <w:rsid w:val="222941BE"/>
    <w:rsid w:val="223A4D20"/>
    <w:rsid w:val="2264273B"/>
    <w:rsid w:val="22784399"/>
    <w:rsid w:val="22AE5F92"/>
    <w:rsid w:val="22B60749"/>
    <w:rsid w:val="22D16DB0"/>
    <w:rsid w:val="235056E3"/>
    <w:rsid w:val="237A756C"/>
    <w:rsid w:val="2390408F"/>
    <w:rsid w:val="23BF6601"/>
    <w:rsid w:val="23C118C4"/>
    <w:rsid w:val="23CB6AD9"/>
    <w:rsid w:val="240E6E5C"/>
    <w:rsid w:val="246F7F65"/>
    <w:rsid w:val="24D314D7"/>
    <w:rsid w:val="24E759BC"/>
    <w:rsid w:val="25226275"/>
    <w:rsid w:val="252C1F8F"/>
    <w:rsid w:val="25317BF4"/>
    <w:rsid w:val="256A3DC6"/>
    <w:rsid w:val="25F6521E"/>
    <w:rsid w:val="26432222"/>
    <w:rsid w:val="26537B7D"/>
    <w:rsid w:val="26647F4C"/>
    <w:rsid w:val="26AA1392"/>
    <w:rsid w:val="26BE06B7"/>
    <w:rsid w:val="27A52D9E"/>
    <w:rsid w:val="27B94E7F"/>
    <w:rsid w:val="282B4556"/>
    <w:rsid w:val="28336683"/>
    <w:rsid w:val="288E23FC"/>
    <w:rsid w:val="28EF3CEE"/>
    <w:rsid w:val="290B3A68"/>
    <w:rsid w:val="29153D44"/>
    <w:rsid w:val="29687A45"/>
    <w:rsid w:val="29B970B2"/>
    <w:rsid w:val="29D750AD"/>
    <w:rsid w:val="29E869B5"/>
    <w:rsid w:val="2AB95758"/>
    <w:rsid w:val="2ABE6495"/>
    <w:rsid w:val="2AD43D23"/>
    <w:rsid w:val="2B144C69"/>
    <w:rsid w:val="2B361E0E"/>
    <w:rsid w:val="2BAD10F9"/>
    <w:rsid w:val="2BD04711"/>
    <w:rsid w:val="2C2647CF"/>
    <w:rsid w:val="2C994E8B"/>
    <w:rsid w:val="2CAA6E1A"/>
    <w:rsid w:val="2CD5539D"/>
    <w:rsid w:val="2CE40362"/>
    <w:rsid w:val="2D0C1E6A"/>
    <w:rsid w:val="2DE4583B"/>
    <w:rsid w:val="2E605F19"/>
    <w:rsid w:val="2F1455B6"/>
    <w:rsid w:val="2F4547CF"/>
    <w:rsid w:val="2F5838FE"/>
    <w:rsid w:val="2F6A7E35"/>
    <w:rsid w:val="2FF77132"/>
    <w:rsid w:val="30595979"/>
    <w:rsid w:val="306017C0"/>
    <w:rsid w:val="30804424"/>
    <w:rsid w:val="30EA4B1A"/>
    <w:rsid w:val="31203E87"/>
    <w:rsid w:val="317723C8"/>
    <w:rsid w:val="323219B1"/>
    <w:rsid w:val="323D0999"/>
    <w:rsid w:val="32991B1F"/>
    <w:rsid w:val="33065A75"/>
    <w:rsid w:val="335213A2"/>
    <w:rsid w:val="33690815"/>
    <w:rsid w:val="33B20B79"/>
    <w:rsid w:val="34D05E70"/>
    <w:rsid w:val="34E55E9B"/>
    <w:rsid w:val="34FB6BDC"/>
    <w:rsid w:val="353D3714"/>
    <w:rsid w:val="36631C9E"/>
    <w:rsid w:val="36E51D47"/>
    <w:rsid w:val="3700673F"/>
    <w:rsid w:val="372C19C9"/>
    <w:rsid w:val="37895702"/>
    <w:rsid w:val="37D022B7"/>
    <w:rsid w:val="38035515"/>
    <w:rsid w:val="380B6117"/>
    <w:rsid w:val="381A4DF5"/>
    <w:rsid w:val="38217D99"/>
    <w:rsid w:val="38E60AF3"/>
    <w:rsid w:val="391D48F0"/>
    <w:rsid w:val="39561FB9"/>
    <w:rsid w:val="3A1B5E2C"/>
    <w:rsid w:val="3AEC39BA"/>
    <w:rsid w:val="3AF71161"/>
    <w:rsid w:val="3B0C25C0"/>
    <w:rsid w:val="3B1966E8"/>
    <w:rsid w:val="3B455FE7"/>
    <w:rsid w:val="3B517D5E"/>
    <w:rsid w:val="3C0617B0"/>
    <w:rsid w:val="3C472039"/>
    <w:rsid w:val="3C5A64AB"/>
    <w:rsid w:val="3D4149D3"/>
    <w:rsid w:val="3DA12EB1"/>
    <w:rsid w:val="3DCB6C0D"/>
    <w:rsid w:val="3DFE2259"/>
    <w:rsid w:val="3DFE394C"/>
    <w:rsid w:val="3E1D4656"/>
    <w:rsid w:val="3E3E04C4"/>
    <w:rsid w:val="3E672645"/>
    <w:rsid w:val="3E706C63"/>
    <w:rsid w:val="3E8220C6"/>
    <w:rsid w:val="3EF83978"/>
    <w:rsid w:val="3F0E2A5D"/>
    <w:rsid w:val="3F5633E3"/>
    <w:rsid w:val="3F5C11E6"/>
    <w:rsid w:val="3FAB2EA3"/>
    <w:rsid w:val="3FB83E3D"/>
    <w:rsid w:val="3FDC1F37"/>
    <w:rsid w:val="3FED6FB3"/>
    <w:rsid w:val="40267FE2"/>
    <w:rsid w:val="405F24C5"/>
    <w:rsid w:val="4069326C"/>
    <w:rsid w:val="40A34CA4"/>
    <w:rsid w:val="410C1B16"/>
    <w:rsid w:val="420F1E39"/>
    <w:rsid w:val="4259023F"/>
    <w:rsid w:val="426653B9"/>
    <w:rsid w:val="432D3823"/>
    <w:rsid w:val="43D22D58"/>
    <w:rsid w:val="440D5D0A"/>
    <w:rsid w:val="442F0A77"/>
    <w:rsid w:val="445B5D7B"/>
    <w:rsid w:val="44A0635F"/>
    <w:rsid w:val="44F434B4"/>
    <w:rsid w:val="4582248C"/>
    <w:rsid w:val="468C1B1B"/>
    <w:rsid w:val="46AD4213"/>
    <w:rsid w:val="46D228B4"/>
    <w:rsid w:val="46FC3F80"/>
    <w:rsid w:val="47C36582"/>
    <w:rsid w:val="47FF0446"/>
    <w:rsid w:val="48576449"/>
    <w:rsid w:val="491C5345"/>
    <w:rsid w:val="495E0B7C"/>
    <w:rsid w:val="49B732FE"/>
    <w:rsid w:val="49F266AE"/>
    <w:rsid w:val="4AB51BC4"/>
    <w:rsid w:val="4ABF49CA"/>
    <w:rsid w:val="4ACA5823"/>
    <w:rsid w:val="4B201A81"/>
    <w:rsid w:val="4B840D96"/>
    <w:rsid w:val="4BB22BC3"/>
    <w:rsid w:val="4BD46B29"/>
    <w:rsid w:val="4BDC183B"/>
    <w:rsid w:val="4BE652BD"/>
    <w:rsid w:val="4C1A33C3"/>
    <w:rsid w:val="4C332220"/>
    <w:rsid w:val="4C4510BC"/>
    <w:rsid w:val="4CBC1923"/>
    <w:rsid w:val="4D166281"/>
    <w:rsid w:val="4DE55939"/>
    <w:rsid w:val="4E155D48"/>
    <w:rsid w:val="4E416EE5"/>
    <w:rsid w:val="4EC055F3"/>
    <w:rsid w:val="4F172C68"/>
    <w:rsid w:val="4F71333A"/>
    <w:rsid w:val="4FA65B2F"/>
    <w:rsid w:val="4FB84B3A"/>
    <w:rsid w:val="4FED2A67"/>
    <w:rsid w:val="503E5C69"/>
    <w:rsid w:val="5068381F"/>
    <w:rsid w:val="507D2CFD"/>
    <w:rsid w:val="50F349D6"/>
    <w:rsid w:val="51127BEE"/>
    <w:rsid w:val="51350EA4"/>
    <w:rsid w:val="51684435"/>
    <w:rsid w:val="52875880"/>
    <w:rsid w:val="52CF0B96"/>
    <w:rsid w:val="52EE4B3B"/>
    <w:rsid w:val="52EE6E58"/>
    <w:rsid w:val="53041C4F"/>
    <w:rsid w:val="532128A0"/>
    <w:rsid w:val="534840BB"/>
    <w:rsid w:val="53880C32"/>
    <w:rsid w:val="539F1C74"/>
    <w:rsid w:val="53C56993"/>
    <w:rsid w:val="53D8203B"/>
    <w:rsid w:val="54367826"/>
    <w:rsid w:val="54660458"/>
    <w:rsid w:val="54C62164"/>
    <w:rsid w:val="54F061B5"/>
    <w:rsid w:val="54FF7F93"/>
    <w:rsid w:val="55396C29"/>
    <w:rsid w:val="55F81A21"/>
    <w:rsid w:val="56480548"/>
    <w:rsid w:val="564D18D4"/>
    <w:rsid w:val="56CF30CE"/>
    <w:rsid w:val="577653C1"/>
    <w:rsid w:val="579B461C"/>
    <w:rsid w:val="57B83EDA"/>
    <w:rsid w:val="5829148B"/>
    <w:rsid w:val="588A1F60"/>
    <w:rsid w:val="589219E2"/>
    <w:rsid w:val="58A60DC7"/>
    <w:rsid w:val="58D80145"/>
    <w:rsid w:val="598E5503"/>
    <w:rsid w:val="59AA71B0"/>
    <w:rsid w:val="59C80E33"/>
    <w:rsid w:val="5ACA1C75"/>
    <w:rsid w:val="5AD54573"/>
    <w:rsid w:val="5AD7191C"/>
    <w:rsid w:val="5AFE04EC"/>
    <w:rsid w:val="5B2516B0"/>
    <w:rsid w:val="5B704C7C"/>
    <w:rsid w:val="5B79408D"/>
    <w:rsid w:val="5BE3541E"/>
    <w:rsid w:val="5BEF49CA"/>
    <w:rsid w:val="5C185595"/>
    <w:rsid w:val="5C4C6AE9"/>
    <w:rsid w:val="5CBD5697"/>
    <w:rsid w:val="5CFF0AF3"/>
    <w:rsid w:val="5D1C33F1"/>
    <w:rsid w:val="5D491445"/>
    <w:rsid w:val="5DFA758C"/>
    <w:rsid w:val="5E0A599E"/>
    <w:rsid w:val="5E6569F1"/>
    <w:rsid w:val="5E95429D"/>
    <w:rsid w:val="5E9F7308"/>
    <w:rsid w:val="5EC642ED"/>
    <w:rsid w:val="5F176AA6"/>
    <w:rsid w:val="5F4E6BC7"/>
    <w:rsid w:val="5FB92A44"/>
    <w:rsid w:val="5FC10E81"/>
    <w:rsid w:val="60001DF6"/>
    <w:rsid w:val="60006ECF"/>
    <w:rsid w:val="601F535A"/>
    <w:rsid w:val="60641BCF"/>
    <w:rsid w:val="60A906D4"/>
    <w:rsid w:val="61BF7802"/>
    <w:rsid w:val="62711025"/>
    <w:rsid w:val="627F23A1"/>
    <w:rsid w:val="62A01BB8"/>
    <w:rsid w:val="62C94AF2"/>
    <w:rsid w:val="62E66672"/>
    <w:rsid w:val="630B733F"/>
    <w:rsid w:val="633062E4"/>
    <w:rsid w:val="639A6BD1"/>
    <w:rsid w:val="63D0737F"/>
    <w:rsid w:val="64613F3A"/>
    <w:rsid w:val="64E27245"/>
    <w:rsid w:val="64FD3EF1"/>
    <w:rsid w:val="65377A77"/>
    <w:rsid w:val="65C6608F"/>
    <w:rsid w:val="65D17E79"/>
    <w:rsid w:val="65D550F0"/>
    <w:rsid w:val="65DE5E77"/>
    <w:rsid w:val="662C20B2"/>
    <w:rsid w:val="668C739B"/>
    <w:rsid w:val="66DF796E"/>
    <w:rsid w:val="66E317EA"/>
    <w:rsid w:val="672E7982"/>
    <w:rsid w:val="67B97683"/>
    <w:rsid w:val="67CD498B"/>
    <w:rsid w:val="6800440E"/>
    <w:rsid w:val="683737AF"/>
    <w:rsid w:val="689238E6"/>
    <w:rsid w:val="68A874DE"/>
    <w:rsid w:val="68ED2FF0"/>
    <w:rsid w:val="694B6811"/>
    <w:rsid w:val="6956600F"/>
    <w:rsid w:val="696E0A68"/>
    <w:rsid w:val="69735A1F"/>
    <w:rsid w:val="69A17BE1"/>
    <w:rsid w:val="69B351E1"/>
    <w:rsid w:val="69CC65EA"/>
    <w:rsid w:val="6A0975BB"/>
    <w:rsid w:val="6A15265B"/>
    <w:rsid w:val="6A8A5A30"/>
    <w:rsid w:val="6AE615E7"/>
    <w:rsid w:val="6B5B00AC"/>
    <w:rsid w:val="6BBD1D3D"/>
    <w:rsid w:val="6BE333ED"/>
    <w:rsid w:val="6BE749C2"/>
    <w:rsid w:val="6C4615AF"/>
    <w:rsid w:val="6CD76B20"/>
    <w:rsid w:val="6CE31CEE"/>
    <w:rsid w:val="6D2313CF"/>
    <w:rsid w:val="6D7457A1"/>
    <w:rsid w:val="6DC16702"/>
    <w:rsid w:val="6EEE6593"/>
    <w:rsid w:val="6EF50DEA"/>
    <w:rsid w:val="6F106EDF"/>
    <w:rsid w:val="6F834A32"/>
    <w:rsid w:val="6FD53C10"/>
    <w:rsid w:val="700C30E8"/>
    <w:rsid w:val="7091670C"/>
    <w:rsid w:val="70CF59D8"/>
    <w:rsid w:val="70DB3125"/>
    <w:rsid w:val="70DF2A62"/>
    <w:rsid w:val="70EF6B6F"/>
    <w:rsid w:val="715221B0"/>
    <w:rsid w:val="71A35FE7"/>
    <w:rsid w:val="71DA2D77"/>
    <w:rsid w:val="72560566"/>
    <w:rsid w:val="72571DEC"/>
    <w:rsid w:val="72B42B39"/>
    <w:rsid w:val="72F43A88"/>
    <w:rsid w:val="72FF6E67"/>
    <w:rsid w:val="73401F55"/>
    <w:rsid w:val="7354212F"/>
    <w:rsid w:val="73C624DB"/>
    <w:rsid w:val="73E76B97"/>
    <w:rsid w:val="73F33EF3"/>
    <w:rsid w:val="73F46FE5"/>
    <w:rsid w:val="73F90905"/>
    <w:rsid w:val="743F6FF9"/>
    <w:rsid w:val="747568FC"/>
    <w:rsid w:val="755E5E28"/>
    <w:rsid w:val="75630F28"/>
    <w:rsid w:val="75882C3D"/>
    <w:rsid w:val="762803B7"/>
    <w:rsid w:val="76425FD7"/>
    <w:rsid w:val="76DB24A3"/>
    <w:rsid w:val="76FE2FFC"/>
    <w:rsid w:val="7724385C"/>
    <w:rsid w:val="773B45E8"/>
    <w:rsid w:val="77443F0C"/>
    <w:rsid w:val="77CA215D"/>
    <w:rsid w:val="77EB7021"/>
    <w:rsid w:val="7927293F"/>
    <w:rsid w:val="79C503D4"/>
    <w:rsid w:val="7A143853"/>
    <w:rsid w:val="7A6A2128"/>
    <w:rsid w:val="7A865B23"/>
    <w:rsid w:val="7AD2100C"/>
    <w:rsid w:val="7AD5258A"/>
    <w:rsid w:val="7B567942"/>
    <w:rsid w:val="7B646468"/>
    <w:rsid w:val="7B76130E"/>
    <w:rsid w:val="7BDC4E0F"/>
    <w:rsid w:val="7C541407"/>
    <w:rsid w:val="7C6A08D1"/>
    <w:rsid w:val="7D084A72"/>
    <w:rsid w:val="7DA030FB"/>
    <w:rsid w:val="7DA70055"/>
    <w:rsid w:val="7E513B4A"/>
    <w:rsid w:val="7F4A4811"/>
    <w:rsid w:val="7F914233"/>
    <w:rsid w:val="7F9268AF"/>
    <w:rsid w:val="7FA6389C"/>
    <w:rsid w:val="7FE62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562" w:firstLineChars="200"/>
      <w:jc w:val="both"/>
    </w:pPr>
    <w:rPr>
      <w:rFonts w:ascii="Times New Roman" w:hAnsi="Times New Roman" w:eastAsia="宋体" w:cs="宋体"/>
      <w:kern w:val="2"/>
      <w:sz w:val="28"/>
      <w:szCs w:val="24"/>
      <w:lang w:val="en-US" w:eastAsia="zh-CN" w:bidi="ar-SA"/>
    </w:rPr>
  </w:style>
  <w:style w:type="paragraph" w:styleId="4">
    <w:name w:val="heading 1"/>
    <w:basedOn w:val="1"/>
    <w:next w:val="1"/>
    <w:link w:val="19"/>
    <w:qFormat/>
    <w:uiPriority w:val="0"/>
    <w:pPr>
      <w:keepNext/>
      <w:keepLines/>
      <w:spacing w:before="60" w:after="60" w:line="360" w:lineRule="auto"/>
      <w:ind w:firstLine="0" w:firstLineChars="0"/>
      <w:jc w:val="left"/>
      <w:outlineLvl w:val="0"/>
    </w:pPr>
    <w:rPr>
      <w:rFonts w:ascii="Times New Roman" w:hAnsi="Times New Roman" w:eastAsia="宋体" w:cs="Times New Roman"/>
      <w:b/>
      <w:bCs/>
      <w:kern w:val="44"/>
      <w:sz w:val="36"/>
      <w:szCs w:val="44"/>
    </w:rPr>
  </w:style>
  <w:style w:type="paragraph" w:styleId="5">
    <w:name w:val="heading 2"/>
    <w:basedOn w:val="1"/>
    <w:next w:val="1"/>
    <w:link w:val="20"/>
    <w:qFormat/>
    <w:uiPriority w:val="0"/>
    <w:pPr>
      <w:keepNext/>
      <w:keepLines/>
      <w:spacing w:before="40" w:beforeLines="40" w:after="40" w:afterLines="40"/>
      <w:ind w:firstLine="0" w:firstLineChars="0"/>
      <w:jc w:val="left"/>
      <w:outlineLvl w:val="1"/>
    </w:pPr>
    <w:rPr>
      <w:rFonts w:ascii="仿宋" w:hAnsi="仿宋" w:eastAsia="宋体" w:cs="Times New Roman"/>
      <w:b/>
      <w:bCs/>
      <w:sz w:val="32"/>
      <w:szCs w:val="32"/>
    </w:rPr>
  </w:style>
  <w:style w:type="paragraph" w:styleId="6">
    <w:name w:val="heading 3"/>
    <w:basedOn w:val="1"/>
    <w:next w:val="1"/>
    <w:qFormat/>
    <w:uiPriority w:val="0"/>
    <w:pPr>
      <w:keepNext/>
      <w:keepLines/>
      <w:spacing w:before="120" w:after="120" w:line="360" w:lineRule="auto"/>
      <w:jc w:val="left"/>
      <w:outlineLvl w:val="2"/>
    </w:pPr>
    <w:rPr>
      <w:rFonts w:ascii="Times New Roman" w:hAnsi="Times New Roman" w:cs="Times New Roman"/>
      <w:b/>
      <w:bCs/>
      <w:sz w:val="30"/>
      <w:szCs w:val="32"/>
    </w:rPr>
  </w:style>
  <w:style w:type="character" w:default="1" w:styleId="17">
    <w:name w:val="Default Paragraph Font"/>
    <w:qFormat/>
    <w:uiPriority w:val="0"/>
  </w:style>
  <w:style w:type="table" w:default="1" w:styleId="15">
    <w:name w:val="Normal Table"/>
    <w:qFormat/>
    <w:uiPriority w:val="0"/>
    <w:tblPr>
      <w:tblCellMar>
        <w:top w:w="0" w:type="dxa"/>
        <w:left w:w="108" w:type="dxa"/>
        <w:bottom w:w="0" w:type="dxa"/>
        <w:right w:w="108" w:type="dxa"/>
      </w:tblCellMar>
    </w:tblPr>
  </w:style>
  <w:style w:type="paragraph" w:styleId="2">
    <w:name w:val="Body Text First Indent 2"/>
    <w:basedOn w:val="3"/>
    <w:qFormat/>
    <w:uiPriority w:val="99"/>
    <w:pPr>
      <w:spacing w:after="0"/>
      <w:ind w:left="0" w:leftChars="0" w:firstLine="420" w:firstLineChars="200"/>
    </w:pPr>
    <w:rPr>
      <w:sz w:val="28"/>
    </w:rPr>
  </w:style>
  <w:style w:type="paragraph" w:styleId="3">
    <w:name w:val="Body Text Indent"/>
    <w:basedOn w:val="1"/>
    <w:qFormat/>
    <w:uiPriority w:val="0"/>
    <w:pPr>
      <w:adjustRightInd w:val="0"/>
      <w:snapToGrid w:val="0"/>
      <w:spacing w:line="560" w:lineRule="atLeast"/>
      <w:ind w:firstLine="640" w:firstLineChars="200"/>
    </w:pPr>
    <w:rPr>
      <w:rFonts w:eastAsia="仿宋_GB2312"/>
      <w:kern w:val="0"/>
      <w:sz w:val="32"/>
      <w:szCs w:val="28"/>
    </w:rPr>
  </w:style>
  <w:style w:type="paragraph" w:styleId="7">
    <w:name w:val="Body Text"/>
    <w:basedOn w:val="1"/>
    <w:qFormat/>
    <w:uiPriority w:val="0"/>
    <w:rPr>
      <w:rFonts w:ascii="Times New Roman" w:hAnsi="Times New Roman" w:eastAsia="宋体"/>
      <w:szCs w:val="24"/>
    </w:rPr>
  </w:style>
  <w:style w:type="paragraph" w:styleId="8">
    <w:name w:val="toc 3"/>
    <w:basedOn w:val="1"/>
    <w:next w:val="1"/>
    <w:qFormat/>
    <w:uiPriority w:val="0"/>
    <w:pPr>
      <w:ind w:left="840" w:leftChars="400" w:firstLine="0" w:firstLineChars="0"/>
    </w:pPr>
    <w:rPr>
      <w:rFonts w:ascii="Times New Roman" w:hAnsi="Times New Roman" w:eastAsia="宋体"/>
      <w:szCs w:val="24"/>
    </w:rPr>
  </w:style>
  <w:style w:type="paragraph" w:styleId="9">
    <w:name w:val="Plain Text"/>
    <w:basedOn w:val="1"/>
    <w:qFormat/>
    <w:uiPriority w:val="0"/>
    <w:rPr>
      <w:rFonts w:ascii="宋体" w:hAnsi="Courier New" w:cs="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ind w:firstLine="0" w:firstLineChars="0"/>
    </w:pPr>
    <w:rPr>
      <w:rFonts w:ascii="Times New Roman" w:hAnsi="Times New Roman" w:eastAsia="宋体"/>
      <w:sz w:val="24"/>
      <w:szCs w:val="24"/>
    </w:rPr>
  </w:style>
  <w:style w:type="paragraph" w:styleId="13">
    <w:name w:val="toc 2"/>
    <w:basedOn w:val="1"/>
    <w:next w:val="1"/>
    <w:qFormat/>
    <w:uiPriority w:val="0"/>
    <w:pPr>
      <w:ind w:left="420" w:leftChars="200" w:firstLine="0" w:firstLineChars="0"/>
    </w:pPr>
    <w:rPr>
      <w:rFonts w:ascii="Times New Roman" w:hAnsi="Times New Roman" w:eastAsia="宋体"/>
      <w:szCs w:val="24"/>
    </w:rPr>
  </w:style>
  <w:style w:type="paragraph" w:styleId="14">
    <w:name w:val="Normal (Web)"/>
    <w:basedOn w:val="1"/>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qFormat/>
    <w:uiPriority w:val="0"/>
    <w:rPr>
      <w:color w:val="0000FF"/>
      <w:u w:val="single"/>
    </w:rPr>
  </w:style>
  <w:style w:type="character" w:customStyle="1" w:styleId="19">
    <w:name w:val="标题 1 Char1"/>
    <w:link w:val="4"/>
    <w:qFormat/>
    <w:uiPriority w:val="0"/>
    <w:rPr>
      <w:rFonts w:ascii="Times New Roman" w:hAnsi="Times New Roman" w:eastAsia="宋体" w:cs="Times New Roman"/>
      <w:b/>
      <w:bCs/>
      <w:kern w:val="44"/>
      <w:sz w:val="36"/>
      <w:szCs w:val="44"/>
    </w:rPr>
  </w:style>
  <w:style w:type="character" w:customStyle="1" w:styleId="20">
    <w:name w:val="标题 2 Char"/>
    <w:link w:val="5"/>
    <w:qFormat/>
    <w:uiPriority w:val="0"/>
    <w:rPr>
      <w:rFonts w:ascii="仿宋" w:hAnsi="仿宋" w:eastAsia="宋体" w:cs="Times New Roman"/>
      <w:b/>
      <w:bCs/>
      <w:sz w:val="32"/>
      <w:szCs w:val="32"/>
    </w:r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 w:type="paragraph" w:customStyle="1" w:styleId="23">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5838</Words>
  <Characters>5966</Characters>
  <Paragraphs>651</Paragraphs>
  <TotalTime>12</TotalTime>
  <ScaleCrop>false</ScaleCrop>
  <LinksUpToDate>false</LinksUpToDate>
  <CharactersWithSpaces>6027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2019-12-28T06:42:00Z</dcterms:created>
  <dc:creator>94785</dc:creator>
  <cp:lastModifiedBy>郑琴</cp:lastModifiedBy>
  <dcterms:modified xsi:type="dcterms:W3CDTF">2025-03-31T02:57:02Z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8EB36E8DF22641F7B4F66D18E8F8F407_13</vt:lpwstr>
  </property>
  <property fmtid="{D5CDD505-2E9C-101B-9397-08002B2CF9AE}" pid="4" name="KSOTemplateDocerSaveRecord">
    <vt:lpwstr>eyJoZGlkIjoiMThlZWYyNjZhYzJjOTA3MTMwNzk1NzU0MjJhMjYyNTciLCJ1c2VySWQiOiI0NTE1Njg4ODcifQ==</vt:lpwstr>
  </property>
</Properties>
</file>