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18436">
      <w:pPr>
        <w:pStyle w:val="16"/>
        <w:bidi w:val="0"/>
        <w:rPr>
          <w:rFonts w:hint="eastAsia"/>
        </w:rPr>
      </w:pPr>
      <w:r>
        <w:rPr>
          <w:rFonts w:hint="eastAsia"/>
          <w:lang w:eastAsia="zh-CN"/>
        </w:rPr>
        <w:t>南昌市青云谱区医疗保障局2026</w:t>
      </w:r>
      <w:r>
        <w:rPr>
          <w:rFonts w:hint="eastAsia"/>
        </w:rPr>
        <w:t>年</w:t>
      </w:r>
      <w:r>
        <w:rPr>
          <w:rFonts w:hint="eastAsia"/>
          <w:lang w:val="en-US" w:eastAsia="zh-CN"/>
        </w:rPr>
        <w:t>单位</w:t>
      </w:r>
      <w:r>
        <w:rPr>
          <w:rFonts w:hint="eastAsia"/>
        </w:rPr>
        <w:t>预算</w:t>
      </w:r>
    </w:p>
    <w:p w14:paraId="50673817">
      <w:pPr>
        <w:pStyle w:val="13"/>
        <w:spacing w:line="600" w:lineRule="atLeast"/>
        <w:jc w:val="center"/>
        <w:rPr>
          <w:rFonts w:ascii="黑体" w:hAnsi="黑体" w:eastAsia="黑体"/>
          <w:color w:val="000000"/>
          <w:sz w:val="32"/>
          <w:szCs w:val="32"/>
        </w:rPr>
      </w:pPr>
    </w:p>
    <w:p w14:paraId="709BCD88">
      <w:pPr>
        <w:pStyle w:val="13"/>
        <w:spacing w:line="600" w:lineRule="atLeast"/>
        <w:jc w:val="center"/>
        <w:rPr>
          <w:rFonts w:ascii="黑体" w:hAnsi="黑体" w:eastAsia="黑体"/>
          <w:color w:val="000000"/>
          <w:sz w:val="32"/>
          <w:szCs w:val="32"/>
        </w:rPr>
      </w:pPr>
      <w:r>
        <w:rPr>
          <w:rFonts w:hint="eastAsia" w:ascii="黑体" w:hAnsi="黑体" w:eastAsia="黑体"/>
          <w:color w:val="000000"/>
          <w:sz w:val="32"/>
          <w:szCs w:val="32"/>
        </w:rPr>
        <w:t>目    录</w:t>
      </w:r>
    </w:p>
    <w:p w14:paraId="179750DE">
      <w:pPr>
        <w:pStyle w:val="13"/>
        <w:rPr>
          <w:rFonts w:ascii="宋体" w:hAnsi="宋体"/>
          <w:color w:val="000000"/>
        </w:rPr>
      </w:pPr>
    </w:p>
    <w:p w14:paraId="2DB38F17">
      <w:pPr>
        <w:pStyle w:val="17"/>
        <w:numPr>
          <w:ilvl w:val="0"/>
          <w:numId w:val="0"/>
        </w:numPr>
        <w:bidi w:val="0"/>
        <w:ind w:left="420" w:leftChars="200"/>
        <w:jc w:val="left"/>
        <w:rPr>
          <w:rFonts w:hint="eastAsia"/>
          <w:lang w:eastAsia="zh-CN"/>
        </w:rPr>
      </w:pPr>
      <w:r>
        <w:rPr>
          <w:rFonts w:hint="eastAsia"/>
          <w:lang w:val="en-US" w:eastAsia="zh-CN"/>
        </w:rPr>
        <w:t>第一部分  南昌市青云谱区医疗保障局概况</w:t>
      </w:r>
    </w:p>
    <w:p w14:paraId="33B9D09E">
      <w:pPr>
        <w:pStyle w:val="18"/>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cs="仿宋_GB2312"/>
          <w:lang w:val="en-US" w:eastAsia="zh-CN"/>
        </w:rPr>
        <w:t>单位</w:t>
      </w:r>
      <w:r>
        <w:rPr>
          <w:rFonts w:hint="eastAsia" w:ascii="仿宋_GB2312" w:hAnsi="仿宋_GB2312" w:eastAsia="仿宋_GB2312" w:cs="仿宋_GB2312"/>
        </w:rPr>
        <w:t>主要职责</w:t>
      </w:r>
    </w:p>
    <w:p w14:paraId="04820167">
      <w:pPr>
        <w:pStyle w:val="18"/>
        <w:bidi w:val="0"/>
        <w:rPr>
          <w:rFonts w:hint="eastAsia" w:ascii="仿宋_GB2312" w:hAnsi="仿宋_GB2312" w:eastAsia="仿宋_GB2312" w:cs="仿宋_GB2312"/>
        </w:rPr>
      </w:pPr>
      <w:r>
        <w:rPr>
          <w:rFonts w:hint="eastAsia" w:ascii="仿宋_GB2312" w:hAnsi="仿宋_GB2312" w:eastAsia="仿宋_GB2312" w:cs="仿宋_GB2312"/>
        </w:rPr>
        <w:t>二、机构设置及人员情况</w:t>
      </w:r>
    </w:p>
    <w:p w14:paraId="785732D7">
      <w:pPr>
        <w:pStyle w:val="17"/>
        <w:numPr>
          <w:ilvl w:val="0"/>
          <w:numId w:val="0"/>
        </w:numPr>
        <w:bidi w:val="0"/>
        <w:ind w:left="420" w:leftChars="200"/>
        <w:jc w:val="left"/>
        <w:rPr>
          <w:rFonts w:hint="eastAsia"/>
        </w:rPr>
      </w:pPr>
      <w:r>
        <w:rPr>
          <w:rFonts w:hint="eastAsia"/>
        </w:rPr>
        <w:t xml:space="preserve">第二部分  </w:t>
      </w:r>
      <w:r>
        <w:rPr>
          <w:rFonts w:hint="eastAsia"/>
          <w:lang w:eastAsia="zh-CN"/>
        </w:rPr>
        <w:t>南昌市青云谱区医疗保障局2026</w:t>
      </w:r>
      <w:r>
        <w:rPr>
          <w:rFonts w:hint="eastAsia"/>
        </w:rPr>
        <w:t>年</w:t>
      </w:r>
      <w:r>
        <w:rPr>
          <w:rFonts w:hint="eastAsia"/>
          <w:lang w:val="en-US" w:eastAsia="zh-CN"/>
        </w:rPr>
        <w:t>单位</w:t>
      </w:r>
      <w:r>
        <w:rPr>
          <w:rFonts w:hint="eastAsia"/>
        </w:rPr>
        <w:t>预算表</w:t>
      </w:r>
    </w:p>
    <w:p w14:paraId="7D90F94E">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771595B8">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cs="仿宋_GB2312"/>
          <w:lang w:val="en-US" w:eastAsia="zh-CN"/>
        </w:rPr>
        <w:t>单位</w:t>
      </w:r>
      <w:r>
        <w:rPr>
          <w:rFonts w:hint="eastAsia" w:ascii="仿宋_GB2312" w:hAnsi="仿宋_GB2312" w:eastAsia="仿宋_GB2312" w:cs="仿宋_GB2312"/>
        </w:rPr>
        <w:t>收入总表》</w:t>
      </w:r>
    </w:p>
    <w:p w14:paraId="1E4E1D52">
      <w:pPr>
        <w:pStyle w:val="18"/>
        <w:bidi w:val="0"/>
        <w:rPr>
          <w:rFonts w:hint="eastAsia" w:ascii="仿宋_GB2312" w:hAnsi="仿宋_GB2312" w:eastAsia="仿宋_GB2312" w:cs="仿宋_GB2312"/>
        </w:rPr>
      </w:pPr>
      <w:r>
        <w:rPr>
          <w:rFonts w:hint="eastAsia" w:ascii="仿宋_GB2312" w:hAnsi="仿宋_GB2312" w:eastAsia="仿宋_GB2312" w:cs="仿宋_GB2312"/>
        </w:rPr>
        <w:t>三、《</w:t>
      </w:r>
      <w:r>
        <w:rPr>
          <w:rFonts w:hint="eastAsia" w:cs="仿宋_GB2312"/>
          <w:lang w:val="en-US" w:eastAsia="zh-CN"/>
        </w:rPr>
        <w:t>单位</w:t>
      </w:r>
      <w:r>
        <w:rPr>
          <w:rFonts w:hint="eastAsia" w:ascii="仿宋_GB2312" w:hAnsi="仿宋_GB2312" w:eastAsia="仿宋_GB2312" w:cs="仿宋_GB2312"/>
        </w:rPr>
        <w:t>支出总表》</w:t>
      </w:r>
    </w:p>
    <w:p w14:paraId="2A1AB855">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22D82252">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504D5CE6">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29884B6F">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0E0A5330">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7211D5EE">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5FA1E580">
      <w:pPr>
        <w:pStyle w:val="18"/>
        <w:bidi w:val="0"/>
        <w:rPr>
          <w:rFonts w:hint="eastAsia" w:ascii="仿宋_GB2312" w:hAnsi="仿宋_GB2312" w:eastAsia="仿宋_GB2312" w:cs="仿宋_GB2312"/>
        </w:rPr>
      </w:pPr>
      <w:r>
        <w:rPr>
          <w:rFonts w:hint="eastAsia" w:ascii="仿宋_GB2312" w:hAnsi="仿宋_GB2312" w:eastAsia="仿宋_GB2312" w:cs="仿宋_GB2312"/>
        </w:rPr>
        <w:t>十、《项目绩效目标表》</w:t>
      </w:r>
    </w:p>
    <w:p w14:paraId="0BF57C41">
      <w:pPr>
        <w:pStyle w:val="18"/>
        <w:bidi w:val="0"/>
        <w:ind w:left="0" w:leftChars="0" w:firstLine="0" w:firstLineChars="0"/>
        <w:rPr>
          <w:rFonts w:hint="eastAsia" w:ascii="仿宋_GB2312" w:hAnsi="仿宋_GB2312" w:eastAsia="仿宋_GB2312" w:cs="仿宋_GB2312"/>
        </w:rPr>
      </w:pPr>
    </w:p>
    <w:p w14:paraId="3F8621DA">
      <w:pPr>
        <w:pStyle w:val="17"/>
        <w:numPr>
          <w:ilvl w:val="0"/>
          <w:numId w:val="0"/>
        </w:numPr>
        <w:bidi w:val="0"/>
        <w:ind w:left="420" w:leftChars="200"/>
        <w:jc w:val="left"/>
        <w:rPr>
          <w:rFonts w:hint="eastAsia"/>
          <w:lang w:eastAsia="zh-CN"/>
        </w:rPr>
      </w:pPr>
      <w:r>
        <w:rPr>
          <w:rFonts w:hint="eastAsia"/>
          <w:lang w:eastAsia="zh-CN"/>
        </w:rPr>
        <w:t>第三部分 南昌市青云谱区医疗保障局 2026年</w:t>
      </w:r>
      <w:r>
        <w:rPr>
          <w:rFonts w:hint="eastAsia"/>
          <w:lang w:val="en-US" w:eastAsia="zh-CN"/>
        </w:rPr>
        <w:t>单位</w:t>
      </w:r>
      <w:r>
        <w:rPr>
          <w:rFonts w:hint="eastAsia"/>
          <w:lang w:eastAsia="zh-CN"/>
        </w:rPr>
        <w:t>预算情况说明</w:t>
      </w:r>
    </w:p>
    <w:p w14:paraId="45AA1B55">
      <w:pPr>
        <w:pStyle w:val="18"/>
        <w:bidi w:val="0"/>
        <w:rPr>
          <w:rFonts w:hint="eastAsia" w:ascii="仿宋_GB2312" w:hAnsi="仿宋_GB2312" w:eastAsia="仿宋_GB2312" w:cs="仿宋_GB2312"/>
        </w:rPr>
      </w:pPr>
      <w:r>
        <w:rPr>
          <w:rFonts w:hint="eastAsia" w:ascii="仿宋_GB2312" w:hAnsi="仿宋_GB2312" w:eastAsia="仿宋_GB2312" w:cs="仿宋_GB2312"/>
        </w:rPr>
        <w:t>一、</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cs="仿宋_GB2312"/>
          <w:lang w:val="en-US" w:eastAsia="zh-CN"/>
        </w:rPr>
        <w:t>单位</w:t>
      </w:r>
      <w:r>
        <w:rPr>
          <w:rFonts w:hint="eastAsia" w:ascii="仿宋_GB2312" w:hAnsi="仿宋_GB2312" w:eastAsia="仿宋_GB2312" w:cs="仿宋_GB2312"/>
        </w:rPr>
        <w:t>预算收支情况说明</w:t>
      </w:r>
    </w:p>
    <w:p w14:paraId="346072AD">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ascii="仿宋_GB2312" w:hAnsi="仿宋_GB2312" w:eastAsia="仿宋_GB2312" w:cs="仿宋_GB2312"/>
          <w:lang w:eastAsia="zh-CN"/>
        </w:rPr>
        <w:t>2026</w:t>
      </w:r>
      <w:r>
        <w:rPr>
          <w:rFonts w:hint="eastAsia" w:ascii="仿宋_GB2312" w:hAnsi="仿宋_GB2312" w:eastAsia="仿宋_GB2312" w:cs="仿宋_GB2312"/>
        </w:rPr>
        <w:t>年</w:t>
      </w:r>
      <w:r>
        <w:rPr>
          <w:rFonts w:hint="eastAsia" w:ascii="仿宋_GB2312" w:hAnsi="仿宋_GB2312" w:eastAsia="仿宋_GB2312" w:cs="仿宋_GB2312"/>
          <w:lang w:val="en-US" w:eastAsia="zh-CN"/>
        </w:rPr>
        <w:t>财政拨款</w:t>
      </w:r>
      <w:r>
        <w:rPr>
          <w:rFonts w:hint="eastAsia" w:ascii="仿宋_GB2312" w:hAnsi="仿宋_GB2312" w:eastAsia="仿宋_GB2312" w:cs="仿宋_GB2312"/>
        </w:rPr>
        <w:t>“三公”经费预算情况说明</w:t>
      </w:r>
    </w:p>
    <w:p w14:paraId="65B3DB11">
      <w:pPr>
        <w:pStyle w:val="13"/>
        <w:tabs>
          <w:tab w:val="left" w:pos="6546"/>
        </w:tabs>
        <w:spacing w:line="600" w:lineRule="atLeast"/>
        <w:ind w:firstLine="1280"/>
        <w:jc w:val="left"/>
        <w:rPr>
          <w:rFonts w:ascii="Adobe 仿宋 Std R" w:hAnsi="Adobe 仿宋 Std R" w:eastAsia="Adobe 仿宋 Std R" w:cstheme="minorBidi"/>
          <w:kern w:val="2"/>
          <w:sz w:val="32"/>
          <w:szCs w:val="30"/>
        </w:rPr>
      </w:pPr>
    </w:p>
    <w:p w14:paraId="61F7AD90">
      <w:pPr>
        <w:pStyle w:val="17"/>
        <w:numPr>
          <w:ilvl w:val="0"/>
          <w:numId w:val="0"/>
        </w:numPr>
        <w:bidi w:val="0"/>
        <w:ind w:left="420" w:leftChars="200"/>
        <w:jc w:val="left"/>
        <w:rPr>
          <w:rFonts w:hint="eastAsia"/>
          <w:lang w:eastAsia="zh-CN"/>
        </w:rPr>
      </w:pPr>
      <w:r>
        <w:rPr>
          <w:rFonts w:hint="eastAsia"/>
          <w:lang w:eastAsia="zh-CN"/>
        </w:rPr>
        <w:t>第四部分  名词解释</w:t>
      </w:r>
    </w:p>
    <w:p w14:paraId="182E12B8">
      <w:pPr>
        <w:widowControl/>
        <w:spacing w:line="580" w:lineRule="exact"/>
        <w:jc w:val="center"/>
        <w:rPr>
          <w:rFonts w:ascii="仿宋_GB2312" w:eastAsia="仿宋_GB2312"/>
          <w:b/>
          <w:sz w:val="32"/>
          <w:szCs w:val="30"/>
        </w:rPr>
      </w:pPr>
    </w:p>
    <w:p w14:paraId="17716161">
      <w:pPr>
        <w:rPr>
          <w:rFonts w:hint="eastAsia"/>
          <w:lang w:eastAsia="zh-CN"/>
        </w:rPr>
      </w:pPr>
      <w:r>
        <w:rPr>
          <w:rFonts w:hint="eastAsia"/>
          <w:lang w:eastAsia="zh-CN"/>
        </w:rPr>
        <w:br w:type="page"/>
      </w:r>
    </w:p>
    <w:p w14:paraId="4DBA6AB4">
      <w:pPr>
        <w:pStyle w:val="17"/>
        <w:numPr>
          <w:ilvl w:val="0"/>
          <w:numId w:val="0"/>
        </w:numPr>
        <w:bidi w:val="0"/>
        <w:ind w:left="420" w:leftChars="200"/>
        <w:jc w:val="center"/>
        <w:rPr>
          <w:rFonts w:hint="eastAsia"/>
          <w:lang w:eastAsia="zh-CN"/>
        </w:rPr>
      </w:pPr>
      <w:r>
        <w:rPr>
          <w:rFonts w:hint="eastAsia"/>
          <w:lang w:eastAsia="zh-CN"/>
        </w:rPr>
        <w:t>第一部分  南昌市青云谱区医疗保障局概况</w:t>
      </w:r>
    </w:p>
    <w:p w14:paraId="3A868C44">
      <w:pPr>
        <w:widowControl/>
        <w:spacing w:line="580" w:lineRule="exact"/>
        <w:jc w:val="left"/>
        <w:rPr>
          <w:rFonts w:asciiTheme="minorEastAsia" w:hAnsiTheme="minorEastAsia"/>
          <w:b/>
          <w:sz w:val="36"/>
          <w:szCs w:val="36"/>
        </w:rPr>
      </w:pPr>
    </w:p>
    <w:p w14:paraId="75C373BB">
      <w:pPr>
        <w:pStyle w:val="17"/>
        <w:numPr>
          <w:ilvl w:val="0"/>
          <w:numId w:val="0"/>
        </w:numPr>
        <w:bidi w:val="0"/>
        <w:ind w:left="420" w:leftChars="200" w:firstLine="320" w:firstLineChars="100"/>
        <w:rPr>
          <w:rFonts w:hint="eastAsia"/>
        </w:rPr>
      </w:pPr>
      <w:r>
        <w:rPr>
          <w:rFonts w:hint="eastAsia"/>
        </w:rPr>
        <w:t>一、</w:t>
      </w:r>
      <w:r>
        <w:rPr>
          <w:rFonts w:hint="eastAsia"/>
          <w:lang w:val="en-US" w:eastAsia="zh-CN"/>
        </w:rPr>
        <w:t>单位</w:t>
      </w:r>
      <w:r>
        <w:rPr>
          <w:rFonts w:hint="eastAsia"/>
        </w:rPr>
        <w:t>主要职责</w:t>
      </w:r>
    </w:p>
    <w:p w14:paraId="54F5FF8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rPr>
          <w:rFonts w:hint="eastAsia" w:ascii="仿宋_GB2312" w:hAnsi="仿宋_GB2312" w:eastAsia="仿宋_GB2312" w:cs="仿宋_GB2312"/>
          <w:sz w:val="32"/>
          <w:szCs w:val="32"/>
        </w:rPr>
      </w:pPr>
      <w:r>
        <w:rPr>
          <w:rFonts w:hint="eastAsia" w:ascii="仿宋_GB2312" w:eastAsia="仿宋_GB2312"/>
          <w:sz w:val="32"/>
          <w:szCs w:val="30"/>
        </w:rPr>
        <w:t>青云谱区医疗保障局是主管医保工作的区政府组成单位，主要职</w:t>
      </w:r>
      <w:r>
        <w:rPr>
          <w:rFonts w:hint="eastAsia" w:ascii="仿宋_GB2312" w:hAnsi="仿宋_GB2312" w:eastAsia="仿宋_GB2312" w:cs="仿宋_GB2312"/>
          <w:sz w:val="32"/>
          <w:szCs w:val="32"/>
        </w:rPr>
        <w:t>责是：</w:t>
      </w:r>
    </w:p>
    <w:p w14:paraId="20A60A08">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贯彻执行国家、省、市医疗保障制度的法律法规、政策、规划和标准，履行国家法律、法规赋予的职责，对全区</w:t>
      </w:r>
      <w:r>
        <w:rPr>
          <w:rFonts w:hint="eastAsia" w:ascii="仿宋_GB2312" w:hAnsi="仿宋_GB2312" w:eastAsia="仿宋_GB2312" w:cs="仿宋_GB2312"/>
          <w:sz w:val="32"/>
          <w:szCs w:val="32"/>
          <w:lang w:val="en-US" w:eastAsia="zh-CN"/>
        </w:rPr>
        <w:t>基本</w:t>
      </w:r>
      <w:r>
        <w:rPr>
          <w:rFonts w:hint="eastAsia" w:ascii="仿宋_GB2312" w:hAnsi="仿宋_GB2312" w:eastAsia="仿宋_GB2312" w:cs="仿宋_GB2312"/>
          <w:sz w:val="32"/>
          <w:szCs w:val="32"/>
        </w:rPr>
        <w:t>医疗保险</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医疗救助等医疗保障工作进行综合指导</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监督检查、协调服务。</w:t>
      </w:r>
    </w:p>
    <w:p w14:paraId="0AE36EC7">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监督管理全区医疗保障基金，建立健全医疗保障基金安全防控机制，推进医疗保障基金支付方式改革。</w:t>
      </w:r>
    </w:p>
    <w:p w14:paraId="2C987F1E">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组织落实医疗保障筹资和待遇政策，组织实施</w:t>
      </w:r>
      <w:r>
        <w:rPr>
          <w:rFonts w:hint="eastAsia" w:ascii="仿宋_GB2312" w:hAnsi="仿宋_GB2312" w:eastAsia="仿宋_GB2312" w:cs="仿宋_GB2312"/>
          <w:sz w:val="32"/>
          <w:szCs w:val="32"/>
          <w:lang w:val="en-US" w:eastAsia="zh-CN"/>
        </w:rPr>
        <w:t>全市</w:t>
      </w:r>
      <w:r>
        <w:rPr>
          <w:rFonts w:hint="eastAsia" w:ascii="仿宋_GB2312" w:hAnsi="仿宋_GB2312" w:eastAsia="仿宋_GB2312" w:cs="仿宋_GB2312"/>
          <w:sz w:val="32"/>
          <w:szCs w:val="32"/>
        </w:rPr>
        <w:t>统一的药品、医用耗材价格和医疗服务项目、医疗服务设施等医保目录和支付标准。</w:t>
      </w:r>
    </w:p>
    <w:p w14:paraId="031D9BF5">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组织落实药品、医用耗材价格和医疗服务项目、医疗服务设施收费等政策。</w:t>
      </w:r>
    </w:p>
    <w:p w14:paraId="522ED5AD">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贯彻执行国家、省药品、医用耗材的集中采购政策并监督实施，组织实施药品、医用耗材集中带量采购。 </w:t>
      </w:r>
    </w:p>
    <w:p w14:paraId="7387DE58">
      <w:pPr>
        <w:keepNext w:val="0"/>
        <w:keepLines w:val="0"/>
        <w:pageBreakBefore w:val="0"/>
        <w:numPr>
          <w:ilvl w:val="0"/>
          <w:numId w:val="3"/>
        </w:numPr>
        <w:kinsoku/>
        <w:wordWrap/>
        <w:overflowPunct/>
        <w:topLinePunct w:val="0"/>
        <w:autoSpaceDE/>
        <w:autoSpaceDN/>
        <w:bidi w:val="0"/>
        <w:adjustRightInd/>
        <w:snapToGrid/>
        <w:spacing w:line="560" w:lineRule="exact"/>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组织实施全区定点医药机构协议和支付管理办法，监督管理纳入医保范围内的医疗服务行为和医疗费用，依法查处医疗保障领域违法违规行为。</w:t>
      </w:r>
    </w:p>
    <w:p w14:paraId="5813FA23">
      <w:pPr>
        <w:pStyle w:val="18"/>
        <w:bidi w:val="0"/>
        <w:rPr>
          <w:rFonts w:hint="eastAsia" w:ascii="仿宋_GB2312" w:hAnsi="仿宋_GB2312" w:eastAsia="仿宋_GB2312" w:cs="仿宋_GB2312"/>
        </w:rPr>
      </w:pPr>
      <w:r>
        <w:rPr>
          <w:rFonts w:hint="eastAsia" w:hAnsi="仿宋_GB2312" w:cs="仿宋_GB2312"/>
          <w:sz w:val="32"/>
          <w:szCs w:val="32"/>
          <w:lang w:val="en-US" w:eastAsia="zh-CN"/>
        </w:rPr>
        <w:t>7、</w:t>
      </w:r>
      <w:r>
        <w:rPr>
          <w:rFonts w:hint="eastAsia" w:ascii="仿宋_GB2312" w:hAnsi="仿宋_GB2312" w:eastAsia="仿宋_GB2312" w:cs="仿宋_GB2312"/>
          <w:kern w:val="2"/>
          <w:sz w:val="32"/>
          <w:szCs w:val="32"/>
          <w:lang w:val="en-US" w:eastAsia="zh-CN" w:bidi="ar-SA"/>
        </w:rPr>
        <w:t>承办区人民政府交办的其他事项。</w:t>
      </w:r>
    </w:p>
    <w:p w14:paraId="7E2C98CB">
      <w:pPr>
        <w:pStyle w:val="17"/>
        <w:numPr>
          <w:ilvl w:val="0"/>
          <w:numId w:val="0"/>
        </w:numPr>
        <w:bidi w:val="0"/>
        <w:ind w:left="420" w:leftChars="200" w:firstLine="320" w:firstLineChars="100"/>
        <w:rPr>
          <w:rFonts w:hint="eastAsia"/>
        </w:rPr>
      </w:pPr>
      <w:r>
        <w:rPr>
          <w:rFonts w:hint="eastAsia"/>
        </w:rPr>
        <w:t>二、机构设置及人员情况</w:t>
      </w:r>
    </w:p>
    <w:p w14:paraId="42995EFA">
      <w:pPr>
        <w:pStyle w:val="18"/>
        <w:bidi w:val="0"/>
        <w:rPr>
          <w:rFonts w:hint="eastAsia" w:ascii="仿宋_GB2312" w:hAnsi="仿宋_GB2312" w:eastAsia="仿宋_GB2312" w:cs="仿宋_GB2312"/>
        </w:rPr>
      </w:pPr>
      <w:r>
        <w:rPr>
          <w:rFonts w:hint="eastAsia" w:ascii="仿宋_GB2312" w:hAnsi="仿宋_GB2312" w:eastAsia="仿宋_GB2312" w:cs="仿宋_GB2312"/>
          <w:lang w:eastAsia="zh-CN"/>
        </w:rPr>
        <w:t>南昌市青云谱区医疗保障局内设处室</w:t>
      </w:r>
      <w:r>
        <w:rPr>
          <w:rFonts w:hint="eastAsia" w:cs="仿宋_GB2312"/>
          <w:lang w:val="en-US" w:eastAsia="zh-CN"/>
        </w:rPr>
        <w:t>4</w:t>
      </w:r>
      <w:r>
        <w:rPr>
          <w:rFonts w:hint="eastAsia" w:ascii="仿宋_GB2312" w:hAnsi="仿宋_GB2312" w:eastAsia="仿宋_GB2312" w:cs="仿宋_GB2312"/>
          <w:lang w:eastAsia="zh-CN"/>
        </w:rPr>
        <w:t>个，包括：</w:t>
      </w:r>
      <w:r>
        <w:rPr>
          <w:rFonts w:hint="eastAsia" w:ascii="仿宋_GB2312" w:eastAsia="仿宋_GB2312"/>
          <w:sz w:val="32"/>
          <w:szCs w:val="30"/>
          <w:lang w:val="en-US" w:eastAsia="zh-CN"/>
        </w:rPr>
        <w:t>内设机构有办公室、业务科、基金监督管理科和下辖事业单位医疗保障服务中心。</w:t>
      </w:r>
    </w:p>
    <w:p w14:paraId="763F9D4C">
      <w:pPr>
        <w:pStyle w:val="18"/>
        <w:bidi w:val="0"/>
        <w:rPr>
          <w:rFonts w:hint="eastAsia" w:ascii="仿宋_GB2312" w:hAnsi="仿宋_GB2312" w:eastAsia="仿宋_GB2312" w:cs="仿宋_GB2312"/>
        </w:rPr>
      </w:pPr>
      <w:r>
        <w:rPr>
          <w:rFonts w:hint="eastAsia" w:ascii="仿宋_GB2312" w:hAnsi="仿宋_GB2312" w:eastAsia="仿宋_GB2312" w:cs="仿宋_GB2312"/>
        </w:rPr>
        <w:t>编制人数小计17人,其中：行政编制人数4人,参照公务员管理的事业编制人数0人,全部补助事业编制人数13人,自收自支编制人数0人。实有人数小计17人,其中：在职人数小计15人,行政在职人数3人,参照公务员管理的事业单位在职人数0人,全部补助事业在职人数11人。离休人数小计0人,退休人数小计2人,退职人员0人,遗属人数0人。在校学生0人,其中：本科生人数0人，专科生人数0人。</w:t>
      </w:r>
    </w:p>
    <w:p w14:paraId="682AEDB4">
      <w:pPr>
        <w:rPr>
          <w:rFonts w:ascii="仿宋_GB2312" w:eastAsia="仿宋_GB2312"/>
          <w:b/>
          <w:szCs w:val="30"/>
        </w:rPr>
      </w:pPr>
      <w:r>
        <w:rPr>
          <w:rFonts w:hint="eastAsia" w:ascii="仿宋_GB2312" w:hAnsi="仿宋_GB2312" w:eastAsia="仿宋_GB2312" w:cs="仿宋_GB2312"/>
        </w:rPr>
        <w:br w:type="page"/>
      </w:r>
    </w:p>
    <w:p w14:paraId="7396B94A">
      <w:pPr>
        <w:pStyle w:val="17"/>
        <w:numPr>
          <w:ilvl w:val="0"/>
          <w:numId w:val="4"/>
        </w:numPr>
        <w:bidi w:val="0"/>
        <w:ind w:left="420" w:leftChars="200" w:firstLine="0" w:firstLineChars="0"/>
        <w:jc w:val="center"/>
        <w:rPr>
          <w:rFonts w:hint="eastAsia"/>
          <w:lang w:eastAsia="zh-CN"/>
        </w:rPr>
      </w:pPr>
      <w:r>
        <w:rPr>
          <w:rFonts w:hint="eastAsia"/>
          <w:lang w:eastAsia="zh-CN"/>
        </w:rPr>
        <w:t xml:space="preserve"> 南昌市青云谱区医疗保障局2026年</w:t>
      </w:r>
      <w:r>
        <w:rPr>
          <w:rFonts w:hint="eastAsia"/>
          <w:lang w:val="en-US" w:eastAsia="zh-CN"/>
        </w:rPr>
        <w:t>单位</w:t>
      </w:r>
      <w:r>
        <w:rPr>
          <w:rFonts w:hint="eastAsia"/>
          <w:lang w:eastAsia="zh-CN"/>
        </w:rPr>
        <w:t>预算表</w:t>
      </w:r>
    </w:p>
    <w:p w14:paraId="44D3A14B">
      <w:pPr>
        <w:pStyle w:val="18"/>
        <w:bidi w:val="0"/>
        <w:rPr>
          <w:rFonts w:hint="eastAsia" w:ascii="仿宋_GB2312" w:hAnsi="仿宋_GB2312" w:eastAsia="仿宋_GB2312" w:cs="仿宋_GB2312"/>
        </w:rPr>
      </w:pPr>
    </w:p>
    <w:p w14:paraId="78527D42">
      <w:pPr>
        <w:pStyle w:val="18"/>
        <w:bidi w:val="0"/>
        <w:rPr>
          <w:rFonts w:hint="eastAsia" w:ascii="仿宋_GB2312" w:hAnsi="仿宋_GB2312" w:eastAsia="仿宋_GB2312" w:cs="仿宋_GB2312"/>
        </w:rPr>
      </w:pPr>
      <w:r>
        <w:rPr>
          <w:rFonts w:hint="eastAsia" w:ascii="仿宋_GB2312" w:hAnsi="仿宋_GB2312" w:eastAsia="仿宋_GB2312" w:cs="仿宋_GB2312"/>
        </w:rPr>
        <w:t>一、《收支预算总表》</w:t>
      </w:r>
    </w:p>
    <w:p w14:paraId="63118A79">
      <w:pPr>
        <w:pStyle w:val="18"/>
        <w:bidi w:val="0"/>
        <w:rPr>
          <w:rFonts w:hint="eastAsia" w:ascii="仿宋_GB2312" w:hAnsi="仿宋_GB2312" w:eastAsia="仿宋_GB2312" w:cs="仿宋_GB2312"/>
        </w:rPr>
      </w:pPr>
      <w:r>
        <w:rPr>
          <w:rFonts w:hint="eastAsia" w:ascii="仿宋_GB2312" w:hAnsi="仿宋_GB2312" w:eastAsia="仿宋_GB2312" w:cs="仿宋_GB2312"/>
        </w:rPr>
        <w:t>二、《</w:t>
      </w:r>
      <w:r>
        <w:rPr>
          <w:rFonts w:hint="eastAsia" w:cs="仿宋_GB2312"/>
          <w:lang w:val="en-US" w:eastAsia="zh-CN"/>
        </w:rPr>
        <w:t>单位</w:t>
      </w:r>
      <w:r>
        <w:rPr>
          <w:rFonts w:hint="eastAsia" w:ascii="仿宋_GB2312" w:hAnsi="仿宋_GB2312" w:eastAsia="仿宋_GB2312" w:cs="仿宋_GB2312"/>
        </w:rPr>
        <w:t>收入总表》</w:t>
      </w:r>
    </w:p>
    <w:p w14:paraId="48886264">
      <w:pPr>
        <w:pStyle w:val="18"/>
        <w:bidi w:val="0"/>
        <w:rPr>
          <w:rFonts w:hint="eastAsia" w:ascii="仿宋_GB2312" w:hAnsi="仿宋_GB2312" w:eastAsia="仿宋_GB2312" w:cs="仿宋_GB2312"/>
        </w:rPr>
      </w:pPr>
      <w:r>
        <w:rPr>
          <w:rFonts w:hint="eastAsia" w:ascii="仿宋_GB2312" w:hAnsi="仿宋_GB2312" w:eastAsia="仿宋_GB2312" w:cs="仿宋_GB2312"/>
        </w:rPr>
        <w:t>三、《</w:t>
      </w:r>
      <w:r>
        <w:rPr>
          <w:rFonts w:hint="eastAsia" w:cs="仿宋_GB2312"/>
          <w:lang w:val="en-US" w:eastAsia="zh-CN"/>
        </w:rPr>
        <w:t>单位</w:t>
      </w:r>
      <w:r>
        <w:rPr>
          <w:rFonts w:hint="eastAsia" w:ascii="仿宋_GB2312" w:hAnsi="仿宋_GB2312" w:eastAsia="仿宋_GB2312" w:cs="仿宋_GB2312"/>
        </w:rPr>
        <w:t>支出总表》</w:t>
      </w:r>
    </w:p>
    <w:p w14:paraId="6A7CF32A">
      <w:pPr>
        <w:pStyle w:val="18"/>
        <w:bidi w:val="0"/>
        <w:rPr>
          <w:rFonts w:hint="eastAsia" w:ascii="仿宋_GB2312" w:hAnsi="仿宋_GB2312" w:eastAsia="仿宋_GB2312" w:cs="仿宋_GB2312"/>
        </w:rPr>
      </w:pPr>
      <w:r>
        <w:rPr>
          <w:rFonts w:hint="eastAsia" w:ascii="仿宋_GB2312" w:hAnsi="仿宋_GB2312" w:eastAsia="仿宋_GB2312" w:cs="仿宋_GB2312"/>
        </w:rPr>
        <w:t>四、《财政拨款收支总表》</w:t>
      </w:r>
    </w:p>
    <w:p w14:paraId="7BF2E6FE">
      <w:pPr>
        <w:pStyle w:val="18"/>
        <w:bidi w:val="0"/>
        <w:rPr>
          <w:rFonts w:hint="eastAsia" w:ascii="仿宋_GB2312" w:hAnsi="仿宋_GB2312" w:eastAsia="仿宋_GB2312" w:cs="仿宋_GB2312"/>
        </w:rPr>
      </w:pPr>
      <w:r>
        <w:rPr>
          <w:rFonts w:hint="eastAsia" w:ascii="仿宋_GB2312" w:hAnsi="仿宋_GB2312" w:eastAsia="仿宋_GB2312" w:cs="仿宋_GB2312"/>
        </w:rPr>
        <w:t>五、《一般公共预算支出表》</w:t>
      </w:r>
    </w:p>
    <w:p w14:paraId="0608B019">
      <w:pPr>
        <w:pStyle w:val="18"/>
        <w:bidi w:val="0"/>
        <w:rPr>
          <w:rFonts w:hint="eastAsia" w:ascii="仿宋_GB2312" w:hAnsi="仿宋_GB2312" w:eastAsia="仿宋_GB2312" w:cs="仿宋_GB2312"/>
        </w:rPr>
      </w:pPr>
      <w:r>
        <w:rPr>
          <w:rFonts w:hint="eastAsia" w:ascii="仿宋_GB2312" w:hAnsi="仿宋_GB2312" w:eastAsia="仿宋_GB2312" w:cs="仿宋_GB2312"/>
        </w:rPr>
        <w:t>六、《一般公共预算基本支出表》</w:t>
      </w:r>
    </w:p>
    <w:p w14:paraId="771A84D1">
      <w:pPr>
        <w:pStyle w:val="18"/>
        <w:bidi w:val="0"/>
        <w:rPr>
          <w:rFonts w:hint="eastAsia" w:ascii="仿宋_GB2312" w:hAnsi="仿宋_GB2312" w:eastAsia="仿宋_GB2312" w:cs="仿宋_GB2312"/>
        </w:rPr>
      </w:pPr>
      <w:r>
        <w:rPr>
          <w:rFonts w:hint="eastAsia" w:ascii="仿宋_GB2312" w:hAnsi="仿宋_GB2312" w:eastAsia="仿宋_GB2312" w:cs="仿宋_GB2312"/>
        </w:rPr>
        <w:t>七、《财政拨款“三公”经费支出表》</w:t>
      </w:r>
    </w:p>
    <w:p w14:paraId="20934409">
      <w:pPr>
        <w:pStyle w:val="18"/>
        <w:bidi w:val="0"/>
        <w:rPr>
          <w:rFonts w:hint="eastAsia" w:ascii="仿宋_GB2312" w:hAnsi="仿宋_GB2312" w:eastAsia="仿宋_GB2312" w:cs="仿宋_GB2312"/>
        </w:rPr>
      </w:pPr>
      <w:r>
        <w:rPr>
          <w:rFonts w:hint="eastAsia" w:ascii="仿宋_GB2312" w:hAnsi="仿宋_GB2312" w:eastAsia="仿宋_GB2312" w:cs="仿宋_GB2312"/>
        </w:rPr>
        <w:t>八、《政府性基金预算支出表》</w:t>
      </w:r>
    </w:p>
    <w:p w14:paraId="2320CEAD">
      <w:pPr>
        <w:pStyle w:val="18"/>
        <w:bidi w:val="0"/>
        <w:rPr>
          <w:rFonts w:hint="eastAsia" w:ascii="仿宋_GB2312" w:hAnsi="仿宋_GB2312" w:eastAsia="仿宋_GB2312" w:cs="仿宋_GB2312"/>
        </w:rPr>
      </w:pPr>
      <w:r>
        <w:rPr>
          <w:rFonts w:hint="eastAsia" w:ascii="仿宋_GB2312" w:hAnsi="仿宋_GB2312" w:eastAsia="仿宋_GB2312" w:cs="仿宋_GB2312"/>
        </w:rPr>
        <w:t>九、《国有资本经营预算支出表》</w:t>
      </w:r>
      <w:r>
        <w:rPr>
          <w:rFonts w:hint="eastAsia" w:ascii="仿宋_GB2312" w:hAnsi="仿宋_GB2312" w:eastAsia="仿宋_GB2312" w:cs="仿宋_GB2312"/>
        </w:rPr>
        <w:tab/>
      </w:r>
    </w:p>
    <w:p w14:paraId="41A9C578">
      <w:pPr>
        <w:pStyle w:val="18"/>
        <w:bidi w:val="0"/>
        <w:rPr>
          <w:rFonts w:hint="eastAsia" w:ascii="仿宋_GB2312" w:hAnsi="仿宋_GB2312" w:eastAsia="仿宋_GB2312" w:cs="仿宋_GB2312"/>
        </w:rPr>
      </w:pPr>
      <w:r>
        <w:rPr>
          <w:rFonts w:hint="eastAsia" w:ascii="仿宋_GB2312" w:hAnsi="仿宋_GB2312" w:eastAsia="仿宋_GB2312" w:cs="仿宋_GB2312"/>
        </w:rPr>
        <w:t>十、《</w:t>
      </w:r>
      <w:r>
        <w:rPr>
          <w:rFonts w:hint="eastAsia" w:cs="仿宋_GB2312"/>
          <w:lang w:val="en-US" w:eastAsia="zh-CN"/>
        </w:rPr>
        <w:t>单位</w:t>
      </w:r>
      <w:r>
        <w:rPr>
          <w:rFonts w:hint="eastAsia" w:ascii="仿宋_GB2312" w:hAnsi="仿宋_GB2312" w:eastAsia="仿宋_GB2312" w:cs="仿宋_GB2312"/>
        </w:rPr>
        <w:t>整体绩效目标》</w:t>
      </w:r>
    </w:p>
    <w:p w14:paraId="27DC02F7">
      <w:pPr>
        <w:pStyle w:val="18"/>
        <w:bidi w:val="0"/>
        <w:rPr>
          <w:rFonts w:hint="eastAsia" w:ascii="仿宋_GB2312" w:hAnsi="仿宋_GB2312" w:eastAsia="仿宋_GB2312" w:cs="仿宋_GB2312"/>
        </w:rPr>
      </w:pPr>
      <w:r>
        <w:rPr>
          <w:rFonts w:hint="eastAsia" w:ascii="仿宋_GB2312" w:hAnsi="仿宋_GB2312" w:eastAsia="仿宋_GB2312" w:cs="仿宋_GB2312"/>
        </w:rPr>
        <w:t>十一、《项目绩效目标</w:t>
      </w:r>
      <w:r>
        <w:rPr>
          <w:rFonts w:hint="eastAsia" w:cs="仿宋_GB2312"/>
          <w:lang w:val="en-US" w:eastAsia="zh-CN"/>
        </w:rPr>
        <w:t>表</w:t>
      </w:r>
      <w:r>
        <w:rPr>
          <w:rFonts w:hint="eastAsia" w:ascii="仿宋_GB2312" w:hAnsi="仿宋_GB2312" w:eastAsia="仿宋_GB2312" w:cs="仿宋_GB2312"/>
        </w:rPr>
        <w:t>》</w:t>
      </w:r>
    </w:p>
    <w:p w14:paraId="657F8DD0">
      <w:pPr>
        <w:pStyle w:val="18"/>
        <w:bidi w:val="0"/>
        <w:rPr>
          <w:rFonts w:hint="eastAsia" w:ascii="仿宋_GB2312" w:hAnsi="仿宋_GB2312" w:eastAsia="仿宋_GB2312" w:cs="仿宋_GB2312"/>
        </w:rPr>
      </w:pPr>
      <w:r>
        <w:rPr>
          <w:rFonts w:hint="eastAsia" w:cs="仿宋_GB2312"/>
          <w:kern w:val="2"/>
          <w:sz w:val="32"/>
          <w:szCs w:val="30"/>
          <w:lang w:val="en-US" w:eastAsia="zh-CN" w:bidi="ar-SA"/>
        </w:rPr>
        <w:t>（详见附表，注：</w:t>
      </w:r>
      <w:r>
        <w:rPr>
          <w:rFonts w:hint="eastAsia" w:ascii="仿宋_GB2312" w:hAnsi="仿宋_GB2312" w:eastAsia="仿宋_GB2312" w:cs="仿宋_GB2312"/>
          <w:kern w:val="0"/>
          <w:sz w:val="32"/>
          <w:szCs w:val="32"/>
          <w:highlight w:val="none"/>
          <w:lang w:val="en-US" w:eastAsia="en-US" w:bidi="ar-SA"/>
        </w:rPr>
        <w:t>①由于本说明中数据四舍五入原因，部分汇总数据与分项加总之和可能存在尾差；②表格详见附件，若其中某张表为空表或表中数据为0，则说明没有相关收支预算安排。</w:t>
      </w:r>
      <w:r>
        <w:rPr>
          <w:rFonts w:hint="eastAsia" w:cs="仿宋_GB2312"/>
          <w:kern w:val="2"/>
          <w:sz w:val="32"/>
          <w:szCs w:val="30"/>
          <w:lang w:val="en-US" w:eastAsia="zh-CN" w:bidi="ar-SA"/>
        </w:rPr>
        <w:t>）</w:t>
      </w:r>
    </w:p>
    <w:p w14:paraId="5C7381A8">
      <w:pPr>
        <w:numPr>
          <w:ilvl w:val="0"/>
          <w:numId w:val="0"/>
        </w:numPr>
        <w:rPr>
          <w:rFonts w:hint="eastAsia"/>
          <w:lang w:eastAsia="zh-CN"/>
        </w:rPr>
      </w:pPr>
    </w:p>
    <w:p w14:paraId="744E2DC3">
      <w:pPr>
        <w:pStyle w:val="17"/>
        <w:numPr>
          <w:ilvl w:val="0"/>
          <w:numId w:val="0"/>
        </w:numPr>
        <w:bidi w:val="0"/>
        <w:ind w:left="420" w:leftChars="200"/>
        <w:rPr>
          <w:rFonts w:hint="eastAsia"/>
          <w:lang w:eastAsia="zh-CN"/>
        </w:rPr>
        <w:sectPr>
          <w:headerReference r:id="rId3" w:type="default"/>
          <w:pgSz w:w="11906" w:h="16838"/>
          <w:pgMar w:top="2098" w:right="1587" w:bottom="2098" w:left="1587" w:header="851" w:footer="992" w:gutter="0"/>
          <w:cols w:space="425" w:num="1"/>
          <w:docGrid w:type="lines" w:linePitch="312" w:charSpace="0"/>
        </w:sectPr>
      </w:pPr>
    </w:p>
    <w:tbl>
      <w:tblPr>
        <w:tblStyle w:val="6"/>
        <w:tblW w:w="5000" w:type="pct"/>
        <w:jc w:val="center"/>
        <w:tblLayout w:type="fixed"/>
        <w:tblCellMar>
          <w:top w:w="0" w:type="dxa"/>
          <w:left w:w="108" w:type="dxa"/>
          <w:bottom w:w="0" w:type="dxa"/>
          <w:right w:w="108" w:type="dxa"/>
        </w:tblCellMar>
      </w:tblPr>
      <w:tblGrid>
        <w:gridCol w:w="3122"/>
        <w:gridCol w:w="2249"/>
        <w:gridCol w:w="3535"/>
        <w:gridCol w:w="1775"/>
      </w:tblGrid>
      <w:tr w14:paraId="5C8EAB0D">
        <w:tblPrEx>
          <w:tblCellMar>
            <w:top w:w="0" w:type="dxa"/>
            <w:left w:w="108" w:type="dxa"/>
            <w:bottom w:w="0" w:type="dxa"/>
            <w:right w:w="108" w:type="dxa"/>
          </w:tblCellMar>
        </w:tblPrEx>
        <w:trPr>
          <w:trHeight w:val="585" w:hRule="atLeast"/>
          <w:tblHeader/>
          <w:jc w:val="center"/>
        </w:trPr>
        <w:tc>
          <w:tcPr>
            <w:tcW w:w="5000" w:type="pct"/>
            <w:gridSpan w:val="4"/>
            <w:noWrap/>
            <w:vAlign w:val="center"/>
          </w:tcPr>
          <w:p w14:paraId="01E97E65">
            <w:pPr>
              <w:widowControl/>
              <w:jc w:val="center"/>
              <w:rPr>
                <w:rFonts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t>收支预算总表</w:t>
            </w:r>
          </w:p>
        </w:tc>
      </w:tr>
      <w:tr w14:paraId="405BC302">
        <w:tblPrEx>
          <w:tblCellMar>
            <w:top w:w="0" w:type="dxa"/>
            <w:left w:w="108" w:type="dxa"/>
            <w:bottom w:w="0" w:type="dxa"/>
            <w:right w:w="108" w:type="dxa"/>
          </w:tblCellMar>
        </w:tblPrEx>
        <w:trPr>
          <w:trHeight w:val="345" w:hRule="atLeast"/>
          <w:tblHeader/>
          <w:jc w:val="center"/>
        </w:trPr>
        <w:tc>
          <w:tcPr>
            <w:tcW w:w="2514" w:type="pct"/>
            <w:gridSpan w:val="2"/>
            <w:noWrap/>
            <w:vAlign w:val="center"/>
          </w:tcPr>
          <w:p w14:paraId="4C3430F0">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填报单位:</w:t>
            </w:r>
            <w:r>
              <w:rPr>
                <w:rFonts w:hint="eastAsia" w:asciiTheme="minorEastAsia" w:hAnsiTheme="minorEastAsia" w:eastAsiaTheme="minorEastAsia" w:cstheme="minorEastAsia"/>
                <w:color w:val="000000"/>
                <w:kern w:val="0"/>
                <w:sz w:val="21"/>
                <w:szCs w:val="21"/>
                <w:lang w:eastAsia="zh-CN" w:bidi="ar"/>
              </w:rPr>
              <w:t>067001南昌市青云谱区医疗保障局</w:t>
            </w:r>
          </w:p>
        </w:tc>
        <w:tc>
          <w:tcPr>
            <w:tcW w:w="1655" w:type="pct"/>
            <w:noWrap/>
            <w:vAlign w:val="bottom"/>
          </w:tcPr>
          <w:p w14:paraId="01D96597">
            <w:pPr>
              <w:widowControl/>
              <w:snapToGrid w:val="0"/>
              <w:jc w:val="left"/>
              <w:textAlignment w:val="center"/>
              <w:rPr>
                <w:rFonts w:hint="eastAsia" w:asciiTheme="minorEastAsia" w:hAnsiTheme="minorEastAsia" w:eastAsiaTheme="minorEastAsia" w:cstheme="minorEastAsia"/>
                <w:color w:val="000000"/>
                <w:kern w:val="0"/>
                <w:sz w:val="18"/>
                <w:szCs w:val="18"/>
                <w:lang w:bidi="ar"/>
              </w:rPr>
            </w:pPr>
          </w:p>
        </w:tc>
        <w:tc>
          <w:tcPr>
            <w:tcW w:w="829" w:type="pct"/>
            <w:noWrap/>
            <w:vAlign w:val="center"/>
          </w:tcPr>
          <w:p w14:paraId="7D92A47D">
            <w:pPr>
              <w:widowControl/>
              <w:snapToGrid w:val="0"/>
              <w:jc w:val="right"/>
              <w:textAlignment w:val="center"/>
              <w:rPr>
                <w:rFonts w:hint="eastAsia" w:asciiTheme="minorEastAsia" w:hAnsiTheme="minorEastAsia" w:eastAsiaTheme="minorEastAsia" w:cstheme="minorEastAsia"/>
                <w:color w:val="000000"/>
                <w:kern w:val="0"/>
                <w:sz w:val="18"/>
                <w:szCs w:val="18"/>
                <w:lang w:bidi="ar"/>
              </w:rPr>
            </w:pPr>
            <w:r>
              <w:rPr>
                <w:rFonts w:hint="eastAsia" w:asciiTheme="minorEastAsia" w:hAnsiTheme="minorEastAsia" w:eastAsiaTheme="minorEastAsia" w:cstheme="minorEastAsia"/>
                <w:color w:val="000000"/>
                <w:kern w:val="0"/>
                <w:sz w:val="21"/>
                <w:szCs w:val="21"/>
                <w:lang w:bidi="ar"/>
              </w:rPr>
              <w:t>单位：万元</w:t>
            </w:r>
          </w:p>
        </w:tc>
      </w:tr>
      <w:tr w14:paraId="69B26220">
        <w:tblPrEx>
          <w:tblCellMar>
            <w:top w:w="0" w:type="dxa"/>
            <w:left w:w="108" w:type="dxa"/>
            <w:bottom w:w="0" w:type="dxa"/>
            <w:right w:w="108" w:type="dxa"/>
          </w:tblCellMar>
        </w:tblPrEx>
        <w:trPr>
          <w:cantSplit/>
          <w:trHeight w:val="283" w:hRule="atLeast"/>
          <w:tblHeader/>
          <w:jc w:val="center"/>
        </w:trPr>
        <w:tc>
          <w:tcPr>
            <w:tcW w:w="2514" w:type="pct"/>
            <w:gridSpan w:val="2"/>
            <w:tcBorders>
              <w:top w:val="single" w:color="000000" w:sz="4" w:space="0"/>
              <w:left w:val="single" w:color="000000" w:sz="4" w:space="0"/>
              <w:bottom w:val="single" w:color="000000" w:sz="4" w:space="0"/>
              <w:right w:val="single" w:color="000000" w:sz="4" w:space="0"/>
            </w:tcBorders>
            <w:noWrap/>
            <w:vAlign w:val="center"/>
          </w:tcPr>
          <w:p w14:paraId="47F3595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2485" w:type="pct"/>
            <w:gridSpan w:val="2"/>
            <w:tcBorders>
              <w:top w:val="single" w:color="000000" w:sz="4" w:space="0"/>
              <w:left w:val="nil"/>
              <w:bottom w:val="single" w:color="000000" w:sz="4" w:space="0"/>
              <w:right w:val="single" w:color="000000" w:sz="4" w:space="0"/>
            </w:tcBorders>
            <w:noWrap/>
            <w:vAlign w:val="center"/>
          </w:tcPr>
          <w:p w14:paraId="5D88D48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       出</w:t>
            </w:r>
          </w:p>
        </w:tc>
      </w:tr>
      <w:tr w14:paraId="7D2CF64C">
        <w:tblPrEx>
          <w:tblCellMar>
            <w:top w:w="0" w:type="dxa"/>
            <w:left w:w="108" w:type="dxa"/>
            <w:bottom w:w="0" w:type="dxa"/>
            <w:right w:w="108" w:type="dxa"/>
          </w:tblCellMar>
        </w:tblPrEx>
        <w:trPr>
          <w:cantSplit/>
          <w:trHeight w:val="283" w:hRule="atLeast"/>
          <w:tblHeader/>
          <w:jc w:val="center"/>
        </w:trPr>
        <w:tc>
          <w:tcPr>
            <w:tcW w:w="1461" w:type="pct"/>
            <w:tcBorders>
              <w:top w:val="nil"/>
              <w:left w:val="single" w:color="000000" w:sz="4" w:space="0"/>
              <w:bottom w:val="single" w:color="000000" w:sz="4" w:space="0"/>
              <w:right w:val="single" w:color="000000" w:sz="4" w:space="0"/>
            </w:tcBorders>
            <w:noWrap/>
            <w:vAlign w:val="center"/>
          </w:tcPr>
          <w:p w14:paraId="15DD321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w:t>
            </w:r>
          </w:p>
        </w:tc>
        <w:tc>
          <w:tcPr>
            <w:tcW w:w="1053" w:type="pct"/>
            <w:tcBorders>
              <w:top w:val="nil"/>
              <w:left w:val="nil"/>
              <w:bottom w:val="nil"/>
              <w:right w:val="single" w:color="000000" w:sz="4" w:space="0"/>
            </w:tcBorders>
            <w:noWrap/>
            <w:vAlign w:val="center"/>
          </w:tcPr>
          <w:p w14:paraId="291EFE5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c>
          <w:tcPr>
            <w:tcW w:w="1655" w:type="pct"/>
            <w:tcBorders>
              <w:top w:val="nil"/>
              <w:left w:val="nil"/>
              <w:bottom w:val="single" w:color="000000" w:sz="4" w:space="0"/>
              <w:right w:val="single" w:color="000000" w:sz="4" w:space="0"/>
            </w:tcBorders>
            <w:noWrap/>
            <w:vAlign w:val="center"/>
          </w:tcPr>
          <w:p w14:paraId="7F96BCA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项目(按功能科目)</w:t>
            </w:r>
          </w:p>
        </w:tc>
        <w:tc>
          <w:tcPr>
            <w:tcW w:w="829" w:type="pct"/>
            <w:tcBorders>
              <w:top w:val="nil"/>
              <w:left w:val="nil"/>
              <w:bottom w:val="single" w:color="000000" w:sz="4" w:space="0"/>
              <w:right w:val="single" w:color="000000" w:sz="4" w:space="0"/>
            </w:tcBorders>
            <w:noWrap/>
            <w:vAlign w:val="center"/>
          </w:tcPr>
          <w:p w14:paraId="324052C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预算数</w:t>
            </w:r>
          </w:p>
        </w:tc>
      </w:tr>
      <w:tr w14:paraId="0587FD81">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D83B1D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一、财政拨款</w:t>
            </w:r>
          </w:p>
        </w:tc>
        <w:tc>
          <w:tcPr>
            <w:tcW w:w="1053" w:type="pct"/>
            <w:tcBorders>
              <w:top w:val="single" w:color="000000" w:sz="4" w:space="0"/>
              <w:left w:val="nil"/>
              <w:bottom w:val="single" w:color="000000" w:sz="4" w:space="0"/>
              <w:right w:val="single" w:color="000000" w:sz="4" w:space="0"/>
            </w:tcBorders>
            <w:noWrap/>
            <w:vAlign w:val="center"/>
          </w:tcPr>
          <w:p w14:paraId="33BCEFD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376.89</w:t>
            </w:r>
          </w:p>
        </w:tc>
        <w:tc>
          <w:tcPr>
            <w:tcW w:w="1655" w:type="pct"/>
            <w:tcBorders>
              <w:top w:val="nil"/>
              <w:left w:val="nil"/>
              <w:bottom w:val="single" w:color="000000" w:sz="4" w:space="0"/>
              <w:right w:val="single" w:color="000000" w:sz="4" w:space="0"/>
            </w:tcBorders>
            <w:noWrap/>
            <w:vAlign w:val="center"/>
          </w:tcPr>
          <w:p w14:paraId="66CD5C1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社会保障和就业支出</w:t>
            </w:r>
          </w:p>
        </w:tc>
        <w:tc>
          <w:tcPr>
            <w:tcW w:w="829" w:type="pct"/>
            <w:tcBorders>
              <w:top w:val="nil"/>
              <w:left w:val="nil"/>
              <w:bottom w:val="single" w:color="000000" w:sz="4" w:space="0"/>
              <w:right w:val="single" w:color="000000" w:sz="4" w:space="0"/>
            </w:tcBorders>
            <w:noWrap/>
            <w:vAlign w:val="center"/>
          </w:tcPr>
          <w:p w14:paraId="1166EC7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336.99</w:t>
            </w:r>
          </w:p>
        </w:tc>
      </w:tr>
      <w:tr w14:paraId="73AF104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0535FB6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（一）一般公共预算收入</w:t>
            </w:r>
          </w:p>
        </w:tc>
        <w:tc>
          <w:tcPr>
            <w:tcW w:w="1053" w:type="pct"/>
            <w:tcBorders>
              <w:top w:val="nil"/>
              <w:left w:val="nil"/>
              <w:bottom w:val="single" w:color="000000" w:sz="4" w:space="0"/>
              <w:right w:val="single" w:color="000000" w:sz="4" w:space="0"/>
            </w:tcBorders>
            <w:vAlign w:val="center"/>
          </w:tcPr>
          <w:p w14:paraId="4E4EF77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376.89</w:t>
            </w:r>
          </w:p>
        </w:tc>
        <w:tc>
          <w:tcPr>
            <w:tcW w:w="1655" w:type="pct"/>
            <w:tcBorders>
              <w:top w:val="nil"/>
              <w:left w:val="nil"/>
              <w:bottom w:val="single" w:color="000000" w:sz="4" w:space="0"/>
              <w:right w:val="single" w:color="000000" w:sz="4" w:space="0"/>
            </w:tcBorders>
            <w:noWrap/>
            <w:vAlign w:val="center"/>
          </w:tcPr>
          <w:p w14:paraId="413D1CA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卫生健康支出</w:t>
            </w:r>
          </w:p>
        </w:tc>
        <w:tc>
          <w:tcPr>
            <w:tcW w:w="829" w:type="pct"/>
            <w:tcBorders>
              <w:top w:val="nil"/>
              <w:left w:val="nil"/>
              <w:bottom w:val="single" w:color="000000" w:sz="4" w:space="0"/>
              <w:right w:val="single" w:color="000000" w:sz="4" w:space="0"/>
            </w:tcBorders>
            <w:noWrap/>
            <w:vAlign w:val="center"/>
          </w:tcPr>
          <w:p w14:paraId="5DDECC4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22.50</w:t>
            </w:r>
          </w:p>
        </w:tc>
      </w:tr>
      <w:tr w14:paraId="1B9BF50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2D29167">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（二）政府性基金预算收入</w:t>
            </w:r>
          </w:p>
        </w:tc>
        <w:tc>
          <w:tcPr>
            <w:tcW w:w="1053" w:type="pct"/>
            <w:tcBorders>
              <w:top w:val="nil"/>
              <w:left w:val="nil"/>
              <w:bottom w:val="single" w:color="000000" w:sz="4" w:space="0"/>
              <w:right w:val="single" w:color="000000" w:sz="4" w:space="0"/>
            </w:tcBorders>
            <w:noWrap/>
            <w:vAlign w:val="center"/>
          </w:tcPr>
          <w:p w14:paraId="3D4EEF8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A1B1FB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住房保障支出</w:t>
            </w:r>
          </w:p>
        </w:tc>
        <w:tc>
          <w:tcPr>
            <w:tcW w:w="829" w:type="pct"/>
            <w:tcBorders>
              <w:top w:val="nil"/>
              <w:left w:val="nil"/>
              <w:bottom w:val="single" w:color="000000" w:sz="4" w:space="0"/>
              <w:right w:val="single" w:color="000000" w:sz="4" w:space="0"/>
            </w:tcBorders>
            <w:noWrap/>
            <w:vAlign w:val="center"/>
          </w:tcPr>
          <w:p w14:paraId="023F295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t>27.40</w:t>
            </w:r>
          </w:p>
        </w:tc>
      </w:tr>
      <w:tr w14:paraId="288EDB9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DE905E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（三）国有资本经营预算收入</w:t>
            </w:r>
          </w:p>
        </w:tc>
        <w:tc>
          <w:tcPr>
            <w:tcW w:w="1053" w:type="pct"/>
            <w:tcBorders>
              <w:top w:val="nil"/>
              <w:left w:val="nil"/>
              <w:bottom w:val="single" w:color="000000" w:sz="4" w:space="0"/>
              <w:right w:val="single" w:color="000000" w:sz="4" w:space="0"/>
            </w:tcBorders>
            <w:vAlign w:val="center"/>
          </w:tcPr>
          <w:p w14:paraId="02945C6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31A6FA0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5B1706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AC9E29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E3DC01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二、教育收费资金收入</w:t>
            </w:r>
          </w:p>
        </w:tc>
        <w:tc>
          <w:tcPr>
            <w:tcW w:w="1053" w:type="pct"/>
            <w:tcBorders>
              <w:top w:val="nil"/>
              <w:left w:val="nil"/>
              <w:bottom w:val="single" w:color="000000" w:sz="4" w:space="0"/>
              <w:right w:val="single" w:color="000000" w:sz="4" w:space="0"/>
            </w:tcBorders>
            <w:vAlign w:val="center"/>
          </w:tcPr>
          <w:p w14:paraId="0CB5C77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20E883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E762A6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0E3862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5645F1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三、事业收入</w:t>
            </w:r>
          </w:p>
        </w:tc>
        <w:tc>
          <w:tcPr>
            <w:tcW w:w="1053" w:type="pct"/>
            <w:tcBorders>
              <w:top w:val="nil"/>
              <w:left w:val="nil"/>
              <w:bottom w:val="single" w:color="000000" w:sz="4" w:space="0"/>
              <w:right w:val="single" w:color="000000" w:sz="4" w:space="0"/>
            </w:tcBorders>
            <w:vAlign w:val="center"/>
          </w:tcPr>
          <w:p w14:paraId="51BDB04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23F6AD3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C638F1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6BAB83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390E9E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四、事业单位经营收入</w:t>
            </w:r>
          </w:p>
        </w:tc>
        <w:tc>
          <w:tcPr>
            <w:tcW w:w="1053" w:type="pct"/>
            <w:tcBorders>
              <w:top w:val="nil"/>
              <w:left w:val="nil"/>
              <w:bottom w:val="single" w:color="000000" w:sz="4" w:space="0"/>
              <w:right w:val="single" w:color="000000" w:sz="4" w:space="0"/>
            </w:tcBorders>
            <w:vAlign w:val="center"/>
          </w:tcPr>
          <w:p w14:paraId="48C00B2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7C48941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33EE964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8D1A0B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407AFA4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五、附属单位上缴收入</w:t>
            </w:r>
          </w:p>
        </w:tc>
        <w:tc>
          <w:tcPr>
            <w:tcW w:w="1053" w:type="pct"/>
            <w:tcBorders>
              <w:top w:val="nil"/>
              <w:left w:val="nil"/>
              <w:bottom w:val="single" w:color="000000" w:sz="4" w:space="0"/>
              <w:right w:val="single" w:color="000000" w:sz="4" w:space="0"/>
            </w:tcBorders>
            <w:noWrap/>
            <w:vAlign w:val="center"/>
          </w:tcPr>
          <w:p w14:paraId="15346E4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3FBB29C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9CB1605">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5EEB95C4">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7D90D0E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六、上级补助收入</w:t>
            </w:r>
          </w:p>
        </w:tc>
        <w:tc>
          <w:tcPr>
            <w:tcW w:w="1053" w:type="pct"/>
            <w:tcBorders>
              <w:top w:val="nil"/>
              <w:left w:val="nil"/>
              <w:bottom w:val="single" w:color="000000" w:sz="4" w:space="0"/>
              <w:right w:val="single" w:color="000000" w:sz="4" w:space="0"/>
            </w:tcBorders>
            <w:noWrap/>
            <w:vAlign w:val="center"/>
          </w:tcPr>
          <w:p w14:paraId="05B3EEB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nil"/>
              <w:left w:val="nil"/>
              <w:bottom w:val="single" w:color="000000" w:sz="4" w:space="0"/>
              <w:right w:val="single" w:color="000000" w:sz="4" w:space="0"/>
            </w:tcBorders>
            <w:noWrap/>
            <w:vAlign w:val="center"/>
          </w:tcPr>
          <w:p w14:paraId="1577F53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6FF4A1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921011C">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2D0FFE1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七、其他收入</w:t>
            </w:r>
          </w:p>
        </w:tc>
        <w:tc>
          <w:tcPr>
            <w:tcW w:w="1053" w:type="pct"/>
            <w:tcBorders>
              <w:top w:val="nil"/>
              <w:left w:val="nil"/>
              <w:bottom w:val="single" w:color="000000" w:sz="4" w:space="0"/>
              <w:right w:val="single" w:color="000000" w:sz="4" w:space="0"/>
            </w:tcBorders>
            <w:noWrap/>
            <w:vAlign w:val="center"/>
          </w:tcPr>
          <w:p w14:paraId="10C7A53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10.00</w:t>
            </w:r>
          </w:p>
        </w:tc>
        <w:tc>
          <w:tcPr>
            <w:tcW w:w="1655" w:type="pct"/>
            <w:tcBorders>
              <w:top w:val="nil"/>
              <w:left w:val="nil"/>
              <w:bottom w:val="single" w:color="000000" w:sz="4" w:space="0"/>
              <w:right w:val="single" w:color="000000" w:sz="4" w:space="0"/>
            </w:tcBorders>
            <w:noWrap/>
            <w:vAlign w:val="center"/>
          </w:tcPr>
          <w:p w14:paraId="4372A1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5A85A7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DE94B49">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5600A27E">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2328B76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CE84C3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141C9A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CB609B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center"/>
          </w:tcPr>
          <w:p w14:paraId="6DBC94E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1053" w:type="pct"/>
            <w:tcBorders>
              <w:top w:val="nil"/>
              <w:left w:val="nil"/>
              <w:bottom w:val="single" w:color="000000" w:sz="4" w:space="0"/>
              <w:right w:val="single" w:color="000000" w:sz="4" w:space="0"/>
            </w:tcBorders>
            <w:vAlign w:val="center"/>
          </w:tcPr>
          <w:p w14:paraId="3938FFD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5DB020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B994E0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A2BC622">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9C2AF3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92A569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479307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CA6832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0F1E09B">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AD0A07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FF07EF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1F22BA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75F88E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952192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19A6A0B">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59FBC2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71739B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2334C00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82D2D4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DD5F2C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F9C0D9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BC8168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7F858D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79BE17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4541E85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8BE516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6B9066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AF05A5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1031814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F919E6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389A24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4FC14F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C56AA6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BC949D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DDF8B4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62327A9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386BFCC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5830BE9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A35538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13BC0F80">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3A8C33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E31061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633A6C4">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46C9A1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22F2764">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4C5CC7C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03707E4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1989CD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CE73535">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312FC6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11FB083">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235EF1E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D11D76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91D0DC6">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D1ACAC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5D3302B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39197E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41F6836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3D54CB8E">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A175A15">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75DFC2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6068F12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107CE1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27CFBD98">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0122A2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7A41DEC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945449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60A64AD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B7A3E1D">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21F5DF72">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24D5A976">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5C6715D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B33953C">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6F079C2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6307247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3DB7B7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7F35FBD9">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1ED8DAEF">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554A8E3">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065AF04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0A54976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F6CC49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7F380210">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78628710">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000000" w:sz="4" w:space="0"/>
              <w:right w:val="single" w:color="000000" w:sz="4" w:space="0"/>
            </w:tcBorders>
            <w:noWrap/>
            <w:vAlign w:val="bottom"/>
          </w:tcPr>
          <w:p w14:paraId="75A0DADF">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p>
        </w:tc>
        <w:tc>
          <w:tcPr>
            <w:tcW w:w="1053" w:type="pct"/>
            <w:tcBorders>
              <w:top w:val="nil"/>
              <w:left w:val="nil"/>
              <w:bottom w:val="single" w:color="000000" w:sz="4" w:space="0"/>
              <w:right w:val="single" w:color="000000" w:sz="4" w:space="0"/>
            </w:tcBorders>
            <w:vAlign w:val="center"/>
          </w:tcPr>
          <w:p w14:paraId="336A62E7">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1655" w:type="pct"/>
            <w:tcBorders>
              <w:top w:val="nil"/>
              <w:left w:val="nil"/>
              <w:bottom w:val="single" w:color="000000" w:sz="4" w:space="0"/>
              <w:right w:val="single" w:color="000000" w:sz="4" w:space="0"/>
            </w:tcBorders>
            <w:noWrap/>
            <w:vAlign w:val="center"/>
          </w:tcPr>
          <w:p w14:paraId="49F926ED">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c>
          <w:tcPr>
            <w:tcW w:w="829" w:type="pct"/>
            <w:tcBorders>
              <w:top w:val="nil"/>
              <w:left w:val="nil"/>
              <w:bottom w:val="single" w:color="000000" w:sz="4" w:space="0"/>
              <w:right w:val="single" w:color="000000" w:sz="4" w:space="0"/>
            </w:tcBorders>
            <w:noWrap/>
            <w:vAlign w:val="center"/>
          </w:tcPr>
          <w:p w14:paraId="00059AB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014ABFEF">
        <w:tblPrEx>
          <w:tblCellMar>
            <w:top w:w="0" w:type="dxa"/>
            <w:left w:w="108" w:type="dxa"/>
            <w:bottom w:w="0" w:type="dxa"/>
            <w:right w:w="108" w:type="dxa"/>
          </w:tblCellMar>
        </w:tblPrEx>
        <w:trPr>
          <w:cantSplit/>
          <w:trHeight w:val="283" w:hRule="atLeast"/>
          <w:jc w:val="center"/>
        </w:trPr>
        <w:tc>
          <w:tcPr>
            <w:tcW w:w="1461" w:type="pct"/>
            <w:tcBorders>
              <w:top w:val="nil"/>
              <w:left w:val="single" w:color="000000" w:sz="4" w:space="0"/>
              <w:bottom w:val="single" w:color="auto" w:sz="4" w:space="0"/>
              <w:right w:val="single" w:color="000000" w:sz="4" w:space="0"/>
            </w:tcBorders>
            <w:noWrap/>
            <w:vAlign w:val="center"/>
          </w:tcPr>
          <w:p w14:paraId="4EF7CAD9">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本年收入合计</w:t>
            </w:r>
          </w:p>
        </w:tc>
        <w:tc>
          <w:tcPr>
            <w:tcW w:w="1053" w:type="pct"/>
            <w:tcBorders>
              <w:top w:val="nil"/>
              <w:left w:val="nil"/>
              <w:bottom w:val="single" w:color="auto" w:sz="4" w:space="0"/>
              <w:right w:val="single" w:color="000000" w:sz="4" w:space="0"/>
            </w:tcBorders>
            <w:vAlign w:val="center"/>
          </w:tcPr>
          <w:p w14:paraId="0AB77A0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c>
          <w:tcPr>
            <w:tcW w:w="1655" w:type="pct"/>
            <w:tcBorders>
              <w:top w:val="nil"/>
              <w:left w:val="nil"/>
              <w:bottom w:val="single" w:color="auto" w:sz="4" w:space="0"/>
              <w:right w:val="single" w:color="000000" w:sz="4" w:space="0"/>
            </w:tcBorders>
            <w:noWrap/>
            <w:vAlign w:val="center"/>
          </w:tcPr>
          <w:p w14:paraId="44DF00D8">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本年支出合计</w:t>
            </w:r>
          </w:p>
        </w:tc>
        <w:tc>
          <w:tcPr>
            <w:tcW w:w="829" w:type="pct"/>
            <w:tcBorders>
              <w:top w:val="nil"/>
              <w:left w:val="nil"/>
              <w:bottom w:val="single" w:color="auto" w:sz="4" w:space="0"/>
              <w:right w:val="single" w:color="000000" w:sz="4" w:space="0"/>
            </w:tcBorders>
            <w:noWrap/>
            <w:vAlign w:val="bottom"/>
          </w:tcPr>
          <w:p w14:paraId="0CA82C18">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r>
      <w:tr w14:paraId="28F7F9F9">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132B68F1">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八、使用非财政拨款结余</w:t>
            </w:r>
          </w:p>
        </w:tc>
        <w:tc>
          <w:tcPr>
            <w:tcW w:w="1053" w:type="pct"/>
            <w:tcBorders>
              <w:top w:val="single" w:color="auto" w:sz="4" w:space="0"/>
              <w:left w:val="single" w:color="auto" w:sz="4" w:space="0"/>
              <w:bottom w:val="single" w:color="auto" w:sz="4" w:space="0"/>
              <w:right w:val="single" w:color="auto" w:sz="4" w:space="0"/>
            </w:tcBorders>
            <w:vAlign w:val="center"/>
          </w:tcPr>
          <w:p w14:paraId="4039C67E">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single" w:color="auto" w:sz="4" w:space="0"/>
              <w:left w:val="single" w:color="auto" w:sz="4" w:space="0"/>
              <w:bottom w:val="single" w:color="auto" w:sz="4" w:space="0"/>
              <w:right w:val="single" w:color="auto" w:sz="4" w:space="0"/>
            </w:tcBorders>
            <w:noWrap/>
            <w:vAlign w:val="center"/>
          </w:tcPr>
          <w:p w14:paraId="03EF303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结转下年</w:t>
            </w:r>
          </w:p>
        </w:tc>
        <w:tc>
          <w:tcPr>
            <w:tcW w:w="829" w:type="pct"/>
            <w:tcBorders>
              <w:top w:val="single" w:color="auto" w:sz="4" w:space="0"/>
              <w:left w:val="single" w:color="auto" w:sz="4" w:space="0"/>
              <w:bottom w:val="single" w:color="auto" w:sz="4" w:space="0"/>
              <w:right w:val="single" w:color="auto" w:sz="4" w:space="0"/>
            </w:tcBorders>
            <w:vAlign w:val="center"/>
          </w:tcPr>
          <w:p w14:paraId="377916B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r>
      <w:tr w14:paraId="2FBFA815">
        <w:tblPrEx>
          <w:tblCellMar>
            <w:top w:w="0" w:type="dxa"/>
            <w:left w:w="108" w:type="dxa"/>
            <w:bottom w:w="0" w:type="dxa"/>
            <w:right w:w="108" w:type="dxa"/>
          </w:tblCellMar>
        </w:tblPrEx>
        <w:trPr>
          <w:cantSplit/>
          <w:trHeight w:val="283" w:hRule="atLeast"/>
          <w:jc w:val="center"/>
        </w:trPr>
        <w:tc>
          <w:tcPr>
            <w:tcW w:w="1461" w:type="pct"/>
            <w:tcBorders>
              <w:top w:val="single" w:color="auto" w:sz="4" w:space="0"/>
              <w:left w:val="single" w:color="000000" w:sz="4" w:space="0"/>
              <w:bottom w:val="single" w:color="auto" w:sz="4" w:space="0"/>
              <w:right w:val="nil"/>
            </w:tcBorders>
            <w:noWrap/>
            <w:vAlign w:val="center"/>
          </w:tcPr>
          <w:p w14:paraId="6AA86B36">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九、上年结转（结余）</w:t>
            </w:r>
          </w:p>
        </w:tc>
        <w:tc>
          <w:tcPr>
            <w:tcW w:w="1053" w:type="pct"/>
            <w:tcBorders>
              <w:top w:val="single" w:color="auto" w:sz="4" w:space="0"/>
              <w:left w:val="single" w:color="000000" w:sz="4" w:space="0"/>
              <w:bottom w:val="single" w:color="auto" w:sz="4" w:space="0"/>
              <w:right w:val="single" w:color="000000" w:sz="4" w:space="0"/>
            </w:tcBorders>
            <w:noWrap/>
            <w:vAlign w:val="center"/>
          </w:tcPr>
          <w:p w14:paraId="49A41B22">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0.00</w:t>
            </w:r>
          </w:p>
        </w:tc>
        <w:tc>
          <w:tcPr>
            <w:tcW w:w="1655" w:type="pct"/>
            <w:tcBorders>
              <w:top w:val="single" w:color="auto" w:sz="4" w:space="0"/>
              <w:left w:val="nil"/>
              <w:bottom w:val="single" w:color="auto" w:sz="4" w:space="0"/>
              <w:right w:val="single" w:color="000000" w:sz="4" w:space="0"/>
            </w:tcBorders>
            <w:noWrap/>
            <w:vAlign w:val="bottom"/>
          </w:tcPr>
          <w:p w14:paraId="72857F6D">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　</w:t>
            </w:r>
          </w:p>
        </w:tc>
        <w:tc>
          <w:tcPr>
            <w:tcW w:w="829" w:type="pct"/>
            <w:tcBorders>
              <w:top w:val="single" w:color="auto" w:sz="4" w:space="0"/>
              <w:left w:val="nil"/>
              <w:bottom w:val="single" w:color="auto" w:sz="4" w:space="0"/>
              <w:right w:val="single" w:color="000000" w:sz="4" w:space="0"/>
            </w:tcBorders>
            <w:vAlign w:val="center"/>
          </w:tcPr>
          <w:p w14:paraId="3B78F3CA">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p>
        </w:tc>
      </w:tr>
      <w:tr w14:paraId="47022837">
        <w:tblPrEx>
          <w:tblCellMar>
            <w:top w:w="0" w:type="dxa"/>
            <w:left w:w="108" w:type="dxa"/>
            <w:bottom w:w="0" w:type="dxa"/>
            <w:right w:w="108" w:type="dxa"/>
          </w:tblCellMar>
        </w:tblPrEx>
        <w:trPr>
          <w:trHeight w:val="283" w:hRule="atLeast"/>
          <w:jc w:val="center"/>
        </w:trPr>
        <w:tc>
          <w:tcPr>
            <w:tcW w:w="1461" w:type="pct"/>
            <w:tcBorders>
              <w:top w:val="single" w:color="auto" w:sz="4" w:space="0"/>
              <w:left w:val="single" w:color="auto" w:sz="4" w:space="0"/>
              <w:bottom w:val="single" w:color="auto" w:sz="4" w:space="0"/>
              <w:right w:val="single" w:color="auto" w:sz="4" w:space="0"/>
            </w:tcBorders>
            <w:noWrap/>
            <w:vAlign w:val="center"/>
          </w:tcPr>
          <w:p w14:paraId="6CD4D3F3">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收入总计</w:t>
            </w:r>
          </w:p>
        </w:tc>
        <w:tc>
          <w:tcPr>
            <w:tcW w:w="1053" w:type="pct"/>
            <w:tcBorders>
              <w:top w:val="single" w:color="auto" w:sz="4" w:space="0"/>
              <w:left w:val="single" w:color="auto" w:sz="4" w:space="0"/>
              <w:bottom w:val="single" w:color="auto" w:sz="4" w:space="0"/>
              <w:right w:val="single" w:color="auto" w:sz="4" w:space="0"/>
            </w:tcBorders>
            <w:noWrap/>
            <w:vAlign w:val="center"/>
          </w:tcPr>
          <w:p w14:paraId="2C4C5F2B">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c>
          <w:tcPr>
            <w:tcW w:w="1655" w:type="pct"/>
            <w:tcBorders>
              <w:top w:val="single" w:color="auto" w:sz="4" w:space="0"/>
              <w:left w:val="single" w:color="auto" w:sz="4" w:space="0"/>
              <w:bottom w:val="single" w:color="auto" w:sz="4" w:space="0"/>
              <w:right w:val="single" w:color="auto" w:sz="4" w:space="0"/>
            </w:tcBorders>
            <w:noWrap/>
            <w:vAlign w:val="center"/>
          </w:tcPr>
          <w:p w14:paraId="4EE1F61A">
            <w:pPr>
              <w:widowControl/>
              <w:snapToGrid w:val="0"/>
              <w:jc w:val="left"/>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支出总计</w:t>
            </w:r>
          </w:p>
        </w:tc>
        <w:tc>
          <w:tcPr>
            <w:tcW w:w="829" w:type="pct"/>
            <w:tcBorders>
              <w:top w:val="single" w:color="auto" w:sz="4" w:space="0"/>
              <w:left w:val="single" w:color="auto" w:sz="4" w:space="0"/>
              <w:bottom w:val="single" w:color="auto" w:sz="4" w:space="0"/>
              <w:right w:val="single" w:color="auto" w:sz="4" w:space="0"/>
            </w:tcBorders>
            <w:noWrap/>
            <w:vAlign w:val="bottom"/>
          </w:tcPr>
          <w:p w14:paraId="35D111A1">
            <w:pPr>
              <w:widowControl/>
              <w:snapToGrid w:val="0"/>
              <w:jc w:val="center"/>
              <w:textAlignment w:val="center"/>
              <w:rPr>
                <w:rFonts w:hint="eastAsia" w:asciiTheme="minorEastAsia" w:hAnsiTheme="minorEastAsia" w:eastAsia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386.89</w:t>
            </w:r>
          </w:p>
        </w:tc>
      </w:tr>
    </w:tbl>
    <w:p w14:paraId="2F004931">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111" w:type="pct"/>
        <w:tblInd w:w="-329" w:type="dxa"/>
        <w:tblLayout w:type="fixed"/>
        <w:tblCellMar>
          <w:top w:w="0" w:type="dxa"/>
          <w:left w:w="108" w:type="dxa"/>
          <w:bottom w:w="0" w:type="dxa"/>
          <w:right w:w="108" w:type="dxa"/>
        </w:tblCellMar>
      </w:tblPr>
      <w:tblGrid>
        <w:gridCol w:w="1482"/>
        <w:gridCol w:w="1076"/>
        <w:gridCol w:w="727"/>
        <w:gridCol w:w="968"/>
        <w:gridCol w:w="799"/>
        <w:gridCol w:w="655"/>
        <w:gridCol w:w="716"/>
        <w:gridCol w:w="633"/>
        <w:gridCol w:w="731"/>
        <w:gridCol w:w="697"/>
        <w:gridCol w:w="628"/>
        <w:gridCol w:w="478"/>
        <w:gridCol w:w="697"/>
        <w:gridCol w:w="633"/>
      </w:tblGrid>
      <w:tr w14:paraId="2B1F60AE">
        <w:tblPrEx>
          <w:tblCellMar>
            <w:top w:w="0" w:type="dxa"/>
            <w:left w:w="108" w:type="dxa"/>
            <w:bottom w:w="0" w:type="dxa"/>
            <w:right w:w="108" w:type="dxa"/>
          </w:tblCellMar>
        </w:tblPrEx>
        <w:trPr>
          <w:trHeight w:val="720" w:hRule="atLeast"/>
        </w:trPr>
        <w:tc>
          <w:tcPr>
            <w:tcW w:w="5000" w:type="pct"/>
            <w:gridSpan w:val="14"/>
            <w:tcBorders>
              <w:top w:val="nil"/>
              <w:left w:val="nil"/>
              <w:bottom w:val="nil"/>
              <w:right w:val="nil"/>
            </w:tcBorders>
            <w:shd w:val="clear" w:color="auto" w:fill="auto"/>
            <w:noWrap/>
            <w:vAlign w:val="center"/>
          </w:tcPr>
          <w:p w14:paraId="6D745656">
            <w:pPr>
              <w:widowControl/>
              <w:jc w:val="center"/>
              <w:rPr>
                <w:rFonts w:ascii="宋体" w:hAnsi="宋体" w:eastAsia="宋体" w:cs="Arial"/>
                <w:b/>
                <w:bCs/>
                <w:color w:val="000000"/>
                <w:kern w:val="0"/>
                <w:sz w:val="48"/>
                <w:szCs w:val="48"/>
              </w:rPr>
            </w:pPr>
            <w:r>
              <w:rPr>
                <w:rFonts w:hint="eastAsia" w:asciiTheme="minorEastAsia" w:hAnsiTheme="minorEastAsia" w:cstheme="minorEastAsia"/>
                <w:color w:val="000000"/>
                <w:sz w:val="24"/>
                <w:szCs w:val="24"/>
                <w:lang w:val="en-US" w:eastAsia="zh-CN"/>
              </w:rPr>
              <w:t>单位</w:t>
            </w:r>
            <w:r>
              <w:rPr>
                <w:rFonts w:hint="eastAsia" w:asciiTheme="minorEastAsia" w:hAnsiTheme="minorEastAsia" w:eastAsiaTheme="minorEastAsia" w:cstheme="minorEastAsia"/>
                <w:color w:val="000000"/>
                <w:sz w:val="24"/>
                <w:szCs w:val="24"/>
              </w:rPr>
              <w:t>收入总表</w:t>
            </w:r>
          </w:p>
        </w:tc>
      </w:tr>
      <w:tr w14:paraId="5AEBCCB2">
        <w:tblPrEx>
          <w:tblCellMar>
            <w:top w:w="0" w:type="dxa"/>
            <w:left w:w="108" w:type="dxa"/>
            <w:bottom w:w="0" w:type="dxa"/>
            <w:right w:w="108" w:type="dxa"/>
          </w:tblCellMar>
        </w:tblPrEx>
        <w:trPr>
          <w:trHeight w:val="633" w:hRule="atLeast"/>
        </w:trPr>
        <w:tc>
          <w:tcPr>
            <w:tcW w:w="1947" w:type="pct"/>
            <w:gridSpan w:val="4"/>
            <w:tcBorders>
              <w:top w:val="nil"/>
              <w:left w:val="nil"/>
              <w:bottom w:val="single" w:color="auto" w:sz="4" w:space="0"/>
              <w:right w:val="nil"/>
            </w:tcBorders>
            <w:shd w:val="clear" w:color="auto" w:fill="auto"/>
            <w:noWrap/>
            <w:vAlign w:val="center"/>
          </w:tcPr>
          <w:p w14:paraId="759D7463">
            <w:pPr>
              <w:widowControl/>
              <w:jc w:val="left"/>
              <w:rPr>
                <w:rFonts w:ascii="Times New Roman" w:hAnsi="Times New Roman" w:eastAsia="Times New Roman" w:cs="Times New Roman"/>
                <w:kern w:val="0"/>
                <w:sz w:val="28"/>
                <w:szCs w:val="28"/>
              </w:rPr>
            </w:pPr>
            <w:r>
              <w:rPr>
                <w:rFonts w:hint="eastAsia" w:asciiTheme="minorEastAsia" w:hAnsiTheme="minorEastAsia" w:cstheme="minorEastAsia"/>
                <w:color w:val="000000"/>
                <w:kern w:val="0"/>
                <w:sz w:val="24"/>
                <w:szCs w:val="24"/>
                <w:lang w:eastAsia="zh-CN" w:bidi="ar"/>
              </w:rPr>
              <w:t>填报单位:067001南昌市青云谱区医疗保障局</w:t>
            </w:r>
          </w:p>
        </w:tc>
        <w:tc>
          <w:tcPr>
            <w:tcW w:w="365" w:type="pct"/>
            <w:tcBorders>
              <w:top w:val="nil"/>
              <w:left w:val="nil"/>
              <w:bottom w:val="single" w:color="auto" w:sz="4" w:space="0"/>
              <w:right w:val="nil"/>
            </w:tcBorders>
            <w:shd w:val="clear" w:color="auto" w:fill="auto"/>
            <w:noWrap/>
            <w:vAlign w:val="bottom"/>
          </w:tcPr>
          <w:p w14:paraId="3CCBC700">
            <w:pPr>
              <w:widowControl/>
              <w:jc w:val="left"/>
              <w:rPr>
                <w:rFonts w:ascii="Times New Roman" w:hAnsi="Times New Roman" w:eastAsia="Times New Roman" w:cs="Times New Roman"/>
                <w:kern w:val="0"/>
                <w:sz w:val="28"/>
                <w:szCs w:val="28"/>
              </w:rPr>
            </w:pPr>
          </w:p>
        </w:tc>
        <w:tc>
          <w:tcPr>
            <w:tcW w:w="299" w:type="pct"/>
            <w:tcBorders>
              <w:top w:val="nil"/>
              <w:left w:val="nil"/>
              <w:bottom w:val="single" w:color="auto" w:sz="4" w:space="0"/>
              <w:right w:val="nil"/>
            </w:tcBorders>
            <w:shd w:val="clear" w:color="auto" w:fill="auto"/>
            <w:noWrap/>
            <w:vAlign w:val="bottom"/>
          </w:tcPr>
          <w:p w14:paraId="1523BDF1">
            <w:pPr>
              <w:widowControl/>
              <w:jc w:val="left"/>
              <w:rPr>
                <w:rFonts w:ascii="Times New Roman" w:hAnsi="Times New Roman" w:eastAsia="Times New Roman" w:cs="Times New Roman"/>
                <w:kern w:val="0"/>
                <w:sz w:val="28"/>
                <w:szCs w:val="28"/>
              </w:rPr>
            </w:pPr>
          </w:p>
        </w:tc>
        <w:tc>
          <w:tcPr>
            <w:tcW w:w="327" w:type="pct"/>
            <w:tcBorders>
              <w:top w:val="nil"/>
              <w:left w:val="nil"/>
              <w:bottom w:val="single" w:color="auto" w:sz="4" w:space="0"/>
              <w:right w:val="nil"/>
            </w:tcBorders>
            <w:shd w:val="clear" w:color="auto" w:fill="auto"/>
            <w:noWrap/>
            <w:vAlign w:val="bottom"/>
          </w:tcPr>
          <w:p w14:paraId="7F30DE56">
            <w:pPr>
              <w:widowControl/>
              <w:jc w:val="left"/>
              <w:rPr>
                <w:rFonts w:ascii="Times New Roman" w:hAnsi="Times New Roman" w:eastAsia="Times New Roman" w:cs="Times New Roman"/>
                <w:kern w:val="0"/>
                <w:sz w:val="28"/>
                <w:szCs w:val="28"/>
              </w:rPr>
            </w:pPr>
          </w:p>
        </w:tc>
        <w:tc>
          <w:tcPr>
            <w:tcW w:w="289" w:type="pct"/>
            <w:tcBorders>
              <w:top w:val="nil"/>
              <w:left w:val="nil"/>
              <w:bottom w:val="single" w:color="auto" w:sz="4" w:space="0"/>
              <w:right w:val="nil"/>
            </w:tcBorders>
            <w:shd w:val="clear" w:color="auto" w:fill="auto"/>
            <w:noWrap/>
            <w:vAlign w:val="bottom"/>
          </w:tcPr>
          <w:p w14:paraId="604D4076">
            <w:pPr>
              <w:widowControl/>
              <w:jc w:val="left"/>
              <w:rPr>
                <w:rFonts w:ascii="Times New Roman" w:hAnsi="Times New Roman" w:eastAsia="Times New Roman" w:cs="Times New Roman"/>
                <w:kern w:val="0"/>
                <w:sz w:val="28"/>
                <w:szCs w:val="28"/>
              </w:rPr>
            </w:pPr>
          </w:p>
        </w:tc>
        <w:tc>
          <w:tcPr>
            <w:tcW w:w="334" w:type="pct"/>
            <w:tcBorders>
              <w:top w:val="nil"/>
              <w:left w:val="nil"/>
              <w:bottom w:val="single" w:color="auto" w:sz="4" w:space="0"/>
              <w:right w:val="nil"/>
            </w:tcBorders>
            <w:shd w:val="clear" w:color="auto" w:fill="auto"/>
            <w:noWrap/>
            <w:vAlign w:val="bottom"/>
          </w:tcPr>
          <w:p w14:paraId="49DADE00">
            <w:pPr>
              <w:widowControl/>
              <w:jc w:val="left"/>
              <w:rPr>
                <w:rFonts w:ascii="Times New Roman" w:hAnsi="Times New Roman" w:eastAsia="Times New Roman" w:cs="Times New Roman"/>
                <w:kern w:val="0"/>
                <w:sz w:val="28"/>
                <w:szCs w:val="28"/>
              </w:rPr>
            </w:pPr>
          </w:p>
        </w:tc>
        <w:tc>
          <w:tcPr>
            <w:tcW w:w="319" w:type="pct"/>
            <w:tcBorders>
              <w:top w:val="nil"/>
              <w:left w:val="nil"/>
              <w:bottom w:val="single" w:color="auto" w:sz="4" w:space="0"/>
              <w:right w:val="nil"/>
            </w:tcBorders>
            <w:shd w:val="clear" w:color="auto" w:fill="auto"/>
            <w:noWrap/>
            <w:vAlign w:val="bottom"/>
          </w:tcPr>
          <w:p w14:paraId="4B9B30A5">
            <w:pPr>
              <w:widowControl/>
              <w:jc w:val="left"/>
              <w:rPr>
                <w:rFonts w:ascii="Times New Roman" w:hAnsi="Times New Roman" w:eastAsia="Times New Roman" w:cs="Times New Roman"/>
                <w:kern w:val="0"/>
                <w:sz w:val="28"/>
                <w:szCs w:val="28"/>
              </w:rPr>
            </w:pPr>
          </w:p>
        </w:tc>
        <w:tc>
          <w:tcPr>
            <w:tcW w:w="287" w:type="pct"/>
            <w:tcBorders>
              <w:top w:val="nil"/>
              <w:left w:val="nil"/>
              <w:bottom w:val="single" w:color="auto" w:sz="4" w:space="0"/>
              <w:right w:val="nil"/>
            </w:tcBorders>
            <w:shd w:val="clear" w:color="auto" w:fill="auto"/>
            <w:noWrap/>
            <w:vAlign w:val="bottom"/>
          </w:tcPr>
          <w:p w14:paraId="544E2741">
            <w:pPr>
              <w:widowControl/>
              <w:jc w:val="left"/>
              <w:rPr>
                <w:rFonts w:ascii="Times New Roman" w:hAnsi="Times New Roman" w:eastAsia="Times New Roman" w:cs="Times New Roman"/>
                <w:kern w:val="0"/>
                <w:sz w:val="28"/>
                <w:szCs w:val="28"/>
              </w:rPr>
            </w:pPr>
          </w:p>
        </w:tc>
        <w:tc>
          <w:tcPr>
            <w:tcW w:w="218" w:type="pct"/>
            <w:tcBorders>
              <w:top w:val="nil"/>
              <w:left w:val="nil"/>
              <w:bottom w:val="single" w:color="auto" w:sz="4" w:space="0"/>
              <w:right w:val="nil"/>
            </w:tcBorders>
            <w:shd w:val="clear" w:color="auto" w:fill="auto"/>
            <w:noWrap/>
            <w:vAlign w:val="bottom"/>
          </w:tcPr>
          <w:p w14:paraId="5EAF25AD">
            <w:pPr>
              <w:widowControl/>
              <w:jc w:val="left"/>
              <w:rPr>
                <w:rFonts w:ascii="Times New Roman" w:hAnsi="Times New Roman" w:eastAsia="Times New Roman" w:cs="Times New Roman"/>
                <w:kern w:val="0"/>
                <w:sz w:val="28"/>
                <w:szCs w:val="28"/>
              </w:rPr>
            </w:pPr>
          </w:p>
        </w:tc>
        <w:tc>
          <w:tcPr>
            <w:tcW w:w="608" w:type="pct"/>
            <w:gridSpan w:val="2"/>
            <w:tcBorders>
              <w:top w:val="nil"/>
              <w:left w:val="nil"/>
              <w:bottom w:val="single" w:color="auto" w:sz="4" w:space="0"/>
              <w:right w:val="nil"/>
            </w:tcBorders>
            <w:shd w:val="clear" w:color="auto" w:fill="auto"/>
            <w:noWrap/>
            <w:vAlign w:val="bottom"/>
          </w:tcPr>
          <w:p w14:paraId="7B26BCAC">
            <w:pPr>
              <w:widowControl/>
              <w:jc w:val="right"/>
              <w:rPr>
                <w:rFonts w:hint="eastAsia" w:ascii="宋体" w:hAnsi="宋体" w:eastAsia="宋体" w:cs="宋体"/>
                <w:color w:val="000000"/>
                <w:kern w:val="0"/>
                <w:sz w:val="24"/>
                <w:szCs w:val="24"/>
                <w:lang w:eastAsia="zh-CN" w:bidi="ar"/>
              </w:rPr>
            </w:pPr>
            <w:r>
              <w:rPr>
                <w:rFonts w:hint="eastAsia" w:asciiTheme="minorEastAsia" w:hAnsiTheme="minorEastAsia" w:cstheme="minorEastAsia"/>
                <w:color w:val="000000"/>
                <w:kern w:val="0"/>
                <w:sz w:val="24"/>
                <w:szCs w:val="24"/>
                <w:lang w:eastAsia="zh-CN" w:bidi="ar"/>
              </w:rPr>
              <w:t>单位：万元</w:t>
            </w:r>
          </w:p>
        </w:tc>
      </w:tr>
      <w:tr w14:paraId="1D24588C">
        <w:tblPrEx>
          <w:tblCellMar>
            <w:top w:w="0" w:type="dxa"/>
            <w:left w:w="108" w:type="dxa"/>
            <w:bottom w:w="0" w:type="dxa"/>
            <w:right w:w="108" w:type="dxa"/>
          </w:tblCellMar>
        </w:tblPrEx>
        <w:trPr>
          <w:cantSplit/>
          <w:trHeight w:val="567" w:hRule="atLeast"/>
        </w:trPr>
        <w:tc>
          <w:tcPr>
            <w:tcW w:w="678" w:type="pct"/>
            <w:vMerge w:val="restart"/>
            <w:tcBorders>
              <w:top w:val="single" w:color="auto" w:sz="4" w:space="0"/>
              <w:left w:val="single" w:color="auto" w:sz="4" w:space="0"/>
              <w:right w:val="single" w:color="auto" w:sz="4" w:space="0"/>
            </w:tcBorders>
            <w:shd w:val="clear" w:color="auto" w:fill="auto"/>
            <w:noWrap/>
            <w:vAlign w:val="center"/>
          </w:tcPr>
          <w:p w14:paraId="0191187E">
            <w:pPr>
              <w:widowControl/>
              <w:snapToGrid w:val="0"/>
              <w:jc w:val="center"/>
              <w:textAlignment w:val="center"/>
              <w:rPr>
                <w:rFonts w:hint="default" w:asciiTheme="minorEastAsia" w:hAnsiTheme="minorEastAsia" w:eastAsiaTheme="minorEastAsia" w:cstheme="minorEastAsia"/>
                <w:color w:val="000000"/>
                <w:kern w:val="0"/>
                <w:sz w:val="20"/>
                <w:szCs w:val="20"/>
                <w:lang w:val="en-US" w:eastAsia="zh-CN" w:bidi="ar"/>
              </w:rPr>
            </w:pPr>
            <w:r>
              <w:rPr>
                <w:rFonts w:hint="eastAsia" w:asciiTheme="minorEastAsia" w:hAnsiTheme="minorEastAsia" w:cstheme="minorEastAsia"/>
                <w:color w:val="000000"/>
                <w:kern w:val="0"/>
                <w:sz w:val="20"/>
                <w:szCs w:val="20"/>
                <w:lang w:val="en-US" w:eastAsia="zh-CN" w:bidi="ar"/>
              </w:rPr>
              <w:t>单位名称</w:t>
            </w:r>
          </w:p>
        </w:tc>
        <w:tc>
          <w:tcPr>
            <w:tcW w:w="492"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AC41F86">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合计</w:t>
            </w:r>
          </w:p>
        </w:tc>
        <w:tc>
          <w:tcPr>
            <w:tcW w:w="33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C816320">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上年结转</w:t>
            </w:r>
          </w:p>
        </w:tc>
        <w:tc>
          <w:tcPr>
            <w:tcW w:w="1436" w:type="pct"/>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5901E2F">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财政拨款</w:t>
            </w:r>
          </w:p>
        </w:tc>
        <w:tc>
          <w:tcPr>
            <w:tcW w:w="2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25FDAB6">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教育收费资金收入</w:t>
            </w:r>
          </w:p>
        </w:tc>
        <w:tc>
          <w:tcPr>
            <w:tcW w:w="33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C7DA06">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事业收入</w:t>
            </w:r>
          </w:p>
        </w:tc>
        <w:tc>
          <w:tcPr>
            <w:tcW w:w="3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E656071">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事业单位经营收入</w:t>
            </w:r>
          </w:p>
        </w:tc>
        <w:tc>
          <w:tcPr>
            <w:tcW w:w="287"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FA3747D">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附属单位上缴收入</w:t>
            </w:r>
          </w:p>
        </w:tc>
        <w:tc>
          <w:tcPr>
            <w:tcW w:w="21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472700">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上级补助收入</w:t>
            </w:r>
          </w:p>
        </w:tc>
        <w:tc>
          <w:tcPr>
            <w:tcW w:w="31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3885AF">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其他收入</w:t>
            </w:r>
          </w:p>
        </w:tc>
        <w:tc>
          <w:tcPr>
            <w:tcW w:w="28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016EEAD">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使用非财政拨款结余</w:t>
            </w:r>
          </w:p>
        </w:tc>
      </w:tr>
      <w:tr w14:paraId="251FA6BF">
        <w:tblPrEx>
          <w:tblCellMar>
            <w:top w:w="0" w:type="dxa"/>
            <w:left w:w="108" w:type="dxa"/>
            <w:bottom w:w="0" w:type="dxa"/>
            <w:right w:w="108" w:type="dxa"/>
          </w:tblCellMar>
        </w:tblPrEx>
        <w:trPr>
          <w:cantSplit/>
          <w:trHeight w:val="1325" w:hRule="atLeast"/>
        </w:trPr>
        <w:tc>
          <w:tcPr>
            <w:tcW w:w="678" w:type="pct"/>
            <w:vMerge w:val="continue"/>
            <w:tcBorders>
              <w:left w:val="single" w:color="auto" w:sz="4" w:space="0"/>
              <w:bottom w:val="single" w:color="auto" w:sz="4" w:space="0"/>
              <w:right w:val="single" w:color="auto" w:sz="4" w:space="0"/>
            </w:tcBorders>
            <w:vAlign w:val="center"/>
          </w:tcPr>
          <w:p w14:paraId="3647F8AE">
            <w:pPr>
              <w:widowControl/>
              <w:jc w:val="left"/>
              <w:rPr>
                <w:rFonts w:ascii="宋体" w:hAnsi="宋体" w:eastAsia="宋体" w:cs="Arial"/>
                <w:color w:val="000000"/>
                <w:kern w:val="0"/>
                <w:sz w:val="20"/>
                <w:szCs w:val="20"/>
              </w:rPr>
            </w:pPr>
          </w:p>
        </w:tc>
        <w:tc>
          <w:tcPr>
            <w:tcW w:w="492" w:type="pct"/>
            <w:vMerge w:val="continue"/>
            <w:tcBorders>
              <w:top w:val="single" w:color="auto" w:sz="4" w:space="0"/>
              <w:left w:val="single" w:color="auto" w:sz="4" w:space="0"/>
              <w:bottom w:val="single" w:color="auto" w:sz="4" w:space="0"/>
              <w:right w:val="single" w:color="auto" w:sz="4" w:space="0"/>
            </w:tcBorders>
            <w:vAlign w:val="center"/>
          </w:tcPr>
          <w:p w14:paraId="48F948FF">
            <w:pPr>
              <w:widowControl/>
              <w:jc w:val="left"/>
              <w:rPr>
                <w:rFonts w:ascii="宋体" w:hAnsi="宋体" w:eastAsia="宋体" w:cs="Arial"/>
                <w:color w:val="000000"/>
                <w:kern w:val="0"/>
                <w:sz w:val="20"/>
                <w:szCs w:val="20"/>
              </w:rPr>
            </w:pPr>
          </w:p>
        </w:tc>
        <w:tc>
          <w:tcPr>
            <w:tcW w:w="332" w:type="pct"/>
            <w:vMerge w:val="continue"/>
            <w:tcBorders>
              <w:top w:val="single" w:color="auto" w:sz="4" w:space="0"/>
              <w:left w:val="single" w:color="auto" w:sz="4" w:space="0"/>
              <w:bottom w:val="single" w:color="auto" w:sz="4" w:space="0"/>
              <w:right w:val="single" w:color="auto" w:sz="4" w:space="0"/>
            </w:tcBorders>
            <w:vAlign w:val="center"/>
          </w:tcPr>
          <w:p w14:paraId="45914B12">
            <w:pPr>
              <w:widowControl/>
              <w:jc w:val="left"/>
              <w:rPr>
                <w:rFonts w:ascii="宋体" w:hAnsi="宋体" w:eastAsia="宋体" w:cs="Arial"/>
                <w:color w:val="000000"/>
                <w:kern w:val="0"/>
                <w:sz w:val="20"/>
                <w:szCs w:val="20"/>
              </w:rPr>
            </w:pPr>
          </w:p>
        </w:tc>
        <w:tc>
          <w:tcPr>
            <w:tcW w:w="443" w:type="pct"/>
            <w:tcBorders>
              <w:top w:val="single" w:color="auto" w:sz="4" w:space="0"/>
              <w:left w:val="single" w:color="auto" w:sz="4" w:space="0"/>
              <w:bottom w:val="single" w:color="auto" w:sz="4" w:space="0"/>
              <w:right w:val="single" w:color="auto" w:sz="4" w:space="0"/>
            </w:tcBorders>
            <w:shd w:val="clear" w:color="auto" w:fill="auto"/>
            <w:vAlign w:val="center"/>
          </w:tcPr>
          <w:p w14:paraId="773A7164">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小计</w:t>
            </w:r>
          </w:p>
        </w:tc>
        <w:tc>
          <w:tcPr>
            <w:tcW w:w="365" w:type="pct"/>
            <w:tcBorders>
              <w:top w:val="single" w:color="auto" w:sz="4" w:space="0"/>
              <w:left w:val="single" w:color="auto" w:sz="4" w:space="0"/>
              <w:bottom w:val="single" w:color="auto" w:sz="4" w:space="0"/>
              <w:right w:val="single" w:color="auto" w:sz="4" w:space="0"/>
            </w:tcBorders>
            <w:shd w:val="clear" w:color="auto" w:fill="auto"/>
            <w:vAlign w:val="center"/>
          </w:tcPr>
          <w:p w14:paraId="3622A593">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一般公共预算拨款收入</w:t>
            </w:r>
          </w:p>
        </w:tc>
        <w:tc>
          <w:tcPr>
            <w:tcW w:w="299" w:type="pct"/>
            <w:tcBorders>
              <w:top w:val="single" w:color="auto" w:sz="4" w:space="0"/>
              <w:left w:val="single" w:color="auto" w:sz="4" w:space="0"/>
              <w:bottom w:val="single" w:color="auto" w:sz="4" w:space="0"/>
              <w:right w:val="single" w:color="auto" w:sz="4" w:space="0"/>
            </w:tcBorders>
            <w:shd w:val="clear" w:color="auto" w:fill="auto"/>
            <w:vAlign w:val="center"/>
          </w:tcPr>
          <w:p w14:paraId="00FEDD0A">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政府性基金预算拨款收入</w:t>
            </w:r>
          </w:p>
        </w:tc>
        <w:tc>
          <w:tcPr>
            <w:tcW w:w="327" w:type="pct"/>
            <w:tcBorders>
              <w:top w:val="single" w:color="auto" w:sz="4" w:space="0"/>
              <w:left w:val="single" w:color="auto" w:sz="4" w:space="0"/>
              <w:bottom w:val="single" w:color="auto" w:sz="4" w:space="0"/>
              <w:right w:val="single" w:color="auto" w:sz="4" w:space="0"/>
            </w:tcBorders>
            <w:shd w:val="clear" w:color="auto" w:fill="auto"/>
            <w:vAlign w:val="center"/>
          </w:tcPr>
          <w:p w14:paraId="1090BFC7">
            <w:pPr>
              <w:widowControl/>
              <w:snapToGrid w:val="0"/>
              <w:jc w:val="center"/>
              <w:textAlignment w:val="center"/>
              <w:rPr>
                <w:rFonts w:hint="eastAsia" w:asciiTheme="minorEastAsia" w:hAnsiTheme="minorEastAsia" w:cstheme="minorEastAsia"/>
                <w:color w:val="000000"/>
                <w:kern w:val="0"/>
                <w:sz w:val="20"/>
                <w:szCs w:val="20"/>
                <w:lang w:bidi="ar"/>
              </w:rPr>
            </w:pPr>
            <w:r>
              <w:rPr>
                <w:rFonts w:hint="eastAsia" w:asciiTheme="minorEastAsia" w:hAnsiTheme="minorEastAsia" w:cstheme="minorEastAsia"/>
                <w:color w:val="000000"/>
                <w:kern w:val="0"/>
                <w:sz w:val="20"/>
                <w:szCs w:val="20"/>
                <w:lang w:bidi="ar"/>
              </w:rPr>
              <w:t>国有资本经营预算收入</w:t>
            </w: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4C192DD0">
            <w:pPr>
              <w:widowControl/>
              <w:jc w:val="left"/>
              <w:rPr>
                <w:rFonts w:ascii="宋体" w:hAnsi="宋体" w:eastAsia="宋体" w:cs="Arial"/>
                <w:color w:val="000000"/>
                <w:kern w:val="0"/>
                <w:sz w:val="20"/>
                <w:szCs w:val="20"/>
              </w:rPr>
            </w:pPr>
          </w:p>
        </w:tc>
        <w:tc>
          <w:tcPr>
            <w:tcW w:w="334" w:type="pct"/>
            <w:vMerge w:val="continue"/>
            <w:tcBorders>
              <w:top w:val="single" w:color="auto" w:sz="4" w:space="0"/>
              <w:left w:val="single" w:color="auto" w:sz="4" w:space="0"/>
              <w:bottom w:val="single" w:color="auto" w:sz="4" w:space="0"/>
              <w:right w:val="single" w:color="auto" w:sz="4" w:space="0"/>
            </w:tcBorders>
            <w:vAlign w:val="center"/>
          </w:tcPr>
          <w:p w14:paraId="0148927E">
            <w:pPr>
              <w:widowControl/>
              <w:jc w:val="left"/>
              <w:rPr>
                <w:rFonts w:ascii="宋体" w:hAnsi="宋体" w:eastAsia="宋体" w:cs="Arial"/>
                <w:color w:val="000000"/>
                <w:kern w:val="0"/>
                <w:sz w:val="20"/>
                <w:szCs w:val="20"/>
              </w:rPr>
            </w:pPr>
          </w:p>
        </w:tc>
        <w:tc>
          <w:tcPr>
            <w:tcW w:w="319" w:type="pct"/>
            <w:vMerge w:val="continue"/>
            <w:tcBorders>
              <w:top w:val="single" w:color="auto" w:sz="4" w:space="0"/>
              <w:left w:val="single" w:color="auto" w:sz="4" w:space="0"/>
              <w:bottom w:val="single" w:color="auto" w:sz="4" w:space="0"/>
              <w:right w:val="single" w:color="auto" w:sz="4" w:space="0"/>
            </w:tcBorders>
            <w:vAlign w:val="center"/>
          </w:tcPr>
          <w:p w14:paraId="43AE5AF5">
            <w:pPr>
              <w:widowControl/>
              <w:jc w:val="left"/>
              <w:rPr>
                <w:rFonts w:ascii="宋体" w:hAnsi="宋体" w:eastAsia="宋体" w:cs="Arial"/>
                <w:color w:val="000000"/>
                <w:kern w:val="0"/>
                <w:sz w:val="20"/>
                <w:szCs w:val="20"/>
              </w:rPr>
            </w:pPr>
          </w:p>
        </w:tc>
        <w:tc>
          <w:tcPr>
            <w:tcW w:w="287" w:type="pct"/>
            <w:vMerge w:val="continue"/>
            <w:tcBorders>
              <w:top w:val="single" w:color="auto" w:sz="4" w:space="0"/>
              <w:left w:val="single" w:color="auto" w:sz="4" w:space="0"/>
              <w:bottom w:val="single" w:color="auto" w:sz="4" w:space="0"/>
              <w:right w:val="single" w:color="auto" w:sz="4" w:space="0"/>
            </w:tcBorders>
            <w:vAlign w:val="center"/>
          </w:tcPr>
          <w:p w14:paraId="4DC724AF">
            <w:pPr>
              <w:widowControl/>
              <w:jc w:val="left"/>
              <w:rPr>
                <w:rFonts w:ascii="宋体" w:hAnsi="宋体" w:eastAsia="宋体" w:cs="Arial"/>
                <w:color w:val="000000"/>
                <w:kern w:val="0"/>
                <w:sz w:val="20"/>
                <w:szCs w:val="20"/>
              </w:rPr>
            </w:pPr>
          </w:p>
        </w:tc>
        <w:tc>
          <w:tcPr>
            <w:tcW w:w="218" w:type="pct"/>
            <w:vMerge w:val="continue"/>
            <w:tcBorders>
              <w:top w:val="single" w:color="auto" w:sz="4" w:space="0"/>
              <w:left w:val="single" w:color="auto" w:sz="4" w:space="0"/>
              <w:bottom w:val="single" w:color="auto" w:sz="4" w:space="0"/>
              <w:right w:val="single" w:color="auto" w:sz="4" w:space="0"/>
            </w:tcBorders>
            <w:vAlign w:val="center"/>
          </w:tcPr>
          <w:p w14:paraId="05E8B5A5">
            <w:pPr>
              <w:widowControl/>
              <w:jc w:val="left"/>
              <w:rPr>
                <w:rFonts w:ascii="宋体" w:hAnsi="宋体" w:eastAsia="宋体" w:cs="Arial"/>
                <w:color w:val="000000"/>
                <w:kern w:val="0"/>
                <w:sz w:val="20"/>
                <w:szCs w:val="20"/>
              </w:rPr>
            </w:pPr>
          </w:p>
        </w:tc>
        <w:tc>
          <w:tcPr>
            <w:tcW w:w="319" w:type="pct"/>
            <w:vMerge w:val="continue"/>
            <w:tcBorders>
              <w:top w:val="single" w:color="auto" w:sz="4" w:space="0"/>
              <w:left w:val="single" w:color="auto" w:sz="4" w:space="0"/>
              <w:bottom w:val="single" w:color="auto" w:sz="4" w:space="0"/>
              <w:right w:val="single" w:color="auto" w:sz="4" w:space="0"/>
            </w:tcBorders>
            <w:vAlign w:val="center"/>
          </w:tcPr>
          <w:p w14:paraId="415C6B7B">
            <w:pPr>
              <w:widowControl/>
              <w:jc w:val="left"/>
              <w:rPr>
                <w:rFonts w:ascii="宋体" w:hAnsi="宋体" w:eastAsia="宋体" w:cs="Arial"/>
                <w:color w:val="000000"/>
                <w:kern w:val="0"/>
                <w:sz w:val="20"/>
                <w:szCs w:val="20"/>
              </w:rPr>
            </w:pPr>
          </w:p>
        </w:tc>
        <w:tc>
          <w:tcPr>
            <w:tcW w:w="289" w:type="pct"/>
            <w:vMerge w:val="continue"/>
            <w:tcBorders>
              <w:top w:val="single" w:color="auto" w:sz="4" w:space="0"/>
              <w:left w:val="single" w:color="auto" w:sz="4" w:space="0"/>
              <w:bottom w:val="single" w:color="auto" w:sz="4" w:space="0"/>
              <w:right w:val="single" w:color="auto" w:sz="4" w:space="0"/>
            </w:tcBorders>
            <w:vAlign w:val="center"/>
          </w:tcPr>
          <w:p w14:paraId="1BC1C327">
            <w:pPr>
              <w:widowControl/>
              <w:jc w:val="left"/>
              <w:rPr>
                <w:rFonts w:ascii="宋体" w:hAnsi="宋体" w:eastAsia="宋体" w:cs="Arial"/>
                <w:color w:val="000000"/>
                <w:kern w:val="0"/>
                <w:sz w:val="20"/>
                <w:szCs w:val="20"/>
              </w:rPr>
            </w:pPr>
          </w:p>
        </w:tc>
      </w:tr>
      <w:tr w14:paraId="46E8B6DC">
        <w:tblPrEx>
          <w:tblCellMar>
            <w:top w:w="0" w:type="dxa"/>
            <w:left w:w="108" w:type="dxa"/>
            <w:bottom w:w="0" w:type="dxa"/>
            <w:right w:w="108" w:type="dxa"/>
          </w:tblCellMar>
        </w:tblPrEx>
        <w:trPr>
          <w:cantSplit/>
          <w:trHeight w:val="773" w:hRule="atLeast"/>
        </w:trPr>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0D89F3">
            <w:pPr>
              <w:widowControl/>
              <w:jc w:val="center"/>
              <w:rPr>
                <w:rFonts w:hint="eastAsia" w:ascii="宋体" w:hAnsi="宋体" w:eastAsia="宋体" w:cs="Arial"/>
                <w:color w:val="000000"/>
                <w:kern w:val="0"/>
                <w:sz w:val="20"/>
                <w:szCs w:val="20"/>
              </w:rPr>
            </w:pPr>
            <w:r>
              <w:rPr>
                <w:rFonts w:hint="eastAsia" w:ascii="宋体" w:hAnsi="宋体" w:eastAsia="宋体" w:cs="Arial"/>
                <w:color w:val="000000"/>
                <w:kern w:val="0"/>
                <w:sz w:val="20"/>
                <w:szCs w:val="20"/>
              </w:rPr>
              <w:t>**</w:t>
            </w:r>
          </w:p>
        </w:tc>
        <w:tc>
          <w:tcPr>
            <w:tcW w:w="49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D846FF">
            <w:pPr>
              <w:widowControl/>
              <w:jc w:val="center"/>
              <w:rPr>
                <w:rFonts w:hint="eastAsia" w:ascii="宋体" w:hAnsi="宋体" w:eastAsia="宋体" w:cs="Arial"/>
                <w:color w:val="000000"/>
                <w:kern w:val="0"/>
                <w:sz w:val="20"/>
                <w:szCs w:val="20"/>
              </w:rPr>
            </w:pPr>
            <w:r>
              <w:rPr>
                <w:rFonts w:hint="eastAsia" w:ascii="宋体" w:hAnsi="宋体" w:eastAsia="宋体" w:cs="Arial"/>
                <w:color w:val="000000"/>
                <w:kern w:val="0"/>
                <w:sz w:val="20"/>
                <w:szCs w:val="20"/>
              </w:rPr>
              <w:t>1</w:t>
            </w:r>
          </w:p>
        </w:tc>
        <w:tc>
          <w:tcPr>
            <w:tcW w:w="3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B21EAB">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2</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CE4AC2">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3</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8AEE08">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4</w:t>
            </w:r>
          </w:p>
        </w:tc>
        <w:tc>
          <w:tcPr>
            <w:tcW w:w="29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0F46BBD">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5</w:t>
            </w:r>
          </w:p>
        </w:tc>
        <w:tc>
          <w:tcPr>
            <w:tcW w:w="32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D4788F">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6</w:t>
            </w:r>
          </w:p>
        </w:tc>
        <w:tc>
          <w:tcPr>
            <w:tcW w:w="2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40D2FE">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7</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3122E25">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8</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BD5D05">
            <w:pPr>
              <w:widowControl/>
              <w:jc w:val="center"/>
              <w:rPr>
                <w:rFonts w:hint="eastAsia"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9</w:t>
            </w:r>
          </w:p>
        </w:tc>
        <w:tc>
          <w:tcPr>
            <w:tcW w:w="2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59D1BE">
            <w:pPr>
              <w:widowControl/>
              <w:jc w:val="center"/>
              <w:rPr>
                <w:rFonts w:hint="eastAsia" w:ascii="宋体" w:hAnsi="宋体" w:eastAsia="宋体" w:cs="Arial"/>
                <w:color w:val="000000"/>
                <w:kern w:val="0"/>
                <w:sz w:val="20"/>
                <w:szCs w:val="20"/>
              </w:rPr>
            </w:pPr>
            <w:r>
              <w:rPr>
                <w:rFonts w:hint="eastAsia" w:ascii="宋体" w:hAnsi="宋体" w:eastAsia="宋体" w:cs="Arial"/>
                <w:color w:val="000000"/>
                <w:kern w:val="0"/>
                <w:sz w:val="20"/>
                <w:szCs w:val="20"/>
                <w:lang w:val="en-US" w:eastAsia="zh-CN"/>
              </w:rPr>
              <w:t>1</w:t>
            </w:r>
            <w:r>
              <w:rPr>
                <w:rFonts w:hint="eastAsia" w:ascii="宋体" w:hAnsi="宋体" w:eastAsia="宋体" w:cs="Arial"/>
                <w:color w:val="000000"/>
                <w:kern w:val="0"/>
                <w:sz w:val="20"/>
                <w:szCs w:val="20"/>
              </w:rPr>
              <w:t>0</w:t>
            </w: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96A81D">
            <w:pPr>
              <w:widowControl/>
              <w:jc w:val="center"/>
              <w:rPr>
                <w:rFonts w:hint="default"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11</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673B51">
            <w:pPr>
              <w:widowControl/>
              <w:jc w:val="center"/>
              <w:rPr>
                <w:rFonts w:hint="default"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12</w:t>
            </w:r>
          </w:p>
        </w:tc>
        <w:tc>
          <w:tcPr>
            <w:tcW w:w="2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2BE63A3">
            <w:pPr>
              <w:widowControl/>
              <w:jc w:val="center"/>
              <w:rPr>
                <w:rFonts w:hint="default" w:ascii="宋体" w:hAnsi="宋体" w:eastAsia="宋体" w:cs="Arial"/>
                <w:color w:val="000000"/>
                <w:kern w:val="0"/>
                <w:sz w:val="20"/>
                <w:szCs w:val="20"/>
                <w:lang w:val="en-US" w:eastAsia="zh-CN"/>
              </w:rPr>
            </w:pPr>
            <w:r>
              <w:rPr>
                <w:rFonts w:hint="eastAsia" w:ascii="宋体" w:hAnsi="宋体" w:eastAsia="宋体" w:cs="Arial"/>
                <w:color w:val="000000"/>
                <w:kern w:val="0"/>
                <w:sz w:val="20"/>
                <w:szCs w:val="20"/>
                <w:lang w:val="en-US" w:eastAsia="zh-CN"/>
              </w:rPr>
              <w:t>13</w:t>
            </w:r>
          </w:p>
        </w:tc>
      </w:tr>
      <w:tr w14:paraId="3F651AE1">
        <w:tblPrEx>
          <w:tblCellMar>
            <w:top w:w="0" w:type="dxa"/>
            <w:left w:w="108" w:type="dxa"/>
            <w:bottom w:w="0" w:type="dxa"/>
            <w:right w:w="108" w:type="dxa"/>
          </w:tblCellMar>
        </w:tblPrEx>
        <w:trPr>
          <w:cantSplit/>
          <w:trHeight w:val="1247" w:hRule="atLeast"/>
        </w:trPr>
        <w:tc>
          <w:tcPr>
            <w:tcW w:w="6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361415B">
            <w:pPr>
              <w:widowControl/>
              <w:jc w:val="lef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南昌市青云谱区医疗保障局</w:t>
            </w:r>
          </w:p>
        </w:tc>
        <w:tc>
          <w:tcPr>
            <w:tcW w:w="49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BD55F6">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386.89</w:t>
            </w:r>
          </w:p>
        </w:tc>
        <w:tc>
          <w:tcPr>
            <w:tcW w:w="3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4AEC40">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44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73E10E">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376.89</w:t>
            </w:r>
          </w:p>
        </w:tc>
        <w:tc>
          <w:tcPr>
            <w:tcW w:w="365"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1C7EFC">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376.89</w:t>
            </w:r>
          </w:p>
        </w:tc>
        <w:tc>
          <w:tcPr>
            <w:tcW w:w="29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0147DB">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2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925D24">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8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A5BCD">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3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D51220C">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18EB9C4">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8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311D124">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21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242BE1">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c>
          <w:tcPr>
            <w:tcW w:w="31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5C057C4">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10.00</w:t>
            </w:r>
          </w:p>
        </w:tc>
        <w:tc>
          <w:tcPr>
            <w:tcW w:w="289" w:type="pct"/>
            <w:tcBorders>
              <w:top w:val="single" w:color="auto" w:sz="4" w:space="0"/>
              <w:left w:val="single" w:color="auto" w:sz="4" w:space="0"/>
              <w:bottom w:val="single" w:color="auto" w:sz="4" w:space="0"/>
              <w:right w:val="single" w:color="auto" w:sz="4" w:space="0"/>
            </w:tcBorders>
            <w:shd w:val="clear" w:color="auto" w:fill="auto"/>
            <w:vAlign w:val="center"/>
          </w:tcPr>
          <w:p w14:paraId="517A4436">
            <w:pPr>
              <w:widowControl/>
              <w:jc w:val="right"/>
              <w:rPr>
                <w:rFonts w:hint="eastAsia" w:ascii="宋体" w:hAnsi="宋体" w:eastAsia="宋体" w:cs="Arial"/>
                <w:color w:val="000000"/>
                <w:kern w:val="0"/>
                <w:sz w:val="20"/>
                <w:szCs w:val="20"/>
              </w:rPr>
            </w:pPr>
            <w:r>
              <w:rPr>
                <w:rFonts w:hint="eastAsia" w:ascii="宋体" w:hAnsi="宋体" w:eastAsia="宋体" w:cs="Arial"/>
                <w:b w:val="0"/>
                <w:color w:val="000000"/>
                <w:kern w:val="0"/>
                <w:sz w:val="20"/>
                <w:szCs w:val="20"/>
              </w:rPr>
              <w:t>0.00</w:t>
            </w:r>
          </w:p>
        </w:tc>
      </w:tr>
    </w:tbl>
    <w:p w14:paraId="43DA53D4">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61" w:type="pct"/>
        <w:tblInd w:w="0" w:type="dxa"/>
        <w:tblLayout w:type="fixed"/>
        <w:tblCellMar>
          <w:top w:w="0" w:type="dxa"/>
          <w:left w:w="108" w:type="dxa"/>
          <w:bottom w:w="0" w:type="dxa"/>
          <w:right w:w="108" w:type="dxa"/>
        </w:tblCellMar>
      </w:tblPr>
      <w:tblGrid>
        <w:gridCol w:w="1942"/>
        <w:gridCol w:w="3852"/>
        <w:gridCol w:w="1937"/>
        <w:gridCol w:w="1367"/>
        <w:gridCol w:w="1502"/>
      </w:tblGrid>
      <w:tr w14:paraId="448328E7">
        <w:tblPrEx>
          <w:tblCellMar>
            <w:top w:w="0" w:type="dxa"/>
            <w:left w:w="108" w:type="dxa"/>
            <w:bottom w:w="0" w:type="dxa"/>
            <w:right w:w="108" w:type="dxa"/>
          </w:tblCellMar>
        </w:tblPrEx>
        <w:trPr>
          <w:trHeight w:val="768" w:hRule="atLeast"/>
        </w:trPr>
        <w:tc>
          <w:tcPr>
            <w:tcW w:w="5000" w:type="pct"/>
            <w:gridSpan w:val="5"/>
            <w:tcBorders>
              <w:top w:val="nil"/>
              <w:left w:val="nil"/>
              <w:bottom w:val="nil"/>
              <w:right w:val="nil"/>
            </w:tcBorders>
            <w:shd w:val="clear" w:color="auto" w:fill="auto"/>
            <w:noWrap/>
            <w:vAlign w:val="center"/>
          </w:tcPr>
          <w:p w14:paraId="0CD5C312">
            <w:pPr>
              <w:widowControl/>
              <w:jc w:val="center"/>
              <w:rPr>
                <w:rFonts w:ascii="宋体" w:hAnsi="宋体" w:eastAsia="宋体" w:cs="Arial"/>
                <w:b/>
                <w:bCs/>
                <w:color w:val="000000"/>
                <w:kern w:val="0"/>
                <w:sz w:val="52"/>
                <w:szCs w:val="52"/>
              </w:rPr>
            </w:pPr>
            <w:r>
              <w:rPr>
                <w:rFonts w:hint="eastAsia" w:asciiTheme="minorEastAsia" w:hAnsiTheme="minorEastAsia" w:cstheme="minorEastAsia"/>
                <w:b/>
                <w:bCs/>
                <w:color w:val="000000"/>
                <w:kern w:val="0"/>
                <w:sz w:val="32"/>
                <w:szCs w:val="32"/>
                <w:lang w:val="en-US" w:eastAsia="zh-CN" w:bidi="ar"/>
              </w:rPr>
              <w:t>单位</w:t>
            </w:r>
            <w:r>
              <w:rPr>
                <w:rFonts w:hint="eastAsia" w:asciiTheme="minorEastAsia" w:hAnsiTheme="minorEastAsia" w:eastAsiaTheme="minorEastAsia" w:cstheme="minorEastAsia"/>
                <w:b/>
                <w:bCs/>
                <w:color w:val="000000"/>
                <w:kern w:val="0"/>
                <w:sz w:val="32"/>
                <w:szCs w:val="32"/>
                <w:lang w:bidi="ar"/>
              </w:rPr>
              <w:t>支出总表</w:t>
            </w:r>
          </w:p>
        </w:tc>
      </w:tr>
      <w:tr w14:paraId="39DB519A">
        <w:tblPrEx>
          <w:tblCellMar>
            <w:top w:w="0" w:type="dxa"/>
            <w:left w:w="108" w:type="dxa"/>
            <w:bottom w:w="0" w:type="dxa"/>
            <w:right w:w="108" w:type="dxa"/>
          </w:tblCellMar>
        </w:tblPrEx>
        <w:trPr>
          <w:trHeight w:val="551" w:hRule="atLeast"/>
        </w:trPr>
        <w:tc>
          <w:tcPr>
            <w:tcW w:w="2733" w:type="pct"/>
            <w:gridSpan w:val="2"/>
            <w:tcBorders>
              <w:top w:val="nil"/>
              <w:left w:val="nil"/>
              <w:bottom w:val="nil"/>
              <w:right w:val="nil"/>
            </w:tcBorders>
            <w:shd w:val="clear" w:color="auto" w:fill="auto"/>
            <w:noWrap/>
            <w:vAlign w:val="center"/>
          </w:tcPr>
          <w:p w14:paraId="69348BB6">
            <w:pPr>
              <w:widowControl/>
              <w:snapToGrid w:val="0"/>
              <w:jc w:val="lef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bidi="ar"/>
              </w:rPr>
              <w:t>填报单位:</w:t>
            </w:r>
            <w:r>
              <w:rPr>
                <w:rFonts w:hint="eastAsia" w:asciiTheme="minorEastAsia" w:hAnsiTheme="minorEastAsia" w:cstheme="minorEastAsia"/>
                <w:color w:val="000000"/>
                <w:kern w:val="0"/>
                <w:sz w:val="21"/>
                <w:szCs w:val="21"/>
                <w:lang w:eastAsia="zh-CN" w:bidi="ar"/>
              </w:rPr>
              <w:t>067001南昌市青云谱区医疗保障局</w:t>
            </w:r>
          </w:p>
        </w:tc>
        <w:tc>
          <w:tcPr>
            <w:tcW w:w="913" w:type="pct"/>
            <w:tcBorders>
              <w:top w:val="nil"/>
              <w:left w:val="nil"/>
              <w:bottom w:val="nil"/>
              <w:right w:val="nil"/>
            </w:tcBorders>
            <w:shd w:val="clear" w:color="auto" w:fill="auto"/>
            <w:noWrap/>
            <w:vAlign w:val="bottom"/>
          </w:tcPr>
          <w:p w14:paraId="60532406">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644" w:type="pct"/>
            <w:tcBorders>
              <w:top w:val="nil"/>
              <w:left w:val="nil"/>
              <w:bottom w:val="nil"/>
              <w:right w:val="nil"/>
            </w:tcBorders>
            <w:shd w:val="clear" w:color="auto" w:fill="auto"/>
            <w:noWrap/>
            <w:vAlign w:val="bottom"/>
          </w:tcPr>
          <w:p w14:paraId="269C413D">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708" w:type="pct"/>
            <w:tcBorders>
              <w:top w:val="nil"/>
              <w:left w:val="nil"/>
              <w:bottom w:val="nil"/>
              <w:right w:val="nil"/>
            </w:tcBorders>
            <w:shd w:val="clear" w:color="auto" w:fill="auto"/>
            <w:noWrap/>
            <w:vAlign w:val="bottom"/>
          </w:tcPr>
          <w:p w14:paraId="1A54F20B">
            <w:pPr>
              <w:widowControl/>
              <w:snapToGrid w:val="0"/>
              <w:jc w:val="right"/>
              <w:textAlignment w:val="center"/>
              <w:rPr>
                <w:rFonts w:hint="eastAsia" w:asciiTheme="minorEastAsia" w:hAnsiTheme="minorEastAsia" w:cstheme="minorEastAsia"/>
                <w:color w:val="000000"/>
                <w:kern w:val="0"/>
                <w:sz w:val="16"/>
                <w:szCs w:val="16"/>
                <w:lang w:bidi="ar"/>
              </w:rPr>
            </w:pPr>
            <w:r>
              <w:rPr>
                <w:rFonts w:hint="eastAsia" w:asciiTheme="minorEastAsia" w:hAnsiTheme="minorEastAsia" w:cstheme="minorEastAsia"/>
                <w:color w:val="000000"/>
                <w:kern w:val="0"/>
                <w:sz w:val="21"/>
                <w:szCs w:val="21"/>
                <w:lang w:bidi="ar"/>
              </w:rPr>
              <w:t>单位：万元</w:t>
            </w:r>
          </w:p>
        </w:tc>
      </w:tr>
      <w:tr w14:paraId="28B4C38E">
        <w:tblPrEx>
          <w:tblCellMar>
            <w:top w:w="0" w:type="dxa"/>
            <w:left w:w="108" w:type="dxa"/>
            <w:bottom w:w="0" w:type="dxa"/>
            <w:right w:w="108" w:type="dxa"/>
          </w:tblCellMar>
        </w:tblPrEx>
        <w:trPr>
          <w:cantSplit/>
          <w:trHeight w:val="385" w:hRule="atLeast"/>
        </w:trPr>
        <w:tc>
          <w:tcPr>
            <w:tcW w:w="273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3740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913" w:type="pct"/>
            <w:vMerge w:val="restart"/>
            <w:tcBorders>
              <w:top w:val="single" w:color="000000" w:sz="4" w:space="0"/>
              <w:left w:val="single" w:color="000000" w:sz="4" w:space="0"/>
              <w:bottom w:val="single" w:color="000000" w:sz="4" w:space="0"/>
              <w:right w:val="nil"/>
            </w:tcBorders>
            <w:shd w:val="clear" w:color="auto" w:fill="auto"/>
            <w:vAlign w:val="center"/>
          </w:tcPr>
          <w:p w14:paraId="153B7EF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44" w:type="pct"/>
            <w:vMerge w:val="restart"/>
            <w:tcBorders>
              <w:top w:val="single" w:color="000000" w:sz="4" w:space="0"/>
              <w:left w:val="single" w:color="000000" w:sz="4" w:space="0"/>
              <w:bottom w:val="single" w:color="000000" w:sz="4" w:space="0"/>
              <w:right w:val="nil"/>
            </w:tcBorders>
            <w:shd w:val="clear" w:color="auto" w:fill="auto"/>
            <w:noWrap/>
            <w:vAlign w:val="center"/>
          </w:tcPr>
          <w:p w14:paraId="740A486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70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E94D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1B583574">
        <w:tblPrEx>
          <w:tblCellMar>
            <w:top w:w="0" w:type="dxa"/>
            <w:left w:w="108" w:type="dxa"/>
            <w:bottom w:w="0" w:type="dxa"/>
            <w:right w:w="108" w:type="dxa"/>
          </w:tblCellMar>
        </w:tblPrEx>
        <w:trPr>
          <w:cantSplit/>
          <w:trHeight w:val="385" w:hRule="atLeast"/>
        </w:trPr>
        <w:tc>
          <w:tcPr>
            <w:tcW w:w="916" w:type="pct"/>
            <w:tcBorders>
              <w:top w:val="nil"/>
              <w:left w:val="single" w:color="000000" w:sz="4" w:space="0"/>
              <w:bottom w:val="single" w:color="000000" w:sz="4" w:space="0"/>
              <w:right w:val="single" w:color="000000" w:sz="4" w:space="0"/>
            </w:tcBorders>
            <w:shd w:val="clear" w:color="auto" w:fill="auto"/>
            <w:noWrap/>
            <w:vAlign w:val="center"/>
          </w:tcPr>
          <w:p w14:paraId="430EA98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816" w:type="pct"/>
            <w:tcBorders>
              <w:top w:val="nil"/>
              <w:left w:val="nil"/>
              <w:bottom w:val="single" w:color="000000" w:sz="4" w:space="0"/>
              <w:right w:val="single" w:color="000000" w:sz="4" w:space="0"/>
            </w:tcBorders>
            <w:shd w:val="clear" w:color="auto" w:fill="auto"/>
            <w:noWrap/>
            <w:vAlign w:val="center"/>
          </w:tcPr>
          <w:p w14:paraId="6C39E23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913" w:type="pct"/>
            <w:vMerge w:val="continue"/>
            <w:tcBorders>
              <w:top w:val="single" w:color="000000" w:sz="4" w:space="0"/>
              <w:left w:val="single" w:color="000000" w:sz="4" w:space="0"/>
              <w:bottom w:val="single" w:color="000000" w:sz="4" w:space="0"/>
              <w:right w:val="nil"/>
            </w:tcBorders>
            <w:vAlign w:val="center"/>
          </w:tcPr>
          <w:p w14:paraId="7BFB053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44" w:type="pct"/>
            <w:vMerge w:val="continue"/>
            <w:tcBorders>
              <w:top w:val="single" w:color="000000" w:sz="4" w:space="0"/>
              <w:left w:val="single" w:color="000000" w:sz="4" w:space="0"/>
              <w:bottom w:val="single" w:color="000000" w:sz="4" w:space="0"/>
              <w:right w:val="nil"/>
            </w:tcBorders>
            <w:vAlign w:val="center"/>
          </w:tcPr>
          <w:p w14:paraId="480D94B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708" w:type="pct"/>
            <w:vMerge w:val="continue"/>
            <w:tcBorders>
              <w:top w:val="single" w:color="000000" w:sz="4" w:space="0"/>
              <w:left w:val="single" w:color="000000" w:sz="4" w:space="0"/>
              <w:bottom w:val="single" w:color="000000" w:sz="4" w:space="0"/>
              <w:right w:val="single" w:color="000000" w:sz="4" w:space="0"/>
            </w:tcBorders>
            <w:vAlign w:val="center"/>
          </w:tcPr>
          <w:p w14:paraId="5CF676FF">
            <w:pPr>
              <w:widowControl/>
              <w:snapToGrid w:val="0"/>
              <w:jc w:val="center"/>
              <w:textAlignment w:val="center"/>
              <w:rPr>
                <w:rFonts w:hint="eastAsia" w:asciiTheme="minorEastAsia" w:hAnsiTheme="minorEastAsia" w:cstheme="minorEastAsia"/>
                <w:color w:val="000000"/>
                <w:kern w:val="0"/>
                <w:sz w:val="21"/>
                <w:szCs w:val="21"/>
                <w:lang w:bidi="ar"/>
              </w:rPr>
            </w:pPr>
          </w:p>
        </w:tc>
      </w:tr>
      <w:tr w14:paraId="791FCD31">
        <w:tblPrEx>
          <w:tblCellMar>
            <w:top w:w="0" w:type="dxa"/>
            <w:left w:w="108" w:type="dxa"/>
            <w:bottom w:w="0" w:type="dxa"/>
            <w:right w:w="108" w:type="dxa"/>
          </w:tblCellMar>
        </w:tblPrEx>
        <w:trPr>
          <w:cantSplit/>
          <w:trHeight w:val="385" w:hRule="atLeast"/>
        </w:trPr>
        <w:tc>
          <w:tcPr>
            <w:tcW w:w="916" w:type="pct"/>
            <w:tcBorders>
              <w:top w:val="nil"/>
              <w:left w:val="single" w:color="000000" w:sz="4" w:space="0"/>
              <w:bottom w:val="nil"/>
              <w:right w:val="single" w:color="000000" w:sz="4" w:space="0"/>
            </w:tcBorders>
            <w:shd w:val="clear" w:color="auto" w:fill="auto"/>
            <w:noWrap/>
            <w:vAlign w:val="center"/>
          </w:tcPr>
          <w:p w14:paraId="1AD9669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816" w:type="pct"/>
            <w:tcBorders>
              <w:top w:val="nil"/>
              <w:left w:val="nil"/>
              <w:bottom w:val="nil"/>
              <w:right w:val="single" w:color="000000" w:sz="4" w:space="0"/>
            </w:tcBorders>
            <w:shd w:val="clear" w:color="auto" w:fill="auto"/>
            <w:noWrap/>
            <w:vAlign w:val="center"/>
          </w:tcPr>
          <w:p w14:paraId="52AC707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913" w:type="pct"/>
            <w:tcBorders>
              <w:top w:val="nil"/>
              <w:left w:val="nil"/>
              <w:bottom w:val="nil"/>
              <w:right w:val="single" w:color="000000" w:sz="4" w:space="0"/>
            </w:tcBorders>
            <w:shd w:val="clear" w:color="auto" w:fill="auto"/>
            <w:noWrap/>
            <w:vAlign w:val="center"/>
          </w:tcPr>
          <w:p w14:paraId="58A0127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644" w:type="pct"/>
            <w:tcBorders>
              <w:top w:val="nil"/>
              <w:left w:val="nil"/>
              <w:bottom w:val="nil"/>
              <w:right w:val="single" w:color="000000" w:sz="4" w:space="0"/>
            </w:tcBorders>
            <w:shd w:val="clear" w:color="auto" w:fill="auto"/>
            <w:noWrap/>
            <w:vAlign w:val="center"/>
          </w:tcPr>
          <w:p w14:paraId="6D2EECF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708" w:type="pct"/>
            <w:tcBorders>
              <w:top w:val="nil"/>
              <w:left w:val="nil"/>
              <w:bottom w:val="nil"/>
              <w:right w:val="single" w:color="000000" w:sz="4" w:space="0"/>
            </w:tcBorders>
            <w:shd w:val="clear" w:color="auto" w:fill="auto"/>
            <w:noWrap/>
            <w:vAlign w:val="center"/>
          </w:tcPr>
          <w:p w14:paraId="793B8AB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r w14:paraId="0A8AA61B">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17B9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9709E9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合计</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2FAC379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386.89</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167077D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386.89</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CACEDC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6304A2DD">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834C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05F8C4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社会保障和就业支出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4B4B498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336.99</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34CC5C7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336.99</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796338D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57EF8809">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9337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9F0E92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人力资源和社会保障管理事务</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7E8EA62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330.77</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589BAB9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330.77</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1BAB9E6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4CA915B0">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C99D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2080109</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354B35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社会保险经办机构</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6333AC8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330.77</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37CFCDD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330.77</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75D0652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518C707F">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B2BB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240363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行政事业单位养老支出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6194751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1EF1A1C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29F4E8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0375DA72">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06FF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5B30EFA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行政单位离退休</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751BD16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5D80A20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07C5703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7A31F841">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2D92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28BDA9C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卫生健康支出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724401E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074B9F7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01AA45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175DC416">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EEFF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21015</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7AAC925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医疗保障管理事务</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063EAF0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3CCF096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ECA849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2C78F4A1">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B7CE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2101501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464700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行政运行</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52582F0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3EE5D56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272FA99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04DC9778">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C769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EC335B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住房保障支出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3C073EE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6FAE8A4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67FAC2F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679F0A38">
        <w:tblPrEx>
          <w:tblCellMar>
            <w:top w:w="0" w:type="dxa"/>
            <w:left w:w="108" w:type="dxa"/>
            <w:bottom w:w="0" w:type="dxa"/>
            <w:right w:w="108" w:type="dxa"/>
          </w:tblCellMar>
        </w:tblPrEx>
        <w:trPr>
          <w:cantSplit/>
          <w:trHeight w:val="385"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84D4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22102</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34CE79E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住房改革支出</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141ABF8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5B3714D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2815F2A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2D6019BC">
        <w:tblPrEx>
          <w:tblCellMar>
            <w:top w:w="0" w:type="dxa"/>
            <w:left w:w="108" w:type="dxa"/>
            <w:bottom w:w="0" w:type="dxa"/>
            <w:right w:w="108" w:type="dxa"/>
          </w:tblCellMar>
        </w:tblPrEx>
        <w:trPr>
          <w:cantSplit/>
          <w:trHeight w:val="398" w:hRule="atLeast"/>
        </w:trPr>
        <w:tc>
          <w:tcPr>
            <w:tcW w:w="91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B4AD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2210201</w:t>
            </w:r>
          </w:p>
        </w:tc>
        <w:tc>
          <w:tcPr>
            <w:tcW w:w="1816" w:type="pct"/>
            <w:tcBorders>
              <w:top w:val="single" w:color="000000" w:sz="4" w:space="0"/>
              <w:left w:val="nil"/>
              <w:bottom w:val="single" w:color="000000" w:sz="4" w:space="0"/>
              <w:right w:val="single" w:color="000000" w:sz="4" w:space="0"/>
            </w:tcBorders>
            <w:shd w:val="clear" w:color="auto" w:fill="auto"/>
            <w:noWrap/>
            <w:vAlign w:val="center"/>
          </w:tcPr>
          <w:p w14:paraId="66A4371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住房公积金</w:t>
            </w:r>
          </w:p>
        </w:tc>
        <w:tc>
          <w:tcPr>
            <w:tcW w:w="913" w:type="pct"/>
            <w:tcBorders>
              <w:top w:val="single" w:color="000000" w:sz="4" w:space="0"/>
              <w:left w:val="nil"/>
              <w:bottom w:val="single" w:color="000000" w:sz="4" w:space="0"/>
              <w:right w:val="single" w:color="000000" w:sz="4" w:space="0"/>
            </w:tcBorders>
            <w:shd w:val="clear" w:color="auto" w:fill="auto"/>
            <w:noWrap/>
            <w:vAlign w:val="center"/>
          </w:tcPr>
          <w:p w14:paraId="73EF153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644" w:type="pct"/>
            <w:tcBorders>
              <w:top w:val="single" w:color="000000" w:sz="4" w:space="0"/>
              <w:left w:val="nil"/>
              <w:bottom w:val="single" w:color="000000" w:sz="4" w:space="0"/>
              <w:right w:val="single" w:color="000000" w:sz="4" w:space="0"/>
            </w:tcBorders>
            <w:shd w:val="clear" w:color="auto" w:fill="auto"/>
            <w:noWrap/>
            <w:vAlign w:val="center"/>
          </w:tcPr>
          <w:p w14:paraId="209BAFE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708" w:type="pct"/>
            <w:tcBorders>
              <w:top w:val="single" w:color="000000" w:sz="4" w:space="0"/>
              <w:left w:val="nil"/>
              <w:bottom w:val="single" w:color="000000" w:sz="4" w:space="0"/>
              <w:right w:val="single" w:color="000000" w:sz="4" w:space="0"/>
            </w:tcBorders>
            <w:shd w:val="clear" w:color="auto" w:fill="auto"/>
            <w:noWrap/>
            <w:vAlign w:val="center"/>
          </w:tcPr>
          <w:p w14:paraId="31EC13D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bl>
    <w:p w14:paraId="05A55368">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95" w:type="pct"/>
        <w:tblInd w:w="0" w:type="dxa"/>
        <w:tblLayout w:type="fixed"/>
        <w:tblCellMar>
          <w:top w:w="0" w:type="dxa"/>
          <w:left w:w="108" w:type="dxa"/>
          <w:bottom w:w="0" w:type="dxa"/>
          <w:right w:w="108" w:type="dxa"/>
        </w:tblCellMar>
      </w:tblPr>
      <w:tblGrid>
        <w:gridCol w:w="2066"/>
        <w:gridCol w:w="1404"/>
        <w:gridCol w:w="2023"/>
        <w:gridCol w:w="1232"/>
        <w:gridCol w:w="1306"/>
        <w:gridCol w:w="1285"/>
        <w:gridCol w:w="1355"/>
      </w:tblGrid>
      <w:tr w14:paraId="1C220EC7">
        <w:tblPrEx>
          <w:tblCellMar>
            <w:top w:w="0" w:type="dxa"/>
            <w:left w:w="108" w:type="dxa"/>
            <w:bottom w:w="0" w:type="dxa"/>
            <w:right w:w="108" w:type="dxa"/>
          </w:tblCellMar>
        </w:tblPrEx>
        <w:trPr>
          <w:trHeight w:val="585" w:hRule="atLeast"/>
          <w:tblHeader/>
        </w:trPr>
        <w:tc>
          <w:tcPr>
            <w:tcW w:w="5000" w:type="pct"/>
            <w:gridSpan w:val="7"/>
            <w:noWrap/>
            <w:vAlign w:val="center"/>
          </w:tcPr>
          <w:p w14:paraId="18E0CF44">
            <w:pPr>
              <w:widowControl/>
              <w:jc w:val="center"/>
              <w:rPr>
                <w:rFonts w:hint="eastAsia" w:ascii="宋体" w:hAnsi="宋体" w:eastAsia="宋体" w:cs="Arial"/>
                <w:b/>
                <w:bCs/>
                <w:color w:val="000000"/>
                <w:kern w:val="0"/>
                <w:sz w:val="40"/>
                <w:szCs w:val="40"/>
              </w:rPr>
            </w:pPr>
            <w:r>
              <w:rPr>
                <w:rFonts w:hint="eastAsia" w:asciiTheme="minorEastAsia" w:hAnsiTheme="minorEastAsia" w:eastAsiaTheme="minorEastAsia" w:cstheme="minorEastAsia"/>
                <w:b/>
                <w:bCs/>
                <w:color w:val="000000"/>
                <w:kern w:val="0"/>
                <w:sz w:val="24"/>
                <w:szCs w:val="24"/>
                <w:lang w:bidi="ar"/>
              </w:rPr>
              <w:br w:type="page"/>
            </w:r>
            <w:r>
              <w:rPr>
                <w:rFonts w:hint="eastAsia" w:asciiTheme="minorEastAsia" w:hAnsiTheme="minorEastAsia" w:eastAsiaTheme="minorEastAsia" w:cstheme="minorEastAsia"/>
                <w:b/>
                <w:bCs/>
                <w:color w:val="000000"/>
                <w:kern w:val="0"/>
                <w:sz w:val="24"/>
                <w:szCs w:val="24"/>
                <w:lang w:bidi="ar"/>
              </w:rPr>
              <w:t>财政拨款收支总表</w:t>
            </w:r>
          </w:p>
        </w:tc>
      </w:tr>
      <w:tr w14:paraId="78B8B68D">
        <w:tblPrEx>
          <w:tblCellMar>
            <w:top w:w="0" w:type="dxa"/>
            <w:left w:w="108" w:type="dxa"/>
            <w:bottom w:w="0" w:type="dxa"/>
            <w:right w:w="108" w:type="dxa"/>
          </w:tblCellMar>
        </w:tblPrEx>
        <w:trPr>
          <w:cantSplit/>
          <w:trHeight w:val="346" w:hRule="atLeast"/>
          <w:tblHeader/>
        </w:trPr>
        <w:tc>
          <w:tcPr>
            <w:tcW w:w="2574" w:type="pct"/>
            <w:gridSpan w:val="3"/>
            <w:noWrap/>
            <w:vAlign w:val="center"/>
          </w:tcPr>
          <w:p w14:paraId="3CE625AE">
            <w:pPr>
              <w:widowControl/>
              <w:snapToGrid w:val="0"/>
              <w:jc w:val="lef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填报单位:067001南昌市青云谱区医疗保障局</w:t>
            </w:r>
          </w:p>
        </w:tc>
        <w:tc>
          <w:tcPr>
            <w:tcW w:w="577" w:type="pct"/>
            <w:noWrap/>
            <w:vAlign w:val="bottom"/>
          </w:tcPr>
          <w:p w14:paraId="3A9AE493">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612" w:type="pct"/>
            <w:noWrap/>
            <w:vAlign w:val="bottom"/>
          </w:tcPr>
          <w:p w14:paraId="5B34C597">
            <w:pPr>
              <w:widowControl/>
              <w:snapToGrid w:val="0"/>
              <w:jc w:val="center"/>
              <w:textAlignment w:val="center"/>
              <w:rPr>
                <w:rFonts w:hint="eastAsia" w:asciiTheme="minorEastAsia" w:hAnsiTheme="minorEastAsia" w:cstheme="minorEastAsia"/>
                <w:color w:val="000000"/>
                <w:kern w:val="0"/>
                <w:sz w:val="13"/>
                <w:szCs w:val="13"/>
                <w:lang w:bidi="ar"/>
              </w:rPr>
            </w:pPr>
          </w:p>
        </w:tc>
        <w:tc>
          <w:tcPr>
            <w:tcW w:w="1235" w:type="pct"/>
            <w:gridSpan w:val="2"/>
            <w:noWrap/>
            <w:vAlign w:val="center"/>
          </w:tcPr>
          <w:p w14:paraId="326030E0">
            <w:pPr>
              <w:widowControl/>
              <w:snapToGrid w:val="0"/>
              <w:jc w:val="right"/>
              <w:textAlignment w:val="center"/>
              <w:rPr>
                <w:rFonts w:hint="eastAsia" w:asciiTheme="minorEastAsia" w:hAnsiTheme="minorEastAsia" w:cstheme="minorEastAsia"/>
                <w:color w:val="000000"/>
                <w:kern w:val="0"/>
                <w:sz w:val="13"/>
                <w:szCs w:val="13"/>
                <w:lang w:bidi="ar"/>
              </w:rPr>
            </w:pPr>
            <w:r>
              <w:rPr>
                <w:rFonts w:hint="eastAsia" w:asciiTheme="minorEastAsia" w:hAnsiTheme="minorEastAsia" w:cstheme="minorEastAsia"/>
                <w:color w:val="000000"/>
                <w:kern w:val="0"/>
                <w:sz w:val="21"/>
                <w:szCs w:val="21"/>
                <w:lang w:bidi="ar"/>
              </w:rPr>
              <w:t>单位：万元</w:t>
            </w:r>
          </w:p>
        </w:tc>
      </w:tr>
      <w:tr w14:paraId="554BA96B">
        <w:tblPrEx>
          <w:tblCellMar>
            <w:top w:w="0" w:type="dxa"/>
            <w:left w:w="108" w:type="dxa"/>
            <w:bottom w:w="0" w:type="dxa"/>
            <w:right w:w="108" w:type="dxa"/>
          </w:tblCellMar>
        </w:tblPrEx>
        <w:trPr>
          <w:cantSplit/>
          <w:trHeight w:val="283" w:hRule="atLeast"/>
          <w:tblHeader/>
        </w:trPr>
        <w:tc>
          <w:tcPr>
            <w:tcW w:w="1626" w:type="pct"/>
            <w:gridSpan w:val="2"/>
            <w:tcBorders>
              <w:top w:val="single" w:color="000000" w:sz="4" w:space="0"/>
              <w:left w:val="single" w:color="000000" w:sz="4" w:space="0"/>
              <w:bottom w:val="single" w:color="000000" w:sz="4" w:space="0"/>
              <w:right w:val="nil"/>
            </w:tcBorders>
            <w:noWrap/>
            <w:vAlign w:val="center"/>
          </w:tcPr>
          <w:p w14:paraId="093BAA6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收      入</w:t>
            </w:r>
          </w:p>
        </w:tc>
        <w:tc>
          <w:tcPr>
            <w:tcW w:w="3373" w:type="pct"/>
            <w:gridSpan w:val="5"/>
            <w:tcBorders>
              <w:top w:val="single" w:color="000000" w:sz="4" w:space="0"/>
              <w:left w:val="single" w:color="000000" w:sz="4" w:space="0"/>
              <w:bottom w:val="single" w:color="000000" w:sz="4" w:space="0"/>
              <w:right w:val="single" w:color="000000" w:sz="4" w:space="0"/>
            </w:tcBorders>
            <w:noWrap/>
            <w:vAlign w:val="center"/>
          </w:tcPr>
          <w:p w14:paraId="010213D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eastAsiaTheme="minorEastAsia" w:cstheme="minorEastAsia"/>
                <w:color w:val="000000"/>
                <w:kern w:val="0"/>
                <w:sz w:val="21"/>
                <w:szCs w:val="21"/>
                <w:lang w:bidi="ar"/>
              </w:rPr>
              <w:t>支</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bidi="ar"/>
              </w:rPr>
              <w:t xml:space="preserve">出 </w:t>
            </w:r>
          </w:p>
        </w:tc>
      </w:tr>
      <w:tr w14:paraId="38A2C431">
        <w:tblPrEx>
          <w:tblCellMar>
            <w:top w:w="0" w:type="dxa"/>
            <w:left w:w="108" w:type="dxa"/>
            <w:bottom w:w="0" w:type="dxa"/>
            <w:right w:w="108" w:type="dxa"/>
          </w:tblCellMar>
        </w:tblPrEx>
        <w:trPr>
          <w:cantSplit/>
          <w:trHeight w:val="283" w:hRule="atLeast"/>
          <w:tblHeader/>
        </w:trPr>
        <w:tc>
          <w:tcPr>
            <w:tcW w:w="968" w:type="pct"/>
            <w:tcBorders>
              <w:top w:val="nil"/>
              <w:left w:val="single" w:color="000000" w:sz="4" w:space="0"/>
              <w:bottom w:val="single" w:color="000000" w:sz="4" w:space="0"/>
              <w:right w:val="single" w:color="000000" w:sz="4" w:space="0"/>
            </w:tcBorders>
            <w:noWrap/>
            <w:vAlign w:val="center"/>
          </w:tcPr>
          <w:p w14:paraId="3F52507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w:t>
            </w:r>
          </w:p>
        </w:tc>
        <w:tc>
          <w:tcPr>
            <w:tcW w:w="657" w:type="pct"/>
            <w:tcBorders>
              <w:top w:val="nil"/>
              <w:left w:val="nil"/>
              <w:bottom w:val="nil"/>
              <w:right w:val="single" w:color="000000" w:sz="4" w:space="0"/>
            </w:tcBorders>
            <w:noWrap/>
            <w:vAlign w:val="center"/>
          </w:tcPr>
          <w:p w14:paraId="1CE1EE1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预算数</w:t>
            </w:r>
          </w:p>
        </w:tc>
        <w:tc>
          <w:tcPr>
            <w:tcW w:w="948" w:type="pct"/>
            <w:tcBorders>
              <w:top w:val="nil"/>
              <w:left w:val="nil"/>
              <w:bottom w:val="single" w:color="000000" w:sz="4" w:space="0"/>
              <w:right w:val="single" w:color="000000" w:sz="4" w:space="0"/>
            </w:tcBorders>
            <w:noWrap/>
            <w:vAlign w:val="center"/>
          </w:tcPr>
          <w:p w14:paraId="6EC563C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项目(按功能科目)</w:t>
            </w:r>
          </w:p>
        </w:tc>
        <w:tc>
          <w:tcPr>
            <w:tcW w:w="577" w:type="pct"/>
            <w:tcBorders>
              <w:top w:val="nil"/>
              <w:left w:val="nil"/>
              <w:bottom w:val="single" w:color="000000" w:sz="4" w:space="0"/>
              <w:right w:val="single" w:color="000000" w:sz="4" w:space="0"/>
            </w:tcBorders>
            <w:noWrap/>
            <w:vAlign w:val="center"/>
          </w:tcPr>
          <w:p w14:paraId="3126E16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12" w:type="pct"/>
            <w:tcBorders>
              <w:top w:val="nil"/>
              <w:left w:val="nil"/>
              <w:bottom w:val="single" w:color="000000" w:sz="4" w:space="0"/>
              <w:right w:val="single" w:color="000000" w:sz="4" w:space="0"/>
            </w:tcBorders>
            <w:noWrap/>
            <w:vAlign w:val="center"/>
          </w:tcPr>
          <w:p w14:paraId="2108669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一般公共预算支出</w:t>
            </w:r>
          </w:p>
        </w:tc>
        <w:tc>
          <w:tcPr>
            <w:tcW w:w="602" w:type="pct"/>
            <w:tcBorders>
              <w:top w:val="nil"/>
              <w:left w:val="nil"/>
              <w:bottom w:val="single" w:color="000000" w:sz="4" w:space="0"/>
              <w:right w:val="single" w:color="000000" w:sz="4" w:space="0"/>
            </w:tcBorders>
            <w:noWrap/>
            <w:vAlign w:val="center"/>
          </w:tcPr>
          <w:p w14:paraId="6A5151A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政府性基金预算支出</w:t>
            </w:r>
          </w:p>
        </w:tc>
        <w:tc>
          <w:tcPr>
            <w:tcW w:w="632" w:type="pct"/>
            <w:tcBorders>
              <w:top w:val="nil"/>
              <w:left w:val="nil"/>
              <w:bottom w:val="single" w:color="000000" w:sz="4" w:space="0"/>
              <w:right w:val="single" w:color="000000" w:sz="4" w:space="0"/>
            </w:tcBorders>
            <w:noWrap/>
            <w:vAlign w:val="center"/>
          </w:tcPr>
          <w:p w14:paraId="060405D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国有资本经营预算支出</w:t>
            </w:r>
          </w:p>
        </w:tc>
      </w:tr>
      <w:tr w14:paraId="596F5F8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07F083B">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w:t>
            </w:r>
            <w:r>
              <w:rPr>
                <w:rFonts w:hint="eastAsia" w:asciiTheme="minorEastAsia" w:hAnsiTheme="minorEastAsia" w:cstheme="minorEastAsia"/>
                <w:color w:val="000000"/>
                <w:kern w:val="0"/>
                <w:sz w:val="21"/>
                <w:szCs w:val="21"/>
                <w:lang w:val="en-US" w:eastAsia="zh-CN" w:bidi="ar"/>
              </w:rPr>
              <w:t>本年</w:t>
            </w:r>
            <w:r>
              <w:rPr>
                <w:rFonts w:hint="eastAsia" w:asciiTheme="minorEastAsia" w:hAnsiTheme="minorEastAsia" w:cstheme="minorEastAsia"/>
                <w:color w:val="000000"/>
                <w:kern w:val="0"/>
                <w:sz w:val="21"/>
                <w:szCs w:val="21"/>
                <w:lang w:bidi="ar"/>
              </w:rPr>
              <w:t>收入</w:t>
            </w:r>
          </w:p>
        </w:tc>
        <w:tc>
          <w:tcPr>
            <w:tcW w:w="657" w:type="pct"/>
            <w:tcBorders>
              <w:top w:val="single" w:color="000000" w:sz="4" w:space="0"/>
              <w:left w:val="nil"/>
              <w:bottom w:val="single" w:color="000000" w:sz="4" w:space="0"/>
              <w:right w:val="single" w:color="000000" w:sz="4" w:space="0"/>
            </w:tcBorders>
            <w:noWrap/>
            <w:vAlign w:val="center"/>
          </w:tcPr>
          <w:p w14:paraId="0EBFF2B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376.89</w:t>
            </w:r>
          </w:p>
        </w:tc>
        <w:tc>
          <w:tcPr>
            <w:tcW w:w="948" w:type="pct"/>
            <w:tcBorders>
              <w:top w:val="nil"/>
              <w:left w:val="nil"/>
              <w:bottom w:val="single" w:color="000000" w:sz="4" w:space="0"/>
              <w:right w:val="single" w:color="000000" w:sz="4" w:space="0"/>
            </w:tcBorders>
            <w:noWrap/>
            <w:vAlign w:val="center"/>
          </w:tcPr>
          <w:p w14:paraId="607F2BA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社会保障和就业支出</w:t>
            </w:r>
          </w:p>
        </w:tc>
        <w:tc>
          <w:tcPr>
            <w:tcW w:w="577" w:type="pct"/>
            <w:tcBorders>
              <w:top w:val="nil"/>
              <w:left w:val="nil"/>
              <w:bottom w:val="single" w:color="000000" w:sz="4" w:space="0"/>
              <w:right w:val="single" w:color="000000" w:sz="4" w:space="0"/>
            </w:tcBorders>
            <w:noWrap/>
            <w:vAlign w:val="center"/>
          </w:tcPr>
          <w:p w14:paraId="7404E20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326.99</w:t>
            </w:r>
          </w:p>
        </w:tc>
        <w:tc>
          <w:tcPr>
            <w:tcW w:w="612" w:type="pct"/>
            <w:tcBorders>
              <w:top w:val="nil"/>
              <w:left w:val="nil"/>
              <w:bottom w:val="single" w:color="000000" w:sz="4" w:space="0"/>
              <w:right w:val="single" w:color="000000" w:sz="4" w:space="0"/>
            </w:tcBorders>
            <w:noWrap/>
            <w:vAlign w:val="center"/>
          </w:tcPr>
          <w:p w14:paraId="36A6CA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326.99</w:t>
            </w:r>
          </w:p>
        </w:tc>
        <w:tc>
          <w:tcPr>
            <w:tcW w:w="602" w:type="pct"/>
            <w:tcBorders>
              <w:top w:val="nil"/>
              <w:left w:val="nil"/>
              <w:bottom w:val="single" w:color="000000" w:sz="4" w:space="0"/>
              <w:right w:val="single" w:color="000000" w:sz="4" w:space="0"/>
            </w:tcBorders>
            <w:noWrap/>
            <w:vAlign w:val="center"/>
          </w:tcPr>
          <w:p w14:paraId="0E2FA22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632" w:type="pct"/>
            <w:tcBorders>
              <w:top w:val="nil"/>
              <w:left w:val="nil"/>
              <w:bottom w:val="single" w:color="000000" w:sz="4" w:space="0"/>
              <w:right w:val="single" w:color="000000" w:sz="4" w:space="0"/>
            </w:tcBorders>
            <w:noWrap/>
            <w:vAlign w:val="center"/>
          </w:tcPr>
          <w:p w14:paraId="02DEC18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r>
      <w:tr w14:paraId="4291544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15E9C036">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一般公共预算拨款收入</w:t>
            </w:r>
          </w:p>
        </w:tc>
        <w:tc>
          <w:tcPr>
            <w:tcW w:w="657" w:type="pct"/>
            <w:noWrap/>
            <w:vAlign w:val="center"/>
          </w:tcPr>
          <w:p w14:paraId="3741EFE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376.89</w:t>
            </w:r>
          </w:p>
        </w:tc>
        <w:tc>
          <w:tcPr>
            <w:tcW w:w="948" w:type="pct"/>
            <w:tcBorders>
              <w:top w:val="nil"/>
              <w:left w:val="single" w:color="000000" w:sz="4" w:space="0"/>
              <w:bottom w:val="single" w:color="000000" w:sz="4" w:space="0"/>
              <w:right w:val="single" w:color="000000" w:sz="4" w:space="0"/>
            </w:tcBorders>
            <w:noWrap/>
            <w:vAlign w:val="center"/>
          </w:tcPr>
          <w:p w14:paraId="654C2F45">
            <w:pPr>
              <w:widowControl/>
              <w:snapToGrid w:val="0"/>
              <w:jc w:val="center"/>
              <w:textAlignment w:val="center"/>
              <w:rPr>
                <w:rFonts w:hint="eastAsia" w:asciiTheme="minorEastAsia" w:hAnsiTheme="minorEastAsia" w:cstheme="minorEastAsia"/>
                <w:color w:val="000000"/>
                <w:kern w:val="0"/>
                <w:sz w:val="21"/>
                <w:szCs w:val="21"/>
                <w:lang w:bidi="ar"/>
              </w:rPr>
            </w:pPr>
            <w:r>
              <w:t>卫生健康支出</w:t>
            </w:r>
          </w:p>
        </w:tc>
        <w:tc>
          <w:tcPr>
            <w:tcW w:w="577" w:type="pct"/>
            <w:tcBorders>
              <w:top w:val="nil"/>
              <w:left w:val="nil"/>
              <w:bottom w:val="single" w:color="000000" w:sz="4" w:space="0"/>
              <w:right w:val="single" w:color="000000" w:sz="4" w:space="0"/>
            </w:tcBorders>
            <w:noWrap/>
            <w:vAlign w:val="center"/>
          </w:tcPr>
          <w:p w14:paraId="0270974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22.50</w:t>
            </w:r>
          </w:p>
        </w:tc>
        <w:tc>
          <w:tcPr>
            <w:tcW w:w="612" w:type="pct"/>
            <w:tcBorders>
              <w:top w:val="nil"/>
              <w:left w:val="nil"/>
              <w:bottom w:val="single" w:color="000000" w:sz="4" w:space="0"/>
              <w:right w:val="single" w:color="000000" w:sz="4" w:space="0"/>
            </w:tcBorders>
            <w:noWrap/>
            <w:vAlign w:val="center"/>
          </w:tcPr>
          <w:p w14:paraId="7C50EF1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22.50</w:t>
            </w:r>
          </w:p>
        </w:tc>
        <w:tc>
          <w:tcPr>
            <w:tcW w:w="602" w:type="pct"/>
            <w:tcBorders>
              <w:top w:val="nil"/>
              <w:left w:val="nil"/>
              <w:bottom w:val="single" w:color="000000" w:sz="4" w:space="0"/>
              <w:right w:val="single" w:color="000000" w:sz="4" w:space="0"/>
            </w:tcBorders>
            <w:noWrap/>
            <w:vAlign w:val="center"/>
          </w:tcPr>
          <w:p w14:paraId="74747D0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7CC0AB0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446DA0B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E4BF8A9">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政府性基金预算拨款收入</w:t>
            </w:r>
          </w:p>
        </w:tc>
        <w:tc>
          <w:tcPr>
            <w:tcW w:w="657" w:type="pct"/>
            <w:tcBorders>
              <w:top w:val="single" w:color="000000" w:sz="4" w:space="0"/>
              <w:left w:val="nil"/>
              <w:bottom w:val="single" w:color="000000" w:sz="4" w:space="0"/>
              <w:right w:val="single" w:color="000000" w:sz="4" w:space="0"/>
            </w:tcBorders>
            <w:noWrap/>
            <w:vAlign w:val="center"/>
          </w:tcPr>
          <w:p w14:paraId="2405F20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w:t>
            </w:r>
          </w:p>
        </w:tc>
        <w:tc>
          <w:tcPr>
            <w:tcW w:w="948" w:type="pct"/>
            <w:tcBorders>
              <w:top w:val="nil"/>
              <w:left w:val="nil"/>
              <w:bottom w:val="single" w:color="000000" w:sz="4" w:space="0"/>
              <w:right w:val="single" w:color="000000" w:sz="4" w:space="0"/>
            </w:tcBorders>
            <w:noWrap/>
            <w:vAlign w:val="center"/>
          </w:tcPr>
          <w:p w14:paraId="34651DF8">
            <w:pPr>
              <w:widowControl/>
              <w:snapToGrid w:val="0"/>
              <w:jc w:val="center"/>
              <w:textAlignment w:val="center"/>
              <w:rPr>
                <w:rFonts w:hint="eastAsia" w:asciiTheme="minorEastAsia" w:hAnsiTheme="minorEastAsia" w:cstheme="minorEastAsia"/>
                <w:color w:val="000000"/>
                <w:kern w:val="0"/>
                <w:sz w:val="21"/>
                <w:szCs w:val="21"/>
                <w:lang w:bidi="ar"/>
              </w:rPr>
            </w:pPr>
            <w:r>
              <w:t>住房保障支出</w:t>
            </w:r>
          </w:p>
        </w:tc>
        <w:tc>
          <w:tcPr>
            <w:tcW w:w="577" w:type="pct"/>
            <w:tcBorders>
              <w:top w:val="nil"/>
              <w:left w:val="nil"/>
              <w:bottom w:val="single" w:color="000000" w:sz="4" w:space="0"/>
              <w:right w:val="single" w:color="000000" w:sz="4" w:space="0"/>
            </w:tcBorders>
            <w:noWrap/>
            <w:vAlign w:val="center"/>
          </w:tcPr>
          <w:p w14:paraId="00C4F80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27.40</w:t>
            </w:r>
          </w:p>
        </w:tc>
        <w:tc>
          <w:tcPr>
            <w:tcW w:w="612" w:type="pct"/>
            <w:tcBorders>
              <w:top w:val="nil"/>
              <w:left w:val="nil"/>
              <w:bottom w:val="single" w:color="000000" w:sz="4" w:space="0"/>
              <w:right w:val="single" w:color="000000" w:sz="4" w:space="0"/>
            </w:tcBorders>
            <w:noWrap/>
            <w:vAlign w:val="center"/>
          </w:tcPr>
          <w:p w14:paraId="7133CB8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27.40</w:t>
            </w:r>
          </w:p>
        </w:tc>
        <w:tc>
          <w:tcPr>
            <w:tcW w:w="602" w:type="pct"/>
            <w:tcBorders>
              <w:top w:val="nil"/>
              <w:left w:val="nil"/>
              <w:bottom w:val="single" w:color="000000" w:sz="4" w:space="0"/>
              <w:right w:val="single" w:color="000000" w:sz="4" w:space="0"/>
            </w:tcBorders>
            <w:noWrap/>
            <w:vAlign w:val="center"/>
          </w:tcPr>
          <w:p w14:paraId="7323290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c>
          <w:tcPr>
            <w:tcW w:w="632" w:type="pct"/>
            <w:tcBorders>
              <w:top w:val="nil"/>
              <w:left w:val="nil"/>
              <w:bottom w:val="single" w:color="000000" w:sz="4" w:space="0"/>
              <w:right w:val="single" w:color="000000" w:sz="4" w:space="0"/>
            </w:tcBorders>
            <w:noWrap/>
            <w:vAlign w:val="center"/>
          </w:tcPr>
          <w:p w14:paraId="4F40643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t>0.00</w:t>
            </w:r>
          </w:p>
        </w:tc>
      </w:tr>
      <w:tr w14:paraId="2A5BB4D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7FB4D0E">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国有资本经营预算收入</w:t>
            </w:r>
          </w:p>
        </w:tc>
        <w:tc>
          <w:tcPr>
            <w:tcW w:w="657" w:type="pct"/>
            <w:tcBorders>
              <w:top w:val="nil"/>
              <w:left w:val="nil"/>
              <w:bottom w:val="single" w:color="000000" w:sz="4" w:space="0"/>
              <w:right w:val="single" w:color="000000" w:sz="4" w:space="0"/>
            </w:tcBorders>
            <w:vAlign w:val="center"/>
          </w:tcPr>
          <w:p w14:paraId="2578ED5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nil"/>
              <w:left w:val="nil"/>
              <w:bottom w:val="single" w:color="000000" w:sz="4" w:space="0"/>
              <w:right w:val="single" w:color="000000" w:sz="4" w:space="0"/>
            </w:tcBorders>
            <w:noWrap/>
            <w:vAlign w:val="center"/>
          </w:tcPr>
          <w:p w14:paraId="196D93F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14C43C4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BE7343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CBA047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E63A63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E8D19ED">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3A041F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624E5D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033290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FE6F29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FA02E0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8CF271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627A5F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127F35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F65C5C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FA435F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B72D85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F3EBEE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148B77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A10A93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3F8BFB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5AC951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00D95C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65C1C2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585AE4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A9B5F7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F8727D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CE9BC8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95C17E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3734DB2">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CDAFA3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779427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A486EF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B05ADC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99B52A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B8A5F9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0F1184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8011C65">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E1D961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6F574B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E629E3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B501BF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99ADA3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B95543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A428E0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789940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C6D8DA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1EF3D9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8ABE6A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D577DE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227E21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5E108C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C99EB3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90DD0CD">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22BCC7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88A57D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9AC4DE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3575DD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40C71C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FAA151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0B7A30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19F887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0EA2B2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F4F98B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77AE2C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9879D7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14C46E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2381A1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701E89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EB9D32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6FCCFE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4E9B190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203015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B63E83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CDE330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EECC2F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CA6E6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8553BE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ECE17AE">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7E28B0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2C23797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2BFE083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7239E4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CFA504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A5633E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51DB02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9764F8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10796E03">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E84C1D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E8C9AB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E7CF99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BC9137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91F2E3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74C299D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DA9878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F1D8A5D">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5B5310C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463645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68CD8C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EA339E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F943D7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93372F7">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0A0CA1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9CD19D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481E3B1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067D4B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2C2E7F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A1F148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F50F7E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203BD24">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13942F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0CF84A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8711EA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9B95D3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278A17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0466EFE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422FCD5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1539EC9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6EB7322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FCB9D3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BB8A61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13EA359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3BCC7D8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12898A3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6E42E5E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999F0F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96B08B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01C0BA0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94F521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67DEC88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65F33C7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F0124C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40756B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9923B1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2890BE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8B783F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1650AE7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0813F58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EECEB9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3A6B191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DFCB01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502A769">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1086E49">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7852C61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570C30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568E1EC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EE690B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5A8A76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1830F14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37CD3E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572A16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764E9B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069243F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7B7C33E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59C4A61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DFE483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988E1A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24DE234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431BEE7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597A6494">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3BCD60A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3B4FAF0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358B6C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E8A1F0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1C3C07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4BEC8958">
        <w:tblPrEx>
          <w:tblCellMar>
            <w:top w:w="0" w:type="dxa"/>
            <w:left w:w="108" w:type="dxa"/>
            <w:bottom w:w="0" w:type="dxa"/>
            <w:right w:w="108" w:type="dxa"/>
          </w:tblCellMar>
        </w:tblPrEx>
        <w:trPr>
          <w:cantSplit/>
          <w:trHeight w:val="283" w:hRule="atLeast"/>
        </w:trPr>
        <w:tc>
          <w:tcPr>
            <w:tcW w:w="968" w:type="pct"/>
            <w:tcBorders>
              <w:top w:val="single" w:color="000000" w:sz="4" w:space="0"/>
              <w:left w:val="single" w:color="000000" w:sz="4" w:space="0"/>
              <w:bottom w:val="single" w:color="000000" w:sz="4" w:space="0"/>
              <w:right w:val="single" w:color="000000" w:sz="4" w:space="0"/>
            </w:tcBorders>
            <w:noWrap/>
            <w:vAlign w:val="center"/>
          </w:tcPr>
          <w:p w14:paraId="1DE28689">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single" w:color="000000" w:sz="4" w:space="0"/>
              <w:left w:val="nil"/>
              <w:bottom w:val="single" w:color="000000" w:sz="4" w:space="0"/>
              <w:right w:val="single" w:color="000000" w:sz="4" w:space="0"/>
            </w:tcBorders>
            <w:vAlign w:val="center"/>
          </w:tcPr>
          <w:p w14:paraId="03CD3E7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46A794B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577" w:type="pct"/>
            <w:tcBorders>
              <w:top w:val="nil"/>
              <w:left w:val="nil"/>
              <w:bottom w:val="single" w:color="000000" w:sz="4" w:space="0"/>
              <w:right w:val="single" w:color="000000" w:sz="4" w:space="0"/>
            </w:tcBorders>
            <w:noWrap/>
            <w:vAlign w:val="center"/>
          </w:tcPr>
          <w:p w14:paraId="4C86806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75A807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75E3EC5E">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0BF1442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54B1CC5E">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364566D8">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30BED6F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64A3CBB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22906CB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78199EB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E0FE34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2D1F554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4222320">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28004942">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6A3EA1D5">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D444AF7">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123A717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5701E4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2378FE9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321FF00F">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0D930DD8">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518CD9F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657" w:type="pct"/>
            <w:tcBorders>
              <w:top w:val="nil"/>
              <w:left w:val="nil"/>
              <w:bottom w:val="single" w:color="000000" w:sz="4" w:space="0"/>
              <w:right w:val="single" w:color="000000" w:sz="4" w:space="0"/>
            </w:tcBorders>
            <w:vAlign w:val="center"/>
          </w:tcPr>
          <w:p w14:paraId="646245F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948" w:type="pct"/>
            <w:tcBorders>
              <w:top w:val="nil"/>
              <w:left w:val="nil"/>
              <w:bottom w:val="single" w:color="000000" w:sz="4" w:space="0"/>
              <w:right w:val="single" w:color="000000" w:sz="4" w:space="0"/>
            </w:tcBorders>
            <w:noWrap/>
            <w:vAlign w:val="center"/>
          </w:tcPr>
          <w:p w14:paraId="0D26791B">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416BC33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0AE86A9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69B7A28A">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1D5142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32B4482B">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79BE2A0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57" w:type="pct"/>
            <w:tcBorders>
              <w:top w:val="nil"/>
              <w:left w:val="nil"/>
              <w:bottom w:val="single" w:color="000000" w:sz="4" w:space="0"/>
              <w:right w:val="single" w:color="000000" w:sz="4" w:space="0"/>
            </w:tcBorders>
            <w:vAlign w:val="center"/>
          </w:tcPr>
          <w:p w14:paraId="290A8EFA">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948" w:type="pct"/>
            <w:tcBorders>
              <w:top w:val="nil"/>
              <w:left w:val="nil"/>
              <w:bottom w:val="single" w:color="000000" w:sz="4" w:space="0"/>
              <w:right w:val="single" w:color="000000" w:sz="4" w:space="0"/>
            </w:tcBorders>
            <w:noWrap/>
            <w:vAlign w:val="center"/>
          </w:tcPr>
          <w:p w14:paraId="715B02C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77" w:type="pct"/>
            <w:tcBorders>
              <w:top w:val="nil"/>
              <w:left w:val="nil"/>
              <w:bottom w:val="single" w:color="000000" w:sz="4" w:space="0"/>
              <w:right w:val="single" w:color="000000" w:sz="4" w:space="0"/>
            </w:tcBorders>
            <w:noWrap/>
            <w:vAlign w:val="center"/>
          </w:tcPr>
          <w:p w14:paraId="64567D9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41D7827C">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4AC656F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5477070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r>
      <w:tr w14:paraId="6411776C">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000000" w:sz="4" w:space="0"/>
              <w:right w:val="single" w:color="000000" w:sz="4" w:space="0"/>
            </w:tcBorders>
            <w:noWrap/>
            <w:vAlign w:val="center"/>
          </w:tcPr>
          <w:p w14:paraId="0EFEA9CA">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二、上年结转</w:t>
            </w:r>
          </w:p>
        </w:tc>
        <w:tc>
          <w:tcPr>
            <w:tcW w:w="657" w:type="pct"/>
            <w:tcBorders>
              <w:top w:val="nil"/>
              <w:left w:val="nil"/>
              <w:bottom w:val="single" w:color="auto" w:sz="4" w:space="0"/>
              <w:right w:val="single" w:color="000000" w:sz="4" w:space="0"/>
            </w:tcBorders>
            <w:vAlign w:val="center"/>
          </w:tcPr>
          <w:p w14:paraId="13E648D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nil"/>
              <w:left w:val="nil"/>
              <w:bottom w:val="single" w:color="auto" w:sz="4" w:space="0"/>
              <w:right w:val="single" w:color="000000" w:sz="4" w:space="0"/>
            </w:tcBorders>
            <w:noWrap/>
            <w:vAlign w:val="center"/>
          </w:tcPr>
          <w:p w14:paraId="74CD61D1">
            <w:pPr>
              <w:widowControl/>
              <w:snapToGrid w:val="0"/>
              <w:jc w:val="center"/>
              <w:textAlignment w:val="center"/>
              <w:rPr>
                <w:rFonts w:hint="eastAsia" w:asciiTheme="minorEastAsia" w:hAnsiTheme="minorEastAsia" w:cstheme="minorEastAsia"/>
                <w:color w:val="000000"/>
                <w:kern w:val="0"/>
                <w:sz w:val="21"/>
                <w:szCs w:val="21"/>
                <w:lang w:eastAsia="zh-CN" w:bidi="ar"/>
              </w:rPr>
            </w:pPr>
          </w:p>
        </w:tc>
        <w:tc>
          <w:tcPr>
            <w:tcW w:w="577" w:type="pct"/>
            <w:tcBorders>
              <w:top w:val="nil"/>
              <w:left w:val="nil"/>
              <w:bottom w:val="single" w:color="000000" w:sz="4" w:space="0"/>
              <w:right w:val="single" w:color="000000" w:sz="4" w:space="0"/>
            </w:tcBorders>
            <w:noWrap/>
            <w:vAlign w:val="center"/>
          </w:tcPr>
          <w:p w14:paraId="0195FDB7">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000000" w:sz="4" w:space="0"/>
              <w:right w:val="single" w:color="000000" w:sz="4" w:space="0"/>
            </w:tcBorders>
            <w:noWrap/>
            <w:vAlign w:val="center"/>
          </w:tcPr>
          <w:p w14:paraId="19F895F0">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000000" w:sz="4" w:space="0"/>
              <w:right w:val="single" w:color="000000" w:sz="4" w:space="0"/>
            </w:tcBorders>
            <w:noWrap/>
            <w:vAlign w:val="center"/>
          </w:tcPr>
          <w:p w14:paraId="58D9C8E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000000" w:sz="4" w:space="0"/>
              <w:right w:val="single" w:color="000000" w:sz="4" w:space="0"/>
            </w:tcBorders>
            <w:noWrap/>
            <w:vAlign w:val="center"/>
          </w:tcPr>
          <w:p w14:paraId="7240448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53353FC3">
        <w:tblPrEx>
          <w:tblCellMar>
            <w:top w:w="0" w:type="dxa"/>
            <w:left w:w="108" w:type="dxa"/>
            <w:bottom w:w="0" w:type="dxa"/>
            <w:right w:w="108" w:type="dxa"/>
          </w:tblCellMar>
        </w:tblPrEx>
        <w:trPr>
          <w:cantSplit/>
          <w:trHeight w:val="283" w:hRule="atLeast"/>
        </w:trPr>
        <w:tc>
          <w:tcPr>
            <w:tcW w:w="968" w:type="pct"/>
            <w:tcBorders>
              <w:top w:val="nil"/>
              <w:left w:val="single" w:color="000000" w:sz="4" w:space="0"/>
              <w:bottom w:val="single" w:color="auto" w:sz="4" w:space="0"/>
              <w:right w:val="single" w:color="auto" w:sz="4" w:space="0"/>
            </w:tcBorders>
            <w:noWrap/>
            <w:vAlign w:val="center"/>
          </w:tcPr>
          <w:p w14:paraId="146757BA">
            <w:pPr>
              <w:widowControl/>
              <w:snapToGrid w:val="0"/>
              <w:ind w:firstLine="210" w:firstLineChars="10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一般公共预算拨款结转</w:t>
            </w:r>
          </w:p>
        </w:tc>
        <w:tc>
          <w:tcPr>
            <w:tcW w:w="657" w:type="pct"/>
            <w:tcBorders>
              <w:top w:val="single" w:color="auto" w:sz="4" w:space="0"/>
              <w:left w:val="single" w:color="auto" w:sz="4" w:space="0"/>
              <w:bottom w:val="single" w:color="auto" w:sz="4" w:space="0"/>
              <w:right w:val="single" w:color="auto" w:sz="4" w:space="0"/>
            </w:tcBorders>
            <w:vAlign w:val="center"/>
          </w:tcPr>
          <w:p w14:paraId="5431A26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single" w:color="auto" w:sz="4" w:space="0"/>
              <w:left w:val="single" w:color="auto" w:sz="4" w:space="0"/>
              <w:bottom w:val="single" w:color="auto" w:sz="4" w:space="0"/>
              <w:right w:val="single" w:color="auto" w:sz="4" w:space="0"/>
            </w:tcBorders>
            <w:noWrap/>
            <w:vAlign w:val="center"/>
          </w:tcPr>
          <w:p w14:paraId="553C465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nil"/>
              <w:left w:val="single" w:color="auto" w:sz="4" w:space="0"/>
              <w:bottom w:val="single" w:color="auto" w:sz="4" w:space="0"/>
              <w:right w:val="single" w:color="000000" w:sz="4" w:space="0"/>
            </w:tcBorders>
            <w:noWrap/>
            <w:vAlign w:val="center"/>
          </w:tcPr>
          <w:p w14:paraId="56A7684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nil"/>
              <w:left w:val="nil"/>
              <w:bottom w:val="single" w:color="auto" w:sz="4" w:space="0"/>
              <w:right w:val="single" w:color="000000" w:sz="4" w:space="0"/>
            </w:tcBorders>
            <w:noWrap/>
            <w:vAlign w:val="center"/>
          </w:tcPr>
          <w:p w14:paraId="0CECEDD9">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nil"/>
              <w:left w:val="nil"/>
              <w:bottom w:val="single" w:color="auto" w:sz="4" w:space="0"/>
              <w:right w:val="single" w:color="000000" w:sz="4" w:space="0"/>
            </w:tcBorders>
            <w:noWrap/>
            <w:vAlign w:val="center"/>
          </w:tcPr>
          <w:p w14:paraId="5D10080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nil"/>
              <w:left w:val="nil"/>
              <w:bottom w:val="single" w:color="auto" w:sz="4" w:space="0"/>
              <w:right w:val="single" w:color="000000" w:sz="4" w:space="0"/>
            </w:tcBorders>
            <w:noWrap/>
            <w:vAlign w:val="center"/>
          </w:tcPr>
          <w:p w14:paraId="28E9A90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6B026F44">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7D821606">
            <w:pPr>
              <w:widowControl/>
              <w:snapToGrid w:val="0"/>
              <w:jc w:val="lef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  政府性基金预算拨款结转</w:t>
            </w:r>
          </w:p>
        </w:tc>
        <w:tc>
          <w:tcPr>
            <w:tcW w:w="657" w:type="pct"/>
            <w:tcBorders>
              <w:top w:val="single" w:color="auto" w:sz="4" w:space="0"/>
              <w:left w:val="single" w:color="auto" w:sz="4" w:space="0"/>
              <w:bottom w:val="single" w:color="auto" w:sz="4" w:space="0"/>
              <w:right w:val="single" w:color="auto" w:sz="4" w:space="0"/>
            </w:tcBorders>
            <w:noWrap/>
            <w:vAlign w:val="center"/>
          </w:tcPr>
          <w:p w14:paraId="47DB8CC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0.00　</w:t>
            </w:r>
          </w:p>
        </w:tc>
        <w:tc>
          <w:tcPr>
            <w:tcW w:w="948" w:type="pct"/>
            <w:tcBorders>
              <w:top w:val="single" w:color="auto" w:sz="4" w:space="0"/>
              <w:left w:val="single" w:color="auto" w:sz="4" w:space="0"/>
              <w:bottom w:val="single" w:color="auto" w:sz="4" w:space="0"/>
              <w:right w:val="single" w:color="auto" w:sz="4" w:space="0"/>
            </w:tcBorders>
            <w:noWrap/>
            <w:vAlign w:val="center"/>
          </w:tcPr>
          <w:p w14:paraId="5C01F85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w:t>
            </w:r>
          </w:p>
        </w:tc>
        <w:tc>
          <w:tcPr>
            <w:tcW w:w="577" w:type="pct"/>
            <w:tcBorders>
              <w:top w:val="single" w:color="auto" w:sz="4" w:space="0"/>
              <w:left w:val="single" w:color="auto" w:sz="4" w:space="0"/>
              <w:bottom w:val="single" w:color="auto" w:sz="4" w:space="0"/>
              <w:right w:val="single" w:color="auto" w:sz="4" w:space="0"/>
            </w:tcBorders>
            <w:noWrap/>
            <w:vAlign w:val="center"/>
          </w:tcPr>
          <w:p w14:paraId="76E1F976">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12" w:type="pct"/>
            <w:tcBorders>
              <w:top w:val="single" w:color="auto" w:sz="4" w:space="0"/>
              <w:left w:val="single" w:color="auto" w:sz="4" w:space="0"/>
              <w:bottom w:val="single" w:color="auto" w:sz="4" w:space="0"/>
              <w:right w:val="single" w:color="auto" w:sz="4" w:space="0"/>
            </w:tcBorders>
            <w:noWrap/>
            <w:vAlign w:val="center"/>
          </w:tcPr>
          <w:p w14:paraId="0FD272E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02" w:type="pct"/>
            <w:tcBorders>
              <w:top w:val="single" w:color="auto" w:sz="4" w:space="0"/>
              <w:left w:val="single" w:color="auto" w:sz="4" w:space="0"/>
              <w:bottom w:val="single" w:color="auto" w:sz="4" w:space="0"/>
              <w:right w:val="single" w:color="auto" w:sz="4" w:space="0"/>
            </w:tcBorders>
            <w:noWrap/>
            <w:vAlign w:val="center"/>
          </w:tcPr>
          <w:p w14:paraId="1FFFB4D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p>
        </w:tc>
        <w:tc>
          <w:tcPr>
            <w:tcW w:w="632" w:type="pct"/>
            <w:tcBorders>
              <w:top w:val="single" w:color="auto" w:sz="4" w:space="0"/>
              <w:left w:val="single" w:color="auto" w:sz="4" w:space="0"/>
              <w:bottom w:val="single" w:color="auto" w:sz="4" w:space="0"/>
              <w:right w:val="single" w:color="auto" w:sz="4" w:space="0"/>
            </w:tcBorders>
            <w:noWrap/>
            <w:vAlign w:val="center"/>
          </w:tcPr>
          <w:p w14:paraId="0397ECB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p>
        </w:tc>
      </w:tr>
      <w:tr w14:paraId="6BF8B9F7">
        <w:tblPrEx>
          <w:tblCellMar>
            <w:top w:w="0" w:type="dxa"/>
            <w:left w:w="108" w:type="dxa"/>
            <w:bottom w:w="0" w:type="dxa"/>
            <w:right w:w="108" w:type="dxa"/>
          </w:tblCellMar>
        </w:tblPrEx>
        <w:trPr>
          <w:cantSplit/>
          <w:trHeight w:val="283" w:hRule="atLeast"/>
        </w:trPr>
        <w:tc>
          <w:tcPr>
            <w:tcW w:w="968" w:type="pct"/>
            <w:tcBorders>
              <w:top w:val="single" w:color="auto" w:sz="4" w:space="0"/>
              <w:left w:val="single" w:color="auto" w:sz="4" w:space="0"/>
              <w:bottom w:val="single" w:color="auto" w:sz="4" w:space="0"/>
              <w:right w:val="single" w:color="auto" w:sz="4" w:space="0"/>
            </w:tcBorders>
            <w:noWrap/>
            <w:vAlign w:val="center"/>
          </w:tcPr>
          <w:p w14:paraId="6CFFFDC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收入总计</w:t>
            </w:r>
          </w:p>
        </w:tc>
        <w:tc>
          <w:tcPr>
            <w:tcW w:w="657" w:type="pct"/>
            <w:tcBorders>
              <w:top w:val="single" w:color="auto" w:sz="4" w:space="0"/>
              <w:left w:val="single" w:color="auto" w:sz="4" w:space="0"/>
              <w:bottom w:val="single" w:color="auto" w:sz="4" w:space="0"/>
              <w:right w:val="single" w:color="auto" w:sz="4" w:space="0"/>
            </w:tcBorders>
            <w:noWrap/>
            <w:vAlign w:val="center"/>
          </w:tcPr>
          <w:p w14:paraId="265E6BD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376.89</w:t>
            </w:r>
          </w:p>
        </w:tc>
        <w:tc>
          <w:tcPr>
            <w:tcW w:w="948" w:type="pct"/>
            <w:tcBorders>
              <w:top w:val="single" w:color="auto" w:sz="4" w:space="0"/>
              <w:left w:val="single" w:color="auto" w:sz="4" w:space="0"/>
              <w:bottom w:val="single" w:color="auto" w:sz="4" w:space="0"/>
              <w:right w:val="single" w:color="auto" w:sz="4" w:space="0"/>
            </w:tcBorders>
            <w:noWrap/>
            <w:vAlign w:val="center"/>
          </w:tcPr>
          <w:p w14:paraId="67E6B4C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支出总计</w:t>
            </w:r>
          </w:p>
        </w:tc>
        <w:tc>
          <w:tcPr>
            <w:tcW w:w="577" w:type="pct"/>
            <w:tcBorders>
              <w:top w:val="single" w:color="auto" w:sz="4" w:space="0"/>
              <w:left w:val="single" w:color="auto" w:sz="4" w:space="0"/>
              <w:bottom w:val="single" w:color="auto" w:sz="4" w:space="0"/>
              <w:right w:val="single" w:color="auto" w:sz="4" w:space="0"/>
            </w:tcBorders>
            <w:noWrap/>
            <w:vAlign w:val="center"/>
          </w:tcPr>
          <w:p w14:paraId="60D1698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376.89</w:t>
            </w:r>
          </w:p>
        </w:tc>
        <w:tc>
          <w:tcPr>
            <w:tcW w:w="612" w:type="pct"/>
            <w:tcBorders>
              <w:top w:val="single" w:color="auto" w:sz="4" w:space="0"/>
              <w:left w:val="single" w:color="auto" w:sz="4" w:space="0"/>
              <w:bottom w:val="single" w:color="auto" w:sz="4" w:space="0"/>
              <w:right w:val="single" w:color="auto" w:sz="4" w:space="0"/>
            </w:tcBorders>
            <w:noWrap/>
            <w:vAlign w:val="center"/>
          </w:tcPr>
          <w:p w14:paraId="07039A83">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376.89</w:t>
            </w:r>
          </w:p>
        </w:tc>
        <w:tc>
          <w:tcPr>
            <w:tcW w:w="602" w:type="pct"/>
            <w:tcBorders>
              <w:top w:val="single" w:color="auto" w:sz="4" w:space="0"/>
              <w:left w:val="single" w:color="auto" w:sz="4" w:space="0"/>
              <w:bottom w:val="single" w:color="auto" w:sz="4" w:space="0"/>
              <w:right w:val="single" w:color="auto" w:sz="4" w:space="0"/>
            </w:tcBorders>
            <w:noWrap/>
            <w:vAlign w:val="center"/>
          </w:tcPr>
          <w:p w14:paraId="16D7086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c>
          <w:tcPr>
            <w:tcW w:w="632" w:type="pct"/>
            <w:tcBorders>
              <w:top w:val="single" w:color="auto" w:sz="4" w:space="0"/>
              <w:left w:val="single" w:color="auto" w:sz="4" w:space="0"/>
              <w:bottom w:val="single" w:color="auto" w:sz="4" w:space="0"/>
              <w:right w:val="single" w:color="auto" w:sz="4" w:space="0"/>
            </w:tcBorders>
            <w:noWrap/>
            <w:vAlign w:val="center"/>
          </w:tcPr>
          <w:p w14:paraId="514D6441">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0.00</w:t>
            </w:r>
          </w:p>
        </w:tc>
      </w:tr>
    </w:tbl>
    <w:p w14:paraId="5D3E42EA">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4999" w:type="pct"/>
        <w:tblInd w:w="0" w:type="dxa"/>
        <w:tblLayout w:type="fixed"/>
        <w:tblCellMar>
          <w:top w:w="0" w:type="dxa"/>
          <w:left w:w="108" w:type="dxa"/>
          <w:bottom w:w="0" w:type="dxa"/>
          <w:right w:w="108" w:type="dxa"/>
        </w:tblCellMar>
      </w:tblPr>
      <w:tblGrid>
        <w:gridCol w:w="1822"/>
        <w:gridCol w:w="3374"/>
        <w:gridCol w:w="2255"/>
        <w:gridCol w:w="1461"/>
        <w:gridCol w:w="1768"/>
      </w:tblGrid>
      <w:tr w14:paraId="05A46B30">
        <w:tblPrEx>
          <w:tblCellMar>
            <w:top w:w="0" w:type="dxa"/>
            <w:left w:w="108" w:type="dxa"/>
            <w:bottom w:w="0" w:type="dxa"/>
            <w:right w:w="108" w:type="dxa"/>
          </w:tblCellMar>
        </w:tblPrEx>
        <w:trPr>
          <w:trHeight w:val="779" w:hRule="atLeast"/>
          <w:tblHeader/>
        </w:trPr>
        <w:tc>
          <w:tcPr>
            <w:tcW w:w="5000" w:type="pct"/>
            <w:gridSpan w:val="5"/>
            <w:noWrap/>
            <w:vAlign w:val="center"/>
          </w:tcPr>
          <w:p w14:paraId="65E58C09">
            <w:pPr>
              <w:widowControl/>
              <w:jc w:val="center"/>
              <w:rPr>
                <w:rFonts w:hint="eastAsia"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br w:type="page"/>
            </w:r>
            <w:r>
              <w:rPr>
                <w:rFonts w:hint="eastAsia" w:asciiTheme="minorEastAsia" w:hAnsiTheme="minorEastAsia" w:eastAsiaTheme="minorEastAsia" w:cstheme="minorEastAsia"/>
                <w:b/>
                <w:bCs/>
                <w:color w:val="000000"/>
                <w:kern w:val="0"/>
                <w:sz w:val="32"/>
                <w:szCs w:val="32"/>
                <w:lang w:bidi="ar"/>
              </w:rPr>
              <w:t>一般公共预算支出表</w:t>
            </w:r>
          </w:p>
        </w:tc>
      </w:tr>
      <w:tr w14:paraId="4EC0EF52">
        <w:tblPrEx>
          <w:tblCellMar>
            <w:top w:w="0" w:type="dxa"/>
            <w:left w:w="108" w:type="dxa"/>
            <w:bottom w:w="0" w:type="dxa"/>
            <w:right w:w="108" w:type="dxa"/>
          </w:tblCellMar>
        </w:tblPrEx>
        <w:trPr>
          <w:trHeight w:val="559" w:hRule="atLeast"/>
          <w:tblHeader/>
        </w:trPr>
        <w:tc>
          <w:tcPr>
            <w:tcW w:w="2432" w:type="pct"/>
            <w:gridSpan w:val="2"/>
            <w:noWrap/>
            <w:vAlign w:val="center"/>
          </w:tcPr>
          <w:p w14:paraId="29C3E718">
            <w:pPr>
              <w:widowControl/>
              <w:snapToGrid w:val="0"/>
              <w:jc w:val="lef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bidi="ar"/>
              </w:rPr>
              <w:t>填报单位:067001南昌市青云谱区医疗保障局</w:t>
            </w:r>
          </w:p>
        </w:tc>
        <w:tc>
          <w:tcPr>
            <w:tcW w:w="1055" w:type="pct"/>
            <w:noWrap/>
            <w:vAlign w:val="bottom"/>
          </w:tcPr>
          <w:p w14:paraId="2E4E1428">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683" w:type="pct"/>
            <w:noWrap/>
            <w:vAlign w:val="bottom"/>
          </w:tcPr>
          <w:p w14:paraId="11BF826D">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827" w:type="pct"/>
            <w:noWrap/>
            <w:vAlign w:val="center"/>
          </w:tcPr>
          <w:p w14:paraId="361BDD5E">
            <w:pPr>
              <w:widowControl/>
              <w:snapToGrid w:val="0"/>
              <w:jc w:val="right"/>
              <w:textAlignment w:val="center"/>
              <w:rPr>
                <w:rFonts w:hint="eastAsia" w:asciiTheme="minorEastAsia" w:hAnsiTheme="minorEastAsia" w:cstheme="minorEastAsia"/>
                <w:color w:val="000000"/>
                <w:kern w:val="0"/>
                <w:sz w:val="16"/>
                <w:szCs w:val="16"/>
                <w:lang w:bidi="ar"/>
              </w:rPr>
            </w:pPr>
            <w:r>
              <w:rPr>
                <w:rFonts w:hint="eastAsia" w:asciiTheme="minorEastAsia" w:hAnsiTheme="minorEastAsia" w:cstheme="minorEastAsia"/>
                <w:color w:val="000000"/>
                <w:kern w:val="0"/>
                <w:sz w:val="21"/>
                <w:szCs w:val="21"/>
                <w:lang w:bidi="ar"/>
              </w:rPr>
              <w:t>单位：万元</w:t>
            </w:r>
          </w:p>
        </w:tc>
      </w:tr>
      <w:tr w14:paraId="49FA74C5">
        <w:tblPrEx>
          <w:tblCellMar>
            <w:top w:w="0" w:type="dxa"/>
            <w:left w:w="108" w:type="dxa"/>
            <w:bottom w:w="0" w:type="dxa"/>
            <w:right w:w="108" w:type="dxa"/>
          </w:tblCellMar>
        </w:tblPrEx>
        <w:trPr>
          <w:cantSplit/>
          <w:trHeight w:val="390" w:hRule="atLeast"/>
          <w:tblHeader/>
        </w:trPr>
        <w:tc>
          <w:tcPr>
            <w:tcW w:w="2432" w:type="pct"/>
            <w:gridSpan w:val="2"/>
            <w:tcBorders>
              <w:top w:val="single" w:color="000000" w:sz="4" w:space="0"/>
              <w:left w:val="single" w:color="000000" w:sz="4" w:space="0"/>
              <w:bottom w:val="single" w:color="000000" w:sz="4" w:space="0"/>
              <w:right w:val="single" w:color="000000" w:sz="4" w:space="0"/>
            </w:tcBorders>
            <w:noWrap/>
            <w:vAlign w:val="center"/>
          </w:tcPr>
          <w:p w14:paraId="0B57FC5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2567" w:type="pct"/>
            <w:gridSpan w:val="3"/>
            <w:tcBorders>
              <w:top w:val="single" w:color="000000" w:sz="4" w:space="0"/>
              <w:left w:val="nil"/>
              <w:bottom w:val="single" w:color="000000" w:sz="4" w:space="0"/>
              <w:right w:val="single" w:color="000000" w:sz="4" w:space="0"/>
            </w:tcBorders>
            <w:noWrap/>
            <w:vAlign w:val="center"/>
          </w:tcPr>
          <w:p w14:paraId="133CDB8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年预算数</w:t>
            </w:r>
          </w:p>
        </w:tc>
      </w:tr>
      <w:tr w14:paraId="071788F1">
        <w:tblPrEx>
          <w:tblCellMar>
            <w:top w:w="0" w:type="dxa"/>
            <w:left w:w="108" w:type="dxa"/>
            <w:bottom w:w="0" w:type="dxa"/>
            <w:right w:w="108" w:type="dxa"/>
          </w:tblCellMar>
        </w:tblPrEx>
        <w:trPr>
          <w:cantSplit/>
          <w:trHeight w:val="390" w:hRule="atLeast"/>
          <w:tblHeader/>
        </w:trPr>
        <w:tc>
          <w:tcPr>
            <w:tcW w:w="852" w:type="pct"/>
            <w:tcBorders>
              <w:top w:val="nil"/>
              <w:left w:val="single" w:color="000000" w:sz="4" w:space="0"/>
              <w:bottom w:val="single" w:color="000000" w:sz="4" w:space="0"/>
              <w:right w:val="single" w:color="000000" w:sz="4" w:space="0"/>
            </w:tcBorders>
            <w:noWrap/>
            <w:vAlign w:val="center"/>
          </w:tcPr>
          <w:p w14:paraId="6AC85F2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579" w:type="pct"/>
            <w:tcBorders>
              <w:top w:val="nil"/>
              <w:left w:val="nil"/>
              <w:bottom w:val="single" w:color="000000" w:sz="4" w:space="0"/>
              <w:right w:val="single" w:color="000000" w:sz="4" w:space="0"/>
            </w:tcBorders>
            <w:noWrap/>
            <w:vAlign w:val="center"/>
          </w:tcPr>
          <w:p w14:paraId="5536A63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1055" w:type="pct"/>
            <w:tcBorders>
              <w:top w:val="nil"/>
              <w:left w:val="nil"/>
              <w:bottom w:val="single" w:color="000000" w:sz="4" w:space="0"/>
              <w:right w:val="single" w:color="000000" w:sz="4" w:space="0"/>
            </w:tcBorders>
            <w:noWrap/>
            <w:vAlign w:val="center"/>
          </w:tcPr>
          <w:p w14:paraId="177D60C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683" w:type="pct"/>
            <w:tcBorders>
              <w:top w:val="nil"/>
              <w:left w:val="nil"/>
              <w:bottom w:val="single" w:color="000000" w:sz="4" w:space="0"/>
              <w:right w:val="single" w:color="000000" w:sz="4" w:space="0"/>
            </w:tcBorders>
            <w:noWrap/>
            <w:vAlign w:val="center"/>
          </w:tcPr>
          <w:p w14:paraId="397779A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827" w:type="pct"/>
            <w:tcBorders>
              <w:top w:val="nil"/>
              <w:left w:val="nil"/>
              <w:bottom w:val="single" w:color="000000" w:sz="4" w:space="0"/>
              <w:right w:val="single" w:color="000000" w:sz="4" w:space="0"/>
            </w:tcBorders>
            <w:noWrap/>
            <w:vAlign w:val="center"/>
          </w:tcPr>
          <w:p w14:paraId="6CE94AD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4C29DB9D">
        <w:tblPrEx>
          <w:tblCellMar>
            <w:top w:w="0" w:type="dxa"/>
            <w:left w:w="108" w:type="dxa"/>
            <w:bottom w:w="0" w:type="dxa"/>
            <w:right w:w="108" w:type="dxa"/>
          </w:tblCellMar>
        </w:tblPrEx>
        <w:trPr>
          <w:cantSplit/>
          <w:trHeight w:val="390" w:hRule="atLeast"/>
          <w:tblHeader/>
        </w:trPr>
        <w:tc>
          <w:tcPr>
            <w:tcW w:w="852" w:type="pct"/>
            <w:tcBorders>
              <w:top w:val="nil"/>
              <w:left w:val="single" w:color="000000" w:sz="4" w:space="0"/>
              <w:bottom w:val="nil"/>
              <w:right w:val="single" w:color="000000" w:sz="4" w:space="0"/>
            </w:tcBorders>
            <w:noWrap/>
            <w:vAlign w:val="center"/>
          </w:tcPr>
          <w:p w14:paraId="725D0C3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579" w:type="pct"/>
            <w:tcBorders>
              <w:top w:val="nil"/>
              <w:left w:val="nil"/>
              <w:bottom w:val="nil"/>
              <w:right w:val="single" w:color="000000" w:sz="4" w:space="0"/>
            </w:tcBorders>
            <w:noWrap/>
            <w:vAlign w:val="center"/>
          </w:tcPr>
          <w:p w14:paraId="327DDDA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055" w:type="pct"/>
            <w:tcBorders>
              <w:top w:val="nil"/>
              <w:left w:val="nil"/>
              <w:bottom w:val="nil"/>
              <w:right w:val="single" w:color="000000" w:sz="4" w:space="0"/>
            </w:tcBorders>
            <w:noWrap/>
            <w:vAlign w:val="center"/>
          </w:tcPr>
          <w:p w14:paraId="2C9C3C0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683" w:type="pct"/>
            <w:tcBorders>
              <w:top w:val="nil"/>
              <w:left w:val="nil"/>
              <w:bottom w:val="nil"/>
              <w:right w:val="single" w:color="000000" w:sz="4" w:space="0"/>
            </w:tcBorders>
            <w:noWrap/>
            <w:vAlign w:val="center"/>
          </w:tcPr>
          <w:p w14:paraId="6AD6517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827" w:type="pct"/>
            <w:tcBorders>
              <w:top w:val="nil"/>
              <w:left w:val="nil"/>
              <w:bottom w:val="nil"/>
              <w:right w:val="single" w:color="000000" w:sz="4" w:space="0"/>
            </w:tcBorders>
            <w:noWrap/>
            <w:vAlign w:val="center"/>
          </w:tcPr>
          <w:p w14:paraId="61E0D81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r w14:paraId="392CE7B8">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4D1D2610">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579" w:type="pct"/>
            <w:tcBorders>
              <w:top w:val="single" w:color="000000" w:sz="4" w:space="0"/>
              <w:left w:val="nil"/>
              <w:bottom w:val="single" w:color="000000" w:sz="4" w:space="0"/>
              <w:right w:val="single" w:color="000000" w:sz="4" w:space="0"/>
            </w:tcBorders>
            <w:noWrap/>
            <w:vAlign w:val="center"/>
          </w:tcPr>
          <w:p w14:paraId="354184C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合计</w:t>
            </w:r>
          </w:p>
        </w:tc>
        <w:tc>
          <w:tcPr>
            <w:tcW w:w="1055" w:type="pct"/>
            <w:tcBorders>
              <w:top w:val="single" w:color="000000" w:sz="4" w:space="0"/>
              <w:left w:val="nil"/>
              <w:bottom w:val="single" w:color="000000" w:sz="4" w:space="0"/>
              <w:right w:val="single" w:color="000000" w:sz="4" w:space="0"/>
            </w:tcBorders>
            <w:noWrap/>
            <w:vAlign w:val="center"/>
          </w:tcPr>
          <w:p w14:paraId="3CFEB6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376.89</w:t>
            </w:r>
          </w:p>
        </w:tc>
        <w:tc>
          <w:tcPr>
            <w:tcW w:w="683" w:type="pct"/>
            <w:tcBorders>
              <w:top w:val="single" w:color="000000" w:sz="4" w:space="0"/>
              <w:left w:val="nil"/>
              <w:bottom w:val="single" w:color="000000" w:sz="4" w:space="0"/>
              <w:right w:val="single" w:color="000000" w:sz="4" w:space="0"/>
            </w:tcBorders>
            <w:noWrap/>
            <w:vAlign w:val="center"/>
          </w:tcPr>
          <w:p w14:paraId="173E70E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376.89</w:t>
            </w:r>
          </w:p>
        </w:tc>
        <w:tc>
          <w:tcPr>
            <w:tcW w:w="827" w:type="pct"/>
            <w:tcBorders>
              <w:top w:val="single" w:color="000000" w:sz="4" w:space="0"/>
              <w:left w:val="nil"/>
              <w:bottom w:val="single" w:color="000000" w:sz="4" w:space="0"/>
              <w:right w:val="single" w:color="000000" w:sz="4" w:space="0"/>
            </w:tcBorders>
            <w:noWrap/>
            <w:vAlign w:val="center"/>
          </w:tcPr>
          <w:p w14:paraId="281AF4A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24789AA7">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7AB0446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w:t>
            </w:r>
          </w:p>
        </w:tc>
        <w:tc>
          <w:tcPr>
            <w:tcW w:w="1579" w:type="pct"/>
            <w:tcBorders>
              <w:top w:val="single" w:color="000000" w:sz="4" w:space="0"/>
              <w:left w:val="nil"/>
              <w:bottom w:val="single" w:color="000000" w:sz="4" w:space="0"/>
              <w:right w:val="single" w:color="000000" w:sz="4" w:space="0"/>
            </w:tcBorders>
            <w:noWrap/>
            <w:vAlign w:val="center"/>
          </w:tcPr>
          <w:p w14:paraId="786D409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社会保障和就业支出</w:t>
            </w:r>
          </w:p>
        </w:tc>
        <w:tc>
          <w:tcPr>
            <w:tcW w:w="1055" w:type="pct"/>
            <w:tcBorders>
              <w:top w:val="single" w:color="000000" w:sz="4" w:space="0"/>
              <w:left w:val="nil"/>
              <w:bottom w:val="single" w:color="000000" w:sz="4" w:space="0"/>
              <w:right w:val="single" w:color="000000" w:sz="4" w:space="0"/>
            </w:tcBorders>
            <w:noWrap/>
            <w:vAlign w:val="center"/>
          </w:tcPr>
          <w:p w14:paraId="35BEA5C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326.99</w:t>
            </w:r>
          </w:p>
        </w:tc>
        <w:tc>
          <w:tcPr>
            <w:tcW w:w="683" w:type="pct"/>
            <w:tcBorders>
              <w:top w:val="single" w:color="000000" w:sz="4" w:space="0"/>
              <w:left w:val="nil"/>
              <w:bottom w:val="single" w:color="000000" w:sz="4" w:space="0"/>
              <w:right w:val="single" w:color="000000" w:sz="4" w:space="0"/>
            </w:tcBorders>
            <w:noWrap/>
            <w:vAlign w:val="center"/>
          </w:tcPr>
          <w:p w14:paraId="7BD8C6D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326.99</w:t>
            </w:r>
          </w:p>
        </w:tc>
        <w:tc>
          <w:tcPr>
            <w:tcW w:w="827" w:type="pct"/>
            <w:tcBorders>
              <w:top w:val="single" w:color="000000" w:sz="4" w:space="0"/>
              <w:left w:val="nil"/>
              <w:bottom w:val="single" w:color="000000" w:sz="4" w:space="0"/>
              <w:right w:val="single" w:color="000000" w:sz="4" w:space="0"/>
            </w:tcBorders>
            <w:noWrap/>
            <w:vAlign w:val="center"/>
          </w:tcPr>
          <w:p w14:paraId="5D53DAD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70883899">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30C9252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20801</w:t>
            </w:r>
          </w:p>
        </w:tc>
        <w:tc>
          <w:tcPr>
            <w:tcW w:w="1579" w:type="pct"/>
            <w:tcBorders>
              <w:top w:val="single" w:color="000000" w:sz="4" w:space="0"/>
              <w:left w:val="nil"/>
              <w:bottom w:val="single" w:color="000000" w:sz="4" w:space="0"/>
              <w:right w:val="single" w:color="000000" w:sz="4" w:space="0"/>
            </w:tcBorders>
            <w:noWrap/>
            <w:vAlign w:val="center"/>
          </w:tcPr>
          <w:p w14:paraId="19A7951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人力资源和社会保障管理事务</w:t>
            </w:r>
          </w:p>
        </w:tc>
        <w:tc>
          <w:tcPr>
            <w:tcW w:w="1055" w:type="pct"/>
            <w:tcBorders>
              <w:top w:val="single" w:color="000000" w:sz="4" w:space="0"/>
              <w:left w:val="nil"/>
              <w:bottom w:val="single" w:color="000000" w:sz="4" w:space="0"/>
              <w:right w:val="single" w:color="000000" w:sz="4" w:space="0"/>
            </w:tcBorders>
            <w:noWrap/>
            <w:vAlign w:val="center"/>
          </w:tcPr>
          <w:p w14:paraId="36F3689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320.77</w:t>
            </w:r>
          </w:p>
        </w:tc>
        <w:tc>
          <w:tcPr>
            <w:tcW w:w="683" w:type="pct"/>
            <w:tcBorders>
              <w:top w:val="single" w:color="000000" w:sz="4" w:space="0"/>
              <w:left w:val="nil"/>
              <w:bottom w:val="single" w:color="000000" w:sz="4" w:space="0"/>
              <w:right w:val="single" w:color="000000" w:sz="4" w:space="0"/>
            </w:tcBorders>
            <w:noWrap/>
            <w:vAlign w:val="center"/>
          </w:tcPr>
          <w:p w14:paraId="50F0DF0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320.77</w:t>
            </w:r>
          </w:p>
        </w:tc>
        <w:tc>
          <w:tcPr>
            <w:tcW w:w="827" w:type="pct"/>
            <w:tcBorders>
              <w:top w:val="single" w:color="000000" w:sz="4" w:space="0"/>
              <w:left w:val="nil"/>
              <w:bottom w:val="single" w:color="000000" w:sz="4" w:space="0"/>
              <w:right w:val="single" w:color="000000" w:sz="4" w:space="0"/>
            </w:tcBorders>
            <w:noWrap/>
            <w:vAlign w:val="center"/>
          </w:tcPr>
          <w:p w14:paraId="0F2935E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73CFF47A">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02113ED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2080109</w:t>
            </w:r>
          </w:p>
        </w:tc>
        <w:tc>
          <w:tcPr>
            <w:tcW w:w="1579" w:type="pct"/>
            <w:tcBorders>
              <w:top w:val="single" w:color="000000" w:sz="4" w:space="0"/>
              <w:left w:val="nil"/>
              <w:bottom w:val="single" w:color="000000" w:sz="4" w:space="0"/>
              <w:right w:val="single" w:color="000000" w:sz="4" w:space="0"/>
            </w:tcBorders>
            <w:noWrap/>
            <w:vAlign w:val="center"/>
          </w:tcPr>
          <w:p w14:paraId="246F370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社会保险经办机构</w:t>
            </w:r>
          </w:p>
        </w:tc>
        <w:tc>
          <w:tcPr>
            <w:tcW w:w="1055" w:type="pct"/>
            <w:tcBorders>
              <w:top w:val="single" w:color="000000" w:sz="4" w:space="0"/>
              <w:left w:val="nil"/>
              <w:bottom w:val="single" w:color="000000" w:sz="4" w:space="0"/>
              <w:right w:val="single" w:color="000000" w:sz="4" w:space="0"/>
            </w:tcBorders>
            <w:noWrap/>
            <w:vAlign w:val="center"/>
          </w:tcPr>
          <w:p w14:paraId="02FFB2C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320.77</w:t>
            </w:r>
          </w:p>
        </w:tc>
        <w:tc>
          <w:tcPr>
            <w:tcW w:w="683" w:type="pct"/>
            <w:tcBorders>
              <w:top w:val="single" w:color="000000" w:sz="4" w:space="0"/>
              <w:left w:val="nil"/>
              <w:bottom w:val="single" w:color="000000" w:sz="4" w:space="0"/>
              <w:right w:val="single" w:color="000000" w:sz="4" w:space="0"/>
            </w:tcBorders>
            <w:noWrap/>
            <w:vAlign w:val="center"/>
          </w:tcPr>
          <w:p w14:paraId="04C7D93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320.77</w:t>
            </w:r>
          </w:p>
        </w:tc>
        <w:tc>
          <w:tcPr>
            <w:tcW w:w="827" w:type="pct"/>
            <w:tcBorders>
              <w:top w:val="single" w:color="000000" w:sz="4" w:space="0"/>
              <w:left w:val="nil"/>
              <w:bottom w:val="single" w:color="000000" w:sz="4" w:space="0"/>
              <w:right w:val="single" w:color="000000" w:sz="4" w:space="0"/>
            </w:tcBorders>
            <w:noWrap/>
            <w:vAlign w:val="center"/>
          </w:tcPr>
          <w:p w14:paraId="27B00EE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2E0F62B2">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7CE4429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20805</w:t>
            </w:r>
          </w:p>
        </w:tc>
        <w:tc>
          <w:tcPr>
            <w:tcW w:w="1579" w:type="pct"/>
            <w:tcBorders>
              <w:top w:val="single" w:color="000000" w:sz="4" w:space="0"/>
              <w:left w:val="nil"/>
              <w:bottom w:val="single" w:color="000000" w:sz="4" w:space="0"/>
              <w:right w:val="single" w:color="000000" w:sz="4" w:space="0"/>
            </w:tcBorders>
            <w:noWrap/>
            <w:vAlign w:val="center"/>
          </w:tcPr>
          <w:p w14:paraId="7BB0F5D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行政事业单位养老支出</w:t>
            </w:r>
          </w:p>
        </w:tc>
        <w:tc>
          <w:tcPr>
            <w:tcW w:w="1055" w:type="pct"/>
            <w:tcBorders>
              <w:top w:val="single" w:color="000000" w:sz="4" w:space="0"/>
              <w:left w:val="nil"/>
              <w:bottom w:val="single" w:color="000000" w:sz="4" w:space="0"/>
              <w:right w:val="single" w:color="000000" w:sz="4" w:space="0"/>
            </w:tcBorders>
            <w:noWrap/>
            <w:vAlign w:val="center"/>
          </w:tcPr>
          <w:p w14:paraId="10C58D7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683" w:type="pct"/>
            <w:tcBorders>
              <w:top w:val="single" w:color="000000" w:sz="4" w:space="0"/>
              <w:left w:val="nil"/>
              <w:bottom w:val="single" w:color="000000" w:sz="4" w:space="0"/>
              <w:right w:val="single" w:color="000000" w:sz="4" w:space="0"/>
            </w:tcBorders>
            <w:noWrap/>
            <w:vAlign w:val="center"/>
          </w:tcPr>
          <w:p w14:paraId="2CAD3F2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6.22</w:t>
            </w:r>
          </w:p>
        </w:tc>
        <w:tc>
          <w:tcPr>
            <w:tcW w:w="827" w:type="pct"/>
            <w:tcBorders>
              <w:top w:val="single" w:color="000000" w:sz="4" w:space="0"/>
              <w:left w:val="nil"/>
              <w:bottom w:val="single" w:color="000000" w:sz="4" w:space="0"/>
              <w:right w:val="single" w:color="000000" w:sz="4" w:space="0"/>
            </w:tcBorders>
            <w:noWrap/>
            <w:vAlign w:val="center"/>
          </w:tcPr>
          <w:p w14:paraId="55A8550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7F6038B4">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6FC741E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2080501</w:t>
            </w:r>
          </w:p>
        </w:tc>
        <w:tc>
          <w:tcPr>
            <w:tcW w:w="1579" w:type="pct"/>
            <w:tcBorders>
              <w:top w:val="single" w:color="000000" w:sz="4" w:space="0"/>
              <w:left w:val="nil"/>
              <w:bottom w:val="single" w:color="000000" w:sz="4" w:space="0"/>
              <w:right w:val="single" w:color="000000" w:sz="4" w:space="0"/>
            </w:tcBorders>
            <w:noWrap/>
            <w:vAlign w:val="center"/>
          </w:tcPr>
          <w:p w14:paraId="1AEE4E6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行政单位离退休</w:t>
            </w:r>
          </w:p>
        </w:tc>
        <w:tc>
          <w:tcPr>
            <w:tcW w:w="1055" w:type="pct"/>
            <w:tcBorders>
              <w:top w:val="single" w:color="000000" w:sz="4" w:space="0"/>
              <w:left w:val="nil"/>
              <w:bottom w:val="single" w:color="000000" w:sz="4" w:space="0"/>
              <w:right w:val="single" w:color="000000" w:sz="4" w:space="0"/>
            </w:tcBorders>
            <w:noWrap/>
            <w:vAlign w:val="center"/>
          </w:tcPr>
          <w:p w14:paraId="666EDE5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683" w:type="pct"/>
            <w:tcBorders>
              <w:top w:val="single" w:color="000000" w:sz="4" w:space="0"/>
              <w:left w:val="nil"/>
              <w:bottom w:val="single" w:color="000000" w:sz="4" w:space="0"/>
              <w:right w:val="single" w:color="000000" w:sz="4" w:space="0"/>
            </w:tcBorders>
            <w:noWrap/>
            <w:vAlign w:val="center"/>
          </w:tcPr>
          <w:p w14:paraId="116FF92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6.22</w:t>
            </w:r>
          </w:p>
        </w:tc>
        <w:tc>
          <w:tcPr>
            <w:tcW w:w="827" w:type="pct"/>
            <w:tcBorders>
              <w:top w:val="single" w:color="000000" w:sz="4" w:space="0"/>
              <w:left w:val="nil"/>
              <w:bottom w:val="single" w:color="000000" w:sz="4" w:space="0"/>
              <w:right w:val="single" w:color="000000" w:sz="4" w:space="0"/>
            </w:tcBorders>
            <w:noWrap/>
            <w:vAlign w:val="center"/>
          </w:tcPr>
          <w:p w14:paraId="7B4ED31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0B3709C9">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423798C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w:t>
            </w:r>
          </w:p>
        </w:tc>
        <w:tc>
          <w:tcPr>
            <w:tcW w:w="1579" w:type="pct"/>
            <w:tcBorders>
              <w:top w:val="single" w:color="000000" w:sz="4" w:space="0"/>
              <w:left w:val="nil"/>
              <w:bottom w:val="single" w:color="000000" w:sz="4" w:space="0"/>
              <w:right w:val="single" w:color="000000" w:sz="4" w:space="0"/>
            </w:tcBorders>
            <w:noWrap/>
            <w:vAlign w:val="center"/>
          </w:tcPr>
          <w:p w14:paraId="334BF5D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卫生健康支出</w:t>
            </w:r>
          </w:p>
        </w:tc>
        <w:tc>
          <w:tcPr>
            <w:tcW w:w="1055" w:type="pct"/>
            <w:tcBorders>
              <w:top w:val="single" w:color="000000" w:sz="4" w:space="0"/>
              <w:left w:val="nil"/>
              <w:bottom w:val="single" w:color="000000" w:sz="4" w:space="0"/>
              <w:right w:val="single" w:color="000000" w:sz="4" w:space="0"/>
            </w:tcBorders>
            <w:noWrap/>
            <w:vAlign w:val="center"/>
          </w:tcPr>
          <w:p w14:paraId="1E3BD35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83" w:type="pct"/>
            <w:tcBorders>
              <w:top w:val="single" w:color="000000" w:sz="4" w:space="0"/>
              <w:left w:val="nil"/>
              <w:bottom w:val="single" w:color="000000" w:sz="4" w:space="0"/>
              <w:right w:val="single" w:color="000000" w:sz="4" w:space="0"/>
            </w:tcBorders>
            <w:noWrap/>
            <w:vAlign w:val="center"/>
          </w:tcPr>
          <w:p w14:paraId="45C8569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827" w:type="pct"/>
            <w:tcBorders>
              <w:top w:val="single" w:color="000000" w:sz="4" w:space="0"/>
              <w:left w:val="nil"/>
              <w:bottom w:val="single" w:color="000000" w:sz="4" w:space="0"/>
              <w:right w:val="single" w:color="000000" w:sz="4" w:space="0"/>
            </w:tcBorders>
            <w:noWrap/>
            <w:vAlign w:val="center"/>
          </w:tcPr>
          <w:p w14:paraId="240F9BC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06102838">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7EF2F7E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21015</w:t>
            </w:r>
          </w:p>
        </w:tc>
        <w:tc>
          <w:tcPr>
            <w:tcW w:w="1579" w:type="pct"/>
            <w:tcBorders>
              <w:top w:val="single" w:color="000000" w:sz="4" w:space="0"/>
              <w:left w:val="nil"/>
              <w:bottom w:val="single" w:color="000000" w:sz="4" w:space="0"/>
              <w:right w:val="single" w:color="000000" w:sz="4" w:space="0"/>
            </w:tcBorders>
            <w:noWrap/>
            <w:vAlign w:val="center"/>
          </w:tcPr>
          <w:p w14:paraId="5E74BBC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医疗保障管理事务</w:t>
            </w:r>
          </w:p>
        </w:tc>
        <w:tc>
          <w:tcPr>
            <w:tcW w:w="1055" w:type="pct"/>
            <w:tcBorders>
              <w:top w:val="single" w:color="000000" w:sz="4" w:space="0"/>
              <w:left w:val="nil"/>
              <w:bottom w:val="single" w:color="000000" w:sz="4" w:space="0"/>
              <w:right w:val="single" w:color="000000" w:sz="4" w:space="0"/>
            </w:tcBorders>
            <w:noWrap/>
            <w:vAlign w:val="center"/>
          </w:tcPr>
          <w:p w14:paraId="1765BB9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683" w:type="pct"/>
            <w:tcBorders>
              <w:top w:val="single" w:color="000000" w:sz="4" w:space="0"/>
              <w:left w:val="nil"/>
              <w:bottom w:val="single" w:color="000000" w:sz="4" w:space="0"/>
              <w:right w:val="single" w:color="000000" w:sz="4" w:space="0"/>
            </w:tcBorders>
            <w:noWrap/>
            <w:vAlign w:val="center"/>
          </w:tcPr>
          <w:p w14:paraId="5286C2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22.50</w:t>
            </w:r>
          </w:p>
        </w:tc>
        <w:tc>
          <w:tcPr>
            <w:tcW w:w="827" w:type="pct"/>
            <w:tcBorders>
              <w:top w:val="single" w:color="000000" w:sz="4" w:space="0"/>
              <w:left w:val="nil"/>
              <w:bottom w:val="single" w:color="000000" w:sz="4" w:space="0"/>
              <w:right w:val="single" w:color="000000" w:sz="4" w:space="0"/>
            </w:tcBorders>
            <w:noWrap/>
            <w:vAlign w:val="center"/>
          </w:tcPr>
          <w:p w14:paraId="0F38872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3CFB8FDF">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107440F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2101501</w:t>
            </w:r>
          </w:p>
        </w:tc>
        <w:tc>
          <w:tcPr>
            <w:tcW w:w="1579" w:type="pct"/>
            <w:tcBorders>
              <w:top w:val="single" w:color="000000" w:sz="4" w:space="0"/>
              <w:left w:val="nil"/>
              <w:bottom w:val="single" w:color="000000" w:sz="4" w:space="0"/>
              <w:right w:val="single" w:color="000000" w:sz="4" w:space="0"/>
            </w:tcBorders>
            <w:noWrap/>
            <w:vAlign w:val="center"/>
          </w:tcPr>
          <w:p w14:paraId="4DE5E3F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行政运行</w:t>
            </w:r>
          </w:p>
        </w:tc>
        <w:tc>
          <w:tcPr>
            <w:tcW w:w="1055" w:type="pct"/>
            <w:tcBorders>
              <w:top w:val="single" w:color="000000" w:sz="4" w:space="0"/>
              <w:left w:val="nil"/>
              <w:bottom w:val="single" w:color="000000" w:sz="4" w:space="0"/>
              <w:right w:val="single" w:color="000000" w:sz="4" w:space="0"/>
            </w:tcBorders>
            <w:noWrap/>
            <w:vAlign w:val="center"/>
          </w:tcPr>
          <w:p w14:paraId="0111E12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683" w:type="pct"/>
            <w:tcBorders>
              <w:top w:val="single" w:color="000000" w:sz="4" w:space="0"/>
              <w:left w:val="nil"/>
              <w:bottom w:val="single" w:color="000000" w:sz="4" w:space="0"/>
              <w:right w:val="single" w:color="000000" w:sz="4" w:space="0"/>
            </w:tcBorders>
            <w:noWrap/>
            <w:vAlign w:val="center"/>
          </w:tcPr>
          <w:p w14:paraId="1695098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22.50</w:t>
            </w:r>
          </w:p>
        </w:tc>
        <w:tc>
          <w:tcPr>
            <w:tcW w:w="827" w:type="pct"/>
            <w:tcBorders>
              <w:top w:val="single" w:color="000000" w:sz="4" w:space="0"/>
              <w:left w:val="nil"/>
              <w:bottom w:val="single" w:color="000000" w:sz="4" w:space="0"/>
              <w:right w:val="single" w:color="000000" w:sz="4" w:space="0"/>
            </w:tcBorders>
            <w:noWrap/>
            <w:vAlign w:val="center"/>
          </w:tcPr>
          <w:p w14:paraId="604190D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r w14:paraId="2B31F25C">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07A30F1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w:t>
            </w:r>
          </w:p>
        </w:tc>
        <w:tc>
          <w:tcPr>
            <w:tcW w:w="1579" w:type="pct"/>
            <w:tcBorders>
              <w:top w:val="single" w:color="000000" w:sz="4" w:space="0"/>
              <w:left w:val="nil"/>
              <w:bottom w:val="single" w:color="000000" w:sz="4" w:space="0"/>
              <w:right w:val="single" w:color="000000" w:sz="4" w:space="0"/>
            </w:tcBorders>
            <w:noWrap/>
            <w:vAlign w:val="center"/>
          </w:tcPr>
          <w:p w14:paraId="54945A8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住房保障支出</w:t>
            </w:r>
          </w:p>
        </w:tc>
        <w:tc>
          <w:tcPr>
            <w:tcW w:w="1055" w:type="pct"/>
            <w:tcBorders>
              <w:top w:val="single" w:color="000000" w:sz="4" w:space="0"/>
              <w:left w:val="nil"/>
              <w:bottom w:val="single" w:color="000000" w:sz="4" w:space="0"/>
              <w:right w:val="single" w:color="000000" w:sz="4" w:space="0"/>
            </w:tcBorders>
            <w:noWrap/>
            <w:vAlign w:val="center"/>
          </w:tcPr>
          <w:p w14:paraId="2858A47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83" w:type="pct"/>
            <w:tcBorders>
              <w:top w:val="single" w:color="000000" w:sz="4" w:space="0"/>
              <w:left w:val="nil"/>
              <w:bottom w:val="single" w:color="000000" w:sz="4" w:space="0"/>
              <w:right w:val="single" w:color="000000" w:sz="4" w:space="0"/>
            </w:tcBorders>
            <w:noWrap/>
            <w:vAlign w:val="center"/>
          </w:tcPr>
          <w:p w14:paraId="3AD2092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827" w:type="pct"/>
            <w:tcBorders>
              <w:top w:val="single" w:color="000000" w:sz="4" w:space="0"/>
              <w:left w:val="nil"/>
              <w:bottom w:val="single" w:color="000000" w:sz="4" w:space="0"/>
              <w:right w:val="single" w:color="000000" w:sz="4" w:space="0"/>
            </w:tcBorders>
            <w:noWrap/>
            <w:vAlign w:val="center"/>
          </w:tcPr>
          <w:p w14:paraId="7940708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48F1CAB7">
        <w:tblPrEx>
          <w:tblCellMar>
            <w:top w:w="0" w:type="dxa"/>
            <w:left w:w="108" w:type="dxa"/>
            <w:bottom w:w="0" w:type="dxa"/>
            <w:right w:w="108" w:type="dxa"/>
          </w:tblCellMar>
        </w:tblPrEx>
        <w:trPr>
          <w:cantSplit/>
          <w:trHeight w:val="390"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4960A9C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22102</w:t>
            </w:r>
          </w:p>
        </w:tc>
        <w:tc>
          <w:tcPr>
            <w:tcW w:w="1579" w:type="pct"/>
            <w:tcBorders>
              <w:top w:val="single" w:color="000000" w:sz="4" w:space="0"/>
              <w:left w:val="nil"/>
              <w:bottom w:val="single" w:color="000000" w:sz="4" w:space="0"/>
              <w:right w:val="single" w:color="000000" w:sz="4" w:space="0"/>
            </w:tcBorders>
            <w:noWrap/>
            <w:vAlign w:val="center"/>
          </w:tcPr>
          <w:p w14:paraId="28098CF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住房改革支出</w:t>
            </w:r>
          </w:p>
        </w:tc>
        <w:tc>
          <w:tcPr>
            <w:tcW w:w="1055" w:type="pct"/>
            <w:tcBorders>
              <w:top w:val="single" w:color="000000" w:sz="4" w:space="0"/>
              <w:left w:val="nil"/>
              <w:bottom w:val="single" w:color="000000" w:sz="4" w:space="0"/>
              <w:right w:val="single" w:color="000000" w:sz="4" w:space="0"/>
            </w:tcBorders>
            <w:noWrap/>
            <w:vAlign w:val="center"/>
          </w:tcPr>
          <w:p w14:paraId="0BC2296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683" w:type="pct"/>
            <w:tcBorders>
              <w:top w:val="single" w:color="000000" w:sz="4" w:space="0"/>
              <w:left w:val="nil"/>
              <w:bottom w:val="single" w:color="000000" w:sz="4" w:space="0"/>
              <w:right w:val="single" w:color="000000" w:sz="4" w:space="0"/>
            </w:tcBorders>
            <w:noWrap/>
            <w:vAlign w:val="center"/>
          </w:tcPr>
          <w:p w14:paraId="6120359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27.40</w:t>
            </w:r>
          </w:p>
        </w:tc>
        <w:tc>
          <w:tcPr>
            <w:tcW w:w="827" w:type="pct"/>
            <w:tcBorders>
              <w:top w:val="single" w:color="000000" w:sz="4" w:space="0"/>
              <w:left w:val="nil"/>
              <w:bottom w:val="single" w:color="000000" w:sz="4" w:space="0"/>
              <w:right w:val="single" w:color="000000" w:sz="4" w:space="0"/>
            </w:tcBorders>
            <w:noWrap/>
            <w:vAlign w:val="center"/>
          </w:tcPr>
          <w:p w14:paraId="2A6844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0.00</w:t>
            </w:r>
          </w:p>
        </w:tc>
      </w:tr>
      <w:tr w14:paraId="75D3B86D">
        <w:tblPrEx>
          <w:tblCellMar>
            <w:top w:w="0" w:type="dxa"/>
            <w:left w:w="108" w:type="dxa"/>
            <w:bottom w:w="0" w:type="dxa"/>
            <w:right w:w="108" w:type="dxa"/>
          </w:tblCellMar>
        </w:tblPrEx>
        <w:trPr>
          <w:cantSplit/>
          <w:trHeight w:val="403" w:hRule="atLeast"/>
        </w:trPr>
        <w:tc>
          <w:tcPr>
            <w:tcW w:w="852" w:type="pct"/>
            <w:tcBorders>
              <w:top w:val="single" w:color="000000" w:sz="4" w:space="0"/>
              <w:left w:val="single" w:color="000000" w:sz="4" w:space="0"/>
              <w:bottom w:val="single" w:color="000000" w:sz="4" w:space="0"/>
              <w:right w:val="single" w:color="000000" w:sz="4" w:space="0"/>
            </w:tcBorders>
            <w:noWrap/>
            <w:vAlign w:val="center"/>
          </w:tcPr>
          <w:p w14:paraId="6EFF748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2210201</w:t>
            </w:r>
          </w:p>
        </w:tc>
        <w:tc>
          <w:tcPr>
            <w:tcW w:w="1579" w:type="pct"/>
            <w:tcBorders>
              <w:top w:val="single" w:color="000000" w:sz="4" w:space="0"/>
              <w:left w:val="nil"/>
              <w:bottom w:val="single" w:color="000000" w:sz="4" w:space="0"/>
              <w:right w:val="single" w:color="000000" w:sz="4" w:space="0"/>
            </w:tcBorders>
            <w:noWrap/>
            <w:vAlign w:val="center"/>
          </w:tcPr>
          <w:p w14:paraId="1B5696E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住房公积金</w:t>
            </w:r>
          </w:p>
        </w:tc>
        <w:tc>
          <w:tcPr>
            <w:tcW w:w="1055" w:type="pct"/>
            <w:tcBorders>
              <w:top w:val="single" w:color="000000" w:sz="4" w:space="0"/>
              <w:left w:val="nil"/>
              <w:bottom w:val="single" w:color="000000" w:sz="4" w:space="0"/>
              <w:right w:val="single" w:color="000000" w:sz="4" w:space="0"/>
            </w:tcBorders>
            <w:noWrap/>
            <w:vAlign w:val="center"/>
          </w:tcPr>
          <w:p w14:paraId="753FE38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683" w:type="pct"/>
            <w:tcBorders>
              <w:top w:val="single" w:color="000000" w:sz="4" w:space="0"/>
              <w:left w:val="nil"/>
              <w:bottom w:val="single" w:color="000000" w:sz="4" w:space="0"/>
              <w:right w:val="single" w:color="000000" w:sz="4" w:space="0"/>
            </w:tcBorders>
            <w:noWrap/>
            <w:vAlign w:val="center"/>
          </w:tcPr>
          <w:p w14:paraId="21F811A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27.40</w:t>
            </w:r>
          </w:p>
        </w:tc>
        <w:tc>
          <w:tcPr>
            <w:tcW w:w="827" w:type="pct"/>
            <w:tcBorders>
              <w:top w:val="single" w:color="000000" w:sz="4" w:space="0"/>
              <w:left w:val="nil"/>
              <w:bottom w:val="single" w:color="000000" w:sz="4" w:space="0"/>
              <w:right w:val="single" w:color="000000" w:sz="4" w:space="0"/>
            </w:tcBorders>
            <w:noWrap/>
            <w:vAlign w:val="center"/>
          </w:tcPr>
          <w:p w14:paraId="3B83200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r>
    </w:tbl>
    <w:p w14:paraId="4D59B1AD">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4924" w:type="pct"/>
        <w:tblInd w:w="0" w:type="dxa"/>
        <w:tblLayout w:type="fixed"/>
        <w:tblCellMar>
          <w:top w:w="0" w:type="dxa"/>
          <w:left w:w="108" w:type="dxa"/>
          <w:bottom w:w="0" w:type="dxa"/>
          <w:right w:w="108" w:type="dxa"/>
        </w:tblCellMar>
      </w:tblPr>
      <w:tblGrid>
        <w:gridCol w:w="1974"/>
        <w:gridCol w:w="3072"/>
        <w:gridCol w:w="1874"/>
        <w:gridCol w:w="1770"/>
        <w:gridCol w:w="1830"/>
      </w:tblGrid>
      <w:tr w14:paraId="1C826ECA">
        <w:tblPrEx>
          <w:tblCellMar>
            <w:top w:w="0" w:type="dxa"/>
            <w:left w:w="108" w:type="dxa"/>
            <w:bottom w:w="0" w:type="dxa"/>
            <w:right w:w="108" w:type="dxa"/>
          </w:tblCellMar>
        </w:tblPrEx>
        <w:trPr>
          <w:trHeight w:val="770" w:hRule="atLeast"/>
        </w:trPr>
        <w:tc>
          <w:tcPr>
            <w:tcW w:w="5000" w:type="pct"/>
            <w:gridSpan w:val="5"/>
            <w:noWrap/>
            <w:vAlign w:val="center"/>
          </w:tcPr>
          <w:p w14:paraId="63A45FA8">
            <w:pPr>
              <w:widowControl/>
              <w:jc w:val="center"/>
              <w:rPr>
                <w:rFonts w:hint="eastAsia" w:ascii="宋体" w:hAnsi="宋体" w:eastAsia="宋体" w:cs="Arial"/>
                <w:b/>
                <w:color w:val="000000"/>
                <w:kern w:val="0"/>
                <w:sz w:val="52"/>
                <w:szCs w:val="52"/>
              </w:rPr>
            </w:pPr>
            <w:r>
              <w:rPr>
                <w:rFonts w:hint="eastAsia" w:asciiTheme="minorEastAsia" w:hAnsiTheme="minorEastAsia" w:eastAsiaTheme="minorEastAsia" w:cstheme="minorEastAsia"/>
                <w:b/>
                <w:bCs/>
                <w:color w:val="000000"/>
                <w:kern w:val="0"/>
                <w:sz w:val="32"/>
                <w:szCs w:val="32"/>
                <w:lang w:bidi="ar"/>
              </w:rPr>
              <w:t>一般公共预算基本支出表</w:t>
            </w:r>
          </w:p>
        </w:tc>
      </w:tr>
      <w:tr w14:paraId="236F046E">
        <w:tblPrEx>
          <w:tblCellMar>
            <w:top w:w="0" w:type="dxa"/>
            <w:left w:w="108" w:type="dxa"/>
            <w:bottom w:w="0" w:type="dxa"/>
            <w:right w:w="108" w:type="dxa"/>
          </w:tblCellMar>
        </w:tblPrEx>
        <w:trPr>
          <w:trHeight w:val="553" w:hRule="atLeast"/>
        </w:trPr>
        <w:tc>
          <w:tcPr>
            <w:tcW w:w="2398" w:type="pct"/>
            <w:gridSpan w:val="2"/>
            <w:noWrap/>
            <w:vAlign w:val="center"/>
          </w:tcPr>
          <w:p w14:paraId="4612CF74">
            <w:pPr>
              <w:widowControl/>
              <w:snapToGrid w:val="0"/>
              <w:jc w:val="lef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bidi="ar"/>
              </w:rPr>
              <w:t>填报单位:067001南昌市青云谱区医疗保障局</w:t>
            </w:r>
          </w:p>
        </w:tc>
        <w:tc>
          <w:tcPr>
            <w:tcW w:w="890" w:type="pct"/>
            <w:noWrap/>
            <w:vAlign w:val="bottom"/>
          </w:tcPr>
          <w:p w14:paraId="457F0185">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841" w:type="pct"/>
            <w:noWrap/>
            <w:vAlign w:val="bottom"/>
          </w:tcPr>
          <w:p w14:paraId="358608FB">
            <w:pPr>
              <w:widowControl/>
              <w:snapToGrid w:val="0"/>
              <w:jc w:val="center"/>
              <w:textAlignment w:val="center"/>
              <w:rPr>
                <w:rFonts w:hint="eastAsia" w:asciiTheme="minorEastAsia" w:hAnsiTheme="minorEastAsia" w:cstheme="minorEastAsia"/>
                <w:color w:val="000000"/>
                <w:kern w:val="0"/>
                <w:sz w:val="16"/>
                <w:szCs w:val="16"/>
                <w:lang w:bidi="ar"/>
              </w:rPr>
            </w:pPr>
          </w:p>
        </w:tc>
        <w:tc>
          <w:tcPr>
            <w:tcW w:w="869" w:type="pct"/>
            <w:noWrap/>
            <w:vAlign w:val="center"/>
          </w:tcPr>
          <w:p w14:paraId="513792D2">
            <w:pPr>
              <w:widowControl/>
              <w:snapToGrid w:val="0"/>
              <w:jc w:val="right"/>
              <w:textAlignment w:val="center"/>
              <w:rPr>
                <w:rFonts w:hint="eastAsia" w:asciiTheme="minorEastAsia" w:hAnsiTheme="minorEastAsia" w:cstheme="minorEastAsia"/>
                <w:color w:val="000000"/>
                <w:kern w:val="0"/>
                <w:sz w:val="16"/>
                <w:szCs w:val="16"/>
                <w:lang w:bidi="ar"/>
              </w:rPr>
            </w:pPr>
            <w:r>
              <w:rPr>
                <w:rFonts w:hint="eastAsia" w:asciiTheme="minorEastAsia" w:hAnsiTheme="minorEastAsia" w:cstheme="minorEastAsia"/>
                <w:color w:val="000000"/>
                <w:kern w:val="0"/>
                <w:sz w:val="21"/>
                <w:szCs w:val="21"/>
                <w:lang w:bidi="ar"/>
              </w:rPr>
              <w:t>单位：万元</w:t>
            </w:r>
          </w:p>
        </w:tc>
      </w:tr>
      <w:tr w14:paraId="6F00F7B5">
        <w:tblPrEx>
          <w:tblCellMar>
            <w:top w:w="0" w:type="dxa"/>
            <w:left w:w="108" w:type="dxa"/>
            <w:bottom w:w="0" w:type="dxa"/>
            <w:right w:w="108" w:type="dxa"/>
          </w:tblCellMar>
        </w:tblPrEx>
        <w:trPr>
          <w:cantSplit/>
          <w:trHeight w:val="386" w:hRule="atLeast"/>
        </w:trPr>
        <w:tc>
          <w:tcPr>
            <w:tcW w:w="2398" w:type="pct"/>
            <w:gridSpan w:val="2"/>
            <w:tcBorders>
              <w:top w:val="single" w:color="000000" w:sz="4" w:space="0"/>
              <w:left w:val="single" w:color="000000" w:sz="4" w:space="0"/>
              <w:bottom w:val="single" w:color="000000" w:sz="4" w:space="0"/>
              <w:right w:val="single" w:color="000000" w:sz="4" w:space="0"/>
            </w:tcBorders>
            <w:noWrap/>
            <w:vAlign w:val="center"/>
          </w:tcPr>
          <w:p w14:paraId="5BBF36E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支出经济分类科目</w:t>
            </w:r>
          </w:p>
        </w:tc>
        <w:tc>
          <w:tcPr>
            <w:tcW w:w="2601" w:type="pct"/>
            <w:gridSpan w:val="3"/>
            <w:tcBorders>
              <w:top w:val="single" w:color="000000" w:sz="4" w:space="0"/>
              <w:left w:val="nil"/>
              <w:bottom w:val="single" w:color="000000" w:sz="4" w:space="0"/>
              <w:right w:val="single" w:color="000000" w:sz="4" w:space="0"/>
            </w:tcBorders>
            <w:noWrap/>
            <w:vAlign w:val="center"/>
          </w:tcPr>
          <w:p w14:paraId="4462FB1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年基本支出</w:t>
            </w:r>
          </w:p>
        </w:tc>
      </w:tr>
      <w:tr w14:paraId="260F90C1">
        <w:tblPrEx>
          <w:tblCellMar>
            <w:top w:w="0" w:type="dxa"/>
            <w:left w:w="108" w:type="dxa"/>
            <w:bottom w:w="0" w:type="dxa"/>
            <w:right w:w="108" w:type="dxa"/>
          </w:tblCellMar>
        </w:tblPrEx>
        <w:trPr>
          <w:cantSplit/>
          <w:trHeight w:val="386" w:hRule="atLeast"/>
        </w:trPr>
        <w:tc>
          <w:tcPr>
            <w:tcW w:w="938" w:type="pct"/>
            <w:tcBorders>
              <w:top w:val="nil"/>
              <w:left w:val="single" w:color="000000" w:sz="4" w:space="0"/>
              <w:bottom w:val="single" w:color="000000" w:sz="4" w:space="0"/>
              <w:right w:val="single" w:color="000000" w:sz="4" w:space="0"/>
            </w:tcBorders>
            <w:noWrap/>
            <w:vAlign w:val="center"/>
          </w:tcPr>
          <w:p w14:paraId="2EF2417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460" w:type="pct"/>
            <w:tcBorders>
              <w:top w:val="nil"/>
              <w:left w:val="nil"/>
              <w:bottom w:val="single" w:color="000000" w:sz="4" w:space="0"/>
              <w:right w:val="nil"/>
            </w:tcBorders>
            <w:noWrap/>
            <w:vAlign w:val="center"/>
          </w:tcPr>
          <w:p w14:paraId="42B6794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890" w:type="pct"/>
            <w:tcBorders>
              <w:top w:val="nil"/>
              <w:left w:val="single" w:color="000000" w:sz="4" w:space="0"/>
              <w:bottom w:val="single" w:color="000000" w:sz="4" w:space="0"/>
              <w:right w:val="single" w:color="000000" w:sz="4" w:space="0"/>
            </w:tcBorders>
            <w:noWrap/>
            <w:vAlign w:val="center"/>
          </w:tcPr>
          <w:p w14:paraId="6637AB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841" w:type="pct"/>
            <w:tcBorders>
              <w:top w:val="nil"/>
              <w:left w:val="nil"/>
              <w:bottom w:val="single" w:color="000000" w:sz="4" w:space="0"/>
              <w:right w:val="single" w:color="000000" w:sz="4" w:space="0"/>
            </w:tcBorders>
            <w:noWrap/>
            <w:vAlign w:val="center"/>
          </w:tcPr>
          <w:p w14:paraId="58F25EF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人员经费</w:t>
            </w:r>
          </w:p>
        </w:tc>
        <w:tc>
          <w:tcPr>
            <w:tcW w:w="869" w:type="pct"/>
            <w:tcBorders>
              <w:top w:val="nil"/>
              <w:left w:val="nil"/>
              <w:bottom w:val="single" w:color="000000" w:sz="4" w:space="0"/>
              <w:right w:val="single" w:color="000000" w:sz="4" w:space="0"/>
            </w:tcBorders>
            <w:noWrap/>
            <w:vAlign w:val="center"/>
          </w:tcPr>
          <w:p w14:paraId="527919E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公用经费</w:t>
            </w:r>
          </w:p>
        </w:tc>
      </w:tr>
      <w:tr w14:paraId="52F635BD">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5018C9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5D8C31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2CC3710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05D398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22FD5C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w:t>
            </w:r>
          </w:p>
        </w:tc>
      </w:tr>
      <w:tr w14:paraId="2B0685F6">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F80F286">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1F1609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合计</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399296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376.89</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141E79B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318.77</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EE8488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58.12</w:t>
            </w:r>
          </w:p>
        </w:tc>
      </w:tr>
      <w:tr w14:paraId="19F54658">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C461E4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7DCAAA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工资福利支出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F3F97B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318.20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4DCCE3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318.20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9FBDEC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r>
      <w:tr w14:paraId="7835733D">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872E4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F5837F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基本工资</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6CBD438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68.30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448CB6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68.30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124149E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54DDCDB5">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5D8FEF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CF438D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津贴补贴</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924812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14.20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1446000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14.20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2C78B1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06603620">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3491CB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9F546D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奖金</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16B10F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26.36</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CB5966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26.36</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CD20B3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6A203985">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5CDDCA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30106</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B655B7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伙食补助费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54631BE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14.00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1B147CD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14.00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DFCDD0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49CC8A9E">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C40728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896516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绩效工资</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BA33C3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86.57</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6119AF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86.57</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F5921D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A8A7870">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085E7A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30108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3F321F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机关事业单位基本养老保险缴费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877CF5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27.92</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1E16930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27.92</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AD81E8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2D7CB4D4">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CA3466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79B4FD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职工基本医疗保险缴费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91DD1F7">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11.86</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AC75E8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11.86</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A419DD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1C47BF95">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29A46BC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234F2D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公务员医疗补助缴费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59D7819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12.64</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234DBD6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12.64</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6F457B0">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11C84D13">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5EBA88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4872F5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其他社会保障缴费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3EC227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1.15</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6F8F4CC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1.15</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96E977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1BBA206A">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C2262F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34BF8FD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住房公积金</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3F438F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32.40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21D0DE6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32.40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26E442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F9DA87A">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453402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30199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03F413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其他工资福利支出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B455DE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22.80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735B6A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22.80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63B4CA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4AC68D3F">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C317A9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0F0BE11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商品和服务支出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222700F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57.28</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D338AB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8C4DF0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57.28</w:t>
            </w:r>
          </w:p>
        </w:tc>
      </w:tr>
      <w:tr w14:paraId="4D25613A">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9AA530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30201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1006E8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办公费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9F0C0AE">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11.16</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86D24E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2542EB3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11.16</w:t>
            </w:r>
          </w:p>
        </w:tc>
      </w:tr>
      <w:tr w14:paraId="7A66C2A0">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728D77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635EF3C3">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邮电费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954171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0.40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273F32E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E6D51B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0.40</w:t>
            </w:r>
          </w:p>
        </w:tc>
      </w:tr>
      <w:tr w14:paraId="44002DC5">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340E30C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30211</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1E0088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差旅费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301A032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0.60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78FD2AD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07AABE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0.60</w:t>
            </w:r>
          </w:p>
        </w:tc>
      </w:tr>
      <w:tr w14:paraId="089F9F77">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1053B3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30213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463D4E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维修（护）费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F57B47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1A3F5B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7E30E31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r>
      <w:tr w14:paraId="2323AEF4">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5B8C489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30217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4645D7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公务接待费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1472BB6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91414D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6349152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0.50</w:t>
            </w:r>
          </w:p>
        </w:tc>
      </w:tr>
      <w:tr w14:paraId="601B5557">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45B800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30227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E413A1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委托业务费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29DCB11E">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19.20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08F97D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574B5B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19.20</w:t>
            </w:r>
          </w:p>
        </w:tc>
      </w:tr>
      <w:tr w14:paraId="793D8245">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16361EE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30228</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1639D74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工会经费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8F653E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13.32</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354D15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36ED490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13.32</w:t>
            </w:r>
          </w:p>
        </w:tc>
      </w:tr>
      <w:tr w14:paraId="6FC3C3FC">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CC95B0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30299</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256ED8B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其他商品和服务支出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08D193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11.60</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17A7E3F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ADCED7F">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11.60</w:t>
            </w:r>
          </w:p>
        </w:tc>
      </w:tr>
      <w:tr w14:paraId="7ECB4A01">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3E996C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303</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8F2C6E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对个人和家庭的补助</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7BC16039">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0.57</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320DE91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0.57</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08982E4">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r>
      <w:tr w14:paraId="1AC6F2FD">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7E1291A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30302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666E7D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退休费</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59C8C106">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0.22</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983D89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0.22</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0DE07D33">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7AD699CC">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07CCFDB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30307</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702D386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医疗费补助</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6C44B261">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0.35</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6FCCFB4C">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0.35</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10AB0DB8">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r>
      <w:tr w14:paraId="1E29D7BD">
        <w:tblPrEx>
          <w:tblCellMar>
            <w:top w:w="0" w:type="dxa"/>
            <w:left w:w="108" w:type="dxa"/>
            <w:bottom w:w="0" w:type="dxa"/>
            <w:right w:w="108" w:type="dxa"/>
          </w:tblCellMar>
        </w:tblPrEx>
        <w:trPr>
          <w:cantSplit/>
          <w:trHeight w:val="386"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4FBF4A6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310</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45B7C71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color w:val="000000"/>
                <w:kern w:val="0"/>
                <w:sz w:val="21"/>
                <w:szCs w:val="21"/>
                <w:lang w:bidi="ar"/>
              </w:rPr>
              <w:t>资本性支出</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06E88A2A">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0.84</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008B489B">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51E47BA5">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color w:val="000000"/>
                <w:kern w:val="0"/>
                <w:sz w:val="21"/>
                <w:szCs w:val="21"/>
                <w:lang w:val="en-US" w:eastAsia="zh-CN" w:bidi="ar"/>
              </w:rPr>
              <w:t>0.84</w:t>
            </w:r>
          </w:p>
        </w:tc>
      </w:tr>
      <w:tr w14:paraId="7C5AA452">
        <w:tblPrEx>
          <w:tblCellMar>
            <w:top w:w="0" w:type="dxa"/>
            <w:left w:w="108" w:type="dxa"/>
            <w:bottom w:w="0" w:type="dxa"/>
            <w:right w:w="108" w:type="dxa"/>
          </w:tblCellMar>
        </w:tblPrEx>
        <w:trPr>
          <w:cantSplit/>
          <w:trHeight w:val="399" w:hRule="atLeast"/>
        </w:trPr>
        <w:tc>
          <w:tcPr>
            <w:tcW w:w="938" w:type="pct"/>
            <w:tcBorders>
              <w:top w:val="single" w:color="000000" w:sz="4" w:space="0"/>
              <w:left w:val="single" w:color="000000" w:sz="4" w:space="0"/>
              <w:bottom w:val="single" w:color="000000" w:sz="4" w:space="0"/>
              <w:right w:val="single" w:color="000000" w:sz="4" w:space="0"/>
            </w:tcBorders>
            <w:noWrap/>
            <w:vAlign w:val="center"/>
          </w:tcPr>
          <w:p w14:paraId="6639FBE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31002</w:t>
            </w:r>
          </w:p>
        </w:tc>
        <w:tc>
          <w:tcPr>
            <w:tcW w:w="1460" w:type="pct"/>
            <w:tcBorders>
              <w:top w:val="single" w:color="000000" w:sz="4" w:space="0"/>
              <w:left w:val="single" w:color="000000" w:sz="4" w:space="0"/>
              <w:bottom w:val="single" w:color="000000" w:sz="4" w:space="0"/>
              <w:right w:val="single" w:color="000000" w:sz="4" w:space="0"/>
            </w:tcBorders>
            <w:noWrap/>
            <w:vAlign w:val="center"/>
          </w:tcPr>
          <w:p w14:paraId="5361783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办公设备购置</w:t>
            </w:r>
          </w:p>
        </w:tc>
        <w:tc>
          <w:tcPr>
            <w:tcW w:w="890" w:type="pct"/>
            <w:tcBorders>
              <w:top w:val="single" w:color="000000" w:sz="4" w:space="0"/>
              <w:left w:val="single" w:color="000000" w:sz="4" w:space="0"/>
              <w:bottom w:val="single" w:color="000000" w:sz="4" w:space="0"/>
              <w:right w:val="single" w:color="000000" w:sz="4" w:space="0"/>
            </w:tcBorders>
            <w:noWrap/>
            <w:vAlign w:val="center"/>
          </w:tcPr>
          <w:p w14:paraId="4F140FFD">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0.84</w:t>
            </w:r>
          </w:p>
        </w:tc>
        <w:tc>
          <w:tcPr>
            <w:tcW w:w="841" w:type="pct"/>
            <w:tcBorders>
              <w:top w:val="single" w:color="000000" w:sz="4" w:space="0"/>
              <w:left w:val="single" w:color="000000" w:sz="4" w:space="0"/>
              <w:bottom w:val="single" w:color="000000" w:sz="4" w:space="0"/>
              <w:right w:val="single" w:color="000000" w:sz="4" w:space="0"/>
            </w:tcBorders>
            <w:noWrap/>
            <w:vAlign w:val="center"/>
          </w:tcPr>
          <w:p w14:paraId="4C4983C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0.00</w:t>
            </w:r>
          </w:p>
        </w:tc>
        <w:tc>
          <w:tcPr>
            <w:tcW w:w="869" w:type="pct"/>
            <w:tcBorders>
              <w:top w:val="single" w:color="000000" w:sz="4" w:space="0"/>
              <w:left w:val="single" w:color="000000" w:sz="4" w:space="0"/>
              <w:bottom w:val="single" w:color="000000" w:sz="4" w:space="0"/>
              <w:right w:val="single" w:color="000000" w:sz="4" w:space="0"/>
            </w:tcBorders>
            <w:noWrap/>
            <w:vAlign w:val="center"/>
          </w:tcPr>
          <w:p w14:paraId="44A58192">
            <w:pPr>
              <w:widowControl/>
              <w:snapToGrid w:val="0"/>
              <w:jc w:val="center"/>
              <w:textAlignment w:val="center"/>
              <w:rPr>
                <w:rFonts w:hint="default"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val="en-US" w:eastAsia="zh-CN" w:bidi="ar"/>
              </w:rPr>
              <w:t>0.84</w:t>
            </w:r>
          </w:p>
        </w:tc>
      </w:tr>
    </w:tbl>
    <w:p w14:paraId="0F79D1B8">
      <w:pPr>
        <w:widowControl/>
        <w:jc w:val="left"/>
        <w:rPr>
          <w:rStyle w:val="12"/>
          <w:rFonts w:ascii="仿宋" w:hAnsi="仿宋" w:eastAsia="仿宋"/>
          <w:bCs/>
          <w:sz w:val="32"/>
          <w:szCs w:val="32"/>
        </w:rPr>
        <w:sectPr>
          <w:pgSz w:w="11906" w:h="16838"/>
          <w:pgMar w:top="720" w:right="720" w:bottom="720" w:left="720" w:header="851" w:footer="992" w:gutter="0"/>
          <w:cols w:space="720" w:num="1"/>
          <w:docGrid w:type="lines" w:linePitch="312" w:charSpace="0"/>
        </w:sectPr>
      </w:pPr>
    </w:p>
    <w:tbl>
      <w:tblPr>
        <w:tblStyle w:val="6"/>
        <w:tblW w:w="5007" w:type="pct"/>
        <w:tblInd w:w="0" w:type="dxa"/>
        <w:tblLayout w:type="fixed"/>
        <w:tblCellMar>
          <w:top w:w="0" w:type="dxa"/>
          <w:left w:w="108" w:type="dxa"/>
          <w:bottom w:w="0" w:type="dxa"/>
          <w:right w:w="108" w:type="dxa"/>
        </w:tblCellMar>
      </w:tblPr>
      <w:tblGrid>
        <w:gridCol w:w="1363"/>
        <w:gridCol w:w="649"/>
        <w:gridCol w:w="1464"/>
        <w:gridCol w:w="1152"/>
        <w:gridCol w:w="1587"/>
        <w:gridCol w:w="1013"/>
        <w:gridCol w:w="1275"/>
        <w:gridCol w:w="1161"/>
        <w:gridCol w:w="1034"/>
      </w:tblGrid>
      <w:tr w14:paraId="3C8A785B">
        <w:tblPrEx>
          <w:tblCellMar>
            <w:top w:w="0" w:type="dxa"/>
            <w:left w:w="108" w:type="dxa"/>
            <w:bottom w:w="0" w:type="dxa"/>
            <w:right w:w="108" w:type="dxa"/>
          </w:tblCellMar>
        </w:tblPrEx>
        <w:trPr>
          <w:trHeight w:val="697" w:hRule="atLeast"/>
          <w:tblHeader/>
        </w:trPr>
        <w:tc>
          <w:tcPr>
            <w:tcW w:w="637" w:type="pct"/>
            <w:noWrap/>
            <w:vAlign w:val="bottom"/>
          </w:tcPr>
          <w:p w14:paraId="2BAEE3BB">
            <w:pPr>
              <w:widowControl/>
              <w:jc w:val="left"/>
              <w:rPr>
                <w:rFonts w:hint="eastAsia" w:ascii="宋体" w:hAnsi="宋体" w:eastAsia="宋体" w:cs="宋体"/>
                <w:kern w:val="0"/>
                <w:sz w:val="32"/>
                <w:szCs w:val="32"/>
              </w:rPr>
            </w:pPr>
            <w:r>
              <w:rPr>
                <w:rFonts w:ascii="Times New Roman" w:hAnsi="Times New Roman" w:eastAsia="宋体"/>
                <w:kern w:val="0"/>
                <w:sz w:val="22"/>
                <w:szCs w:val="22"/>
              </w:rPr>
              <w:br w:type="page"/>
            </w:r>
          </w:p>
        </w:tc>
        <w:tc>
          <w:tcPr>
            <w:tcW w:w="303" w:type="pct"/>
            <w:noWrap/>
            <w:vAlign w:val="bottom"/>
          </w:tcPr>
          <w:p w14:paraId="5E38D71F">
            <w:pPr>
              <w:widowControl/>
              <w:jc w:val="left"/>
              <w:rPr>
                <w:rFonts w:ascii="Times New Roman" w:hAnsi="Times New Roman" w:eastAsia="宋体"/>
                <w:kern w:val="0"/>
                <w:sz w:val="22"/>
                <w:szCs w:val="22"/>
              </w:rPr>
            </w:pPr>
          </w:p>
        </w:tc>
        <w:tc>
          <w:tcPr>
            <w:tcW w:w="684" w:type="pct"/>
            <w:noWrap/>
            <w:vAlign w:val="bottom"/>
          </w:tcPr>
          <w:p w14:paraId="6B4425A3">
            <w:pPr>
              <w:widowControl/>
              <w:jc w:val="left"/>
              <w:rPr>
                <w:rFonts w:ascii="Times New Roman" w:hAnsi="Times New Roman" w:eastAsia="宋体"/>
                <w:kern w:val="0"/>
                <w:sz w:val="22"/>
                <w:szCs w:val="22"/>
              </w:rPr>
            </w:pPr>
          </w:p>
        </w:tc>
        <w:tc>
          <w:tcPr>
            <w:tcW w:w="538" w:type="pct"/>
            <w:noWrap/>
            <w:vAlign w:val="bottom"/>
          </w:tcPr>
          <w:p w14:paraId="4B6F7728">
            <w:pPr>
              <w:widowControl/>
              <w:jc w:val="left"/>
              <w:rPr>
                <w:rFonts w:ascii="Times New Roman" w:hAnsi="Times New Roman" w:eastAsia="宋体"/>
                <w:kern w:val="0"/>
                <w:sz w:val="22"/>
                <w:szCs w:val="22"/>
              </w:rPr>
            </w:pPr>
          </w:p>
        </w:tc>
        <w:tc>
          <w:tcPr>
            <w:tcW w:w="2836" w:type="pct"/>
            <w:gridSpan w:val="5"/>
            <w:noWrap/>
            <w:vAlign w:val="center"/>
          </w:tcPr>
          <w:p w14:paraId="193794D1">
            <w:pPr>
              <w:widowControl/>
              <w:snapToGrid w:val="0"/>
              <w:jc w:val="right"/>
              <w:textAlignment w:val="center"/>
              <w:rPr>
                <w:rFonts w:hint="eastAsia" w:asciiTheme="minorEastAsia" w:hAnsiTheme="minorEastAsia" w:cstheme="minorEastAsia"/>
                <w:color w:val="000000"/>
                <w:kern w:val="0"/>
                <w:sz w:val="16"/>
                <w:szCs w:val="16"/>
                <w:lang w:eastAsia="zh-CN" w:bidi="ar"/>
              </w:rPr>
            </w:pPr>
          </w:p>
        </w:tc>
      </w:tr>
      <w:tr w14:paraId="07D3B15D">
        <w:tblPrEx>
          <w:tblCellMar>
            <w:top w:w="0" w:type="dxa"/>
            <w:left w:w="108" w:type="dxa"/>
            <w:bottom w:w="0" w:type="dxa"/>
            <w:right w:w="108" w:type="dxa"/>
          </w:tblCellMar>
        </w:tblPrEx>
        <w:trPr>
          <w:trHeight w:val="751" w:hRule="atLeast"/>
          <w:tblHeader/>
        </w:trPr>
        <w:tc>
          <w:tcPr>
            <w:tcW w:w="5000" w:type="pct"/>
            <w:gridSpan w:val="9"/>
            <w:noWrap/>
            <w:vAlign w:val="center"/>
          </w:tcPr>
          <w:p w14:paraId="3FF44ACC">
            <w:pPr>
              <w:widowControl/>
              <w:snapToGrid w:val="0"/>
              <w:jc w:val="center"/>
              <w:textAlignment w:val="center"/>
              <w:rPr>
                <w:rFonts w:hint="default" w:eastAsia="仿宋_GB2312" w:asciiTheme="minorEastAsia" w:hAnsiTheme="minorEastAsia" w:cstheme="minorEastAsia"/>
                <w:color w:val="000000"/>
                <w:kern w:val="0"/>
                <w:sz w:val="16"/>
                <w:szCs w:val="16"/>
                <w:lang w:val="en-US" w:eastAsia="zh-CN" w:bidi="ar"/>
              </w:rPr>
            </w:pPr>
            <w:r>
              <w:rPr>
                <w:rFonts w:hint="eastAsia" w:asciiTheme="minorEastAsia" w:hAnsiTheme="minorEastAsia" w:eastAsiaTheme="minorEastAsia" w:cstheme="minorEastAsia"/>
                <w:b/>
                <w:bCs/>
                <w:color w:val="000000"/>
                <w:kern w:val="0"/>
                <w:sz w:val="32"/>
                <w:szCs w:val="32"/>
                <w:lang w:val="en-US" w:eastAsia="zh-CN" w:bidi="ar"/>
              </w:rPr>
              <w:t>财政拨款</w:t>
            </w:r>
            <w:r>
              <w:rPr>
                <w:rFonts w:hint="eastAsia" w:asciiTheme="minorEastAsia" w:hAnsiTheme="minorEastAsia" w:eastAsiaTheme="minorEastAsia" w:cstheme="minorEastAsia"/>
                <w:b/>
                <w:bCs/>
                <w:color w:val="000000"/>
                <w:kern w:val="0"/>
                <w:sz w:val="32"/>
                <w:szCs w:val="32"/>
                <w:lang w:bidi="ar"/>
              </w:rPr>
              <w:t>“三公”经费</w:t>
            </w:r>
            <w:r>
              <w:rPr>
                <w:rFonts w:hint="eastAsia" w:asciiTheme="minorEastAsia" w:hAnsiTheme="minorEastAsia" w:eastAsiaTheme="minorEastAsia" w:cstheme="minorEastAsia"/>
                <w:b/>
                <w:bCs/>
                <w:color w:val="000000"/>
                <w:kern w:val="0"/>
                <w:sz w:val="32"/>
                <w:szCs w:val="32"/>
                <w:lang w:val="en-US" w:eastAsia="zh-CN" w:bidi="ar"/>
              </w:rPr>
              <w:t>支出表</w:t>
            </w:r>
          </w:p>
        </w:tc>
      </w:tr>
      <w:tr w14:paraId="3AD3D3D4">
        <w:tblPrEx>
          <w:tblCellMar>
            <w:top w:w="0" w:type="dxa"/>
            <w:left w:w="108" w:type="dxa"/>
            <w:bottom w:w="0" w:type="dxa"/>
            <w:right w:w="108" w:type="dxa"/>
          </w:tblCellMar>
        </w:tblPrEx>
        <w:trPr>
          <w:trHeight w:val="526" w:hRule="atLeast"/>
          <w:tblHeader/>
        </w:trPr>
        <w:tc>
          <w:tcPr>
            <w:tcW w:w="2163" w:type="pct"/>
            <w:gridSpan w:val="4"/>
            <w:noWrap/>
            <w:vAlign w:val="center"/>
          </w:tcPr>
          <w:p w14:paraId="6EB24193">
            <w:pPr>
              <w:widowControl/>
              <w:jc w:val="left"/>
              <w:rPr>
                <w:rFonts w:ascii="Times New Roman" w:hAnsi="Times New Roman" w:eastAsia="宋体"/>
                <w:kern w:val="0"/>
                <w:sz w:val="22"/>
                <w:szCs w:val="22"/>
              </w:rPr>
            </w:pPr>
            <w:r>
              <w:rPr>
                <w:rFonts w:hint="eastAsia" w:asciiTheme="minorEastAsia" w:hAnsiTheme="minorEastAsia" w:cstheme="minorEastAsia"/>
                <w:color w:val="000000"/>
                <w:kern w:val="0"/>
                <w:sz w:val="21"/>
                <w:szCs w:val="21"/>
                <w:lang w:bidi="ar"/>
              </w:rPr>
              <w:t>填报单位:067001南昌市青云谱区医疗保障局</w:t>
            </w:r>
          </w:p>
        </w:tc>
        <w:tc>
          <w:tcPr>
            <w:tcW w:w="741" w:type="pct"/>
            <w:noWrap/>
            <w:vAlign w:val="bottom"/>
          </w:tcPr>
          <w:p w14:paraId="61CE03F9">
            <w:pPr>
              <w:widowControl/>
              <w:jc w:val="left"/>
              <w:rPr>
                <w:rFonts w:ascii="Times New Roman" w:hAnsi="Times New Roman" w:eastAsia="宋体"/>
                <w:kern w:val="0"/>
                <w:sz w:val="22"/>
                <w:szCs w:val="22"/>
              </w:rPr>
            </w:pPr>
          </w:p>
        </w:tc>
        <w:tc>
          <w:tcPr>
            <w:tcW w:w="473" w:type="pct"/>
            <w:noWrap/>
            <w:vAlign w:val="bottom"/>
          </w:tcPr>
          <w:p w14:paraId="3C5AB09B">
            <w:pPr>
              <w:widowControl/>
              <w:jc w:val="left"/>
              <w:rPr>
                <w:rFonts w:ascii="Times New Roman" w:hAnsi="Times New Roman" w:eastAsia="宋体"/>
                <w:kern w:val="0"/>
                <w:sz w:val="22"/>
                <w:szCs w:val="22"/>
              </w:rPr>
            </w:pPr>
          </w:p>
        </w:tc>
        <w:tc>
          <w:tcPr>
            <w:tcW w:w="595" w:type="pct"/>
            <w:noWrap/>
            <w:vAlign w:val="bottom"/>
          </w:tcPr>
          <w:p w14:paraId="55B3158B">
            <w:pPr>
              <w:widowControl/>
              <w:jc w:val="left"/>
              <w:rPr>
                <w:rFonts w:ascii="Times New Roman" w:hAnsi="Times New Roman" w:eastAsia="宋体"/>
                <w:kern w:val="0"/>
                <w:sz w:val="22"/>
                <w:szCs w:val="22"/>
              </w:rPr>
            </w:pPr>
          </w:p>
        </w:tc>
        <w:tc>
          <w:tcPr>
            <w:tcW w:w="1025" w:type="pct"/>
            <w:gridSpan w:val="2"/>
            <w:noWrap/>
            <w:vAlign w:val="bottom"/>
          </w:tcPr>
          <w:p w14:paraId="3300D551">
            <w:pPr>
              <w:widowControl/>
              <w:snapToGrid w:val="0"/>
              <w:jc w:val="right"/>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单位：万元</w:t>
            </w:r>
          </w:p>
        </w:tc>
      </w:tr>
      <w:tr w14:paraId="28B9128E">
        <w:tblPrEx>
          <w:tblCellMar>
            <w:top w:w="0" w:type="dxa"/>
            <w:left w:w="108" w:type="dxa"/>
            <w:bottom w:w="0" w:type="dxa"/>
            <w:right w:w="108" w:type="dxa"/>
          </w:tblCellMar>
        </w:tblPrEx>
        <w:trPr>
          <w:cantSplit/>
          <w:trHeight w:val="453" w:hRule="atLeast"/>
          <w:tblHeader/>
        </w:trPr>
        <w:tc>
          <w:tcPr>
            <w:tcW w:w="940" w:type="pct"/>
            <w:gridSpan w:val="2"/>
            <w:vMerge w:val="restart"/>
            <w:tcBorders>
              <w:top w:val="single" w:color="000000" w:sz="4" w:space="0"/>
              <w:left w:val="single" w:color="000000" w:sz="4" w:space="0"/>
              <w:right w:val="single" w:color="000000" w:sz="4" w:space="0"/>
            </w:tcBorders>
            <w:noWrap/>
            <w:vAlign w:val="center"/>
          </w:tcPr>
          <w:p w14:paraId="761A454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1964" w:type="pct"/>
            <w:gridSpan w:val="3"/>
            <w:tcBorders>
              <w:top w:val="single" w:color="000000" w:sz="4" w:space="0"/>
              <w:left w:val="nil"/>
              <w:bottom w:val="single" w:color="000000" w:sz="4" w:space="0"/>
              <w:right w:val="single" w:color="000000" w:sz="4" w:space="0"/>
            </w:tcBorders>
            <w:noWrap/>
            <w:vAlign w:val="center"/>
          </w:tcPr>
          <w:p w14:paraId="6CAA127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因公出国(境)费</w:t>
            </w:r>
          </w:p>
        </w:tc>
        <w:tc>
          <w:tcPr>
            <w:tcW w:w="473" w:type="pct"/>
            <w:vMerge w:val="restart"/>
            <w:tcBorders>
              <w:top w:val="single" w:color="000000" w:sz="4" w:space="0"/>
              <w:left w:val="single" w:color="000000" w:sz="4" w:space="0"/>
              <w:bottom w:val="single" w:color="000000" w:sz="4" w:space="0"/>
              <w:right w:val="single" w:color="000000" w:sz="4" w:space="0"/>
            </w:tcBorders>
            <w:noWrap/>
            <w:vAlign w:val="center"/>
          </w:tcPr>
          <w:p w14:paraId="586AEF5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公务接待费</w:t>
            </w:r>
          </w:p>
        </w:tc>
        <w:tc>
          <w:tcPr>
            <w:tcW w:w="1621" w:type="pct"/>
            <w:gridSpan w:val="3"/>
            <w:tcBorders>
              <w:top w:val="single" w:color="000000" w:sz="4" w:space="0"/>
              <w:left w:val="nil"/>
              <w:bottom w:val="single" w:color="000000" w:sz="4" w:space="0"/>
              <w:right w:val="single" w:color="000000" w:sz="4" w:space="0"/>
            </w:tcBorders>
            <w:noWrap/>
            <w:vAlign w:val="center"/>
          </w:tcPr>
          <w:p w14:paraId="148093C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公务用车购置及运行维护费</w:t>
            </w:r>
          </w:p>
        </w:tc>
      </w:tr>
      <w:tr w14:paraId="4EA82025">
        <w:tblPrEx>
          <w:tblCellMar>
            <w:top w:w="0" w:type="dxa"/>
            <w:left w:w="108" w:type="dxa"/>
            <w:bottom w:w="0" w:type="dxa"/>
            <w:right w:w="108" w:type="dxa"/>
          </w:tblCellMar>
        </w:tblPrEx>
        <w:trPr>
          <w:cantSplit/>
          <w:trHeight w:val="1099" w:hRule="atLeast"/>
          <w:tblHeader/>
        </w:trPr>
        <w:tc>
          <w:tcPr>
            <w:tcW w:w="940" w:type="pct"/>
            <w:gridSpan w:val="2"/>
            <w:vMerge w:val="continue"/>
            <w:tcBorders>
              <w:left w:val="single" w:color="000000" w:sz="4" w:space="0"/>
              <w:bottom w:val="single" w:color="000000" w:sz="4" w:space="0"/>
              <w:right w:val="single" w:color="000000" w:sz="4" w:space="0"/>
            </w:tcBorders>
            <w:vAlign w:val="center"/>
          </w:tcPr>
          <w:p w14:paraId="312BC891">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684" w:type="pct"/>
            <w:tcBorders>
              <w:top w:val="nil"/>
              <w:left w:val="nil"/>
              <w:bottom w:val="single" w:color="000000" w:sz="4" w:space="0"/>
              <w:right w:val="single" w:color="000000" w:sz="4" w:space="0"/>
            </w:tcBorders>
            <w:noWrap/>
            <w:vAlign w:val="center"/>
          </w:tcPr>
          <w:p w14:paraId="6761C52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小计</w:t>
            </w:r>
          </w:p>
        </w:tc>
        <w:tc>
          <w:tcPr>
            <w:tcW w:w="538" w:type="pct"/>
            <w:tcBorders>
              <w:top w:val="nil"/>
              <w:left w:val="nil"/>
              <w:bottom w:val="single" w:color="000000" w:sz="4" w:space="0"/>
              <w:right w:val="single" w:color="000000" w:sz="4" w:space="0"/>
            </w:tcBorders>
            <w:vAlign w:val="center"/>
          </w:tcPr>
          <w:p w14:paraId="2B0B9FC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一般公务出国（境）费</w:t>
            </w:r>
          </w:p>
        </w:tc>
        <w:tc>
          <w:tcPr>
            <w:tcW w:w="741" w:type="pct"/>
            <w:tcBorders>
              <w:top w:val="nil"/>
              <w:left w:val="nil"/>
              <w:bottom w:val="single" w:color="000000" w:sz="4" w:space="0"/>
              <w:right w:val="single" w:color="000000" w:sz="4" w:space="0"/>
            </w:tcBorders>
            <w:vAlign w:val="center"/>
          </w:tcPr>
          <w:p w14:paraId="50E9D7A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高等院校和科研院所学术交流合作出国（境）费</w:t>
            </w:r>
          </w:p>
        </w:tc>
        <w:tc>
          <w:tcPr>
            <w:tcW w:w="473" w:type="pct"/>
            <w:vMerge w:val="continue"/>
            <w:tcBorders>
              <w:top w:val="single" w:color="000000" w:sz="4" w:space="0"/>
              <w:left w:val="single" w:color="000000" w:sz="4" w:space="0"/>
              <w:bottom w:val="single" w:color="000000" w:sz="4" w:space="0"/>
              <w:right w:val="single" w:color="000000" w:sz="4" w:space="0"/>
            </w:tcBorders>
            <w:vAlign w:val="center"/>
          </w:tcPr>
          <w:p w14:paraId="54C8846C">
            <w:pPr>
              <w:widowControl/>
              <w:snapToGrid w:val="0"/>
              <w:jc w:val="center"/>
              <w:textAlignment w:val="center"/>
              <w:rPr>
                <w:rFonts w:hint="eastAsia" w:asciiTheme="minorEastAsia" w:hAnsiTheme="minorEastAsia" w:cstheme="minorEastAsia"/>
                <w:color w:val="000000"/>
                <w:kern w:val="0"/>
                <w:sz w:val="21"/>
                <w:szCs w:val="21"/>
                <w:lang w:bidi="ar"/>
              </w:rPr>
            </w:pPr>
          </w:p>
        </w:tc>
        <w:tc>
          <w:tcPr>
            <w:tcW w:w="595" w:type="pct"/>
            <w:tcBorders>
              <w:top w:val="nil"/>
              <w:left w:val="nil"/>
              <w:bottom w:val="single" w:color="000000" w:sz="4" w:space="0"/>
              <w:right w:val="single" w:color="000000" w:sz="4" w:space="0"/>
            </w:tcBorders>
            <w:noWrap/>
            <w:vAlign w:val="center"/>
          </w:tcPr>
          <w:p w14:paraId="7A96A17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小计</w:t>
            </w:r>
          </w:p>
        </w:tc>
        <w:tc>
          <w:tcPr>
            <w:tcW w:w="542" w:type="pct"/>
            <w:tcBorders>
              <w:top w:val="nil"/>
              <w:left w:val="nil"/>
              <w:bottom w:val="single" w:color="000000" w:sz="4" w:space="0"/>
              <w:right w:val="single" w:color="000000" w:sz="4" w:space="0"/>
            </w:tcBorders>
            <w:vAlign w:val="center"/>
          </w:tcPr>
          <w:p w14:paraId="6D71E547">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公务用车运行维护费</w:t>
            </w:r>
          </w:p>
        </w:tc>
        <w:tc>
          <w:tcPr>
            <w:tcW w:w="483" w:type="pct"/>
            <w:tcBorders>
              <w:top w:val="nil"/>
              <w:left w:val="nil"/>
              <w:bottom w:val="single" w:color="000000" w:sz="4" w:space="0"/>
              <w:right w:val="single" w:color="000000" w:sz="4" w:space="0"/>
            </w:tcBorders>
            <w:noWrap/>
            <w:vAlign w:val="center"/>
          </w:tcPr>
          <w:p w14:paraId="74869C8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公务用车购置</w:t>
            </w:r>
          </w:p>
        </w:tc>
      </w:tr>
      <w:tr w14:paraId="6A6AE91A">
        <w:tblPrEx>
          <w:tblCellMar>
            <w:top w:w="0" w:type="dxa"/>
            <w:left w:w="108" w:type="dxa"/>
            <w:bottom w:w="0" w:type="dxa"/>
            <w:right w:w="108" w:type="dxa"/>
          </w:tblCellMar>
        </w:tblPrEx>
        <w:trPr>
          <w:cantSplit/>
          <w:trHeight w:val="453" w:hRule="atLeast"/>
          <w:tblHeader/>
        </w:trPr>
        <w:tc>
          <w:tcPr>
            <w:tcW w:w="940" w:type="pct"/>
            <w:gridSpan w:val="2"/>
            <w:tcBorders>
              <w:top w:val="nil"/>
              <w:left w:val="single" w:color="000000" w:sz="4" w:space="0"/>
              <w:bottom w:val="nil"/>
              <w:right w:val="nil"/>
            </w:tcBorders>
            <w:vAlign w:val="center"/>
          </w:tcPr>
          <w:p w14:paraId="46639067">
            <w:pPr>
              <w:widowControl/>
              <w:snapToGrid w:val="0"/>
              <w:jc w:val="center"/>
              <w:textAlignment w:val="center"/>
              <w:rPr>
                <w:rFonts w:hint="eastAsia" w:asciiTheme="minorEastAsia" w:hAnsiTheme="minorEastAsia" w:eastAsiaTheme="minorEastAsia" w:cstheme="minorEastAsia"/>
                <w:color w:val="000000"/>
                <w:kern w:val="0"/>
                <w:sz w:val="21"/>
                <w:szCs w:val="21"/>
                <w:lang w:eastAsia="zh-CN" w:bidi="ar"/>
              </w:rPr>
            </w:pPr>
            <w:r>
              <w:rPr>
                <w:rFonts w:hint="eastAsia" w:asciiTheme="minorEastAsia" w:hAnsiTheme="minorEastAsia" w:cstheme="minorEastAsia"/>
                <w:color w:val="000000"/>
                <w:kern w:val="0"/>
                <w:sz w:val="21"/>
                <w:szCs w:val="21"/>
                <w:lang w:val="en-US" w:eastAsia="zh-CN" w:bidi="ar"/>
              </w:rPr>
              <w:t>1</w:t>
            </w:r>
          </w:p>
        </w:tc>
        <w:tc>
          <w:tcPr>
            <w:tcW w:w="684" w:type="pct"/>
            <w:tcBorders>
              <w:top w:val="nil"/>
              <w:left w:val="single" w:color="000000" w:sz="4" w:space="0"/>
              <w:bottom w:val="nil"/>
              <w:right w:val="nil"/>
            </w:tcBorders>
            <w:vAlign w:val="center"/>
          </w:tcPr>
          <w:p w14:paraId="6B0AE75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2</w:t>
            </w:r>
          </w:p>
        </w:tc>
        <w:tc>
          <w:tcPr>
            <w:tcW w:w="538" w:type="pct"/>
            <w:tcBorders>
              <w:top w:val="nil"/>
              <w:left w:val="single" w:color="000000" w:sz="4" w:space="0"/>
              <w:bottom w:val="nil"/>
              <w:right w:val="nil"/>
            </w:tcBorders>
            <w:vAlign w:val="center"/>
          </w:tcPr>
          <w:p w14:paraId="61D0BA45">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3</w:t>
            </w:r>
          </w:p>
        </w:tc>
        <w:tc>
          <w:tcPr>
            <w:tcW w:w="741" w:type="pct"/>
            <w:tcBorders>
              <w:top w:val="nil"/>
              <w:left w:val="single" w:color="000000" w:sz="4" w:space="0"/>
              <w:bottom w:val="nil"/>
              <w:right w:val="nil"/>
            </w:tcBorders>
            <w:vAlign w:val="center"/>
          </w:tcPr>
          <w:p w14:paraId="5FA9F4E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4</w:t>
            </w:r>
          </w:p>
        </w:tc>
        <w:tc>
          <w:tcPr>
            <w:tcW w:w="473" w:type="pct"/>
            <w:tcBorders>
              <w:top w:val="nil"/>
              <w:left w:val="single" w:color="000000" w:sz="4" w:space="0"/>
              <w:bottom w:val="nil"/>
              <w:right w:val="nil"/>
            </w:tcBorders>
            <w:vAlign w:val="center"/>
          </w:tcPr>
          <w:p w14:paraId="7F737A2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5</w:t>
            </w:r>
          </w:p>
        </w:tc>
        <w:tc>
          <w:tcPr>
            <w:tcW w:w="595" w:type="pct"/>
            <w:tcBorders>
              <w:top w:val="nil"/>
              <w:left w:val="single" w:color="000000" w:sz="4" w:space="0"/>
              <w:bottom w:val="nil"/>
              <w:right w:val="nil"/>
            </w:tcBorders>
            <w:vAlign w:val="center"/>
          </w:tcPr>
          <w:p w14:paraId="18F3E39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6</w:t>
            </w:r>
          </w:p>
        </w:tc>
        <w:tc>
          <w:tcPr>
            <w:tcW w:w="542" w:type="pct"/>
            <w:tcBorders>
              <w:top w:val="nil"/>
              <w:left w:val="single" w:color="000000" w:sz="4" w:space="0"/>
              <w:bottom w:val="nil"/>
              <w:right w:val="nil"/>
            </w:tcBorders>
            <w:vAlign w:val="center"/>
          </w:tcPr>
          <w:p w14:paraId="5A03EC1A">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7</w:t>
            </w:r>
          </w:p>
        </w:tc>
        <w:tc>
          <w:tcPr>
            <w:tcW w:w="483" w:type="pct"/>
            <w:tcBorders>
              <w:top w:val="nil"/>
              <w:left w:val="single" w:color="000000" w:sz="4" w:space="0"/>
              <w:bottom w:val="nil"/>
              <w:right w:val="single" w:color="000000" w:sz="4" w:space="0"/>
            </w:tcBorders>
            <w:vAlign w:val="center"/>
          </w:tcPr>
          <w:p w14:paraId="58F4FE06">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8</w:t>
            </w:r>
          </w:p>
        </w:tc>
      </w:tr>
      <w:tr w14:paraId="52FD7F0F">
        <w:tblPrEx>
          <w:tblCellMar>
            <w:top w:w="0" w:type="dxa"/>
            <w:left w:w="108" w:type="dxa"/>
            <w:bottom w:w="0" w:type="dxa"/>
            <w:right w:w="108" w:type="dxa"/>
          </w:tblCellMar>
        </w:tblPrEx>
        <w:trPr>
          <w:cantSplit/>
          <w:trHeight w:val="1141" w:hRule="atLeast"/>
        </w:trPr>
        <w:tc>
          <w:tcPr>
            <w:tcW w:w="940" w:type="pct"/>
            <w:gridSpan w:val="2"/>
            <w:tcBorders>
              <w:top w:val="single" w:color="000000" w:sz="4" w:space="0"/>
              <w:left w:val="single" w:color="000000" w:sz="4" w:space="0"/>
              <w:bottom w:val="single" w:color="000000" w:sz="4" w:space="0"/>
              <w:right w:val="single" w:color="000000" w:sz="4" w:space="0"/>
            </w:tcBorders>
            <w:vAlign w:val="center"/>
          </w:tcPr>
          <w:p w14:paraId="18E1FE7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0.50</w:t>
            </w:r>
          </w:p>
        </w:tc>
        <w:tc>
          <w:tcPr>
            <w:tcW w:w="684" w:type="pct"/>
            <w:tcBorders>
              <w:top w:val="single" w:color="000000" w:sz="4" w:space="0"/>
              <w:left w:val="nil"/>
              <w:bottom w:val="single" w:color="000000" w:sz="4" w:space="0"/>
              <w:right w:val="single" w:color="000000" w:sz="4" w:space="0"/>
            </w:tcBorders>
            <w:vAlign w:val="center"/>
          </w:tcPr>
          <w:p w14:paraId="30E5188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538" w:type="pct"/>
            <w:tcBorders>
              <w:top w:val="single" w:color="000000" w:sz="4" w:space="0"/>
              <w:left w:val="nil"/>
              <w:bottom w:val="single" w:color="000000" w:sz="4" w:space="0"/>
              <w:right w:val="single" w:color="000000" w:sz="4" w:space="0"/>
            </w:tcBorders>
            <w:noWrap/>
            <w:vAlign w:val="center"/>
          </w:tcPr>
          <w:p w14:paraId="33CE921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741" w:type="pct"/>
            <w:tcBorders>
              <w:top w:val="single" w:color="000000" w:sz="4" w:space="0"/>
              <w:left w:val="nil"/>
              <w:bottom w:val="single" w:color="000000" w:sz="4" w:space="0"/>
              <w:right w:val="single" w:color="000000" w:sz="4" w:space="0"/>
            </w:tcBorders>
            <w:vAlign w:val="center"/>
          </w:tcPr>
          <w:p w14:paraId="43E993E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473" w:type="pct"/>
            <w:tcBorders>
              <w:top w:val="single" w:color="000000" w:sz="4" w:space="0"/>
              <w:left w:val="nil"/>
              <w:bottom w:val="single" w:color="000000" w:sz="4" w:space="0"/>
              <w:right w:val="nil"/>
            </w:tcBorders>
            <w:vAlign w:val="center"/>
          </w:tcPr>
          <w:p w14:paraId="743063D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0.50</w:t>
            </w:r>
          </w:p>
        </w:tc>
        <w:tc>
          <w:tcPr>
            <w:tcW w:w="595" w:type="pct"/>
            <w:tcBorders>
              <w:top w:val="single" w:color="000000" w:sz="4" w:space="0"/>
              <w:left w:val="single" w:color="000000" w:sz="4" w:space="0"/>
              <w:bottom w:val="single" w:color="000000" w:sz="4" w:space="0"/>
              <w:right w:val="nil"/>
            </w:tcBorders>
            <w:vAlign w:val="center"/>
          </w:tcPr>
          <w:p w14:paraId="2BC0721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b w:val="0"/>
                <w:color w:val="000000"/>
                <w:kern w:val="0"/>
                <w:sz w:val="21"/>
                <w:szCs w:val="21"/>
                <w:lang w:bidi="ar"/>
              </w:rPr>
              <w:t>0.00</w:t>
            </w:r>
          </w:p>
        </w:tc>
        <w:tc>
          <w:tcPr>
            <w:tcW w:w="542" w:type="pct"/>
            <w:tcBorders>
              <w:top w:val="single" w:color="000000" w:sz="4" w:space="0"/>
              <w:left w:val="single" w:color="000000" w:sz="4" w:space="0"/>
              <w:bottom w:val="single" w:color="000000" w:sz="4" w:space="0"/>
              <w:right w:val="single" w:color="000000" w:sz="4" w:space="0"/>
            </w:tcBorders>
            <w:vAlign w:val="center"/>
          </w:tcPr>
          <w:p w14:paraId="201DC1F8">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bidi="ar"/>
              </w:rPr>
              <w:t>0.00</w:t>
            </w:r>
          </w:p>
        </w:tc>
        <w:tc>
          <w:tcPr>
            <w:tcW w:w="483" w:type="pct"/>
            <w:tcBorders>
              <w:top w:val="single" w:color="000000" w:sz="4" w:space="0"/>
              <w:left w:val="nil"/>
              <w:bottom w:val="single" w:color="000000" w:sz="4" w:space="0"/>
              <w:right w:val="single" w:color="000000" w:sz="4" w:space="0"/>
            </w:tcBorders>
            <w:vAlign w:val="center"/>
          </w:tcPr>
          <w:p w14:paraId="039DAF45">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b w:val="0"/>
                <w:color w:val="000000"/>
                <w:kern w:val="0"/>
                <w:sz w:val="21"/>
                <w:szCs w:val="21"/>
                <w:lang w:bidi="ar"/>
              </w:rPr>
              <w:t>0.00</w:t>
            </w:r>
          </w:p>
        </w:tc>
      </w:tr>
    </w:tbl>
    <w:p w14:paraId="20FB3671">
      <w:pPr>
        <w:widowControl/>
        <w:jc w:val="left"/>
        <w:rPr>
          <w:rStyle w:val="12"/>
          <w:rFonts w:hint="eastAsia" w:ascii="仿宋" w:hAnsi="仿宋" w:eastAsia="仿宋"/>
          <w:bCs/>
          <w:sz w:val="32"/>
          <w:szCs w:val="32"/>
          <w:lang w:eastAsia="zh-CN"/>
        </w:rPr>
        <w:sectPr>
          <w:pgSz w:w="11906" w:h="16838"/>
          <w:pgMar w:top="720" w:right="720" w:bottom="720" w:left="720" w:header="851" w:footer="992" w:gutter="0"/>
          <w:cols w:space="720" w:num="1"/>
          <w:docGrid w:type="lines" w:linePitch="312" w:charSpace="0"/>
        </w:sectPr>
      </w:pPr>
    </w:p>
    <w:tbl>
      <w:tblPr>
        <w:tblStyle w:val="6"/>
        <w:tblW w:w="4867" w:type="pct"/>
        <w:tblInd w:w="10" w:type="dxa"/>
        <w:tblLayout w:type="fixed"/>
        <w:tblCellMar>
          <w:top w:w="0" w:type="dxa"/>
          <w:left w:w="108" w:type="dxa"/>
          <w:bottom w:w="0" w:type="dxa"/>
          <w:right w:w="108" w:type="dxa"/>
        </w:tblCellMar>
      </w:tblPr>
      <w:tblGrid>
        <w:gridCol w:w="2030"/>
        <w:gridCol w:w="2542"/>
        <w:gridCol w:w="2285"/>
        <w:gridCol w:w="1593"/>
        <w:gridCol w:w="1949"/>
      </w:tblGrid>
      <w:tr w14:paraId="3BA15A6B">
        <w:tblPrEx>
          <w:tblCellMar>
            <w:top w:w="0" w:type="dxa"/>
            <w:left w:w="108" w:type="dxa"/>
            <w:bottom w:w="0" w:type="dxa"/>
            <w:right w:w="108" w:type="dxa"/>
          </w:tblCellMar>
        </w:tblPrEx>
        <w:trPr>
          <w:trHeight w:val="1003" w:hRule="atLeast"/>
          <w:tblHeader/>
        </w:trPr>
        <w:tc>
          <w:tcPr>
            <w:tcW w:w="976" w:type="pct"/>
            <w:noWrap/>
            <w:vAlign w:val="bottom"/>
          </w:tcPr>
          <w:p w14:paraId="6FA2A5E1">
            <w:pPr>
              <w:widowControl/>
              <w:jc w:val="left"/>
              <w:rPr>
                <w:rFonts w:hint="eastAsia" w:ascii="宋体" w:hAnsi="宋体" w:eastAsia="宋体" w:cs="宋体"/>
                <w:kern w:val="0"/>
                <w:sz w:val="32"/>
                <w:szCs w:val="32"/>
              </w:rPr>
            </w:pPr>
            <w:r>
              <w:rPr>
                <w:rFonts w:ascii="Times New Roman" w:hAnsi="Times New Roman" w:eastAsia="宋体"/>
                <w:kern w:val="0"/>
                <w:sz w:val="22"/>
                <w:szCs w:val="22"/>
              </w:rPr>
              <w:br w:type="page"/>
            </w:r>
          </w:p>
        </w:tc>
        <w:tc>
          <w:tcPr>
            <w:tcW w:w="1222" w:type="pct"/>
            <w:noWrap/>
            <w:vAlign w:val="bottom"/>
          </w:tcPr>
          <w:p w14:paraId="184B08E8">
            <w:pPr>
              <w:widowControl/>
              <w:jc w:val="left"/>
              <w:rPr>
                <w:rFonts w:ascii="Times New Roman" w:hAnsi="Times New Roman" w:eastAsia="宋体"/>
                <w:kern w:val="0"/>
                <w:sz w:val="22"/>
                <w:szCs w:val="22"/>
              </w:rPr>
            </w:pPr>
          </w:p>
        </w:tc>
        <w:tc>
          <w:tcPr>
            <w:tcW w:w="2801" w:type="pct"/>
            <w:gridSpan w:val="3"/>
            <w:noWrap/>
            <w:vAlign w:val="center"/>
          </w:tcPr>
          <w:p w14:paraId="5A69E982">
            <w:pPr>
              <w:widowControl/>
              <w:snapToGrid w:val="0"/>
              <w:jc w:val="right"/>
              <w:textAlignment w:val="center"/>
              <w:rPr>
                <w:rFonts w:hint="eastAsia" w:asciiTheme="minorEastAsia" w:hAnsiTheme="minorEastAsia" w:cstheme="minorEastAsia"/>
                <w:color w:val="000000"/>
                <w:kern w:val="0"/>
                <w:sz w:val="16"/>
                <w:szCs w:val="16"/>
                <w:lang w:eastAsia="zh-CN" w:bidi="ar"/>
              </w:rPr>
            </w:pPr>
            <w:r>
              <w:rPr>
                <w:rFonts w:hint="eastAsia" w:asciiTheme="minorEastAsia" w:hAnsiTheme="minorEastAsia" w:cstheme="minorEastAsia"/>
                <w:color w:val="000000"/>
                <w:kern w:val="0"/>
                <w:sz w:val="21"/>
                <w:szCs w:val="21"/>
                <w:lang w:eastAsia="zh-CN" w:bidi="ar"/>
              </w:rPr>
              <w:t>注：若为空表，则为该部门（单位）无政府性基金支出</w:t>
            </w:r>
          </w:p>
        </w:tc>
      </w:tr>
      <w:tr w14:paraId="67CCC48F">
        <w:tblPrEx>
          <w:tblCellMar>
            <w:top w:w="0" w:type="dxa"/>
            <w:left w:w="108" w:type="dxa"/>
            <w:bottom w:w="0" w:type="dxa"/>
            <w:right w:w="108" w:type="dxa"/>
          </w:tblCellMar>
        </w:tblPrEx>
        <w:trPr>
          <w:trHeight w:val="1116" w:hRule="atLeast"/>
          <w:tblHeader/>
        </w:trPr>
        <w:tc>
          <w:tcPr>
            <w:tcW w:w="5000" w:type="pct"/>
            <w:gridSpan w:val="5"/>
            <w:noWrap/>
            <w:vAlign w:val="center"/>
          </w:tcPr>
          <w:p w14:paraId="21E83281">
            <w:pPr>
              <w:widowControl/>
              <w:jc w:val="center"/>
              <w:rPr>
                <w:rFonts w:hint="eastAsia"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t>政府性基金预算支出表</w:t>
            </w:r>
          </w:p>
        </w:tc>
      </w:tr>
      <w:tr w14:paraId="025A10A4">
        <w:tblPrEx>
          <w:tblCellMar>
            <w:top w:w="0" w:type="dxa"/>
            <w:left w:w="108" w:type="dxa"/>
            <w:bottom w:w="0" w:type="dxa"/>
            <w:right w:w="108" w:type="dxa"/>
          </w:tblCellMar>
        </w:tblPrEx>
        <w:trPr>
          <w:trHeight w:val="801" w:hRule="atLeast"/>
          <w:tblHeader/>
        </w:trPr>
        <w:tc>
          <w:tcPr>
            <w:tcW w:w="2198" w:type="pct"/>
            <w:gridSpan w:val="2"/>
            <w:noWrap/>
            <w:vAlign w:val="center"/>
          </w:tcPr>
          <w:p w14:paraId="49BAE04F">
            <w:pPr>
              <w:widowControl/>
              <w:jc w:val="both"/>
              <w:rPr>
                <w:rFonts w:hint="eastAsia" w:ascii="宋体" w:hAnsi="宋体" w:eastAsia="宋体" w:cs="Arial"/>
                <w:color w:val="000000"/>
                <w:kern w:val="0"/>
                <w:sz w:val="32"/>
                <w:szCs w:val="32"/>
                <w:lang w:eastAsia="zh-CN"/>
              </w:rPr>
            </w:pPr>
            <w:r>
              <w:rPr>
                <w:rFonts w:hint="eastAsia" w:asciiTheme="minorEastAsia" w:hAnsiTheme="minorEastAsia" w:cstheme="minorEastAsia"/>
                <w:color w:val="000000"/>
                <w:kern w:val="0"/>
                <w:sz w:val="21"/>
                <w:szCs w:val="21"/>
                <w:lang w:bidi="ar"/>
              </w:rPr>
              <w:t>填报单位:067001南昌市青云谱区医疗保障局</w:t>
            </w:r>
          </w:p>
        </w:tc>
        <w:tc>
          <w:tcPr>
            <w:tcW w:w="1098" w:type="pct"/>
            <w:noWrap/>
            <w:vAlign w:val="bottom"/>
          </w:tcPr>
          <w:p w14:paraId="2FA518C6">
            <w:pPr>
              <w:rPr>
                <w:rFonts w:hint="eastAsia" w:ascii="宋体" w:hAnsi="宋体" w:eastAsia="宋体" w:cs="Arial"/>
                <w:color w:val="000000"/>
                <w:kern w:val="0"/>
                <w:sz w:val="32"/>
                <w:szCs w:val="32"/>
              </w:rPr>
            </w:pPr>
          </w:p>
        </w:tc>
        <w:tc>
          <w:tcPr>
            <w:tcW w:w="765" w:type="pct"/>
            <w:noWrap/>
            <w:vAlign w:val="bottom"/>
          </w:tcPr>
          <w:p w14:paraId="1217DCF9">
            <w:pPr>
              <w:widowControl/>
              <w:jc w:val="left"/>
              <w:rPr>
                <w:rFonts w:ascii="Times New Roman" w:hAnsi="Times New Roman" w:eastAsia="宋体"/>
                <w:kern w:val="0"/>
                <w:sz w:val="22"/>
                <w:szCs w:val="22"/>
              </w:rPr>
            </w:pPr>
          </w:p>
        </w:tc>
        <w:tc>
          <w:tcPr>
            <w:tcW w:w="937" w:type="pct"/>
            <w:noWrap/>
            <w:vAlign w:val="center"/>
          </w:tcPr>
          <w:p w14:paraId="5B588D03">
            <w:pPr>
              <w:widowControl/>
              <w:jc w:val="right"/>
              <w:rPr>
                <w:rFonts w:ascii="宋体" w:hAnsi="宋体" w:eastAsia="宋体" w:cs="Arial"/>
                <w:color w:val="000000"/>
                <w:kern w:val="0"/>
                <w:sz w:val="32"/>
                <w:szCs w:val="32"/>
              </w:rPr>
            </w:pPr>
            <w:r>
              <w:rPr>
                <w:rFonts w:hint="eastAsia" w:asciiTheme="minorEastAsia" w:hAnsiTheme="minorEastAsia" w:cstheme="minorEastAsia"/>
                <w:color w:val="000000"/>
                <w:kern w:val="0"/>
                <w:sz w:val="21"/>
                <w:szCs w:val="21"/>
                <w:lang w:bidi="ar"/>
              </w:rPr>
              <w:t>单位：万元</w:t>
            </w:r>
          </w:p>
        </w:tc>
      </w:tr>
      <w:tr w14:paraId="6B9ED310">
        <w:tblPrEx>
          <w:tblCellMar>
            <w:top w:w="0" w:type="dxa"/>
            <w:left w:w="108" w:type="dxa"/>
            <w:bottom w:w="0" w:type="dxa"/>
            <w:right w:w="108" w:type="dxa"/>
          </w:tblCellMar>
        </w:tblPrEx>
        <w:trPr>
          <w:cantSplit/>
          <w:trHeight w:val="580" w:hRule="atLeast"/>
          <w:tblHeader/>
        </w:trPr>
        <w:tc>
          <w:tcPr>
            <w:tcW w:w="2198" w:type="pct"/>
            <w:gridSpan w:val="2"/>
            <w:tcBorders>
              <w:top w:val="single" w:color="000000" w:sz="4" w:space="0"/>
              <w:left w:val="single" w:color="000000" w:sz="4" w:space="0"/>
              <w:bottom w:val="single" w:color="000000" w:sz="4" w:space="0"/>
              <w:right w:val="single" w:color="000000" w:sz="4" w:space="0"/>
            </w:tcBorders>
            <w:noWrap/>
            <w:vAlign w:val="center"/>
          </w:tcPr>
          <w:p w14:paraId="5EDDCDE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2801" w:type="pct"/>
            <w:gridSpan w:val="3"/>
            <w:tcBorders>
              <w:top w:val="single" w:color="000000" w:sz="4" w:space="0"/>
              <w:left w:val="nil"/>
              <w:bottom w:val="single" w:color="000000" w:sz="4" w:space="0"/>
              <w:right w:val="single" w:color="000000" w:sz="4" w:space="0"/>
            </w:tcBorders>
            <w:noWrap/>
            <w:vAlign w:val="center"/>
          </w:tcPr>
          <w:p w14:paraId="317A8EB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年预算数</w:t>
            </w:r>
          </w:p>
        </w:tc>
      </w:tr>
      <w:tr w14:paraId="6471810D">
        <w:tblPrEx>
          <w:tblCellMar>
            <w:top w:w="0" w:type="dxa"/>
            <w:left w:w="108" w:type="dxa"/>
            <w:bottom w:w="0" w:type="dxa"/>
            <w:right w:w="108" w:type="dxa"/>
          </w:tblCellMar>
        </w:tblPrEx>
        <w:trPr>
          <w:cantSplit/>
          <w:trHeight w:val="580" w:hRule="atLeast"/>
          <w:tblHeader/>
        </w:trPr>
        <w:tc>
          <w:tcPr>
            <w:tcW w:w="976" w:type="pct"/>
            <w:tcBorders>
              <w:top w:val="nil"/>
              <w:left w:val="single" w:color="000000" w:sz="4" w:space="0"/>
              <w:bottom w:val="single" w:color="000000" w:sz="4" w:space="0"/>
              <w:right w:val="single" w:color="000000" w:sz="4" w:space="0"/>
            </w:tcBorders>
            <w:noWrap/>
            <w:vAlign w:val="center"/>
          </w:tcPr>
          <w:p w14:paraId="2D44658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222" w:type="pct"/>
            <w:tcBorders>
              <w:top w:val="nil"/>
              <w:left w:val="nil"/>
              <w:bottom w:val="single" w:color="000000" w:sz="4" w:space="0"/>
              <w:right w:val="single" w:color="000000" w:sz="4" w:space="0"/>
            </w:tcBorders>
            <w:noWrap/>
            <w:vAlign w:val="center"/>
          </w:tcPr>
          <w:p w14:paraId="6481115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1098" w:type="pct"/>
            <w:tcBorders>
              <w:top w:val="nil"/>
              <w:left w:val="nil"/>
              <w:bottom w:val="single" w:color="000000" w:sz="4" w:space="0"/>
              <w:right w:val="single" w:color="000000" w:sz="4" w:space="0"/>
            </w:tcBorders>
            <w:noWrap/>
            <w:vAlign w:val="center"/>
          </w:tcPr>
          <w:p w14:paraId="1FCF57D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765" w:type="pct"/>
            <w:tcBorders>
              <w:top w:val="nil"/>
              <w:left w:val="nil"/>
              <w:bottom w:val="single" w:color="000000" w:sz="4" w:space="0"/>
              <w:right w:val="single" w:color="000000" w:sz="4" w:space="0"/>
            </w:tcBorders>
            <w:noWrap/>
            <w:vAlign w:val="center"/>
          </w:tcPr>
          <w:p w14:paraId="565AD36D">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937" w:type="pct"/>
            <w:tcBorders>
              <w:top w:val="nil"/>
              <w:left w:val="nil"/>
              <w:bottom w:val="single" w:color="000000" w:sz="4" w:space="0"/>
              <w:right w:val="single" w:color="000000" w:sz="4" w:space="0"/>
            </w:tcBorders>
            <w:noWrap/>
            <w:vAlign w:val="center"/>
          </w:tcPr>
          <w:p w14:paraId="413E136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3E5EE3E3">
        <w:tblPrEx>
          <w:tblCellMar>
            <w:top w:w="0" w:type="dxa"/>
            <w:left w:w="108" w:type="dxa"/>
            <w:bottom w:w="0" w:type="dxa"/>
            <w:right w:w="108" w:type="dxa"/>
          </w:tblCellMar>
        </w:tblPrEx>
        <w:trPr>
          <w:cantSplit/>
          <w:trHeight w:val="599" w:hRule="atLeast"/>
          <w:tblHeader/>
        </w:trPr>
        <w:tc>
          <w:tcPr>
            <w:tcW w:w="976" w:type="pct"/>
            <w:tcBorders>
              <w:top w:val="nil"/>
              <w:left w:val="single" w:color="000000" w:sz="4" w:space="0"/>
              <w:bottom w:val="single" w:color="000000" w:sz="4" w:space="0"/>
              <w:right w:val="single" w:color="000000" w:sz="4" w:space="0"/>
            </w:tcBorders>
            <w:noWrap/>
            <w:vAlign w:val="center"/>
          </w:tcPr>
          <w:p w14:paraId="56C6A13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222" w:type="pct"/>
            <w:tcBorders>
              <w:top w:val="nil"/>
              <w:left w:val="nil"/>
              <w:bottom w:val="single" w:color="000000" w:sz="4" w:space="0"/>
              <w:right w:val="single" w:color="000000" w:sz="4" w:space="0"/>
            </w:tcBorders>
            <w:noWrap/>
            <w:vAlign w:val="center"/>
          </w:tcPr>
          <w:p w14:paraId="2F0601AE">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098" w:type="pct"/>
            <w:tcBorders>
              <w:top w:val="nil"/>
              <w:left w:val="nil"/>
              <w:bottom w:val="single" w:color="000000" w:sz="4" w:space="0"/>
              <w:right w:val="single" w:color="000000" w:sz="4" w:space="0"/>
            </w:tcBorders>
            <w:noWrap/>
            <w:vAlign w:val="center"/>
          </w:tcPr>
          <w:p w14:paraId="5E2EEFC1">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765" w:type="pct"/>
            <w:tcBorders>
              <w:top w:val="nil"/>
              <w:left w:val="nil"/>
              <w:bottom w:val="single" w:color="000000" w:sz="4" w:space="0"/>
              <w:right w:val="single" w:color="000000" w:sz="4" w:space="0"/>
            </w:tcBorders>
            <w:noWrap/>
            <w:vAlign w:val="center"/>
          </w:tcPr>
          <w:p w14:paraId="1F6C00EB">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937" w:type="pct"/>
            <w:tcBorders>
              <w:top w:val="nil"/>
              <w:left w:val="nil"/>
              <w:bottom w:val="single" w:color="000000" w:sz="4" w:space="0"/>
              <w:right w:val="single" w:color="000000" w:sz="4" w:space="0"/>
            </w:tcBorders>
            <w:noWrap/>
            <w:vAlign w:val="center"/>
          </w:tcPr>
          <w:p w14:paraId="58AFF9E4">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bl>
    <w:p w14:paraId="7E3598CE">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tbl>
      <w:tblPr>
        <w:tblStyle w:val="6"/>
        <w:tblW w:w="4998" w:type="pct"/>
        <w:tblInd w:w="10" w:type="dxa"/>
        <w:tblLayout w:type="fixed"/>
        <w:tblCellMar>
          <w:top w:w="0" w:type="dxa"/>
          <w:left w:w="108" w:type="dxa"/>
          <w:bottom w:w="0" w:type="dxa"/>
          <w:right w:w="108" w:type="dxa"/>
        </w:tblCellMar>
      </w:tblPr>
      <w:tblGrid>
        <w:gridCol w:w="2051"/>
        <w:gridCol w:w="2635"/>
        <w:gridCol w:w="2324"/>
        <w:gridCol w:w="1627"/>
        <w:gridCol w:w="2041"/>
      </w:tblGrid>
      <w:tr w14:paraId="3B2B46FF">
        <w:tblPrEx>
          <w:tblCellMar>
            <w:top w:w="0" w:type="dxa"/>
            <w:left w:w="108" w:type="dxa"/>
            <w:bottom w:w="0" w:type="dxa"/>
            <w:right w:w="108" w:type="dxa"/>
          </w:tblCellMar>
        </w:tblPrEx>
        <w:trPr>
          <w:trHeight w:val="956" w:hRule="atLeast"/>
          <w:tblHeader/>
        </w:trPr>
        <w:tc>
          <w:tcPr>
            <w:tcW w:w="960" w:type="pct"/>
            <w:noWrap/>
            <w:vAlign w:val="bottom"/>
          </w:tcPr>
          <w:p w14:paraId="3A50514F">
            <w:pPr>
              <w:rPr>
                <w:rStyle w:val="12"/>
                <w:rFonts w:hint="eastAsia" w:ascii="仿宋" w:hAnsi="仿宋" w:eastAsia="仿宋"/>
                <w:bCs/>
                <w:sz w:val="40"/>
                <w:szCs w:val="40"/>
              </w:rPr>
            </w:pPr>
          </w:p>
        </w:tc>
        <w:tc>
          <w:tcPr>
            <w:tcW w:w="1233" w:type="pct"/>
            <w:noWrap/>
            <w:vAlign w:val="bottom"/>
          </w:tcPr>
          <w:p w14:paraId="46406C97">
            <w:pPr>
              <w:widowControl/>
              <w:jc w:val="left"/>
              <w:rPr>
                <w:rFonts w:ascii="Times New Roman" w:hAnsi="Times New Roman" w:eastAsia="宋体"/>
                <w:kern w:val="0"/>
                <w:sz w:val="22"/>
                <w:szCs w:val="22"/>
              </w:rPr>
            </w:pPr>
          </w:p>
        </w:tc>
        <w:tc>
          <w:tcPr>
            <w:tcW w:w="2805" w:type="pct"/>
            <w:gridSpan w:val="3"/>
            <w:noWrap/>
            <w:vAlign w:val="center"/>
          </w:tcPr>
          <w:p w14:paraId="1B758409">
            <w:pPr>
              <w:widowControl/>
              <w:jc w:val="right"/>
              <w:rPr>
                <w:rFonts w:ascii="宋体" w:hAnsi="宋体" w:eastAsia="宋体" w:cs="Arial"/>
                <w:color w:val="000000"/>
                <w:kern w:val="0"/>
                <w:sz w:val="32"/>
                <w:szCs w:val="32"/>
              </w:rPr>
            </w:pPr>
            <w:r>
              <w:rPr>
                <w:rFonts w:hint="eastAsia" w:ascii="宋体" w:hAnsi="宋体" w:eastAsia="宋体" w:cs="Arial"/>
                <w:color w:val="000000"/>
                <w:kern w:val="0"/>
                <w:sz w:val="21"/>
                <w:szCs w:val="21"/>
              </w:rPr>
              <w:t>注：若为空表，则为该部门（单位）无国有资本经营预算支出</w:t>
            </w:r>
          </w:p>
        </w:tc>
      </w:tr>
      <w:tr w14:paraId="48259432">
        <w:tblPrEx>
          <w:tblCellMar>
            <w:top w:w="0" w:type="dxa"/>
            <w:left w:w="108" w:type="dxa"/>
            <w:bottom w:w="0" w:type="dxa"/>
            <w:right w:w="108" w:type="dxa"/>
          </w:tblCellMar>
        </w:tblPrEx>
        <w:trPr>
          <w:trHeight w:val="939" w:hRule="atLeast"/>
          <w:tblHeader/>
        </w:trPr>
        <w:tc>
          <w:tcPr>
            <w:tcW w:w="5000" w:type="pct"/>
            <w:gridSpan w:val="5"/>
            <w:noWrap/>
            <w:vAlign w:val="center"/>
          </w:tcPr>
          <w:p w14:paraId="2B551E29">
            <w:pPr>
              <w:widowControl/>
              <w:jc w:val="center"/>
              <w:rPr>
                <w:rFonts w:hint="eastAsia" w:ascii="宋体" w:hAnsi="宋体" w:eastAsia="宋体" w:cs="Arial"/>
                <w:b/>
                <w:bCs/>
                <w:color w:val="000000"/>
                <w:kern w:val="0"/>
                <w:sz w:val="52"/>
                <w:szCs w:val="52"/>
              </w:rPr>
            </w:pPr>
            <w:r>
              <w:rPr>
                <w:rFonts w:hint="eastAsia" w:asciiTheme="minorEastAsia" w:hAnsiTheme="minorEastAsia" w:eastAsiaTheme="minorEastAsia" w:cstheme="minorEastAsia"/>
                <w:b/>
                <w:bCs/>
                <w:color w:val="000000"/>
                <w:kern w:val="0"/>
                <w:sz w:val="32"/>
                <w:szCs w:val="32"/>
                <w:lang w:bidi="ar"/>
              </w:rPr>
              <w:t>国有资本经营预算支出表</w:t>
            </w:r>
          </w:p>
        </w:tc>
      </w:tr>
      <w:tr w14:paraId="18759E24">
        <w:tblPrEx>
          <w:tblCellMar>
            <w:top w:w="0" w:type="dxa"/>
            <w:left w:w="108" w:type="dxa"/>
            <w:bottom w:w="0" w:type="dxa"/>
            <w:right w:w="108" w:type="dxa"/>
          </w:tblCellMar>
        </w:tblPrEx>
        <w:trPr>
          <w:trHeight w:val="633" w:hRule="atLeast"/>
          <w:tblHeader/>
        </w:trPr>
        <w:tc>
          <w:tcPr>
            <w:tcW w:w="3282" w:type="pct"/>
            <w:gridSpan w:val="3"/>
            <w:noWrap/>
            <w:vAlign w:val="center"/>
          </w:tcPr>
          <w:p w14:paraId="35A7B99B">
            <w:pPr>
              <w:jc w:val="left"/>
              <w:rPr>
                <w:rFonts w:hint="eastAsia" w:ascii="宋体" w:hAnsi="宋体" w:eastAsia="宋体" w:cs="Arial"/>
                <w:color w:val="000000"/>
                <w:kern w:val="0"/>
                <w:sz w:val="32"/>
                <w:szCs w:val="32"/>
              </w:rPr>
            </w:pPr>
            <w:r>
              <w:rPr>
                <w:rFonts w:hint="eastAsia" w:asciiTheme="minorEastAsia" w:hAnsiTheme="minorEastAsia" w:cstheme="minorEastAsia"/>
                <w:color w:val="000000"/>
                <w:kern w:val="0"/>
                <w:sz w:val="21"/>
                <w:szCs w:val="21"/>
                <w:lang w:bidi="ar"/>
              </w:rPr>
              <w:t>填报单位:067001南昌市青云谱区医疗保障局</w:t>
            </w:r>
          </w:p>
        </w:tc>
        <w:tc>
          <w:tcPr>
            <w:tcW w:w="761" w:type="pct"/>
            <w:noWrap/>
            <w:vAlign w:val="bottom"/>
          </w:tcPr>
          <w:p w14:paraId="734A75B3">
            <w:pPr>
              <w:widowControl/>
              <w:jc w:val="left"/>
              <w:rPr>
                <w:rFonts w:ascii="Times New Roman" w:hAnsi="Times New Roman" w:eastAsia="宋体"/>
                <w:kern w:val="0"/>
                <w:sz w:val="22"/>
                <w:szCs w:val="22"/>
              </w:rPr>
            </w:pPr>
          </w:p>
        </w:tc>
        <w:tc>
          <w:tcPr>
            <w:tcW w:w="955" w:type="pct"/>
            <w:noWrap/>
            <w:vAlign w:val="center"/>
          </w:tcPr>
          <w:p w14:paraId="6A9E8F74">
            <w:pPr>
              <w:widowControl/>
              <w:jc w:val="right"/>
              <w:rPr>
                <w:rFonts w:ascii="宋体" w:hAnsi="宋体" w:eastAsia="宋体" w:cs="Arial"/>
                <w:color w:val="000000"/>
                <w:kern w:val="0"/>
                <w:sz w:val="32"/>
                <w:szCs w:val="32"/>
              </w:rPr>
            </w:pPr>
            <w:r>
              <w:rPr>
                <w:rFonts w:hint="eastAsia" w:asciiTheme="minorEastAsia" w:hAnsiTheme="minorEastAsia" w:cstheme="minorEastAsia"/>
                <w:color w:val="000000"/>
                <w:kern w:val="0"/>
                <w:sz w:val="21"/>
                <w:szCs w:val="21"/>
                <w:lang w:bidi="ar"/>
              </w:rPr>
              <w:t>单位：万元</w:t>
            </w:r>
          </w:p>
        </w:tc>
      </w:tr>
      <w:tr w14:paraId="662E43A2">
        <w:tblPrEx>
          <w:tblCellMar>
            <w:top w:w="0" w:type="dxa"/>
            <w:left w:w="108" w:type="dxa"/>
            <w:bottom w:w="0" w:type="dxa"/>
            <w:right w:w="108" w:type="dxa"/>
          </w:tblCellMar>
        </w:tblPrEx>
        <w:trPr>
          <w:cantSplit/>
          <w:trHeight w:val="461" w:hRule="atLeast"/>
          <w:tblHeader/>
        </w:trPr>
        <w:tc>
          <w:tcPr>
            <w:tcW w:w="2194" w:type="pct"/>
            <w:gridSpan w:val="2"/>
            <w:tcBorders>
              <w:top w:val="single" w:color="000000" w:sz="4" w:space="0"/>
              <w:left w:val="single" w:color="000000" w:sz="4" w:space="0"/>
              <w:bottom w:val="single" w:color="000000" w:sz="4" w:space="0"/>
              <w:right w:val="single" w:color="000000" w:sz="4" w:space="0"/>
            </w:tcBorders>
            <w:noWrap/>
            <w:vAlign w:val="center"/>
          </w:tcPr>
          <w:p w14:paraId="58A637E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支出功能分类科目</w:t>
            </w:r>
          </w:p>
        </w:tc>
        <w:tc>
          <w:tcPr>
            <w:tcW w:w="2805" w:type="pct"/>
            <w:gridSpan w:val="3"/>
            <w:tcBorders>
              <w:top w:val="single" w:color="000000" w:sz="4" w:space="0"/>
              <w:left w:val="nil"/>
              <w:bottom w:val="single" w:color="000000" w:sz="4" w:space="0"/>
              <w:right w:val="single" w:color="000000" w:sz="4" w:space="0"/>
            </w:tcBorders>
            <w:noWrap/>
            <w:vAlign w:val="center"/>
          </w:tcPr>
          <w:p w14:paraId="5FF7DC8B">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eastAsia="zh-CN" w:bidi="ar"/>
              </w:rPr>
              <w:t>2026</w:t>
            </w:r>
            <w:r>
              <w:rPr>
                <w:rFonts w:hint="eastAsia" w:asciiTheme="minorEastAsia" w:hAnsiTheme="minorEastAsia" w:cstheme="minorEastAsia"/>
                <w:color w:val="000000"/>
                <w:kern w:val="0"/>
                <w:sz w:val="21"/>
                <w:szCs w:val="21"/>
                <w:lang w:bidi="ar"/>
              </w:rPr>
              <w:t>年预算数</w:t>
            </w:r>
          </w:p>
        </w:tc>
      </w:tr>
      <w:tr w14:paraId="1147287B">
        <w:tblPrEx>
          <w:tblCellMar>
            <w:top w:w="0" w:type="dxa"/>
            <w:left w:w="108" w:type="dxa"/>
            <w:bottom w:w="0" w:type="dxa"/>
            <w:right w:w="108" w:type="dxa"/>
          </w:tblCellMar>
        </w:tblPrEx>
        <w:trPr>
          <w:cantSplit/>
          <w:trHeight w:val="461" w:hRule="atLeast"/>
          <w:tblHeader/>
        </w:trPr>
        <w:tc>
          <w:tcPr>
            <w:tcW w:w="960" w:type="pct"/>
            <w:tcBorders>
              <w:top w:val="nil"/>
              <w:left w:val="single" w:color="000000" w:sz="4" w:space="0"/>
              <w:bottom w:val="single" w:color="000000" w:sz="4" w:space="0"/>
              <w:right w:val="single" w:color="000000" w:sz="4" w:space="0"/>
            </w:tcBorders>
            <w:noWrap/>
            <w:vAlign w:val="center"/>
          </w:tcPr>
          <w:p w14:paraId="7D4BEF7C">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科目编码</w:t>
            </w:r>
          </w:p>
        </w:tc>
        <w:tc>
          <w:tcPr>
            <w:tcW w:w="1233" w:type="pct"/>
            <w:tcBorders>
              <w:top w:val="nil"/>
              <w:left w:val="nil"/>
              <w:bottom w:val="single" w:color="000000" w:sz="4" w:space="0"/>
              <w:right w:val="single" w:color="000000" w:sz="4" w:space="0"/>
            </w:tcBorders>
            <w:noWrap/>
            <w:vAlign w:val="center"/>
          </w:tcPr>
          <w:p w14:paraId="1FAB125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 xml:space="preserve">科目名称 </w:t>
            </w:r>
          </w:p>
        </w:tc>
        <w:tc>
          <w:tcPr>
            <w:tcW w:w="1088" w:type="pct"/>
            <w:tcBorders>
              <w:top w:val="nil"/>
              <w:left w:val="nil"/>
              <w:bottom w:val="single" w:color="000000" w:sz="4" w:space="0"/>
              <w:right w:val="single" w:color="000000" w:sz="4" w:space="0"/>
            </w:tcBorders>
            <w:noWrap/>
            <w:vAlign w:val="center"/>
          </w:tcPr>
          <w:p w14:paraId="62D76BA2">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合计</w:t>
            </w:r>
          </w:p>
        </w:tc>
        <w:tc>
          <w:tcPr>
            <w:tcW w:w="761" w:type="pct"/>
            <w:tcBorders>
              <w:top w:val="nil"/>
              <w:left w:val="nil"/>
              <w:bottom w:val="single" w:color="000000" w:sz="4" w:space="0"/>
              <w:right w:val="single" w:color="000000" w:sz="4" w:space="0"/>
            </w:tcBorders>
            <w:noWrap/>
            <w:vAlign w:val="center"/>
          </w:tcPr>
          <w:p w14:paraId="1927DAD9">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基本支出</w:t>
            </w:r>
          </w:p>
        </w:tc>
        <w:tc>
          <w:tcPr>
            <w:tcW w:w="955" w:type="pct"/>
            <w:tcBorders>
              <w:top w:val="nil"/>
              <w:left w:val="nil"/>
              <w:bottom w:val="single" w:color="000000" w:sz="4" w:space="0"/>
              <w:right w:val="single" w:color="000000" w:sz="4" w:space="0"/>
            </w:tcBorders>
            <w:noWrap/>
            <w:vAlign w:val="center"/>
          </w:tcPr>
          <w:p w14:paraId="0E52A334">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项目支出</w:t>
            </w:r>
          </w:p>
        </w:tc>
      </w:tr>
      <w:tr w14:paraId="18336380">
        <w:tblPrEx>
          <w:tblCellMar>
            <w:top w:w="0" w:type="dxa"/>
            <w:left w:w="108" w:type="dxa"/>
            <w:bottom w:w="0" w:type="dxa"/>
            <w:right w:w="108" w:type="dxa"/>
          </w:tblCellMar>
        </w:tblPrEx>
        <w:trPr>
          <w:cantSplit/>
          <w:trHeight w:val="476" w:hRule="atLeast"/>
          <w:tblHeader/>
        </w:trPr>
        <w:tc>
          <w:tcPr>
            <w:tcW w:w="960" w:type="pct"/>
            <w:tcBorders>
              <w:top w:val="single" w:color="000000" w:sz="4" w:space="0"/>
              <w:left w:val="single" w:color="000000" w:sz="4" w:space="0"/>
              <w:bottom w:val="single" w:color="000000" w:sz="4" w:space="0"/>
              <w:right w:val="single" w:color="000000" w:sz="4" w:space="0"/>
            </w:tcBorders>
            <w:noWrap/>
            <w:vAlign w:val="center"/>
          </w:tcPr>
          <w:p w14:paraId="75491E08">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233" w:type="pct"/>
            <w:tcBorders>
              <w:top w:val="single" w:color="000000" w:sz="4" w:space="0"/>
              <w:left w:val="single" w:color="000000" w:sz="4" w:space="0"/>
              <w:bottom w:val="single" w:color="000000" w:sz="4" w:space="0"/>
              <w:right w:val="single" w:color="000000" w:sz="4" w:space="0"/>
            </w:tcBorders>
            <w:noWrap/>
            <w:vAlign w:val="center"/>
          </w:tcPr>
          <w:p w14:paraId="06F6B7B0">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w:t>
            </w:r>
          </w:p>
        </w:tc>
        <w:tc>
          <w:tcPr>
            <w:tcW w:w="1088" w:type="pct"/>
            <w:tcBorders>
              <w:top w:val="single" w:color="000000" w:sz="4" w:space="0"/>
              <w:left w:val="single" w:color="000000" w:sz="4" w:space="0"/>
              <w:bottom w:val="single" w:color="000000" w:sz="4" w:space="0"/>
              <w:right w:val="single" w:color="000000" w:sz="4" w:space="0"/>
            </w:tcBorders>
            <w:noWrap/>
            <w:vAlign w:val="center"/>
          </w:tcPr>
          <w:p w14:paraId="168B1DDF">
            <w:pPr>
              <w:widowControl/>
              <w:snapToGrid w:val="0"/>
              <w:jc w:val="center"/>
              <w:textAlignment w:val="center"/>
              <w:rPr>
                <w:rFonts w:hint="eastAsia" w:asciiTheme="minorEastAsia" w:hAnsiTheme="minorEastAsia" w:cstheme="minorEastAsia"/>
                <w:color w:val="000000"/>
                <w:kern w:val="0"/>
                <w:sz w:val="21"/>
                <w:szCs w:val="21"/>
                <w:lang w:bidi="ar"/>
              </w:rPr>
            </w:pPr>
            <w:r>
              <w:rPr>
                <w:rFonts w:hint="eastAsia" w:asciiTheme="minorEastAsia" w:hAnsiTheme="minorEastAsia" w:cstheme="minorEastAsia"/>
                <w:color w:val="000000"/>
                <w:kern w:val="0"/>
                <w:sz w:val="21"/>
                <w:szCs w:val="21"/>
                <w:lang w:bidi="ar"/>
              </w:rPr>
              <w:t>1</w:t>
            </w:r>
          </w:p>
        </w:tc>
        <w:tc>
          <w:tcPr>
            <w:tcW w:w="761" w:type="pct"/>
            <w:tcBorders>
              <w:top w:val="single" w:color="000000" w:sz="4" w:space="0"/>
              <w:left w:val="single" w:color="000000" w:sz="4" w:space="0"/>
              <w:bottom w:val="single" w:color="000000" w:sz="4" w:space="0"/>
              <w:right w:val="single" w:color="000000" w:sz="4" w:space="0"/>
            </w:tcBorders>
            <w:noWrap/>
            <w:vAlign w:val="center"/>
          </w:tcPr>
          <w:p w14:paraId="13622C22">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2</w:t>
            </w:r>
          </w:p>
        </w:tc>
        <w:tc>
          <w:tcPr>
            <w:tcW w:w="955" w:type="pct"/>
            <w:tcBorders>
              <w:top w:val="single" w:color="000000" w:sz="4" w:space="0"/>
              <w:left w:val="single" w:color="000000" w:sz="4" w:space="0"/>
              <w:bottom w:val="single" w:color="000000" w:sz="4" w:space="0"/>
              <w:right w:val="single" w:color="000000" w:sz="4" w:space="0"/>
            </w:tcBorders>
            <w:noWrap/>
            <w:vAlign w:val="center"/>
          </w:tcPr>
          <w:p w14:paraId="461AD11D">
            <w:pPr>
              <w:widowControl/>
              <w:snapToGrid w:val="0"/>
              <w:jc w:val="center"/>
              <w:textAlignment w:val="center"/>
              <w:rPr>
                <w:rFonts w:hint="eastAsia" w:asciiTheme="minorEastAsia" w:hAnsi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3</w:t>
            </w:r>
          </w:p>
        </w:tc>
      </w:tr>
    </w:tbl>
    <w:p w14:paraId="29B1881F">
      <w:pPr>
        <w:jc w:val="left"/>
        <w:rPr>
          <w:rStyle w:val="12"/>
          <w:rFonts w:hint="eastAsia" w:ascii="仿宋" w:hAnsi="仿宋" w:eastAsia="仿宋"/>
          <w:bCs/>
          <w:sz w:val="32"/>
          <w:szCs w:val="32"/>
        </w:rPr>
      </w:pPr>
      <w:r>
        <w:rPr>
          <w:rStyle w:val="12"/>
          <w:rFonts w:hint="eastAsia" w:ascii="仿宋" w:hAnsi="仿宋" w:eastAsia="仿宋"/>
          <w:bCs/>
          <w:sz w:val="32"/>
          <w:szCs w:val="32"/>
        </w:rPr>
        <w:br w:type="page"/>
      </w:r>
    </w:p>
    <w:p w14:paraId="231EE303">
      <w:pPr>
        <w:rPr>
          <w:rFonts w:hint="eastAsia"/>
          <w:lang w:eastAsia="zh-CN"/>
        </w:rPr>
        <w:sectPr>
          <w:pgSz w:w="11906" w:h="16838"/>
          <w:pgMar w:top="720" w:right="720" w:bottom="720" w:left="720" w:header="851" w:footer="992" w:gutter="0"/>
          <w:cols w:space="425" w:num="1"/>
          <w:docGrid w:type="lines" w:linePitch="312" w:charSpace="0"/>
        </w:sectPr>
      </w:pPr>
    </w:p>
    <w:tbl>
      <w:tblPr>
        <w:tblStyle w:val="6"/>
        <w:tblW w:w="9840" w:type="dxa"/>
        <w:tblInd w:w="-7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74"/>
        <w:gridCol w:w="1193"/>
        <w:gridCol w:w="2567"/>
        <w:gridCol w:w="1364"/>
        <w:gridCol w:w="828"/>
        <w:gridCol w:w="307"/>
        <w:gridCol w:w="1283"/>
        <w:gridCol w:w="924"/>
      </w:tblGrid>
      <w:tr w14:paraId="325D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exact"/>
        </w:trPr>
        <w:tc>
          <w:tcPr>
            <w:tcW w:w="9840" w:type="dxa"/>
            <w:gridSpan w:val="8"/>
            <w:tcBorders>
              <w:top w:val="nil"/>
              <w:left w:val="nil"/>
              <w:bottom w:val="single" w:color="000000" w:sz="4" w:space="0"/>
              <w:right w:val="nil"/>
            </w:tcBorders>
            <w:shd w:val="clear" w:color="auto" w:fill="FFFFFF"/>
            <w:noWrap/>
            <w:vAlign w:val="center"/>
          </w:tcPr>
          <w:p w14:paraId="7335DC08">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val="0"/>
                <w:bCs/>
                <w:i w:val="0"/>
                <w:iCs w:val="0"/>
                <w:color w:val="000000"/>
                <w:kern w:val="0"/>
                <w:sz w:val="32"/>
                <w:szCs w:val="32"/>
                <w:u w:val="none"/>
                <w:lang w:val="en-US" w:eastAsia="zh-CN" w:bidi="ar"/>
              </w:rPr>
            </w:pPr>
            <w:r>
              <w:rPr>
                <w:rFonts w:hint="eastAsia" w:asciiTheme="minorEastAsia" w:hAnsiTheme="minorEastAsia" w:cstheme="minorEastAsia"/>
                <w:b/>
                <w:bCs w:val="0"/>
                <w:i w:val="0"/>
                <w:iCs w:val="0"/>
                <w:color w:val="000000"/>
                <w:kern w:val="0"/>
                <w:sz w:val="32"/>
                <w:szCs w:val="32"/>
                <w:u w:val="none"/>
                <w:lang w:val="en-US" w:eastAsia="zh-CN" w:bidi="ar"/>
              </w:rPr>
              <w:t>单位</w:t>
            </w:r>
            <w:r>
              <w:rPr>
                <w:rFonts w:hint="eastAsia" w:asciiTheme="minorEastAsia" w:hAnsiTheme="minorEastAsia" w:eastAsiaTheme="minorEastAsia" w:cstheme="minorEastAsia"/>
                <w:b/>
                <w:bCs w:val="0"/>
                <w:i w:val="0"/>
                <w:iCs w:val="0"/>
                <w:color w:val="000000"/>
                <w:kern w:val="0"/>
                <w:sz w:val="32"/>
                <w:szCs w:val="32"/>
                <w:u w:val="none"/>
                <w:lang w:val="en-US" w:eastAsia="zh-CN" w:bidi="ar"/>
              </w:rPr>
              <w:t>整体绩效目标</w:t>
            </w:r>
          </w:p>
        </w:tc>
      </w:tr>
      <w:tr w14:paraId="21BF3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exact"/>
        </w:trPr>
        <w:tc>
          <w:tcPr>
            <w:tcW w:w="2567"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99AE687">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cstheme="minorEastAsia"/>
                <w:b/>
                <w:bCs w:val="0"/>
                <w:i w:val="0"/>
                <w:iCs w:val="0"/>
                <w:color w:val="000000"/>
                <w:kern w:val="0"/>
                <w:sz w:val="21"/>
                <w:szCs w:val="21"/>
                <w:u w:val="none"/>
                <w:lang w:val="en-US" w:eastAsia="zh-CN" w:bidi="ar"/>
              </w:rPr>
              <w:t>单位编码</w:t>
            </w:r>
          </w:p>
        </w:tc>
        <w:tc>
          <w:tcPr>
            <w:tcW w:w="256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4E86B">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067</w:t>
            </w:r>
            <w:r>
              <w:rPr>
                <w:rFonts w:hint="eastAsia" w:asciiTheme="minorEastAsia" w:hAnsiTheme="minorEastAsia" w:cstheme="minorEastAsia"/>
                <w:b w:val="0"/>
                <w:bCs/>
                <w:i w:val="0"/>
                <w:iCs w:val="0"/>
                <w:color w:val="000000"/>
                <w:kern w:val="0"/>
                <w:sz w:val="21"/>
                <w:szCs w:val="21"/>
                <w:u w:val="none"/>
                <w:lang w:val="en-US" w:eastAsia="zh-CN" w:bidi="ar"/>
              </w:rPr>
              <w:t>001</w:t>
            </w:r>
          </w:p>
        </w:tc>
        <w:tc>
          <w:tcPr>
            <w:tcW w:w="2192"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1D762F6">
            <w:pPr>
              <w:keepNext w:val="0"/>
              <w:keepLines w:val="0"/>
              <w:widowControl/>
              <w:suppressLineNumbers w:val="0"/>
              <w:spacing w:line="240" w:lineRule="auto"/>
              <w:jc w:val="center"/>
              <w:textAlignment w:val="center"/>
              <w:rPr>
                <w:rFonts w:hint="default"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cstheme="minorEastAsia"/>
                <w:b/>
                <w:bCs w:val="0"/>
                <w:i w:val="0"/>
                <w:iCs w:val="0"/>
                <w:color w:val="000000"/>
                <w:kern w:val="0"/>
                <w:sz w:val="21"/>
                <w:szCs w:val="21"/>
                <w:u w:val="none"/>
                <w:lang w:val="en-US" w:eastAsia="zh-CN" w:bidi="ar"/>
              </w:rPr>
              <w:t>单位名称</w:t>
            </w:r>
          </w:p>
        </w:tc>
        <w:tc>
          <w:tcPr>
            <w:tcW w:w="2514"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6787A5">
            <w:pPr>
              <w:keepNext w:val="0"/>
              <w:keepLines w:val="0"/>
              <w:widowControl/>
              <w:suppressLineNumbers w:val="0"/>
              <w:spacing w:line="240" w:lineRule="auto"/>
              <w:jc w:val="center"/>
              <w:textAlignment w:val="center"/>
              <w:rPr>
                <w:rFonts w:hint="eastAsia" w:asciiTheme="minorEastAsia" w:hAnsiTheme="minorEastAsia" w:eastAsiaTheme="minorEastAsia" w:cstheme="minorEastAsia"/>
                <w:b/>
                <w:bCs w:val="0"/>
                <w:i w:val="0"/>
                <w:iCs w:val="0"/>
                <w:color w:val="000000"/>
                <w:kern w:val="0"/>
                <w:sz w:val="21"/>
                <w:szCs w:val="21"/>
                <w:u w:val="none"/>
                <w:lang w:val="en-US" w:eastAsia="zh-CN" w:bidi="ar"/>
              </w:rPr>
            </w:pPr>
            <w:r>
              <w:rPr>
                <w:rFonts w:hint="eastAsia" w:asciiTheme="minorEastAsia" w:hAnsiTheme="minorEastAsia" w:eastAsiaTheme="minorEastAsia" w:cstheme="minorEastAsia"/>
                <w:b w:val="0"/>
                <w:bCs/>
                <w:i w:val="0"/>
                <w:iCs w:val="0"/>
                <w:color w:val="000000"/>
                <w:kern w:val="0"/>
                <w:sz w:val="21"/>
                <w:szCs w:val="21"/>
                <w:u w:val="none"/>
                <w:lang w:val="en-US" w:eastAsia="zh-CN" w:bidi="ar"/>
              </w:rPr>
              <w:t>南昌市青云谱区医疗保障局</w:t>
            </w:r>
          </w:p>
        </w:tc>
      </w:tr>
      <w:tr w14:paraId="7102A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9" w:hRule="exact"/>
        </w:trPr>
        <w:tc>
          <w:tcPr>
            <w:tcW w:w="1374" w:type="dxa"/>
            <w:vMerge w:val="restart"/>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0D0E383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Style w:val="15"/>
                <w:rFonts w:hint="eastAsia" w:asciiTheme="minorEastAsia" w:hAnsiTheme="minorEastAsia" w:eastAsiaTheme="minorEastAsia" w:cstheme="minorEastAsia"/>
                <w:b/>
                <w:bCs/>
                <w:color w:val="000000"/>
                <w:sz w:val="21"/>
                <w:szCs w:val="21"/>
                <w:lang w:val="en-US" w:eastAsia="zh-CN" w:bidi="ar"/>
              </w:rPr>
              <w:t>年度绩效总目标</w:t>
            </w:r>
          </w:p>
        </w:tc>
        <w:tc>
          <w:tcPr>
            <w:tcW w:w="8466" w:type="dxa"/>
            <w:gridSpan w:val="7"/>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E15F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（一）持续落实医疗保障待遇，织密民生保障网</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一是精准推进参保扩面。建立“就业-参保”联动机制。二是提升保障待遇水平。三是完善多层次保障体系。</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（二）保持常态监管高压态势，守护群众“救命钱”</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一是推进基金智能监管。二是完善监管长效机制。三是畅通社会监督渠道。</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（三）着力提升经办服务质效，打造便民新标杆</w:t>
            </w:r>
            <w:r>
              <w:rPr>
                <w:rFonts w:hint="eastAsia" w:asciiTheme="minorEastAsia" w:hAnsiTheme="minorEastAsia" w:eastAsiaTheme="minorEastAsia" w:cstheme="minorEastAsia"/>
                <w:b w:val="0"/>
                <w:i w:val="0"/>
                <w:iCs w:val="0"/>
                <w:color w:val="000000"/>
                <w:kern w:val="0"/>
                <w:sz w:val="21"/>
                <w:szCs w:val="21"/>
                <w:u w:val="none"/>
                <w:lang w:val="en-US" w:eastAsia="zh-CN" w:bidi="ar"/>
              </w:rPr>
              <w:cr/>
            </w:r>
            <w:r>
              <w:rPr>
                <w:rFonts w:hint="eastAsia" w:asciiTheme="minorEastAsia" w:hAnsiTheme="minorEastAsia" w:eastAsiaTheme="minorEastAsia" w:cstheme="minorEastAsia"/>
                <w:b w:val="0"/>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b w:val="0"/>
                <w:i w:val="0"/>
                <w:iCs w:val="0"/>
                <w:color w:val="000000"/>
                <w:kern w:val="0"/>
                <w:sz w:val="21"/>
                <w:szCs w:val="21"/>
                <w:u w:val="none"/>
                <w:lang w:val="en-US" w:eastAsia="zh-CN" w:bidi="ar"/>
              </w:rPr>
              <w:t>一是深化“互联网+医保”服务。二是加强经办队伍建设。三是优化服务阵地建设。</w:t>
            </w:r>
          </w:p>
        </w:tc>
      </w:tr>
      <w:tr w14:paraId="1F7B8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9D18B56">
            <w:pPr>
              <w:jc w:val="center"/>
              <w:rPr>
                <w:rFonts w:hint="eastAsia" w:asciiTheme="minorEastAsia" w:hAnsiTheme="minorEastAsia" w:eastAsiaTheme="minorEastAsia" w:cstheme="minorEastAsia"/>
                <w:b w:val="0"/>
                <w:i w:val="0"/>
                <w:iCs w:val="0"/>
                <w:color w:val="000000"/>
                <w:sz w:val="21"/>
                <w:szCs w:val="21"/>
                <w:u w:val="none"/>
              </w:rPr>
            </w:pPr>
          </w:p>
        </w:tc>
        <w:tc>
          <w:tcPr>
            <w:tcW w:w="8466"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8D7A7">
            <w:pPr>
              <w:jc w:val="center"/>
              <w:rPr>
                <w:rFonts w:hint="eastAsia" w:asciiTheme="minorEastAsia" w:hAnsiTheme="minorEastAsia" w:eastAsiaTheme="minorEastAsia" w:cstheme="minorEastAsia"/>
                <w:b w:val="0"/>
                <w:i w:val="0"/>
                <w:iCs w:val="0"/>
                <w:color w:val="000000"/>
                <w:sz w:val="21"/>
                <w:szCs w:val="21"/>
                <w:u w:val="none"/>
              </w:rPr>
            </w:pPr>
          </w:p>
        </w:tc>
      </w:tr>
      <w:tr w14:paraId="64E63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01"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856F8FC">
            <w:pPr>
              <w:jc w:val="center"/>
              <w:rPr>
                <w:rFonts w:hint="eastAsia" w:asciiTheme="minorEastAsia" w:hAnsiTheme="minorEastAsia" w:eastAsiaTheme="minorEastAsia" w:cstheme="minorEastAsia"/>
                <w:b w:val="0"/>
                <w:i w:val="0"/>
                <w:iCs w:val="0"/>
                <w:color w:val="000000"/>
                <w:sz w:val="21"/>
                <w:szCs w:val="21"/>
                <w:u w:val="none"/>
              </w:rPr>
            </w:pPr>
          </w:p>
        </w:tc>
        <w:tc>
          <w:tcPr>
            <w:tcW w:w="8466" w:type="dxa"/>
            <w:gridSpan w:val="7"/>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1BFA1B">
            <w:pPr>
              <w:jc w:val="center"/>
              <w:rPr>
                <w:rFonts w:hint="eastAsia" w:asciiTheme="minorEastAsia" w:hAnsiTheme="minorEastAsia" w:eastAsiaTheme="minorEastAsia" w:cstheme="minorEastAsia"/>
                <w:b w:val="0"/>
                <w:i w:val="0"/>
                <w:iCs w:val="0"/>
                <w:color w:val="000000"/>
                <w:sz w:val="21"/>
                <w:szCs w:val="21"/>
                <w:u w:val="none"/>
              </w:rPr>
            </w:pPr>
          </w:p>
        </w:tc>
      </w:tr>
      <w:tr w14:paraId="394FB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37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67534F5">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一级指标</w:t>
            </w:r>
          </w:p>
        </w:tc>
        <w:tc>
          <w:tcPr>
            <w:tcW w:w="119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7E67994">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二级指标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6B199C98">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三级指标</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16A9ECF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计算符号</w:t>
            </w:r>
          </w:p>
        </w:tc>
        <w:tc>
          <w:tcPr>
            <w:tcW w:w="1283"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7C3C71FE">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目标值</w:t>
            </w:r>
          </w:p>
        </w:tc>
        <w:tc>
          <w:tcPr>
            <w:tcW w:w="924" w:type="dxa"/>
            <w:tcBorders>
              <w:top w:val="single" w:color="000000" w:sz="4" w:space="0"/>
              <w:left w:val="single" w:color="000000" w:sz="4" w:space="0"/>
              <w:bottom w:val="single" w:color="000000" w:sz="4" w:space="0"/>
              <w:right w:val="single" w:color="000000" w:sz="4" w:space="0"/>
            </w:tcBorders>
            <w:shd w:val="clear" w:color="auto" w:fill="F1F1F1" w:themeFill="background1" w:themeFillShade="F2"/>
            <w:noWrap/>
            <w:vAlign w:val="center"/>
          </w:tcPr>
          <w:p w14:paraId="2ECB6C61">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度量单位</w:t>
            </w:r>
          </w:p>
        </w:tc>
      </w:tr>
      <w:tr w14:paraId="7A956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5" w:hRule="atLeast"/>
        </w:trPr>
        <w:tc>
          <w:tcPr>
            <w:tcW w:w="137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4E1FC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9F08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数量指标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EFB1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医保政策培训次数</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665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CF8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8</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626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次</w:t>
            </w:r>
          </w:p>
        </w:tc>
      </w:tr>
      <w:tr w14:paraId="27B9D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5"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9D1D73">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96D3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数量指标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CAC2A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定点医疗机构监督检查次数</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2FB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DB9A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9B3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次</w:t>
            </w:r>
          </w:p>
        </w:tc>
      </w:tr>
      <w:tr w14:paraId="1E8AE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5"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19BC5">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8E4B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质量指标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C4F4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基本医疗保险参保人数</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42E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FB8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692A7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万人</w:t>
            </w:r>
          </w:p>
        </w:tc>
      </w:tr>
      <w:tr w14:paraId="75B69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5"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B67659">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04D4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质量指标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CBA0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定点医药机构监督检查覆盖率</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5BB0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673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3F3DF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36BE7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5"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ED3C23">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95A3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时效指标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20E2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部门工作完成及时率</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3A34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EB9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9F34C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5342A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595"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AD3EBD">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A415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成本指标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C94B3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在职人员控制率</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AC9A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BF63D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9709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784BD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95"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83F6E">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产出指标</w:t>
            </w:r>
          </w:p>
        </w:tc>
        <w:tc>
          <w:tcPr>
            <w:tcW w:w="1193"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1BB38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成本指标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86C71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公用经费控制率</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155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36D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100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686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59A3B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48" w:hRule="atLeast"/>
        </w:trPr>
        <w:tc>
          <w:tcPr>
            <w:tcW w:w="1374"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E52AD4">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效益指标</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36554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经济效益指标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4BD5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追回医保基金金额</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B4DD8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417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50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C647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万元</w:t>
            </w:r>
          </w:p>
        </w:tc>
      </w:tr>
      <w:tr w14:paraId="74FBF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rHeight w:val="648" w:hRule="atLeast"/>
        </w:trPr>
        <w:tc>
          <w:tcPr>
            <w:tcW w:w="1374"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03D733">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效益指标</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734C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社会效益指标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1CD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医保政策知晓率</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A74D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177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90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8116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r w14:paraId="03F5E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65" w:hRule="atLeast"/>
        </w:trPr>
        <w:tc>
          <w:tcPr>
            <w:tcW w:w="137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5161B">
            <w:pPr>
              <w:keepNext w:val="0"/>
              <w:keepLines w:val="0"/>
              <w:widowControl/>
              <w:suppressLineNumbers w:val="0"/>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满意度指标</w:t>
            </w:r>
          </w:p>
        </w:tc>
        <w:tc>
          <w:tcPr>
            <w:tcW w:w="11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3AE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服务对象满意度指标</w:t>
            </w:r>
          </w:p>
        </w:tc>
        <w:tc>
          <w:tcPr>
            <w:tcW w:w="3931"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8D5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群众满意度</w:t>
            </w:r>
          </w:p>
        </w:tc>
        <w:tc>
          <w:tcPr>
            <w:tcW w:w="1135"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9DF3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c>
          <w:tcPr>
            <w:tcW w:w="128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24A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90</w:t>
            </w:r>
          </w:p>
        </w:tc>
        <w:tc>
          <w:tcPr>
            <w:tcW w:w="924"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C163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Theme="minorEastAsia" w:hAnsiTheme="minorEastAsia" w:eastAsiaTheme="minorEastAsia" w:cstheme="minorEastAsia"/>
                <w:b w:val="0"/>
                <w:i w:val="0"/>
                <w:iCs w:val="0"/>
                <w:color w:val="000000"/>
                <w:sz w:val="21"/>
                <w:szCs w:val="21"/>
                <w:u w:val="none"/>
              </w:rPr>
            </w:pPr>
            <w:r>
              <w:rPr>
                <w:rFonts w:hint="eastAsia" w:asciiTheme="minorEastAsia" w:hAnsiTheme="minorEastAsia" w:eastAsiaTheme="minorEastAsia" w:cstheme="minorEastAsia"/>
                <w:b w:val="0"/>
                <w:i w:val="0"/>
                <w:iCs w:val="0"/>
                <w:color w:val="000000"/>
                <w:kern w:val="0"/>
                <w:sz w:val="21"/>
                <w:szCs w:val="21"/>
                <w:u w:val="none"/>
                <w:lang w:val="en-US" w:eastAsia="zh-CN" w:bidi="ar"/>
              </w:rPr>
              <w:t>%</w:t>
            </w:r>
          </w:p>
        </w:tc>
      </w:tr>
    </w:tbl>
    <w:p w14:paraId="369C3193">
      <w:pPr>
        <w:keepNext w:val="0"/>
        <w:keepLines w:val="0"/>
        <w:widowControl/>
        <w:suppressLineNumbers w:val="0"/>
        <w:jc w:val="center"/>
        <w:textAlignment w:val="center"/>
        <w:rPr>
          <w:rFonts w:hint="default" w:ascii="方正小标宋简体" w:hAnsi="方正小标宋简体" w:eastAsia="方正小标宋简体" w:cs="方正小标宋简体"/>
          <w:i w:val="0"/>
          <w:iCs w:val="0"/>
          <w:color w:val="000000"/>
          <w:kern w:val="0"/>
          <w:sz w:val="32"/>
          <w:szCs w:val="32"/>
          <w:u w:val="none"/>
          <w:lang w:val="en-US" w:eastAsia="zh-CN" w:bidi="ar"/>
        </w:rPr>
      </w:pPr>
      <w:r>
        <w:rPr>
          <w:rFonts w:hint="default" w:ascii="方正小标宋简体" w:hAnsi="方正小标宋简体" w:eastAsia="方正小标宋简体" w:cs="方正小标宋简体"/>
          <w:i w:val="0"/>
          <w:iCs w:val="0"/>
          <w:color w:val="000000"/>
          <w:kern w:val="0"/>
          <w:sz w:val="32"/>
          <w:szCs w:val="32"/>
          <w:u w:val="none"/>
          <w:lang w:val="en-US" w:eastAsia="zh-CN" w:bidi="ar"/>
        </w:rPr>
        <w:br w:type="page"/>
      </w:r>
    </w:p>
    <w:tbl>
      <w:tblPr>
        <w:tblStyle w:val="6"/>
        <w:tblW w:w="88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06"/>
        <w:gridCol w:w="1819"/>
        <w:gridCol w:w="1751"/>
        <w:gridCol w:w="1637"/>
        <w:gridCol w:w="2447"/>
      </w:tblGrid>
      <w:tr w14:paraId="7475C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nil"/>
              <w:left w:val="nil"/>
              <w:bottom w:val="nil"/>
              <w:right w:val="nil"/>
            </w:tcBorders>
            <w:shd w:val="clear" w:color="auto" w:fill="auto"/>
            <w:vAlign w:val="center"/>
          </w:tcPr>
          <w:p w14:paraId="7DBACFC7">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32"/>
                <w:szCs w:val="32"/>
                <w:u w:val="none"/>
              </w:rPr>
            </w:pPr>
            <w:r>
              <w:rPr>
                <w:rFonts w:hint="default" w:ascii="方正小标宋简体" w:hAnsi="方正小标宋简体" w:eastAsia="方正小标宋简体" w:cs="方正小标宋简体"/>
                <w:i w:val="0"/>
                <w:iCs w:val="0"/>
                <w:color w:val="000000"/>
                <w:kern w:val="0"/>
                <w:sz w:val="32"/>
                <w:szCs w:val="32"/>
                <w:u w:val="none"/>
                <w:lang w:val="en-US" w:eastAsia="zh-CN" w:bidi="ar"/>
              </w:rPr>
              <w:t>项目支出绩效目标表</w:t>
            </w:r>
          </w:p>
        </w:tc>
      </w:tr>
      <w:tr w14:paraId="0FC72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nil"/>
              <w:left w:val="nil"/>
              <w:bottom w:val="single" w:color="000000" w:sz="4" w:space="0"/>
              <w:right w:val="nil"/>
            </w:tcBorders>
            <w:shd w:val="clear" w:color="auto" w:fill="auto"/>
            <w:vAlign w:val="center"/>
          </w:tcPr>
          <w:p w14:paraId="1B1610EE">
            <w:pPr>
              <w:keepNext w:val="0"/>
              <w:keepLines w:val="0"/>
              <w:widowControl/>
              <w:suppressLineNumbers w:val="0"/>
              <w:jc w:val="center"/>
              <w:textAlignment w:val="center"/>
              <w:rPr>
                <w:rFonts w:ascii="楷体_GB2312" w:hAnsi="等线" w:eastAsia="楷体_GB2312" w:cs="楷体_GB2312"/>
                <w:b/>
                <w:bCs/>
                <w:i w:val="0"/>
                <w:iCs w:val="0"/>
                <w:color w:val="000000"/>
                <w:sz w:val="24"/>
                <w:szCs w:val="24"/>
                <w:u w:val="none"/>
              </w:rPr>
            </w:pPr>
            <w:r>
              <w:rPr>
                <w:rFonts w:hint="default" w:ascii="楷体_GB2312" w:hAnsi="等线" w:eastAsia="楷体_GB2312" w:cs="楷体_GB2312"/>
                <w:b/>
                <w:bCs/>
                <w:i w:val="0"/>
                <w:iCs w:val="0"/>
                <w:color w:val="000000"/>
                <w:kern w:val="0"/>
                <w:sz w:val="24"/>
                <w:szCs w:val="24"/>
                <w:u w:val="none"/>
                <w:lang w:val="en-US" w:eastAsia="zh-CN" w:bidi="ar"/>
              </w:rPr>
              <w:t>(2026年度)</w:t>
            </w:r>
          </w:p>
        </w:tc>
      </w:tr>
      <w:tr w14:paraId="7ACBD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tcBorders>
              <w:top w:val="nil"/>
              <w:left w:val="single" w:color="000000" w:sz="4" w:space="0"/>
              <w:bottom w:val="single" w:color="000000" w:sz="4" w:space="0"/>
              <w:right w:val="single" w:color="000000" w:sz="4" w:space="0"/>
            </w:tcBorders>
            <w:shd w:val="clear" w:color="auto" w:fill="auto"/>
            <w:vAlign w:val="center"/>
          </w:tcPr>
          <w:p w14:paraId="32648DE5">
            <w:pPr>
              <w:keepNext w:val="0"/>
              <w:keepLines w:val="0"/>
              <w:widowControl/>
              <w:suppressLineNumbers w:val="0"/>
              <w:jc w:val="center"/>
              <w:textAlignment w:val="center"/>
              <w:rPr>
                <w:rFonts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项目名称</w:t>
            </w:r>
          </w:p>
        </w:tc>
        <w:tc>
          <w:tcPr>
            <w:tcW w:w="5835" w:type="dxa"/>
            <w:gridSpan w:val="3"/>
            <w:tcBorders>
              <w:top w:val="nil"/>
              <w:left w:val="single" w:color="000000" w:sz="4" w:space="0"/>
              <w:bottom w:val="single" w:color="000000" w:sz="4" w:space="0"/>
              <w:right w:val="single" w:color="000000" w:sz="4" w:space="0"/>
            </w:tcBorders>
            <w:shd w:val="clear" w:color="auto" w:fill="auto"/>
            <w:vAlign w:val="center"/>
          </w:tcPr>
          <w:p w14:paraId="3144065F">
            <w:pPr>
              <w:jc w:val="center"/>
              <w:rPr>
                <w:rFonts w:hint="eastAsia" w:ascii="黑体" w:hAnsi="宋体" w:eastAsia="黑体" w:cs="黑体"/>
                <w:i w:val="0"/>
                <w:iCs w:val="0"/>
                <w:color w:val="000000"/>
                <w:sz w:val="24"/>
                <w:szCs w:val="24"/>
                <w:u w:val="none"/>
              </w:rPr>
            </w:pPr>
          </w:p>
        </w:tc>
      </w:tr>
      <w:tr w14:paraId="26886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A9F81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主管部门及代码</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B1B4">
            <w:pPr>
              <w:jc w:val="center"/>
              <w:rPr>
                <w:rFonts w:hint="eastAsia" w:ascii="黑体" w:hAnsi="宋体" w:eastAsia="黑体" w:cs="黑体"/>
                <w:i w:val="0"/>
                <w:iCs w:val="0"/>
                <w:color w:val="000000"/>
                <w:sz w:val="24"/>
                <w:szCs w:val="24"/>
                <w:u w:val="none"/>
              </w:rPr>
            </w:pPr>
          </w:p>
        </w:tc>
        <w:tc>
          <w:tcPr>
            <w:tcW w:w="1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AF0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实施单位</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5C22">
            <w:pPr>
              <w:jc w:val="center"/>
              <w:rPr>
                <w:rFonts w:hint="eastAsia" w:ascii="黑体" w:hAnsi="宋体" w:eastAsia="黑体" w:cs="黑体"/>
                <w:i w:val="0"/>
                <w:iCs w:val="0"/>
                <w:color w:val="000000"/>
                <w:sz w:val="24"/>
                <w:szCs w:val="24"/>
                <w:u w:val="none"/>
              </w:rPr>
            </w:pPr>
          </w:p>
        </w:tc>
      </w:tr>
      <w:tr w14:paraId="5FE8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A80A7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项目资金</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（万元）</w:t>
            </w: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0ADE7">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 xml:space="preserve"> 年度资金总额</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1F137">
            <w:pPr>
              <w:jc w:val="center"/>
              <w:rPr>
                <w:rFonts w:hint="eastAsia" w:ascii="黑体" w:hAnsi="宋体" w:eastAsia="黑体" w:cs="黑体"/>
                <w:i w:val="0"/>
                <w:iCs w:val="0"/>
                <w:color w:val="000000"/>
                <w:sz w:val="24"/>
                <w:szCs w:val="24"/>
                <w:u w:val="none"/>
              </w:rPr>
            </w:pPr>
          </w:p>
        </w:tc>
      </w:tr>
      <w:tr w14:paraId="17E87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F5018">
            <w:pPr>
              <w:jc w:val="center"/>
              <w:rPr>
                <w:rFonts w:hint="eastAsia" w:ascii="黑体" w:hAnsi="宋体" w:eastAsia="黑体" w:cs="黑体"/>
                <w:i w:val="0"/>
                <w:iCs w:val="0"/>
                <w:color w:val="000000"/>
                <w:sz w:val="24"/>
                <w:szCs w:val="24"/>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C4F0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其中：财政拨款</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C19A7C">
            <w:pPr>
              <w:jc w:val="center"/>
              <w:rPr>
                <w:rFonts w:hint="eastAsia" w:ascii="黑体" w:hAnsi="宋体" w:eastAsia="黑体" w:cs="黑体"/>
                <w:i w:val="0"/>
                <w:iCs w:val="0"/>
                <w:color w:val="000000"/>
                <w:sz w:val="24"/>
                <w:szCs w:val="24"/>
                <w:u w:val="none"/>
              </w:rPr>
            </w:pPr>
          </w:p>
        </w:tc>
      </w:tr>
      <w:tr w14:paraId="12042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D44F1">
            <w:pPr>
              <w:jc w:val="center"/>
              <w:rPr>
                <w:rFonts w:hint="eastAsia" w:ascii="黑体" w:hAnsi="宋体" w:eastAsia="黑体" w:cs="黑体"/>
                <w:i w:val="0"/>
                <w:iCs w:val="0"/>
                <w:color w:val="000000"/>
                <w:sz w:val="24"/>
                <w:szCs w:val="24"/>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304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其他资金</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9071F8">
            <w:pPr>
              <w:jc w:val="center"/>
              <w:rPr>
                <w:rFonts w:hint="eastAsia" w:ascii="黑体" w:hAnsi="宋体" w:eastAsia="黑体" w:cs="黑体"/>
                <w:i w:val="0"/>
                <w:iCs w:val="0"/>
                <w:color w:val="000000"/>
                <w:sz w:val="24"/>
                <w:szCs w:val="24"/>
                <w:u w:val="none"/>
              </w:rPr>
            </w:pPr>
          </w:p>
        </w:tc>
      </w:tr>
      <w:tr w14:paraId="59046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302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4945">
            <w:pPr>
              <w:jc w:val="center"/>
              <w:rPr>
                <w:rFonts w:hint="eastAsia" w:ascii="黑体" w:hAnsi="宋体" w:eastAsia="黑体" w:cs="黑体"/>
                <w:i w:val="0"/>
                <w:iCs w:val="0"/>
                <w:color w:val="000000"/>
                <w:sz w:val="24"/>
                <w:szCs w:val="24"/>
                <w:u w:val="none"/>
              </w:rPr>
            </w:pPr>
          </w:p>
        </w:tc>
        <w:tc>
          <w:tcPr>
            <w:tcW w:w="1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71E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上年结转</w:t>
            </w:r>
          </w:p>
        </w:tc>
        <w:tc>
          <w:tcPr>
            <w:tcW w:w="40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8B0CAD">
            <w:pPr>
              <w:jc w:val="center"/>
              <w:rPr>
                <w:rFonts w:hint="eastAsia" w:ascii="黑体" w:hAnsi="宋体" w:eastAsia="黑体" w:cs="黑体"/>
                <w:i w:val="0"/>
                <w:iCs w:val="0"/>
                <w:color w:val="000000"/>
                <w:sz w:val="24"/>
                <w:szCs w:val="24"/>
                <w:u w:val="none"/>
              </w:rPr>
            </w:pPr>
          </w:p>
        </w:tc>
      </w:tr>
      <w:tr w14:paraId="41DD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AA746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年度绩效目标</w:t>
            </w:r>
          </w:p>
        </w:tc>
      </w:tr>
      <w:tr w14:paraId="01D81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single" w:color="000000" w:sz="4" w:space="0"/>
              <w:left w:val="single" w:color="000000" w:sz="4" w:space="0"/>
              <w:bottom w:val="nil"/>
              <w:right w:val="single" w:color="000000" w:sz="4" w:space="0"/>
            </w:tcBorders>
            <w:shd w:val="clear" w:color="auto" w:fill="auto"/>
            <w:vAlign w:val="center"/>
          </w:tcPr>
          <w:p w14:paraId="60F436D0">
            <w:pPr>
              <w:jc w:val="center"/>
              <w:rPr>
                <w:rFonts w:hint="eastAsia" w:ascii="黑体" w:hAnsi="宋体" w:eastAsia="黑体" w:cs="黑体"/>
                <w:i w:val="0"/>
                <w:iCs w:val="0"/>
                <w:color w:val="000000"/>
                <w:sz w:val="24"/>
                <w:szCs w:val="24"/>
                <w:u w:val="none"/>
              </w:rPr>
            </w:pPr>
          </w:p>
        </w:tc>
      </w:tr>
      <w:tr w14:paraId="0439E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2FC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一级指标</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E54D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二级指标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A46A8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三级指标</w:t>
            </w: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1E60">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指标值</w:t>
            </w:r>
          </w:p>
        </w:tc>
      </w:tr>
      <w:tr w14:paraId="6BFD0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70A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成本指标</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3F8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经济成本指标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984A63">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6C77">
            <w:pPr>
              <w:jc w:val="center"/>
              <w:rPr>
                <w:rFonts w:hint="eastAsia" w:ascii="黑体" w:hAnsi="宋体" w:eastAsia="黑体" w:cs="黑体"/>
                <w:i w:val="0"/>
                <w:iCs w:val="0"/>
                <w:color w:val="000000"/>
                <w:sz w:val="24"/>
                <w:szCs w:val="24"/>
                <w:u w:val="none"/>
              </w:rPr>
            </w:pPr>
          </w:p>
        </w:tc>
      </w:tr>
      <w:tr w14:paraId="06CB1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5ECEE">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产出指标</w:t>
            </w:r>
          </w:p>
        </w:tc>
        <w:tc>
          <w:tcPr>
            <w:tcW w:w="1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36B37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数量指标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B486A">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F54FD">
            <w:pPr>
              <w:jc w:val="center"/>
              <w:rPr>
                <w:rFonts w:hint="eastAsia" w:ascii="黑体" w:hAnsi="宋体" w:eastAsia="黑体" w:cs="黑体"/>
                <w:i w:val="0"/>
                <w:iCs w:val="0"/>
                <w:color w:val="000000"/>
                <w:sz w:val="24"/>
                <w:szCs w:val="24"/>
                <w:u w:val="none"/>
              </w:rPr>
            </w:pPr>
          </w:p>
        </w:tc>
      </w:tr>
      <w:tr w14:paraId="5B1C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0B970">
            <w:pPr>
              <w:jc w:val="center"/>
              <w:rPr>
                <w:rFonts w:hint="eastAsia" w:ascii="黑体" w:hAnsi="宋体" w:eastAsia="黑体" w:cs="黑体"/>
                <w:i w:val="0"/>
                <w:iCs w:val="0"/>
                <w:color w:val="000000"/>
                <w:sz w:val="24"/>
                <w:szCs w:val="24"/>
                <w:u w:val="none"/>
              </w:rPr>
            </w:pPr>
          </w:p>
        </w:tc>
        <w:tc>
          <w:tcPr>
            <w:tcW w:w="1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5EFCC">
            <w:pPr>
              <w:jc w:val="center"/>
              <w:rPr>
                <w:rFonts w:hint="eastAsia" w:ascii="黑体" w:hAnsi="宋体" w:eastAsia="黑体" w:cs="黑体"/>
                <w:i w:val="0"/>
                <w:iCs w:val="0"/>
                <w:color w:val="000000"/>
                <w:sz w:val="24"/>
                <w:szCs w:val="24"/>
                <w:u w:val="none"/>
              </w:rPr>
            </w:pP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F5E676">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E7FED">
            <w:pPr>
              <w:jc w:val="center"/>
              <w:rPr>
                <w:rFonts w:hint="eastAsia" w:ascii="黑体" w:hAnsi="宋体" w:eastAsia="黑体" w:cs="黑体"/>
                <w:i w:val="0"/>
                <w:iCs w:val="0"/>
                <w:color w:val="000000"/>
                <w:sz w:val="24"/>
                <w:szCs w:val="24"/>
                <w:u w:val="none"/>
              </w:rPr>
            </w:pPr>
          </w:p>
        </w:tc>
      </w:tr>
      <w:tr w14:paraId="27A37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AE8A2">
            <w:pPr>
              <w:jc w:val="center"/>
              <w:rPr>
                <w:rFonts w:hint="eastAsia" w:ascii="黑体" w:hAnsi="宋体" w:eastAsia="黑体" w:cs="黑体"/>
                <w:i w:val="0"/>
                <w:iCs w:val="0"/>
                <w:color w:val="000000"/>
                <w:sz w:val="24"/>
                <w:szCs w:val="24"/>
                <w:u w:val="none"/>
              </w:rPr>
            </w:pPr>
          </w:p>
        </w:tc>
        <w:tc>
          <w:tcPr>
            <w:tcW w:w="1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BF6D1">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质量指标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A4C111">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EB18">
            <w:pPr>
              <w:jc w:val="center"/>
              <w:rPr>
                <w:rFonts w:hint="eastAsia" w:ascii="黑体" w:hAnsi="宋体" w:eastAsia="黑体" w:cs="黑体"/>
                <w:i w:val="0"/>
                <w:iCs w:val="0"/>
                <w:color w:val="000000"/>
                <w:sz w:val="24"/>
                <w:szCs w:val="24"/>
                <w:u w:val="none"/>
              </w:rPr>
            </w:pPr>
          </w:p>
        </w:tc>
      </w:tr>
      <w:tr w14:paraId="17925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05E81">
            <w:pPr>
              <w:jc w:val="center"/>
              <w:rPr>
                <w:rFonts w:hint="eastAsia" w:ascii="黑体" w:hAnsi="宋体" w:eastAsia="黑体" w:cs="黑体"/>
                <w:i w:val="0"/>
                <w:iCs w:val="0"/>
                <w:color w:val="000000"/>
                <w:sz w:val="24"/>
                <w:szCs w:val="24"/>
                <w:u w:val="none"/>
              </w:rPr>
            </w:pPr>
          </w:p>
        </w:tc>
        <w:tc>
          <w:tcPr>
            <w:tcW w:w="1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EDD97">
            <w:pPr>
              <w:jc w:val="center"/>
              <w:rPr>
                <w:rFonts w:hint="eastAsia" w:ascii="黑体" w:hAnsi="宋体" w:eastAsia="黑体" w:cs="黑体"/>
                <w:i w:val="0"/>
                <w:iCs w:val="0"/>
                <w:color w:val="000000"/>
                <w:sz w:val="24"/>
                <w:szCs w:val="24"/>
                <w:u w:val="none"/>
              </w:rPr>
            </w:pP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E9CF79">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3109">
            <w:pPr>
              <w:jc w:val="center"/>
              <w:rPr>
                <w:rFonts w:hint="eastAsia" w:ascii="黑体" w:hAnsi="宋体" w:eastAsia="黑体" w:cs="黑体"/>
                <w:i w:val="0"/>
                <w:iCs w:val="0"/>
                <w:color w:val="000000"/>
                <w:sz w:val="24"/>
                <w:szCs w:val="24"/>
                <w:u w:val="none"/>
              </w:rPr>
            </w:pPr>
          </w:p>
        </w:tc>
      </w:tr>
      <w:tr w14:paraId="0872F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9FCEC">
            <w:pPr>
              <w:jc w:val="center"/>
              <w:rPr>
                <w:rFonts w:hint="eastAsia" w:ascii="黑体" w:hAnsi="宋体" w:eastAsia="黑体" w:cs="黑体"/>
                <w:i w:val="0"/>
                <w:iCs w:val="0"/>
                <w:color w:val="000000"/>
                <w:sz w:val="24"/>
                <w:szCs w:val="24"/>
                <w:u w:val="none"/>
              </w:rPr>
            </w:pP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6A18">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时效指标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A23DA9">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22A7">
            <w:pPr>
              <w:jc w:val="center"/>
              <w:rPr>
                <w:rFonts w:hint="eastAsia" w:ascii="黑体" w:hAnsi="宋体" w:eastAsia="黑体" w:cs="黑体"/>
                <w:i w:val="0"/>
                <w:iCs w:val="0"/>
                <w:color w:val="000000"/>
                <w:sz w:val="24"/>
                <w:szCs w:val="24"/>
                <w:u w:val="none"/>
              </w:rPr>
            </w:pPr>
          </w:p>
        </w:tc>
      </w:tr>
      <w:tr w14:paraId="1DF36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8374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效益指标</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B361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社会效益指标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CD7905">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75D42">
            <w:pPr>
              <w:jc w:val="center"/>
              <w:rPr>
                <w:rFonts w:hint="eastAsia" w:ascii="黑体" w:hAnsi="宋体" w:eastAsia="黑体" w:cs="黑体"/>
                <w:i w:val="0"/>
                <w:iCs w:val="0"/>
                <w:color w:val="000000"/>
                <w:sz w:val="24"/>
                <w:szCs w:val="24"/>
                <w:u w:val="none"/>
              </w:rPr>
            </w:pPr>
          </w:p>
        </w:tc>
      </w:tr>
      <w:tr w14:paraId="26CF4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2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767B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满意度</w:t>
            </w:r>
          </w:p>
        </w:tc>
        <w:tc>
          <w:tcPr>
            <w:tcW w:w="1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A2A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服务对象满意度指标</w:t>
            </w:r>
          </w:p>
        </w:tc>
        <w:tc>
          <w:tcPr>
            <w:tcW w:w="338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01B64F">
            <w:pPr>
              <w:jc w:val="center"/>
              <w:rPr>
                <w:rFonts w:hint="eastAsia" w:ascii="黑体" w:hAnsi="宋体" w:eastAsia="黑体" w:cs="黑体"/>
                <w:i w:val="0"/>
                <w:iCs w:val="0"/>
                <w:color w:val="000000"/>
                <w:sz w:val="24"/>
                <w:szCs w:val="24"/>
                <w:u w:val="none"/>
              </w:rPr>
            </w:pPr>
          </w:p>
        </w:tc>
        <w:tc>
          <w:tcPr>
            <w:tcW w:w="2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AC3FD">
            <w:pPr>
              <w:jc w:val="center"/>
              <w:rPr>
                <w:rFonts w:hint="eastAsia" w:ascii="黑体" w:hAnsi="宋体" w:eastAsia="黑体" w:cs="黑体"/>
                <w:i w:val="0"/>
                <w:iCs w:val="0"/>
                <w:color w:val="000000"/>
                <w:sz w:val="24"/>
                <w:szCs w:val="24"/>
                <w:u w:val="none"/>
              </w:rPr>
            </w:pPr>
          </w:p>
        </w:tc>
      </w:tr>
      <w:tr w14:paraId="01D51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8860" w:type="dxa"/>
            <w:gridSpan w:val="5"/>
            <w:tcBorders>
              <w:top w:val="nil"/>
              <w:left w:val="nil"/>
              <w:bottom w:val="nil"/>
              <w:right w:val="nil"/>
            </w:tcBorders>
            <w:shd w:val="clear" w:color="auto" w:fill="auto"/>
            <w:vAlign w:val="center"/>
          </w:tcPr>
          <w:p w14:paraId="31A01128">
            <w:pPr>
              <w:keepNext w:val="0"/>
              <w:keepLines w:val="0"/>
              <w:widowControl/>
              <w:suppressLineNumbers w:val="0"/>
              <w:jc w:val="left"/>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注：若为空表，则为该单位无预算项目支出。</w:t>
            </w:r>
          </w:p>
        </w:tc>
      </w:tr>
    </w:tbl>
    <w:p w14:paraId="3018ABF9">
      <w:pPr>
        <w:rPr>
          <w:rFonts w:hint="eastAsia"/>
          <w:lang w:val="en-US" w:eastAsia="zh-CN"/>
        </w:rPr>
      </w:pPr>
      <w:r>
        <w:rPr>
          <w:rFonts w:hint="eastAsia"/>
          <w:lang w:val="en-US" w:eastAsia="zh-CN"/>
        </w:rPr>
        <w:br w:type="page"/>
      </w:r>
    </w:p>
    <w:p w14:paraId="25BF94CD">
      <w:pPr>
        <w:pStyle w:val="17"/>
        <w:numPr>
          <w:ilvl w:val="0"/>
          <w:numId w:val="0"/>
        </w:numPr>
        <w:bidi w:val="0"/>
        <w:ind w:left="420" w:leftChars="200"/>
        <w:jc w:val="center"/>
        <w:rPr>
          <w:rFonts w:hint="eastAsia"/>
          <w:lang w:val="en-US" w:eastAsia="zh-CN"/>
        </w:rPr>
      </w:pPr>
    </w:p>
    <w:p w14:paraId="6FC44813">
      <w:pPr>
        <w:pStyle w:val="17"/>
        <w:numPr>
          <w:ilvl w:val="0"/>
          <w:numId w:val="0"/>
        </w:numPr>
        <w:bidi w:val="0"/>
        <w:ind w:left="420" w:leftChars="200"/>
        <w:jc w:val="center"/>
        <w:rPr>
          <w:rFonts w:hint="eastAsia"/>
          <w:lang w:eastAsia="zh-CN"/>
        </w:rPr>
      </w:pPr>
      <w:r>
        <w:rPr>
          <w:rFonts w:hint="eastAsia"/>
          <w:lang w:val="en-US" w:eastAsia="zh-CN"/>
        </w:rPr>
        <w:t>第三部分  南昌市青云谱区医疗保障局2026年单位预算情况说明</w:t>
      </w:r>
    </w:p>
    <w:p w14:paraId="4EC2E3AB">
      <w:pPr>
        <w:widowControl/>
        <w:spacing w:line="580" w:lineRule="exact"/>
        <w:jc w:val="center"/>
        <w:rPr>
          <w:rFonts w:ascii="仿宋_GB2312" w:eastAsia="仿宋_GB2312"/>
          <w:b/>
          <w:sz w:val="32"/>
          <w:szCs w:val="30"/>
        </w:rPr>
      </w:pPr>
    </w:p>
    <w:p w14:paraId="493B1B4F">
      <w:pPr>
        <w:pStyle w:val="17"/>
        <w:numPr>
          <w:ilvl w:val="0"/>
          <w:numId w:val="0"/>
        </w:numPr>
        <w:bidi w:val="0"/>
        <w:ind w:left="420" w:leftChars="200" w:firstLine="321" w:firstLineChars="100"/>
        <w:rPr>
          <w:rFonts w:ascii="楷体_GB2312" w:eastAsia="楷体_GB2312"/>
          <w:b/>
          <w:sz w:val="32"/>
          <w:szCs w:val="30"/>
        </w:rPr>
      </w:pPr>
      <w:r>
        <w:rPr>
          <w:rFonts w:hint="eastAsia" w:ascii="楷体_GB2312" w:eastAsia="楷体_GB2312"/>
          <w:b/>
          <w:sz w:val="32"/>
          <w:szCs w:val="30"/>
        </w:rPr>
        <w:t>一、</w:t>
      </w:r>
      <w:r>
        <w:rPr>
          <w:rFonts w:hint="eastAsia" w:ascii="楷体_GB2312" w:eastAsia="楷体_GB2312"/>
          <w:b/>
          <w:sz w:val="32"/>
          <w:szCs w:val="30"/>
          <w:lang w:eastAsia="zh-CN"/>
        </w:rPr>
        <w:t>2026</w:t>
      </w:r>
      <w:r>
        <w:rPr>
          <w:rFonts w:hint="eastAsia" w:ascii="楷体_GB2312" w:eastAsia="楷体_GB2312"/>
          <w:b/>
          <w:sz w:val="32"/>
          <w:szCs w:val="30"/>
        </w:rPr>
        <w:t>年</w:t>
      </w:r>
      <w:r>
        <w:rPr>
          <w:rFonts w:hint="eastAsia" w:ascii="楷体_GB2312" w:eastAsia="楷体_GB2312"/>
          <w:b/>
          <w:sz w:val="32"/>
          <w:szCs w:val="30"/>
          <w:lang w:val="en-US" w:eastAsia="zh-CN"/>
        </w:rPr>
        <w:t>单位</w:t>
      </w:r>
      <w:r>
        <w:rPr>
          <w:rFonts w:hint="eastAsia" w:ascii="楷体_GB2312" w:eastAsia="楷体_GB2312"/>
          <w:b/>
          <w:sz w:val="32"/>
          <w:szCs w:val="30"/>
        </w:rPr>
        <w:t>预算收支情况说明</w:t>
      </w:r>
    </w:p>
    <w:p w14:paraId="13402767">
      <w:pPr>
        <w:pStyle w:val="19"/>
        <w:numPr>
          <w:ilvl w:val="0"/>
          <w:numId w:val="0"/>
        </w:numPr>
        <w:bidi w:val="0"/>
        <w:ind w:left="420" w:leftChars="200"/>
        <w:rPr>
          <w:rFonts w:hint="eastAsia"/>
        </w:rPr>
      </w:pPr>
      <w:r>
        <w:rPr>
          <w:rFonts w:hint="eastAsia"/>
        </w:rPr>
        <w:t xml:space="preserve"> (一)收入预算情况</w:t>
      </w:r>
    </w:p>
    <w:p w14:paraId="18B1DC1B">
      <w:pPr>
        <w:pStyle w:val="18"/>
        <w:bidi w:val="0"/>
        <w:rPr>
          <w:rFonts w:hint="eastAsia"/>
        </w:rPr>
      </w:pPr>
      <w:r>
        <w:rPr>
          <w:rFonts w:hint="eastAsia"/>
          <w:lang w:eastAsia="zh-CN"/>
        </w:rPr>
        <w:t>2026</w:t>
      </w:r>
      <w:r>
        <w:rPr>
          <w:rFonts w:hint="eastAsia"/>
        </w:rPr>
        <w:t>年</w:t>
      </w:r>
      <w:r>
        <w:rPr>
          <w:rFonts w:hint="eastAsia"/>
          <w:lang w:eastAsia="zh-CN"/>
        </w:rPr>
        <w:t>南昌市青云谱区医疗保障局</w:t>
      </w:r>
      <w:r>
        <w:rPr>
          <w:rFonts w:hint="eastAsia"/>
        </w:rPr>
        <w:t>收入预算总额为386.89万元</w:t>
      </w:r>
      <w:r>
        <w:rPr>
          <w:rFonts w:hint="eastAsia"/>
          <w:lang w:eastAsia="zh-CN"/>
        </w:rPr>
        <w:t>，</w:t>
      </w:r>
      <w:r>
        <w:rPr>
          <w:rFonts w:hint="eastAsia"/>
        </w:rPr>
        <w:t>较上年预算安排</w:t>
      </w:r>
      <w:r>
        <w:rPr>
          <w:rFonts w:hint="eastAsia"/>
          <w:highlight w:val="none"/>
        </w:rPr>
        <w:t>减少</w:t>
      </w:r>
      <w:r>
        <w:rPr>
          <w:rFonts w:hint="eastAsia"/>
          <w:highlight w:val="none"/>
          <w:lang w:val="en-US" w:eastAsia="zh-CN"/>
        </w:rPr>
        <w:t>20.96</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结合单位实际，合理测算其他收入预算数</w:t>
      </w:r>
      <w:r>
        <w:rPr>
          <w:rFonts w:hint="eastAsia"/>
          <w:lang w:eastAsia="zh-CN"/>
        </w:rPr>
        <w:t>；本年收入合计386.89万元，较上年预算安排</w:t>
      </w:r>
      <w:r>
        <w:rPr>
          <w:rFonts w:hint="eastAsia"/>
          <w:highlight w:val="none"/>
          <w:lang w:eastAsia="zh-CN"/>
        </w:rPr>
        <w:t>减少</w:t>
      </w:r>
      <w:r>
        <w:rPr>
          <w:rFonts w:hint="eastAsia"/>
          <w:highlight w:val="none"/>
          <w:lang w:val="en-US" w:eastAsia="zh-CN"/>
        </w:rPr>
        <w:t>20.96</w:t>
      </w:r>
      <w:r>
        <w:rPr>
          <w:rFonts w:hint="eastAsia"/>
          <w:highlight w:val="none"/>
          <w:lang w:eastAsia="zh-CN"/>
        </w:rPr>
        <w:t>万元，</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结合单位实际，合理测算其他收入预算数</w:t>
      </w:r>
      <w:r>
        <w:rPr>
          <w:rFonts w:hint="eastAsia"/>
          <w:lang w:eastAsia="zh-CN"/>
        </w:rPr>
        <w:t>；包括财政拨款收入376.89万元，较上年预算安排</w:t>
      </w:r>
      <w:r>
        <w:rPr>
          <w:rFonts w:hint="eastAsia"/>
          <w:highlight w:val="none"/>
          <w:lang w:eastAsia="zh-CN"/>
        </w:rPr>
        <w:t>增加</w:t>
      </w:r>
      <w:r>
        <w:rPr>
          <w:rFonts w:hint="eastAsia"/>
          <w:highlight w:val="none"/>
          <w:lang w:val="en-US" w:eastAsia="zh-CN"/>
        </w:rPr>
        <w:t>28.34</w:t>
      </w:r>
      <w:r>
        <w:rPr>
          <w:rFonts w:hint="eastAsia"/>
          <w:highlight w:val="none"/>
          <w:lang w:eastAsia="zh-CN"/>
        </w:rPr>
        <w:t>万元，</w:t>
      </w:r>
      <w:r>
        <w:rPr>
          <w:rFonts w:hint="eastAsia"/>
          <w:highlight w:val="none"/>
          <w:lang w:val="en-US" w:eastAsia="zh-CN"/>
        </w:rPr>
        <w:t>主要原因是包含了2025年度未支付的人员费用</w:t>
      </w:r>
      <w:r>
        <w:rPr>
          <w:rFonts w:hint="eastAsia"/>
          <w:lang w:eastAsia="zh-CN"/>
        </w:rPr>
        <w:t>；其他收入10.00万元，较上年预算安排</w:t>
      </w:r>
      <w:r>
        <w:rPr>
          <w:rFonts w:hint="eastAsia"/>
          <w:highlight w:val="none"/>
          <w:lang w:eastAsia="zh-CN"/>
        </w:rPr>
        <w:t>减少</w:t>
      </w:r>
      <w:r>
        <w:rPr>
          <w:rFonts w:hint="eastAsia"/>
          <w:highlight w:val="none"/>
          <w:lang w:val="en-US" w:eastAsia="zh-CN"/>
        </w:rPr>
        <w:t>40</w:t>
      </w:r>
      <w:r>
        <w:rPr>
          <w:rFonts w:hint="eastAsia"/>
          <w:highlight w:val="none"/>
          <w:lang w:eastAsia="zh-CN"/>
        </w:rPr>
        <w:t>万元，</w:t>
      </w:r>
      <w:r>
        <w:rPr>
          <w:rFonts w:hint="eastAsia"/>
          <w:highlight w:val="none"/>
          <w:lang w:val="en-US" w:eastAsia="zh-CN"/>
        </w:rPr>
        <w:t>主要原因是</w:t>
      </w:r>
      <w:r>
        <w:rPr>
          <w:rFonts w:hint="eastAsia" w:ascii="仿宋_GB2312" w:hAnsi="仿宋_GB2312" w:eastAsia="仿宋_GB2312" w:cs="仿宋_GB2312"/>
          <w:sz w:val="32"/>
          <w:szCs w:val="32"/>
          <w:lang w:val="en-US" w:eastAsia="zh-CN"/>
        </w:rPr>
        <w:t>结合单位实际，合理测算其他收入预算数</w:t>
      </w:r>
      <w:r>
        <w:rPr>
          <w:rFonts w:hint="eastAsia"/>
          <w:highlight w:val="none"/>
          <w:lang w:val="en-US" w:eastAsia="zh-CN"/>
        </w:rPr>
        <w:t>；</w:t>
      </w:r>
      <w:r>
        <w:rPr>
          <w:rFonts w:hint="eastAsia" w:ascii="仿宋_GB2312" w:hAnsi="仿宋_GB2312" w:eastAsia="仿宋_GB2312" w:cs="仿宋_GB2312"/>
          <w:kern w:val="0"/>
          <w:sz w:val="32"/>
          <w:szCs w:val="32"/>
          <w:highlight w:val="none"/>
          <w:lang w:val="en-US" w:eastAsia="zh-CN" w:bidi="ar-SA"/>
        </w:rPr>
        <w:t>上年</w:t>
      </w:r>
      <w:r>
        <w:rPr>
          <w:rFonts w:hint="eastAsia" w:ascii="仿宋_GB2312" w:hAnsi="仿宋_GB2312" w:eastAsia="仿宋_GB2312" w:cs="仿宋_GB2312"/>
          <w:kern w:val="0"/>
          <w:sz w:val="32"/>
          <w:szCs w:val="32"/>
          <w:highlight w:val="none"/>
          <w:lang w:val="en-US" w:eastAsia="en-US" w:bidi="ar-SA"/>
        </w:rPr>
        <w:t>结转</w:t>
      </w:r>
      <w:r>
        <w:rPr>
          <w:rFonts w:hint="eastAsia" w:ascii="仿宋_GB2312" w:hAnsi="仿宋_GB2312" w:eastAsia="仿宋_GB2312" w:cs="仿宋_GB2312"/>
          <w:kern w:val="0"/>
          <w:sz w:val="32"/>
          <w:szCs w:val="32"/>
          <w:highlight w:val="none"/>
          <w:lang w:val="en-US" w:eastAsia="zh-CN" w:bidi="ar-SA"/>
        </w:rPr>
        <w:t>（结余）</w:t>
      </w:r>
      <w:r>
        <w:rPr>
          <w:rFonts w:hint="eastAsia" w:cs="仿宋_GB2312"/>
          <w:kern w:val="0"/>
          <w:sz w:val="32"/>
          <w:szCs w:val="32"/>
          <w:highlight w:val="none"/>
          <w:u w:val="none"/>
          <w:lang w:val="en-US" w:eastAsia="zh-CN" w:bidi="ar-SA"/>
        </w:rPr>
        <w:t>0</w:t>
      </w:r>
      <w:r>
        <w:rPr>
          <w:rFonts w:hint="eastAsia" w:ascii="仿宋_GB2312" w:hAnsi="仿宋_GB2312" w:eastAsia="仿宋_GB2312" w:cs="仿宋_GB2312"/>
          <w:kern w:val="0"/>
          <w:sz w:val="32"/>
          <w:szCs w:val="32"/>
          <w:highlight w:val="none"/>
          <w:lang w:val="zh-CN" w:eastAsia="zh-CN" w:bidi="ar-SA"/>
        </w:rPr>
        <w:t>万元，较上年预算安排减少</w:t>
      </w:r>
      <w:r>
        <w:rPr>
          <w:rFonts w:hint="eastAsia" w:cs="仿宋_GB2312"/>
          <w:kern w:val="0"/>
          <w:sz w:val="32"/>
          <w:szCs w:val="32"/>
          <w:highlight w:val="none"/>
          <w:u w:val="none"/>
          <w:lang w:val="en-US" w:eastAsia="zh-CN" w:bidi="ar-SA"/>
        </w:rPr>
        <w:t>9.29</w:t>
      </w:r>
      <w:r>
        <w:rPr>
          <w:rFonts w:hint="eastAsia" w:ascii="仿宋_GB2312" w:hAnsi="仿宋_GB2312" w:eastAsia="仿宋_GB2312" w:cs="仿宋_GB2312"/>
          <w:kern w:val="0"/>
          <w:sz w:val="32"/>
          <w:szCs w:val="32"/>
          <w:highlight w:val="none"/>
          <w:lang w:val="zh-CN" w:eastAsia="zh-CN" w:bidi="ar-SA"/>
        </w:rPr>
        <w:t>万元</w:t>
      </w:r>
      <w:r>
        <w:rPr>
          <w:rFonts w:hint="eastAsia" w:cs="仿宋_GB2312"/>
          <w:kern w:val="0"/>
          <w:sz w:val="32"/>
          <w:szCs w:val="32"/>
          <w:highlight w:val="none"/>
          <w:lang w:val="zh-CN" w:eastAsia="zh-CN" w:bidi="ar-SA"/>
        </w:rPr>
        <w:t>，</w:t>
      </w:r>
      <w:r>
        <w:rPr>
          <w:rFonts w:hint="eastAsia" w:cs="仿宋_GB2312"/>
          <w:kern w:val="0"/>
          <w:sz w:val="32"/>
          <w:szCs w:val="32"/>
          <w:highlight w:val="none"/>
          <w:lang w:val="en-US" w:eastAsia="zh-CN" w:bidi="ar-SA"/>
        </w:rPr>
        <w:t>主要原因是2025年未有安排区级经费结转结余</w:t>
      </w:r>
      <w:r>
        <w:rPr>
          <w:rFonts w:hint="eastAsia" w:cs="仿宋_GB2312"/>
          <w:kern w:val="0"/>
          <w:sz w:val="32"/>
          <w:szCs w:val="32"/>
          <w:highlight w:val="none"/>
          <w:lang w:val="zh-CN" w:eastAsia="zh-CN" w:bidi="ar-SA"/>
        </w:rPr>
        <w:t>。</w:t>
      </w:r>
    </w:p>
    <w:p w14:paraId="05D2AC36">
      <w:pPr>
        <w:pStyle w:val="19"/>
        <w:numPr>
          <w:ilvl w:val="0"/>
          <w:numId w:val="0"/>
        </w:numPr>
        <w:bidi w:val="0"/>
        <w:ind w:left="420" w:leftChars="200"/>
        <w:rPr>
          <w:rFonts w:hint="eastAsia"/>
        </w:rPr>
      </w:pPr>
      <w:r>
        <w:rPr>
          <w:rFonts w:hint="eastAsia"/>
        </w:rPr>
        <w:t xml:space="preserve"> </w:t>
      </w:r>
      <w:r>
        <w:rPr>
          <w:rFonts w:hint="eastAsia"/>
          <w:lang w:val="en-US" w:eastAsia="zh-CN"/>
        </w:rPr>
        <w:t>(二)支出预算情况</w:t>
      </w:r>
    </w:p>
    <w:p w14:paraId="0B236226">
      <w:pPr>
        <w:pStyle w:val="18"/>
        <w:bidi w:val="0"/>
        <w:rPr>
          <w:rFonts w:hint="eastAsia"/>
        </w:rPr>
      </w:pPr>
      <w:r>
        <w:rPr>
          <w:rFonts w:hint="eastAsia"/>
          <w:lang w:eastAsia="zh-CN"/>
        </w:rPr>
        <w:t>2026</w:t>
      </w:r>
      <w:r>
        <w:rPr>
          <w:rFonts w:hint="eastAsia"/>
        </w:rPr>
        <w:t>年</w:t>
      </w:r>
      <w:r>
        <w:rPr>
          <w:rFonts w:hint="eastAsia"/>
          <w:lang w:eastAsia="zh-CN"/>
        </w:rPr>
        <w:t>南昌市青云谱区医疗保障局</w:t>
      </w:r>
      <w:r>
        <w:rPr>
          <w:rFonts w:hint="eastAsia"/>
        </w:rPr>
        <w:t>支出预算总额为386.89万元</w:t>
      </w:r>
      <w:r>
        <w:rPr>
          <w:rFonts w:hint="eastAsia"/>
          <w:lang w:eastAsia="zh-CN"/>
        </w:rPr>
        <w:t>，</w:t>
      </w:r>
      <w:r>
        <w:rPr>
          <w:rFonts w:hint="eastAsia"/>
        </w:rPr>
        <w:t>较上年预算安排</w:t>
      </w:r>
      <w:r>
        <w:rPr>
          <w:rFonts w:hint="eastAsia"/>
          <w:highlight w:val="none"/>
        </w:rPr>
        <w:t>减少</w:t>
      </w:r>
      <w:r>
        <w:rPr>
          <w:rFonts w:hint="eastAsia"/>
          <w:highlight w:val="none"/>
          <w:lang w:val="en-US" w:eastAsia="zh-CN"/>
        </w:rPr>
        <w:t>20.96</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结合单位实际，</w:t>
      </w:r>
      <w:r>
        <w:rPr>
          <w:rFonts w:hint="eastAsia" w:cs="仿宋_GB2312"/>
          <w:sz w:val="32"/>
          <w:szCs w:val="32"/>
          <w:lang w:val="en-US" w:eastAsia="zh-CN"/>
        </w:rPr>
        <w:t>减少单位支出</w:t>
      </w:r>
      <w:r>
        <w:rPr>
          <w:rFonts w:hint="eastAsia"/>
        </w:rPr>
        <w:t>。</w:t>
      </w:r>
    </w:p>
    <w:p w14:paraId="1A77D865">
      <w:pPr>
        <w:pStyle w:val="18"/>
        <w:bidi w:val="0"/>
        <w:rPr>
          <w:rFonts w:hint="eastAsia"/>
        </w:rPr>
      </w:pPr>
      <w:r>
        <w:rPr>
          <w:rFonts w:hint="eastAsia"/>
        </w:rPr>
        <w:t>按支出项目类别划分：基本支出386.89万元</w:t>
      </w:r>
      <w:r>
        <w:rPr>
          <w:rFonts w:hint="eastAsia"/>
          <w:lang w:eastAsia="zh-CN"/>
        </w:rPr>
        <w:t>，</w:t>
      </w:r>
      <w:r>
        <w:rPr>
          <w:rFonts w:hint="eastAsia"/>
        </w:rPr>
        <w:t>较上年预算安排</w:t>
      </w:r>
      <w:r>
        <w:rPr>
          <w:rFonts w:hint="eastAsia"/>
          <w:highlight w:val="none"/>
        </w:rPr>
        <w:t>减少</w:t>
      </w:r>
      <w:r>
        <w:rPr>
          <w:rFonts w:hint="eastAsia"/>
          <w:highlight w:val="none"/>
          <w:lang w:val="en-US" w:eastAsia="zh-CN"/>
        </w:rPr>
        <w:t>20.96</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结合单位实际，</w:t>
      </w:r>
      <w:r>
        <w:rPr>
          <w:rFonts w:hint="eastAsia" w:cs="仿宋_GB2312"/>
          <w:sz w:val="32"/>
          <w:szCs w:val="32"/>
          <w:lang w:val="en-US" w:eastAsia="zh-CN"/>
        </w:rPr>
        <w:t>减少单位支出</w:t>
      </w:r>
      <w:r>
        <w:rPr>
          <w:rFonts w:hint="eastAsia"/>
          <w:lang w:eastAsia="zh-CN"/>
        </w:rPr>
        <w:t>；</w:t>
      </w:r>
      <w:r>
        <w:rPr>
          <w:rFonts w:hint="eastAsia"/>
        </w:rPr>
        <w:t>项目支出0.00万元</w:t>
      </w:r>
      <w:r>
        <w:rPr>
          <w:rFonts w:hint="eastAsia"/>
          <w:lang w:eastAsia="zh-CN"/>
        </w:rPr>
        <w:t>，</w:t>
      </w:r>
      <w:r>
        <w:rPr>
          <w:rFonts w:hint="eastAsia"/>
        </w:rPr>
        <w:t>较上年预算安排增加</w:t>
      </w:r>
      <w:r>
        <w:rPr>
          <w:rFonts w:hint="eastAsia"/>
          <w:lang w:val="en-US" w:eastAsia="zh-CN"/>
        </w:rPr>
        <w:t>0</w:t>
      </w:r>
      <w:r>
        <w:rPr>
          <w:rFonts w:hint="eastAsia"/>
        </w:rPr>
        <w:t>万元</w:t>
      </w:r>
      <w:r>
        <w:rPr>
          <w:rFonts w:hint="eastAsia"/>
          <w:lang w:eastAsia="zh-CN"/>
        </w:rPr>
        <w:t>，</w:t>
      </w:r>
      <w:r>
        <w:rPr>
          <w:rFonts w:hint="eastAsia"/>
          <w:highlight w:val="none"/>
          <w:lang w:val="en-US" w:eastAsia="zh-CN"/>
        </w:rPr>
        <w:t>主要原因是单位未开展项目</w:t>
      </w:r>
      <w:r>
        <w:rPr>
          <w:rFonts w:hint="eastAsia"/>
        </w:rPr>
        <w:t>。</w:t>
      </w:r>
    </w:p>
    <w:p w14:paraId="302D8526">
      <w:pPr>
        <w:pStyle w:val="18"/>
        <w:bidi w:val="0"/>
        <w:rPr>
          <w:rFonts w:hint="eastAsia"/>
        </w:rPr>
      </w:pPr>
      <w:r>
        <w:rPr>
          <w:rFonts w:hint="eastAsia"/>
        </w:rPr>
        <w:t>按支出功能科目划分：社会保障和就业支出336.99万元，较上年预算安排</w:t>
      </w:r>
      <w:r>
        <w:rPr>
          <w:rFonts w:hint="eastAsia"/>
          <w:highlight w:val="none"/>
        </w:rPr>
        <w:t>增加</w:t>
      </w:r>
      <w:r>
        <w:rPr>
          <w:rFonts w:hint="eastAsia"/>
          <w:highlight w:val="none"/>
          <w:lang w:val="en-US" w:eastAsia="zh-CN"/>
        </w:rPr>
        <w:t>0.63</w:t>
      </w:r>
      <w:r>
        <w:rPr>
          <w:rFonts w:hint="eastAsia"/>
          <w:highlight w:val="none"/>
        </w:rPr>
        <w:t>万元</w:t>
      </w:r>
      <w:r>
        <w:rPr>
          <w:rFonts w:hint="eastAsia"/>
          <w:highlight w:val="none"/>
          <w:lang w:eastAsia="zh-CN"/>
        </w:rPr>
        <w:t>，</w:t>
      </w:r>
      <w:r>
        <w:rPr>
          <w:rFonts w:hint="eastAsia"/>
          <w:highlight w:val="none"/>
          <w:lang w:val="en-US" w:eastAsia="zh-CN"/>
        </w:rPr>
        <w:t>主要原因是合理安排预算，与往年持平</w:t>
      </w:r>
      <w:r>
        <w:rPr>
          <w:rFonts w:hint="eastAsia"/>
        </w:rPr>
        <w:t>；卫生健康支出22.50万元，较上年预算安排</w:t>
      </w:r>
      <w:r>
        <w:rPr>
          <w:rFonts w:hint="eastAsia"/>
          <w:highlight w:val="none"/>
        </w:rPr>
        <w:t>增加</w:t>
      </w:r>
      <w:r>
        <w:rPr>
          <w:rFonts w:hint="eastAsia"/>
          <w:highlight w:val="none"/>
          <w:lang w:val="en-US" w:eastAsia="zh-CN"/>
        </w:rPr>
        <w:t>22.5</w:t>
      </w:r>
      <w:r>
        <w:rPr>
          <w:rFonts w:hint="eastAsia"/>
          <w:highlight w:val="none"/>
        </w:rPr>
        <w:t>万元</w:t>
      </w:r>
      <w:r>
        <w:rPr>
          <w:rFonts w:hint="eastAsia"/>
          <w:highlight w:val="none"/>
          <w:lang w:eastAsia="zh-CN"/>
        </w:rPr>
        <w:t>，</w:t>
      </w:r>
      <w:r>
        <w:rPr>
          <w:rFonts w:hint="eastAsia"/>
          <w:highlight w:val="none"/>
          <w:lang w:val="en-US" w:eastAsia="zh-CN"/>
        </w:rPr>
        <w:t>主要原因是2025年考核奖下发指标在</w:t>
      </w:r>
      <w:r>
        <w:rPr>
          <w:rFonts w:hint="eastAsia"/>
        </w:rPr>
        <w:t>卫生健康</w:t>
      </w:r>
      <w:r>
        <w:rPr>
          <w:rFonts w:hint="eastAsia"/>
          <w:lang w:val="en-US" w:eastAsia="zh-CN"/>
        </w:rPr>
        <w:t>下的</w:t>
      </w:r>
      <w:r>
        <w:rPr>
          <w:rFonts w:hint="eastAsia"/>
          <w:highlight w:val="none"/>
          <w:lang w:val="en-US" w:eastAsia="zh-CN"/>
        </w:rPr>
        <w:t>行政运行科目中</w:t>
      </w:r>
      <w:r>
        <w:rPr>
          <w:rFonts w:hint="eastAsia"/>
        </w:rPr>
        <w:t>；住房保障支出27.40万元，较上年预算安排</w:t>
      </w:r>
      <w:r>
        <w:rPr>
          <w:rFonts w:hint="eastAsia"/>
          <w:highlight w:val="none"/>
        </w:rPr>
        <w:t>增加</w:t>
      </w:r>
      <w:r>
        <w:rPr>
          <w:rFonts w:hint="eastAsia"/>
          <w:highlight w:val="none"/>
          <w:lang w:val="en-US" w:eastAsia="zh-CN"/>
        </w:rPr>
        <w:t>15.2</w:t>
      </w:r>
      <w:r>
        <w:rPr>
          <w:rFonts w:hint="eastAsia"/>
          <w:highlight w:val="none"/>
        </w:rPr>
        <w:t>万元</w:t>
      </w:r>
      <w:r>
        <w:rPr>
          <w:rFonts w:hint="eastAsia"/>
          <w:highlight w:val="none"/>
          <w:lang w:eastAsia="zh-CN"/>
        </w:rPr>
        <w:t>，</w:t>
      </w:r>
      <w:r>
        <w:rPr>
          <w:rFonts w:hint="eastAsia"/>
          <w:highlight w:val="none"/>
          <w:lang w:val="en-US" w:eastAsia="zh-CN"/>
        </w:rPr>
        <w:t>主要原因是</w:t>
      </w:r>
      <w:r>
        <w:rPr>
          <w:rFonts w:hint="eastAsia" w:cs="仿宋_GB2312"/>
          <w:sz w:val="32"/>
          <w:szCs w:val="32"/>
          <w:lang w:val="en-US" w:eastAsia="zh-CN"/>
        </w:rPr>
        <w:t>列支科目与往年不同，往年列支在商品和服务支出</w:t>
      </w:r>
      <w:r>
        <w:rPr>
          <w:rFonts w:hint="eastAsia"/>
        </w:rPr>
        <w:t>。</w:t>
      </w:r>
    </w:p>
    <w:p w14:paraId="42C579AA">
      <w:pPr>
        <w:pStyle w:val="18"/>
        <w:bidi w:val="0"/>
        <w:rPr>
          <w:rFonts w:hint="eastAsia"/>
        </w:rPr>
      </w:pPr>
      <w:r>
        <w:rPr>
          <w:rFonts w:hint="eastAsia"/>
        </w:rPr>
        <w:t>按支出经济分类划分：工资福利支出318.20万元，较上年预算安排</w:t>
      </w:r>
      <w:r>
        <w:rPr>
          <w:rFonts w:hint="eastAsia"/>
          <w:highlight w:val="none"/>
        </w:rPr>
        <w:t>增加</w:t>
      </w:r>
      <w:r>
        <w:rPr>
          <w:rFonts w:hint="eastAsia"/>
          <w:highlight w:val="none"/>
          <w:lang w:val="en-US" w:eastAsia="zh-CN"/>
        </w:rPr>
        <w:t>55.04</w:t>
      </w:r>
      <w:r>
        <w:rPr>
          <w:rFonts w:hint="eastAsia"/>
          <w:highlight w:val="none"/>
        </w:rPr>
        <w:t>万元</w:t>
      </w:r>
      <w:r>
        <w:rPr>
          <w:rFonts w:hint="eastAsia"/>
          <w:highlight w:val="none"/>
          <w:lang w:eastAsia="zh-CN"/>
        </w:rPr>
        <w:t>，</w:t>
      </w:r>
      <w:r>
        <w:rPr>
          <w:rFonts w:hint="eastAsia"/>
          <w:highlight w:val="none"/>
          <w:lang w:val="en-US" w:eastAsia="zh-CN"/>
        </w:rPr>
        <w:t>主要原因是包含了2025年考核奖和部分公积金费用</w:t>
      </w:r>
      <w:r>
        <w:rPr>
          <w:rFonts w:hint="eastAsia"/>
        </w:rPr>
        <w:t>；商品和服务支出67.28万元，较上年预算安排</w:t>
      </w:r>
      <w:r>
        <w:rPr>
          <w:rFonts w:hint="eastAsia"/>
          <w:highlight w:val="none"/>
        </w:rPr>
        <w:t>减少</w:t>
      </w:r>
      <w:r>
        <w:rPr>
          <w:rFonts w:hint="eastAsia"/>
          <w:highlight w:val="none"/>
          <w:lang w:val="en-US" w:eastAsia="zh-CN"/>
        </w:rPr>
        <w:t>17.52</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结合单位实际，</w:t>
      </w:r>
      <w:r>
        <w:rPr>
          <w:rFonts w:hint="eastAsia" w:cs="仿宋_GB2312"/>
          <w:sz w:val="32"/>
          <w:szCs w:val="32"/>
          <w:lang w:val="en-US" w:eastAsia="zh-CN"/>
        </w:rPr>
        <w:t>减少单位开支</w:t>
      </w:r>
      <w:r>
        <w:rPr>
          <w:rFonts w:hint="eastAsia"/>
        </w:rPr>
        <w:t>；对个人和家庭的补助</w:t>
      </w:r>
      <w:r>
        <w:rPr>
          <w:rFonts w:hint="eastAsia"/>
          <w:lang w:val="en-US" w:eastAsia="zh-CN"/>
        </w:rPr>
        <w:t>0</w:t>
      </w:r>
      <w:r>
        <w:rPr>
          <w:rFonts w:hint="eastAsia"/>
        </w:rPr>
        <w:t>.57万元，较上年预算安排</w:t>
      </w:r>
      <w:r>
        <w:rPr>
          <w:rFonts w:hint="eastAsia"/>
          <w:highlight w:val="none"/>
        </w:rPr>
        <w:t>减少</w:t>
      </w:r>
      <w:r>
        <w:rPr>
          <w:rFonts w:hint="eastAsia"/>
          <w:highlight w:val="none"/>
          <w:lang w:val="en-US" w:eastAsia="zh-CN"/>
        </w:rPr>
        <w:t>0.03</w:t>
      </w:r>
      <w:r>
        <w:rPr>
          <w:rFonts w:hint="eastAsia"/>
          <w:highlight w:val="none"/>
        </w:rPr>
        <w:t>万元</w:t>
      </w:r>
      <w:r>
        <w:rPr>
          <w:rFonts w:hint="eastAsia"/>
          <w:highlight w:val="none"/>
          <w:lang w:eastAsia="zh-CN"/>
        </w:rPr>
        <w:t>，</w:t>
      </w:r>
      <w:r>
        <w:rPr>
          <w:rFonts w:hint="eastAsia"/>
          <w:highlight w:val="none"/>
          <w:lang w:val="en-US" w:eastAsia="zh-CN"/>
        </w:rPr>
        <w:t>主要原因是退休人数不变，个人和家庭的补助调整下调</w:t>
      </w:r>
      <w:r>
        <w:rPr>
          <w:rFonts w:hint="eastAsia"/>
        </w:rPr>
        <w:t>；资本性支出</w:t>
      </w:r>
      <w:r>
        <w:rPr>
          <w:rFonts w:hint="eastAsia"/>
          <w:lang w:val="en-US" w:eastAsia="zh-CN"/>
        </w:rPr>
        <w:t>0</w:t>
      </w:r>
      <w:r>
        <w:rPr>
          <w:rFonts w:hint="eastAsia"/>
        </w:rPr>
        <w:t>.84万元，较上年预算安排</w:t>
      </w:r>
      <w:r>
        <w:rPr>
          <w:rFonts w:hint="eastAsia"/>
          <w:highlight w:val="none"/>
        </w:rPr>
        <w:t>增加</w:t>
      </w:r>
      <w:r>
        <w:rPr>
          <w:rFonts w:hint="eastAsia"/>
          <w:highlight w:val="none"/>
          <w:lang w:val="en-US" w:eastAsia="zh-CN"/>
        </w:rPr>
        <w:t>0.84</w:t>
      </w:r>
      <w:r>
        <w:rPr>
          <w:rFonts w:hint="eastAsia"/>
          <w:highlight w:val="none"/>
        </w:rPr>
        <w:t>万元</w:t>
      </w:r>
      <w:r>
        <w:rPr>
          <w:rFonts w:hint="eastAsia"/>
          <w:highlight w:val="none"/>
          <w:lang w:eastAsia="zh-CN"/>
        </w:rPr>
        <w:t>，</w:t>
      </w:r>
      <w:r>
        <w:rPr>
          <w:rFonts w:hint="eastAsia"/>
          <w:highlight w:val="none"/>
          <w:lang w:val="en-US" w:eastAsia="zh-CN"/>
        </w:rPr>
        <w:t>主要原因是2025年购办公用的执法仪等设备费用还未支付</w:t>
      </w:r>
      <w:r>
        <w:rPr>
          <w:rFonts w:hint="eastAsia"/>
        </w:rPr>
        <w:t>。</w:t>
      </w:r>
    </w:p>
    <w:p w14:paraId="2BF54047">
      <w:pPr>
        <w:pStyle w:val="19"/>
        <w:numPr>
          <w:ilvl w:val="0"/>
          <w:numId w:val="0"/>
        </w:numPr>
        <w:bidi w:val="0"/>
        <w:ind w:left="420" w:leftChars="200"/>
        <w:rPr>
          <w:rFonts w:hint="eastAsia"/>
          <w:lang w:val="en-US" w:eastAsia="zh-CN"/>
        </w:rPr>
      </w:pPr>
      <w:r>
        <w:rPr>
          <w:rFonts w:hint="eastAsia"/>
          <w:lang w:val="en-US" w:eastAsia="zh-CN"/>
        </w:rPr>
        <w:t xml:space="preserve"> (三)财政拨款支出情况</w:t>
      </w:r>
    </w:p>
    <w:p w14:paraId="66DBCC18">
      <w:pPr>
        <w:pStyle w:val="18"/>
        <w:bidi w:val="0"/>
        <w:rPr>
          <w:rFonts w:hint="eastAsia"/>
        </w:rPr>
      </w:pPr>
      <w:r>
        <w:rPr>
          <w:rFonts w:hint="eastAsia"/>
          <w:lang w:eastAsia="zh-CN"/>
        </w:rPr>
        <w:t>2026</w:t>
      </w:r>
      <w:r>
        <w:rPr>
          <w:rFonts w:hint="eastAsia"/>
        </w:rPr>
        <w:t>年</w:t>
      </w:r>
      <w:r>
        <w:rPr>
          <w:rFonts w:hint="eastAsia"/>
          <w:lang w:eastAsia="zh-CN"/>
        </w:rPr>
        <w:t>南昌市青云谱区医疗保障局</w:t>
      </w:r>
      <w:r>
        <w:rPr>
          <w:rFonts w:hint="eastAsia"/>
        </w:rPr>
        <w:t>财政拨款支出预算总额376.89万元,较上年预算安排</w:t>
      </w:r>
      <w:r>
        <w:rPr>
          <w:rFonts w:hint="eastAsia"/>
          <w:highlight w:val="none"/>
        </w:rPr>
        <w:t>增加</w:t>
      </w:r>
      <w:r>
        <w:rPr>
          <w:rFonts w:hint="eastAsia"/>
          <w:highlight w:val="none"/>
          <w:lang w:val="en-US" w:eastAsia="zh-CN"/>
        </w:rPr>
        <w:t>28.34</w:t>
      </w:r>
      <w:r>
        <w:rPr>
          <w:rFonts w:hint="eastAsia"/>
          <w:highlight w:val="none"/>
        </w:rPr>
        <w:t>万元</w:t>
      </w:r>
      <w:r>
        <w:rPr>
          <w:rFonts w:hint="eastAsia"/>
          <w:highlight w:val="none"/>
          <w:lang w:eastAsia="zh-CN"/>
        </w:rPr>
        <w:t>，</w:t>
      </w:r>
      <w:r>
        <w:rPr>
          <w:rFonts w:hint="eastAsia"/>
          <w:highlight w:val="none"/>
          <w:lang w:val="en-US" w:eastAsia="zh-CN"/>
        </w:rPr>
        <w:t>主要原因是2025年部分费用未支付，如考核奖、公积金等费用</w:t>
      </w:r>
      <w:r>
        <w:rPr>
          <w:rFonts w:hint="eastAsia"/>
        </w:rPr>
        <w:t>。</w:t>
      </w:r>
    </w:p>
    <w:p w14:paraId="16787F8D">
      <w:pPr>
        <w:pStyle w:val="18"/>
        <w:bidi w:val="0"/>
        <w:rPr>
          <w:rFonts w:hint="eastAsia"/>
        </w:rPr>
      </w:pPr>
      <w:r>
        <w:rPr>
          <w:rFonts w:hint="eastAsia"/>
        </w:rPr>
        <w:t>按支出功能科目划分：社会保障和就业支出326.99万元，</w:t>
      </w:r>
      <w:r>
        <w:rPr>
          <w:rFonts w:hint="eastAsia"/>
          <w:highlight w:val="none"/>
        </w:rPr>
        <w:t>较上年预算安排减少</w:t>
      </w:r>
      <w:r>
        <w:rPr>
          <w:rFonts w:hint="eastAsia"/>
          <w:highlight w:val="none"/>
          <w:lang w:val="en-US" w:eastAsia="zh-CN"/>
        </w:rPr>
        <w:t>9.37</w:t>
      </w:r>
      <w:r>
        <w:rPr>
          <w:rFonts w:hint="eastAsia"/>
          <w:highlight w:val="none"/>
        </w:rPr>
        <w:t>万元</w:t>
      </w:r>
      <w:r>
        <w:rPr>
          <w:rFonts w:hint="eastAsia"/>
          <w:highlight w:val="none"/>
          <w:lang w:eastAsia="zh-CN"/>
        </w:rPr>
        <w:t>，</w:t>
      </w:r>
      <w:r>
        <w:rPr>
          <w:rFonts w:hint="eastAsia"/>
          <w:highlight w:val="none"/>
          <w:lang w:val="en-US" w:eastAsia="zh-CN"/>
        </w:rPr>
        <w:t>主要原因是2025年考核奖未列入</w:t>
      </w:r>
      <w:r>
        <w:rPr>
          <w:rFonts w:hint="eastAsia"/>
        </w:rPr>
        <w:t>社会保障和就业支出</w:t>
      </w:r>
      <w:r>
        <w:rPr>
          <w:rFonts w:hint="eastAsia"/>
          <w:highlight w:val="none"/>
        </w:rPr>
        <w:t>；</w:t>
      </w:r>
      <w:r>
        <w:rPr>
          <w:rFonts w:hint="eastAsia"/>
        </w:rPr>
        <w:t>卫生健康支出22.50万元，</w:t>
      </w:r>
      <w:r>
        <w:rPr>
          <w:rFonts w:hint="eastAsia"/>
          <w:highlight w:val="none"/>
        </w:rPr>
        <w:t>上年预算安排增加</w:t>
      </w:r>
      <w:r>
        <w:rPr>
          <w:rFonts w:hint="eastAsia"/>
          <w:highlight w:val="none"/>
          <w:lang w:val="en-US" w:eastAsia="zh-CN"/>
        </w:rPr>
        <w:t>22.5</w:t>
      </w:r>
      <w:r>
        <w:rPr>
          <w:rFonts w:hint="eastAsia"/>
          <w:highlight w:val="none"/>
        </w:rPr>
        <w:t>万元</w:t>
      </w:r>
      <w:r>
        <w:rPr>
          <w:rFonts w:hint="eastAsia"/>
          <w:highlight w:val="none"/>
          <w:lang w:eastAsia="zh-CN"/>
        </w:rPr>
        <w:t>，</w:t>
      </w:r>
      <w:r>
        <w:rPr>
          <w:rFonts w:hint="eastAsia"/>
          <w:highlight w:val="none"/>
          <w:lang w:val="en-US" w:eastAsia="zh-CN"/>
        </w:rPr>
        <w:t>主要原因是2025年考核奖下发指标在</w:t>
      </w:r>
      <w:r>
        <w:rPr>
          <w:rFonts w:hint="eastAsia"/>
        </w:rPr>
        <w:t>卫生健康</w:t>
      </w:r>
      <w:r>
        <w:rPr>
          <w:rFonts w:hint="eastAsia"/>
          <w:lang w:val="en-US" w:eastAsia="zh-CN"/>
        </w:rPr>
        <w:t>下的</w:t>
      </w:r>
      <w:r>
        <w:rPr>
          <w:rFonts w:hint="eastAsia"/>
          <w:highlight w:val="none"/>
          <w:lang w:val="en-US" w:eastAsia="zh-CN"/>
        </w:rPr>
        <w:t>行政运行科目中</w:t>
      </w:r>
      <w:r>
        <w:rPr>
          <w:rFonts w:hint="eastAsia"/>
          <w:highlight w:val="none"/>
        </w:rPr>
        <w:t>；</w:t>
      </w:r>
      <w:r>
        <w:rPr>
          <w:rFonts w:hint="eastAsia"/>
        </w:rPr>
        <w:t>住房保障支出27.40万元</w:t>
      </w:r>
      <w:r>
        <w:rPr>
          <w:rFonts w:hint="eastAsia"/>
          <w:lang w:eastAsia="zh-CN"/>
        </w:rPr>
        <w:t>，</w:t>
      </w:r>
      <w:r>
        <w:rPr>
          <w:rFonts w:hint="eastAsia"/>
          <w:highlight w:val="none"/>
        </w:rPr>
        <w:t>较上年预算安排增加</w:t>
      </w:r>
      <w:r>
        <w:rPr>
          <w:rFonts w:hint="eastAsia"/>
          <w:highlight w:val="none"/>
          <w:lang w:val="en-US" w:eastAsia="zh-CN"/>
        </w:rPr>
        <w:t>15.2</w:t>
      </w:r>
      <w:r>
        <w:rPr>
          <w:rFonts w:hint="eastAsia"/>
          <w:highlight w:val="none"/>
        </w:rPr>
        <w:t>万元</w:t>
      </w:r>
      <w:r>
        <w:rPr>
          <w:rFonts w:hint="eastAsia"/>
          <w:highlight w:val="none"/>
          <w:lang w:eastAsia="zh-CN"/>
        </w:rPr>
        <w:t>，</w:t>
      </w:r>
      <w:r>
        <w:rPr>
          <w:rFonts w:hint="eastAsia"/>
          <w:highlight w:val="none"/>
          <w:lang w:val="en-US" w:eastAsia="zh-CN"/>
        </w:rPr>
        <w:t>主要原因是</w:t>
      </w:r>
      <w:r>
        <w:rPr>
          <w:rFonts w:hint="eastAsia" w:cs="仿宋_GB2312"/>
          <w:sz w:val="32"/>
          <w:szCs w:val="32"/>
          <w:lang w:val="en-US" w:eastAsia="zh-CN"/>
        </w:rPr>
        <w:t>列支科目与往年不同，往年列支在商品和服务支出</w:t>
      </w:r>
      <w:r>
        <w:rPr>
          <w:rFonts w:hint="eastAsia"/>
        </w:rPr>
        <w:t>。</w:t>
      </w:r>
    </w:p>
    <w:p w14:paraId="58413362">
      <w:pPr>
        <w:pStyle w:val="18"/>
        <w:bidi w:val="0"/>
        <w:rPr>
          <w:rFonts w:hint="eastAsia"/>
        </w:rPr>
      </w:pPr>
      <w:r>
        <w:rPr>
          <w:rFonts w:hint="eastAsia"/>
        </w:rPr>
        <w:t>按支出项目类别划分：基本支出376.89万元,</w:t>
      </w:r>
      <w:r>
        <w:rPr>
          <w:rFonts w:hint="eastAsia"/>
          <w:highlight w:val="none"/>
        </w:rPr>
        <w:t>较上年预算安排增加</w:t>
      </w:r>
      <w:r>
        <w:rPr>
          <w:rFonts w:hint="eastAsia"/>
          <w:highlight w:val="none"/>
          <w:lang w:val="en-US" w:eastAsia="zh-CN"/>
        </w:rPr>
        <w:t>28.34</w:t>
      </w:r>
      <w:r>
        <w:rPr>
          <w:rFonts w:hint="eastAsia"/>
          <w:highlight w:val="none"/>
        </w:rPr>
        <w:t>万元</w:t>
      </w:r>
      <w:r>
        <w:rPr>
          <w:rFonts w:hint="eastAsia"/>
          <w:highlight w:val="none"/>
          <w:lang w:eastAsia="zh-CN"/>
        </w:rPr>
        <w:t>，</w:t>
      </w:r>
      <w:r>
        <w:rPr>
          <w:rFonts w:hint="eastAsia"/>
          <w:highlight w:val="none"/>
          <w:lang w:val="en-US" w:eastAsia="zh-CN"/>
        </w:rPr>
        <w:t>主要原因是2025年部分费用未支付，如考核奖、公积金等费用</w:t>
      </w:r>
      <w:r>
        <w:rPr>
          <w:rFonts w:hint="eastAsia"/>
          <w:highlight w:val="none"/>
          <w:lang w:eastAsia="zh-CN"/>
        </w:rPr>
        <w:t>；</w:t>
      </w:r>
      <w:r>
        <w:rPr>
          <w:rFonts w:hint="eastAsia"/>
        </w:rPr>
        <w:t>项目支出0.00万元</w:t>
      </w:r>
      <w:r>
        <w:rPr>
          <w:rFonts w:hint="eastAsia"/>
          <w:lang w:eastAsia="zh-CN"/>
        </w:rPr>
        <w:t>，</w:t>
      </w:r>
      <w:r>
        <w:rPr>
          <w:rFonts w:hint="eastAsia"/>
          <w:highlight w:val="none"/>
        </w:rPr>
        <w:t>较上年预算安排增加</w:t>
      </w:r>
      <w:r>
        <w:rPr>
          <w:rFonts w:hint="eastAsia"/>
          <w:highlight w:val="none"/>
          <w:lang w:val="en-US" w:eastAsia="zh-CN"/>
        </w:rPr>
        <w:t>0</w:t>
      </w:r>
      <w:r>
        <w:rPr>
          <w:rFonts w:hint="eastAsia"/>
          <w:highlight w:val="none"/>
        </w:rPr>
        <w:t>万元</w:t>
      </w:r>
      <w:r>
        <w:rPr>
          <w:rFonts w:hint="eastAsia"/>
          <w:lang w:eastAsia="zh-CN"/>
        </w:rPr>
        <w:t>，</w:t>
      </w:r>
      <w:r>
        <w:rPr>
          <w:rFonts w:hint="eastAsia"/>
          <w:highlight w:val="none"/>
          <w:lang w:val="en-US" w:eastAsia="zh-CN"/>
        </w:rPr>
        <w:t>主要原因是单位未开展项目</w:t>
      </w:r>
      <w:r>
        <w:rPr>
          <w:rFonts w:hint="eastAsia"/>
        </w:rPr>
        <w:t>。</w:t>
      </w:r>
    </w:p>
    <w:p w14:paraId="701D5248">
      <w:pPr>
        <w:pStyle w:val="18"/>
        <w:bidi w:val="0"/>
        <w:rPr>
          <w:rFonts w:hint="eastAsia"/>
        </w:rPr>
      </w:pPr>
      <w:r>
        <w:rPr>
          <w:rFonts w:hint="eastAsia"/>
        </w:rPr>
        <w:t>按支</w:t>
      </w:r>
      <w:r>
        <w:rPr>
          <w:rFonts w:hint="eastAsia"/>
          <w:lang w:val="en-US" w:eastAsia="zh-CN"/>
        </w:rPr>
        <w:t>出经济分类</w:t>
      </w:r>
      <w:r>
        <w:rPr>
          <w:rFonts w:hint="eastAsia"/>
        </w:rPr>
        <w:t>划分：工资福利支出318.20万元，</w:t>
      </w:r>
      <w:r>
        <w:rPr>
          <w:rFonts w:hint="eastAsia"/>
          <w:highlight w:val="none"/>
        </w:rPr>
        <w:t>较上年预算安排增加</w:t>
      </w:r>
      <w:r>
        <w:rPr>
          <w:rFonts w:hint="eastAsia"/>
          <w:highlight w:val="none"/>
          <w:lang w:val="en-US" w:eastAsia="zh-CN"/>
        </w:rPr>
        <w:t>55.04</w:t>
      </w:r>
      <w:r>
        <w:rPr>
          <w:rFonts w:hint="eastAsia"/>
          <w:highlight w:val="none"/>
        </w:rPr>
        <w:t>万元</w:t>
      </w:r>
      <w:r>
        <w:rPr>
          <w:rFonts w:hint="eastAsia"/>
          <w:highlight w:val="none"/>
          <w:lang w:eastAsia="zh-CN"/>
        </w:rPr>
        <w:t>，</w:t>
      </w:r>
      <w:r>
        <w:rPr>
          <w:rFonts w:hint="eastAsia"/>
          <w:highlight w:val="none"/>
          <w:lang w:val="en-US" w:eastAsia="zh-CN"/>
        </w:rPr>
        <w:t>主要原因是包含了2025年考核奖和部分公积金费用</w:t>
      </w:r>
      <w:r>
        <w:rPr>
          <w:rFonts w:hint="eastAsia"/>
          <w:highlight w:val="none"/>
        </w:rPr>
        <w:t>；</w:t>
      </w:r>
      <w:r>
        <w:rPr>
          <w:rFonts w:hint="eastAsia"/>
        </w:rPr>
        <w:t>商品和服务支出57.28万元（其中委托业务费19.20万元），</w:t>
      </w:r>
      <w:r>
        <w:rPr>
          <w:rFonts w:hint="eastAsia"/>
          <w:highlight w:val="none"/>
        </w:rPr>
        <w:t>较上年预算安排</w:t>
      </w:r>
      <w:r>
        <w:rPr>
          <w:rFonts w:hint="eastAsia"/>
          <w:highlight w:val="none"/>
          <w:lang w:val="en-US" w:eastAsia="zh-CN"/>
        </w:rPr>
        <w:t>减少27.52</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主要原因是坚持过紧日子要求，同时本年</w:t>
      </w:r>
      <w:r>
        <w:rPr>
          <w:rFonts w:hint="eastAsia" w:cs="仿宋_GB2312"/>
          <w:sz w:val="32"/>
          <w:szCs w:val="32"/>
          <w:lang w:val="en-US" w:eastAsia="zh-CN"/>
        </w:rPr>
        <w:t>列支科目与往年不同</w:t>
      </w:r>
      <w:r>
        <w:rPr>
          <w:rFonts w:hint="eastAsia"/>
          <w:highlight w:val="none"/>
        </w:rPr>
        <w:t>；</w:t>
      </w:r>
      <w:r>
        <w:rPr>
          <w:rFonts w:hint="eastAsia"/>
        </w:rPr>
        <w:t>对个人和家庭的补助0.57万元，</w:t>
      </w:r>
      <w:r>
        <w:rPr>
          <w:rFonts w:hint="eastAsia"/>
          <w:highlight w:val="none"/>
        </w:rPr>
        <w:t>较上年预算安排减少</w:t>
      </w:r>
      <w:r>
        <w:rPr>
          <w:rFonts w:hint="eastAsia"/>
          <w:highlight w:val="none"/>
          <w:lang w:val="en-US" w:eastAsia="zh-CN"/>
        </w:rPr>
        <w:t>0.03</w:t>
      </w:r>
      <w:r>
        <w:rPr>
          <w:rFonts w:hint="eastAsia"/>
          <w:highlight w:val="none"/>
        </w:rPr>
        <w:t>万元</w:t>
      </w:r>
      <w:r>
        <w:rPr>
          <w:rFonts w:hint="eastAsia"/>
          <w:highlight w:val="none"/>
          <w:lang w:eastAsia="zh-CN"/>
        </w:rPr>
        <w:t>，</w:t>
      </w:r>
      <w:r>
        <w:rPr>
          <w:rFonts w:hint="eastAsia"/>
          <w:highlight w:val="none"/>
          <w:lang w:val="en-US" w:eastAsia="zh-CN"/>
        </w:rPr>
        <w:t>主要原因是退休人数不变，个人和家庭的补助调整下调</w:t>
      </w:r>
      <w:r>
        <w:rPr>
          <w:rFonts w:hint="eastAsia"/>
          <w:highlight w:val="none"/>
        </w:rPr>
        <w:t>；</w:t>
      </w:r>
      <w:r>
        <w:rPr>
          <w:rFonts w:hint="eastAsia"/>
        </w:rPr>
        <w:t>资本性支出0.84万元</w:t>
      </w:r>
      <w:r>
        <w:rPr>
          <w:rFonts w:hint="eastAsia"/>
          <w:lang w:eastAsia="zh-CN"/>
        </w:rPr>
        <w:t>，</w:t>
      </w:r>
      <w:r>
        <w:rPr>
          <w:rFonts w:hint="eastAsia"/>
          <w:highlight w:val="none"/>
        </w:rPr>
        <w:t>较上年预算安排增加</w:t>
      </w:r>
      <w:r>
        <w:rPr>
          <w:rFonts w:hint="eastAsia"/>
          <w:highlight w:val="none"/>
          <w:lang w:val="en-US" w:eastAsia="zh-CN"/>
        </w:rPr>
        <w:t>0.84</w:t>
      </w:r>
      <w:r>
        <w:rPr>
          <w:rFonts w:hint="eastAsia"/>
          <w:highlight w:val="none"/>
        </w:rPr>
        <w:t>万元</w:t>
      </w:r>
      <w:r>
        <w:rPr>
          <w:rFonts w:hint="eastAsia"/>
          <w:highlight w:val="none"/>
          <w:lang w:eastAsia="zh-CN"/>
        </w:rPr>
        <w:t>，</w:t>
      </w:r>
      <w:r>
        <w:rPr>
          <w:rFonts w:hint="eastAsia"/>
          <w:highlight w:val="none"/>
          <w:lang w:val="en-US" w:eastAsia="zh-CN"/>
        </w:rPr>
        <w:t>主要原因是2025年购办公用的执法仪等设备费用还未支付</w:t>
      </w:r>
      <w:r>
        <w:rPr>
          <w:rFonts w:hint="eastAsia"/>
        </w:rPr>
        <w:t>。</w:t>
      </w:r>
    </w:p>
    <w:p w14:paraId="707BB6AC">
      <w:pPr>
        <w:pStyle w:val="19"/>
        <w:numPr>
          <w:ilvl w:val="0"/>
          <w:numId w:val="0"/>
        </w:numPr>
        <w:bidi w:val="0"/>
        <w:ind w:firstLine="643" w:firstLineChars="200"/>
        <w:rPr>
          <w:rFonts w:hint="eastAsia"/>
          <w:lang w:val="en-US" w:eastAsia="zh-CN"/>
        </w:rPr>
      </w:pPr>
      <w:r>
        <w:rPr>
          <w:rFonts w:hint="eastAsia"/>
        </w:rPr>
        <w:t>(</w:t>
      </w:r>
      <w:r>
        <w:rPr>
          <w:rFonts w:hint="eastAsia"/>
          <w:lang w:val="en-US" w:eastAsia="zh-CN"/>
        </w:rPr>
        <w:t>四)政府性基金情况</w:t>
      </w:r>
    </w:p>
    <w:p w14:paraId="30203165">
      <w:pPr>
        <w:pStyle w:val="18"/>
        <w:bidi w:val="0"/>
        <w:rPr>
          <w:rFonts w:hint="eastAsia" w:eastAsia="仿宋_GB2312"/>
          <w:lang w:eastAsia="zh-CN"/>
        </w:rPr>
      </w:pPr>
      <w:r>
        <w:rPr>
          <w:rFonts w:hint="eastAsia"/>
          <w:lang w:eastAsia="zh-CN"/>
        </w:rPr>
        <w:t>2026</w:t>
      </w:r>
      <w:r>
        <w:rPr>
          <w:rFonts w:hint="eastAsia"/>
        </w:rPr>
        <w:t>年本</w:t>
      </w:r>
      <w:r>
        <w:rPr>
          <w:rFonts w:hint="eastAsia"/>
          <w:lang w:val="en-US" w:eastAsia="zh-CN"/>
        </w:rPr>
        <w:t>单位</w:t>
      </w:r>
      <w:r>
        <w:rPr>
          <w:rFonts w:hint="eastAsia"/>
        </w:rPr>
        <w:t>没有使用政府性基金预算拨款安排的支出</w:t>
      </w:r>
      <w:r>
        <w:rPr>
          <w:rFonts w:hint="eastAsia"/>
          <w:lang w:eastAsia="zh-CN"/>
        </w:rPr>
        <w:t>。</w:t>
      </w:r>
    </w:p>
    <w:p w14:paraId="0DC7E98C">
      <w:pPr>
        <w:pStyle w:val="19"/>
        <w:numPr>
          <w:ilvl w:val="0"/>
          <w:numId w:val="0"/>
        </w:numPr>
        <w:bidi w:val="0"/>
        <w:ind w:firstLine="643" w:firstLineChars="200"/>
        <w:rPr>
          <w:rFonts w:hint="eastAsia"/>
          <w:lang w:val="en-US" w:eastAsia="zh-CN"/>
        </w:rPr>
      </w:pPr>
      <w:r>
        <w:rPr>
          <w:rFonts w:hint="eastAsia"/>
          <w:lang w:val="en-US" w:eastAsia="zh-CN"/>
        </w:rPr>
        <w:t>(五)国有资本经营情况</w:t>
      </w:r>
    </w:p>
    <w:p w14:paraId="5A010183">
      <w:pPr>
        <w:pStyle w:val="18"/>
        <w:bidi w:val="0"/>
        <w:rPr>
          <w:rFonts w:hint="eastAsia" w:eastAsia="仿宋_GB2312"/>
          <w:lang w:eastAsia="zh-CN"/>
        </w:rPr>
      </w:pPr>
      <w:r>
        <w:rPr>
          <w:rFonts w:hint="eastAsia"/>
          <w:lang w:eastAsia="zh-CN"/>
        </w:rPr>
        <w:t>2026</w:t>
      </w:r>
      <w:r>
        <w:rPr>
          <w:rFonts w:hint="eastAsia"/>
        </w:rPr>
        <w:t>年本</w:t>
      </w:r>
      <w:r>
        <w:rPr>
          <w:rFonts w:hint="eastAsia"/>
          <w:lang w:val="en-US" w:eastAsia="zh-CN"/>
        </w:rPr>
        <w:t>单位</w:t>
      </w:r>
      <w:r>
        <w:rPr>
          <w:rFonts w:hint="eastAsia"/>
        </w:rPr>
        <w:t>没有使用国有资本经营预算拨款安排的支出</w:t>
      </w:r>
      <w:r>
        <w:rPr>
          <w:rFonts w:hint="eastAsia"/>
          <w:lang w:eastAsia="zh-CN"/>
        </w:rPr>
        <w:t>。</w:t>
      </w:r>
    </w:p>
    <w:p w14:paraId="278CDAE8">
      <w:pPr>
        <w:pStyle w:val="19"/>
        <w:numPr>
          <w:ilvl w:val="0"/>
          <w:numId w:val="0"/>
        </w:numPr>
        <w:bidi w:val="0"/>
        <w:ind w:firstLine="643" w:firstLineChars="200"/>
        <w:rPr>
          <w:rFonts w:hint="eastAsia"/>
          <w:lang w:val="en-US" w:eastAsia="zh-CN"/>
        </w:rPr>
      </w:pPr>
      <w:r>
        <w:rPr>
          <w:rFonts w:hint="eastAsia"/>
          <w:lang w:val="en-US" w:eastAsia="zh-CN"/>
        </w:rPr>
        <w:t>(六)机关运行经费等重要事项的说明</w:t>
      </w:r>
    </w:p>
    <w:p w14:paraId="3843E9B6">
      <w:pPr>
        <w:pStyle w:val="18"/>
        <w:bidi w:val="0"/>
        <w:rPr>
          <w:rFonts w:ascii="Adobe 仿宋 Std R" w:hAnsi="Adobe 仿宋 Std R" w:eastAsia="Adobe 仿宋 Std R"/>
          <w:sz w:val="32"/>
          <w:szCs w:val="32"/>
        </w:rPr>
      </w:pPr>
      <w:r>
        <w:rPr>
          <w:rFonts w:hint="eastAsia"/>
          <w:lang w:eastAsia="zh-CN"/>
        </w:rPr>
        <w:t>2026</w:t>
      </w:r>
      <w:r>
        <w:rPr>
          <w:rFonts w:hint="eastAsia"/>
        </w:rPr>
        <w:t>年</w:t>
      </w:r>
      <w:r>
        <w:rPr>
          <w:rFonts w:hint="eastAsia"/>
          <w:lang w:val="en-US" w:eastAsia="zh-CN"/>
        </w:rPr>
        <w:t>单位</w:t>
      </w:r>
      <w:r>
        <w:rPr>
          <w:rFonts w:hint="eastAsia"/>
        </w:rPr>
        <w:t>机关运行费预算</w:t>
      </w:r>
      <w:r>
        <w:rPr>
          <w:rFonts w:hint="eastAsia"/>
          <w:highlight w:val="none"/>
          <w:lang w:val="en-US" w:eastAsia="zh-CN"/>
        </w:rPr>
        <w:t>58.12</w:t>
      </w:r>
      <w:r>
        <w:rPr>
          <w:rFonts w:hint="eastAsia"/>
          <w:highlight w:val="none"/>
        </w:rPr>
        <w:t>万元</w:t>
      </w:r>
      <w:r>
        <w:rPr>
          <w:rFonts w:hint="eastAsia"/>
        </w:rPr>
        <w:t>，比2025年预算</w:t>
      </w:r>
      <w:r>
        <w:rPr>
          <w:rFonts w:hint="eastAsia"/>
          <w:highlight w:val="none"/>
        </w:rPr>
        <w:t>减少</w:t>
      </w:r>
      <w:r>
        <w:rPr>
          <w:rFonts w:hint="eastAsia"/>
          <w:highlight w:val="none"/>
          <w:lang w:val="en-US" w:eastAsia="zh-CN"/>
        </w:rPr>
        <w:t>26.68</w:t>
      </w:r>
      <w:r>
        <w:rPr>
          <w:rFonts w:hint="eastAsia"/>
          <w:highlight w:val="none"/>
        </w:rPr>
        <w:t>万元，下降</w:t>
      </w:r>
      <w:r>
        <w:rPr>
          <w:rFonts w:hint="eastAsia"/>
          <w:highlight w:val="none"/>
          <w:lang w:val="en-US" w:eastAsia="zh-CN"/>
        </w:rPr>
        <w:t>31.46</w:t>
      </w:r>
      <w:r>
        <w:rPr>
          <w:rFonts w:hint="eastAsia"/>
          <w:highlight w:val="none"/>
        </w:rPr>
        <w:t>%</w:t>
      </w:r>
      <w:r>
        <w:rPr>
          <w:rFonts w:hint="eastAsia"/>
          <w:highlight w:val="none"/>
          <w:lang w:eastAsia="zh-CN"/>
        </w:rPr>
        <w:t>，</w:t>
      </w:r>
      <w:r>
        <w:rPr>
          <w:rFonts w:hint="eastAsia"/>
          <w:highlight w:val="none"/>
          <w:lang w:val="en-US" w:eastAsia="zh-CN"/>
        </w:rPr>
        <w:t>主要原因是坚持过紧日子要求，</w:t>
      </w:r>
      <w:r>
        <w:rPr>
          <w:rFonts w:hint="eastAsia" w:ascii="仿宋_GB2312" w:hAnsi="仿宋_GB2312" w:eastAsia="仿宋_GB2312" w:cs="仿宋_GB2312"/>
          <w:sz w:val="32"/>
          <w:szCs w:val="32"/>
          <w:lang w:val="en-US" w:eastAsia="zh-CN"/>
        </w:rPr>
        <w:t>结合单位实际，</w:t>
      </w:r>
      <w:r>
        <w:rPr>
          <w:rFonts w:hint="eastAsia" w:cs="仿宋_GB2312"/>
          <w:sz w:val="32"/>
          <w:szCs w:val="32"/>
          <w:lang w:val="en-US" w:eastAsia="zh-CN"/>
        </w:rPr>
        <w:t>减少单位支出</w:t>
      </w:r>
      <w:r>
        <w:rPr>
          <w:rFonts w:hint="eastAsia"/>
          <w:highlight w:val="none"/>
        </w:rPr>
        <w:t>。</w:t>
      </w:r>
    </w:p>
    <w:p w14:paraId="6F82887B">
      <w:pPr>
        <w:pStyle w:val="19"/>
        <w:numPr>
          <w:ilvl w:val="0"/>
          <w:numId w:val="0"/>
        </w:numPr>
        <w:bidi w:val="0"/>
        <w:ind w:firstLine="643" w:firstLineChars="200"/>
        <w:rPr>
          <w:rFonts w:hint="eastAsia"/>
          <w:lang w:val="en-US" w:eastAsia="zh-CN"/>
        </w:rPr>
      </w:pPr>
      <w:r>
        <w:rPr>
          <w:rFonts w:hint="eastAsia"/>
          <w:lang w:val="en-US" w:eastAsia="zh-CN"/>
        </w:rPr>
        <w:t>(七)政府采购情况</w:t>
      </w:r>
    </w:p>
    <w:p w14:paraId="6558292B">
      <w:pPr>
        <w:pStyle w:val="18"/>
        <w:bidi w:val="0"/>
        <w:rPr>
          <w:rFonts w:hint="eastAsia"/>
          <w:lang w:eastAsia="zh-CN"/>
        </w:rPr>
      </w:pPr>
      <w:r>
        <w:rPr>
          <w:rFonts w:hint="eastAsia"/>
          <w:lang w:eastAsia="zh-CN"/>
        </w:rPr>
        <w:t>2026年政府采购总额10.70万元,</w:t>
      </w:r>
      <w:r>
        <w:rPr>
          <w:rFonts w:hint="eastAsia"/>
        </w:rPr>
        <w:t>比2025年预算</w:t>
      </w:r>
      <w:r>
        <w:rPr>
          <w:rFonts w:hint="eastAsia"/>
          <w:highlight w:val="none"/>
        </w:rPr>
        <w:t>减少</w:t>
      </w:r>
      <w:r>
        <w:rPr>
          <w:rFonts w:hint="eastAsia"/>
          <w:highlight w:val="none"/>
          <w:lang w:val="en-US" w:eastAsia="zh-CN"/>
        </w:rPr>
        <w:t>18.1</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cs="仿宋_GB2312"/>
          <w:sz w:val="32"/>
          <w:szCs w:val="32"/>
          <w:lang w:val="en-US" w:eastAsia="zh-CN"/>
        </w:rPr>
        <w:t>减少预算支出</w:t>
      </w:r>
      <w:r>
        <w:rPr>
          <w:rFonts w:hint="eastAsia"/>
          <w:highlight w:val="none"/>
        </w:rPr>
        <w:t>，</w:t>
      </w:r>
      <w:r>
        <w:rPr>
          <w:rFonts w:hint="eastAsia"/>
          <w:lang w:eastAsia="zh-CN"/>
        </w:rPr>
        <w:t>其中:政府采购货物预算4.72万元，</w:t>
      </w:r>
      <w:r>
        <w:rPr>
          <w:rFonts w:hint="eastAsia"/>
        </w:rPr>
        <w:t>比2025年预算</w:t>
      </w:r>
      <w:r>
        <w:rPr>
          <w:rFonts w:hint="eastAsia"/>
          <w:highlight w:val="none"/>
        </w:rPr>
        <w:t>减少</w:t>
      </w:r>
      <w:r>
        <w:rPr>
          <w:rFonts w:hint="eastAsia"/>
          <w:highlight w:val="none"/>
          <w:lang w:val="en-US" w:eastAsia="zh-CN"/>
        </w:rPr>
        <w:t>3.28</w:t>
      </w:r>
      <w:r>
        <w:rPr>
          <w:rFonts w:hint="eastAsia"/>
          <w:highlight w:val="none"/>
        </w:rPr>
        <w:t>万元</w:t>
      </w:r>
      <w:r>
        <w:rPr>
          <w:rFonts w:hint="eastAsia"/>
          <w:highlight w:val="none"/>
          <w:lang w:eastAsia="zh-CN"/>
        </w:rPr>
        <w:t>，</w:t>
      </w:r>
      <w:r>
        <w:rPr>
          <w:rFonts w:hint="eastAsia"/>
          <w:highlight w:val="none"/>
          <w:lang w:val="en-US" w:eastAsia="zh-CN"/>
        </w:rPr>
        <w:t>主要原因是坚持过紧日子要求，</w:t>
      </w:r>
      <w:r>
        <w:rPr>
          <w:rFonts w:hint="eastAsia" w:cs="仿宋_GB2312"/>
          <w:sz w:val="32"/>
          <w:szCs w:val="32"/>
          <w:lang w:val="en-US" w:eastAsia="zh-CN"/>
        </w:rPr>
        <w:t>压缩采购预算</w:t>
      </w:r>
      <w:r>
        <w:rPr>
          <w:rFonts w:hint="eastAsia"/>
          <w:highlight w:val="none"/>
          <w:lang w:eastAsia="zh-CN"/>
        </w:rPr>
        <w:t>；</w:t>
      </w:r>
      <w:r>
        <w:rPr>
          <w:rFonts w:hint="eastAsia"/>
          <w:lang w:eastAsia="zh-CN"/>
        </w:rPr>
        <w:t>政府采购工程预算0.00万元,政府采购服务预算5.98万元，</w:t>
      </w:r>
      <w:r>
        <w:rPr>
          <w:rFonts w:hint="eastAsia"/>
        </w:rPr>
        <w:t>比2025年预算</w:t>
      </w:r>
      <w:r>
        <w:rPr>
          <w:rFonts w:hint="eastAsia"/>
          <w:highlight w:val="none"/>
        </w:rPr>
        <w:t>减少</w:t>
      </w:r>
      <w:r>
        <w:rPr>
          <w:rFonts w:hint="eastAsia"/>
          <w:highlight w:val="none"/>
          <w:lang w:val="en-US" w:eastAsia="zh-CN"/>
        </w:rPr>
        <w:t>14.82</w:t>
      </w:r>
      <w:r>
        <w:rPr>
          <w:rFonts w:hint="eastAsia"/>
          <w:highlight w:val="none"/>
        </w:rPr>
        <w:t>万元</w:t>
      </w:r>
      <w:r>
        <w:rPr>
          <w:rFonts w:hint="eastAsia"/>
          <w:highlight w:val="none"/>
          <w:lang w:eastAsia="zh-CN"/>
        </w:rPr>
        <w:t>，</w:t>
      </w:r>
      <w:r>
        <w:rPr>
          <w:rFonts w:hint="eastAsia"/>
          <w:highlight w:val="none"/>
          <w:lang w:val="en-US" w:eastAsia="zh-CN"/>
        </w:rPr>
        <w:t>主要原因是减少采购服务支出，</w:t>
      </w:r>
      <w:r>
        <w:rPr>
          <w:rFonts w:hint="eastAsia" w:cs="仿宋_GB2312"/>
          <w:sz w:val="32"/>
          <w:szCs w:val="32"/>
          <w:lang w:val="en-US" w:eastAsia="zh-CN"/>
        </w:rPr>
        <w:t>压缩采购预算</w:t>
      </w:r>
      <w:r>
        <w:rPr>
          <w:rFonts w:hint="eastAsia"/>
          <w:lang w:eastAsia="zh-CN"/>
        </w:rPr>
        <w:t>。</w:t>
      </w:r>
    </w:p>
    <w:p w14:paraId="70264C3F">
      <w:pPr>
        <w:pStyle w:val="19"/>
        <w:numPr>
          <w:ilvl w:val="0"/>
          <w:numId w:val="0"/>
        </w:numPr>
        <w:bidi w:val="0"/>
        <w:ind w:firstLine="643" w:firstLineChars="200"/>
        <w:rPr>
          <w:rFonts w:hint="eastAsia"/>
          <w:lang w:val="en-US" w:eastAsia="zh-CN"/>
        </w:rPr>
      </w:pPr>
      <w:r>
        <w:rPr>
          <w:rFonts w:hint="eastAsia"/>
          <w:lang w:val="en-US" w:eastAsia="zh-CN"/>
        </w:rPr>
        <w:t>(八)国有资产占有使用情况</w:t>
      </w:r>
    </w:p>
    <w:p w14:paraId="1A5299DC">
      <w:pPr>
        <w:pStyle w:val="18"/>
        <w:bidi w:val="0"/>
        <w:rPr>
          <w:rFonts w:hint="eastAsia"/>
          <w:lang w:eastAsia="zh-CN"/>
        </w:rPr>
      </w:pPr>
      <w:r>
        <w:rPr>
          <w:rFonts w:hint="eastAsia"/>
          <w:lang w:eastAsia="zh-CN"/>
        </w:rPr>
        <w:t>截至2025年7月31日,</w:t>
      </w:r>
      <w:r>
        <w:rPr>
          <w:rFonts w:hint="eastAsia"/>
          <w:lang w:val="en-US" w:eastAsia="zh-CN"/>
        </w:rPr>
        <w:t>单位</w:t>
      </w:r>
      <w:r>
        <w:rPr>
          <w:rFonts w:hint="eastAsia"/>
          <w:lang w:eastAsia="zh-CN"/>
        </w:rPr>
        <w:t>共有车辆</w:t>
      </w:r>
      <w:r>
        <w:rPr>
          <w:rFonts w:hint="eastAsia"/>
          <w:lang w:val="en-US" w:eastAsia="zh-CN"/>
        </w:rPr>
        <w:t>0</w:t>
      </w:r>
      <w:r>
        <w:rPr>
          <w:rFonts w:hint="eastAsia"/>
          <w:lang w:eastAsia="zh-CN"/>
        </w:rPr>
        <w:t>辆,其中：一般公务用车实有数</w:t>
      </w:r>
      <w:r>
        <w:rPr>
          <w:rFonts w:hint="eastAsia"/>
          <w:lang w:val="en-US" w:eastAsia="zh-CN"/>
        </w:rPr>
        <w:t>0</w:t>
      </w:r>
      <w:r>
        <w:rPr>
          <w:rFonts w:hint="eastAsia"/>
          <w:lang w:eastAsia="zh-CN"/>
        </w:rPr>
        <w:t>辆。</w:t>
      </w:r>
    </w:p>
    <w:p w14:paraId="7E99D22F">
      <w:pPr>
        <w:pStyle w:val="18"/>
        <w:bidi w:val="0"/>
        <w:rPr>
          <w:rFonts w:hint="eastAsia"/>
          <w:lang w:eastAsia="zh-CN"/>
        </w:rPr>
      </w:pPr>
      <w:r>
        <w:rPr>
          <w:rFonts w:hint="eastAsia"/>
          <w:lang w:eastAsia="zh-CN"/>
        </w:rPr>
        <w:t>2026年</w:t>
      </w:r>
      <w:r>
        <w:rPr>
          <w:rFonts w:hint="eastAsia"/>
          <w:lang w:val="en-US" w:eastAsia="zh-CN"/>
        </w:rPr>
        <w:t>单位</w:t>
      </w:r>
      <w:r>
        <w:rPr>
          <w:rFonts w:hint="eastAsia"/>
          <w:lang w:eastAsia="zh-CN"/>
        </w:rPr>
        <w:t>预算安排购置车辆</w:t>
      </w:r>
      <w:r>
        <w:rPr>
          <w:rFonts w:hint="eastAsia"/>
          <w:lang w:val="en-US" w:eastAsia="zh-CN"/>
        </w:rPr>
        <w:t>0</w:t>
      </w:r>
      <w:r>
        <w:rPr>
          <w:rFonts w:hint="eastAsia"/>
          <w:lang w:eastAsia="zh-CN"/>
        </w:rPr>
        <w:t>辆，</w:t>
      </w:r>
      <w:r>
        <w:rPr>
          <w:rFonts w:hint="eastAsia"/>
          <w:highlight w:val="none"/>
          <w:lang w:val="en-US" w:eastAsia="zh-CN"/>
        </w:rPr>
        <w:t>未</w:t>
      </w:r>
      <w:r>
        <w:rPr>
          <w:rFonts w:hint="eastAsia"/>
          <w:highlight w:val="none"/>
          <w:lang w:eastAsia="zh-CN"/>
        </w:rPr>
        <w:t>安排购置单位价值200万元以上大型设</w:t>
      </w:r>
      <w:bookmarkStart w:id="0" w:name="_GoBack"/>
      <w:bookmarkEnd w:id="0"/>
      <w:r>
        <w:rPr>
          <w:rFonts w:hint="eastAsia"/>
          <w:highlight w:val="none"/>
          <w:lang w:eastAsia="zh-CN"/>
        </w:rPr>
        <w:t>备。</w:t>
      </w:r>
    </w:p>
    <w:p w14:paraId="63A487AF">
      <w:pPr>
        <w:pStyle w:val="19"/>
        <w:numPr>
          <w:ilvl w:val="0"/>
          <w:numId w:val="0"/>
        </w:numPr>
        <w:bidi w:val="0"/>
        <w:ind w:firstLine="643" w:firstLineChars="200"/>
        <w:rPr>
          <w:rFonts w:hint="eastAsia"/>
          <w:lang w:val="en-US" w:eastAsia="zh-CN"/>
        </w:rPr>
      </w:pPr>
      <w:r>
        <w:rPr>
          <w:rFonts w:hint="eastAsia"/>
          <w:lang w:val="en-US" w:eastAsia="zh-CN"/>
        </w:rPr>
        <w:t>(九)项目情况说明</w:t>
      </w:r>
    </w:p>
    <w:p w14:paraId="0A7AC563">
      <w:pPr>
        <w:pStyle w:val="18"/>
        <w:bidi w:val="0"/>
        <w:rPr>
          <w:rFonts w:hint="default"/>
          <w:lang w:val="en-US" w:eastAsia="zh-CN"/>
        </w:rPr>
      </w:pPr>
      <w:r>
        <w:rPr>
          <w:rFonts w:hint="eastAsia"/>
          <w:lang w:eastAsia="zh-CN"/>
        </w:rPr>
        <w:t>本</w:t>
      </w:r>
      <w:r>
        <w:rPr>
          <w:rFonts w:hint="eastAsia"/>
          <w:lang w:val="en-US" w:eastAsia="zh-CN"/>
        </w:rPr>
        <w:t>单位</w:t>
      </w:r>
      <w:r>
        <w:rPr>
          <w:rFonts w:hint="eastAsia"/>
          <w:lang w:eastAsia="zh-CN"/>
        </w:rPr>
        <w:t>本年度未安排项目</w:t>
      </w:r>
      <w:r>
        <w:rPr>
          <w:rFonts w:hint="eastAsia"/>
          <w:lang w:val="en-US" w:eastAsia="zh-CN"/>
        </w:rPr>
        <w:t>。</w:t>
      </w:r>
      <w:r>
        <w:rPr>
          <w:rFonts w:hint="eastAsia"/>
          <w:highlight w:val="none"/>
          <w:lang w:eastAsia="zh-CN"/>
        </w:rPr>
        <w:t>根据预算绩效管理要求，我</w:t>
      </w:r>
      <w:r>
        <w:rPr>
          <w:rFonts w:hint="eastAsia"/>
          <w:highlight w:val="none"/>
          <w:lang w:val="en-US" w:eastAsia="zh-CN"/>
        </w:rPr>
        <w:t>单位</w:t>
      </w:r>
      <w:r>
        <w:rPr>
          <w:rFonts w:hint="eastAsia"/>
          <w:highlight w:val="none"/>
          <w:lang w:eastAsia="zh-CN"/>
        </w:rPr>
        <w:t>对纳入</w:t>
      </w:r>
      <w:r>
        <w:rPr>
          <w:rFonts w:hint="eastAsia"/>
          <w:highlight w:val="none"/>
          <w:lang w:val="en-US" w:eastAsia="zh-CN"/>
        </w:rPr>
        <w:t>2026</w:t>
      </w:r>
      <w:r>
        <w:rPr>
          <w:rFonts w:hint="eastAsia"/>
          <w:highlight w:val="none"/>
          <w:lang w:eastAsia="zh-CN"/>
        </w:rPr>
        <w:t>年度部门预算范围的二级项目0个全面开展绩效自评，共涉及资金0万元，占项目支出总额的0%。</w:t>
      </w:r>
    </w:p>
    <w:p w14:paraId="5CC26242">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w:t>
      </w:r>
      <w:r>
        <w:rPr>
          <w:rFonts w:hint="eastAsia" w:ascii="楷体_GB2312" w:eastAsia="楷体_GB2312"/>
          <w:b/>
          <w:sz w:val="32"/>
          <w:szCs w:val="30"/>
          <w:lang w:eastAsia="zh-CN"/>
        </w:rPr>
        <w:t>2026</w:t>
      </w:r>
      <w:r>
        <w:rPr>
          <w:rFonts w:hint="eastAsia" w:ascii="楷体_GB2312" w:eastAsia="楷体_GB2312"/>
          <w:b/>
          <w:sz w:val="32"/>
          <w:szCs w:val="30"/>
        </w:rPr>
        <w:t>年财政拨款“三公”经费预算情况说明</w:t>
      </w:r>
    </w:p>
    <w:p w14:paraId="092091FF">
      <w:pPr>
        <w:pStyle w:val="18"/>
        <w:bidi w:val="0"/>
        <w:rPr>
          <w:rFonts w:hint="eastAsia"/>
          <w:lang w:eastAsia="zh-CN"/>
        </w:rPr>
      </w:pPr>
      <w:r>
        <w:rPr>
          <w:rFonts w:hint="eastAsia"/>
          <w:lang w:eastAsia="zh-CN"/>
        </w:rPr>
        <w:t>2026年南昌市青云谱区医疗保障局财政拨款"三公"经费安排0.50万元，其中：</w:t>
      </w:r>
    </w:p>
    <w:p w14:paraId="722084DA">
      <w:pPr>
        <w:pStyle w:val="18"/>
        <w:bidi w:val="0"/>
        <w:rPr>
          <w:rFonts w:hint="eastAsia"/>
          <w:highlight w:val="none"/>
          <w:lang w:eastAsia="zh-CN"/>
        </w:rPr>
      </w:pPr>
      <w:r>
        <w:rPr>
          <w:rFonts w:hint="eastAsia"/>
          <w:highlight w:val="none"/>
          <w:lang w:eastAsia="zh-CN"/>
        </w:rPr>
        <w:t>因公出国0.00万元,比上年增</w:t>
      </w:r>
      <w:r>
        <w:rPr>
          <w:rFonts w:hint="eastAsia"/>
          <w:highlight w:val="none"/>
          <w:lang w:val="en-US" w:eastAsia="zh-CN"/>
        </w:rPr>
        <w:t>0</w:t>
      </w:r>
      <w:r>
        <w:rPr>
          <w:rFonts w:hint="eastAsia"/>
          <w:highlight w:val="none"/>
          <w:lang w:eastAsia="zh-CN"/>
        </w:rPr>
        <w:t>万元，主要原因是：与上年安排保持一致，本年无因公出国计划。</w:t>
      </w:r>
    </w:p>
    <w:p w14:paraId="3092B664">
      <w:pPr>
        <w:pStyle w:val="18"/>
        <w:bidi w:val="0"/>
        <w:rPr>
          <w:rFonts w:hint="eastAsia"/>
          <w:lang w:eastAsia="zh-CN"/>
        </w:rPr>
      </w:pPr>
      <w:r>
        <w:rPr>
          <w:rFonts w:hint="eastAsia"/>
          <w:lang w:eastAsia="zh-CN"/>
        </w:rPr>
        <w:t>公务接待0.50万元,比上年增</w:t>
      </w:r>
      <w:r>
        <w:rPr>
          <w:rFonts w:hint="eastAsia"/>
          <w:lang w:val="en-US" w:eastAsia="zh-CN"/>
        </w:rPr>
        <w:t>0.5</w:t>
      </w:r>
      <w:r>
        <w:rPr>
          <w:rFonts w:hint="eastAsia"/>
          <w:lang w:eastAsia="zh-CN"/>
        </w:rPr>
        <w:t>万元，主要原因是：</w:t>
      </w:r>
      <w:r>
        <w:rPr>
          <w:rFonts w:hint="eastAsia"/>
          <w:lang w:val="en-US" w:eastAsia="zh-CN"/>
        </w:rPr>
        <w:t>计划</w:t>
      </w:r>
      <w:r>
        <w:rPr>
          <w:rFonts w:hint="eastAsia"/>
          <w:lang w:eastAsia="zh-CN"/>
        </w:rPr>
        <w:t>本年</w:t>
      </w:r>
      <w:r>
        <w:rPr>
          <w:rFonts w:hint="eastAsia"/>
          <w:lang w:val="en-US" w:eastAsia="zh-CN"/>
        </w:rPr>
        <w:t>有</w:t>
      </w:r>
      <w:r>
        <w:rPr>
          <w:rFonts w:hint="eastAsia"/>
          <w:lang w:eastAsia="zh-CN"/>
        </w:rPr>
        <w:t>公务接待。</w:t>
      </w:r>
    </w:p>
    <w:p w14:paraId="0A86571B">
      <w:pPr>
        <w:pStyle w:val="18"/>
        <w:bidi w:val="0"/>
        <w:rPr>
          <w:rFonts w:hint="eastAsia"/>
          <w:lang w:eastAsia="zh-CN"/>
        </w:rPr>
      </w:pPr>
      <w:r>
        <w:rPr>
          <w:rFonts w:hint="eastAsia"/>
          <w:lang w:eastAsia="zh-CN"/>
        </w:rPr>
        <w:t>公务用车运行0.00万元,比上年增</w:t>
      </w:r>
      <w:r>
        <w:rPr>
          <w:rFonts w:hint="eastAsia"/>
          <w:lang w:val="en-US" w:eastAsia="zh-CN"/>
        </w:rPr>
        <w:t>0</w:t>
      </w:r>
      <w:r>
        <w:rPr>
          <w:rFonts w:hint="eastAsia"/>
          <w:lang w:eastAsia="zh-CN"/>
        </w:rPr>
        <w:t>万元，主要原因是：与上年安排保持一致，</w:t>
      </w:r>
      <w:r>
        <w:rPr>
          <w:rFonts w:hint="eastAsia"/>
          <w:lang w:val="en-US" w:eastAsia="zh-CN"/>
        </w:rPr>
        <w:t>本部门未购置公务车</w:t>
      </w:r>
      <w:r>
        <w:rPr>
          <w:rFonts w:hint="eastAsia"/>
          <w:lang w:eastAsia="zh-CN"/>
        </w:rPr>
        <w:t>。</w:t>
      </w:r>
    </w:p>
    <w:p w14:paraId="18ACAA21">
      <w:pPr>
        <w:pStyle w:val="18"/>
        <w:bidi w:val="0"/>
        <w:rPr>
          <w:rFonts w:hint="eastAsia"/>
          <w:lang w:eastAsia="zh-CN"/>
        </w:rPr>
      </w:pPr>
      <w:r>
        <w:rPr>
          <w:rFonts w:hint="eastAsia"/>
          <w:lang w:eastAsia="zh-CN"/>
        </w:rPr>
        <w:t>公务用车购置0.00万元,比上年增</w:t>
      </w:r>
      <w:r>
        <w:rPr>
          <w:rFonts w:hint="eastAsia"/>
          <w:lang w:val="en-US" w:eastAsia="zh-CN"/>
        </w:rPr>
        <w:t>0</w:t>
      </w:r>
      <w:r>
        <w:rPr>
          <w:rFonts w:hint="eastAsia"/>
          <w:lang w:eastAsia="zh-CN"/>
        </w:rPr>
        <w:t>万元，主要原因</w:t>
      </w:r>
      <w:r>
        <w:rPr>
          <w:rFonts w:hint="eastAsia"/>
          <w:lang w:val="en-US" w:eastAsia="zh-CN"/>
        </w:rPr>
        <w:t>是：</w:t>
      </w:r>
      <w:r>
        <w:rPr>
          <w:rFonts w:hint="eastAsia"/>
          <w:lang w:eastAsia="zh-CN"/>
        </w:rPr>
        <w:t>与上年安排保持一致，</w:t>
      </w:r>
      <w:r>
        <w:rPr>
          <w:rFonts w:hint="eastAsia"/>
          <w:lang w:val="en-US" w:eastAsia="zh-CN"/>
        </w:rPr>
        <w:t>无</w:t>
      </w:r>
      <w:r>
        <w:rPr>
          <w:rFonts w:hint="eastAsia"/>
          <w:lang w:eastAsia="zh-CN"/>
        </w:rPr>
        <w:t>购置公务用车计划。</w:t>
      </w:r>
    </w:p>
    <w:p w14:paraId="721CBC67">
      <w:pPr>
        <w:rPr>
          <w:rStyle w:val="12"/>
          <w:rFonts w:hint="eastAsia" w:ascii="仿宋" w:hAnsi="仿宋" w:eastAsia="仿宋"/>
          <w:sz w:val="32"/>
          <w:szCs w:val="32"/>
        </w:rPr>
      </w:pPr>
      <w:r>
        <w:rPr>
          <w:rStyle w:val="12"/>
          <w:rFonts w:hint="eastAsia" w:ascii="仿宋" w:hAnsi="仿宋" w:eastAsia="仿宋"/>
          <w:sz w:val="32"/>
          <w:szCs w:val="32"/>
        </w:rPr>
        <w:br w:type="page"/>
      </w:r>
    </w:p>
    <w:p w14:paraId="3935CAE1">
      <w:pPr>
        <w:pStyle w:val="17"/>
        <w:numPr>
          <w:ilvl w:val="0"/>
          <w:numId w:val="0"/>
        </w:numPr>
        <w:bidi w:val="0"/>
        <w:ind w:left="420" w:leftChars="200"/>
        <w:jc w:val="center"/>
        <w:rPr>
          <w:rFonts w:hint="eastAsia"/>
          <w:lang w:val="en-US" w:eastAsia="zh-CN"/>
        </w:rPr>
      </w:pPr>
      <w:r>
        <w:rPr>
          <w:rFonts w:hint="eastAsia"/>
          <w:lang w:val="en-US" w:eastAsia="zh-CN"/>
        </w:rPr>
        <w:t>第四部分   名词解释</w:t>
      </w:r>
    </w:p>
    <w:p w14:paraId="338D8574">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一、收入科目</w:t>
      </w:r>
    </w:p>
    <w:p w14:paraId="561CA4BA">
      <w:pPr>
        <w:pStyle w:val="18"/>
        <w:bidi w:val="0"/>
        <w:rPr>
          <w:rFonts w:hint="eastAsia"/>
          <w:lang w:eastAsia="zh-CN"/>
        </w:rPr>
      </w:pPr>
      <w:r>
        <w:rPr>
          <w:rFonts w:hint="eastAsia"/>
          <w:lang w:eastAsia="zh-CN"/>
        </w:rPr>
        <w:t>各</w:t>
      </w:r>
      <w:r>
        <w:rPr>
          <w:rFonts w:hint="eastAsia"/>
          <w:lang w:val="en-US" w:eastAsia="zh-CN"/>
        </w:rPr>
        <w:t>单位</w:t>
      </w:r>
      <w:r>
        <w:rPr>
          <w:rFonts w:hint="eastAsia"/>
          <w:lang w:eastAsia="zh-CN"/>
        </w:rPr>
        <w:t>结合实际进行解释。</w:t>
      </w:r>
    </w:p>
    <w:p w14:paraId="05B7102E">
      <w:pPr>
        <w:pStyle w:val="18"/>
        <w:bidi w:val="0"/>
        <w:rPr>
          <w:rFonts w:hint="eastAsia"/>
          <w:lang w:eastAsia="zh-CN"/>
        </w:rPr>
      </w:pPr>
      <w:r>
        <w:rPr>
          <w:rFonts w:hint="eastAsia"/>
          <w:lang w:eastAsia="zh-CN"/>
        </w:rPr>
        <w:t>（</w:t>
      </w:r>
      <w:r>
        <w:rPr>
          <w:rFonts w:hint="eastAsia"/>
          <w:lang w:val="en-US" w:eastAsia="zh-CN"/>
        </w:rPr>
        <w:t>一</w:t>
      </w:r>
      <w:r>
        <w:rPr>
          <w:rFonts w:hint="eastAsia"/>
          <w:lang w:eastAsia="zh-CN"/>
        </w:rPr>
        <w:t>）财政拨款：指省级财政当年拨付的资金。</w:t>
      </w:r>
    </w:p>
    <w:p w14:paraId="59116B7D">
      <w:pPr>
        <w:pStyle w:val="18"/>
        <w:bidi w:val="0"/>
        <w:rPr>
          <w:rFonts w:hint="eastAsia"/>
          <w:lang w:eastAsia="zh-CN"/>
        </w:rPr>
      </w:pPr>
      <w:r>
        <w:rPr>
          <w:rFonts w:hint="eastAsia"/>
          <w:lang w:eastAsia="zh-CN"/>
        </w:rPr>
        <w:t>（</w:t>
      </w:r>
      <w:r>
        <w:rPr>
          <w:rFonts w:hint="eastAsia"/>
          <w:lang w:val="en-US" w:eastAsia="zh-CN"/>
        </w:rPr>
        <w:t>二</w:t>
      </w:r>
      <w:r>
        <w:rPr>
          <w:rFonts w:hint="eastAsia"/>
          <w:lang w:eastAsia="zh-CN"/>
        </w:rPr>
        <w:t>）教育收费资金收入：指实行专项管理的高中以上学费、住宿费，高校委托培养费，函大、电大、夜大及短训班培训费等教育收费取得的收入。</w:t>
      </w:r>
    </w:p>
    <w:p w14:paraId="707ABE51">
      <w:pPr>
        <w:pStyle w:val="18"/>
        <w:bidi w:val="0"/>
        <w:rPr>
          <w:rFonts w:hint="eastAsia"/>
          <w:lang w:eastAsia="zh-CN"/>
        </w:rPr>
      </w:pPr>
      <w:r>
        <w:rPr>
          <w:rFonts w:hint="eastAsia"/>
          <w:lang w:eastAsia="zh-CN"/>
        </w:rPr>
        <w:t>（三）事业收入：指事业单位开展专业业务活动及辅助活动取得的收入。</w:t>
      </w:r>
    </w:p>
    <w:p w14:paraId="575FCC1C">
      <w:pPr>
        <w:pStyle w:val="18"/>
        <w:bidi w:val="0"/>
        <w:rPr>
          <w:rFonts w:hint="eastAsia"/>
          <w:lang w:eastAsia="zh-CN"/>
        </w:rPr>
      </w:pPr>
      <w:r>
        <w:rPr>
          <w:rFonts w:hint="eastAsia"/>
          <w:lang w:eastAsia="zh-CN"/>
        </w:rPr>
        <w:t>（四）事业单位经营收入：指事业单位在专业业务活动及辅助活动之外开展非独立核算经营活动取得的收入。</w:t>
      </w:r>
    </w:p>
    <w:p w14:paraId="1B3F06B1">
      <w:pPr>
        <w:pStyle w:val="18"/>
        <w:bidi w:val="0"/>
        <w:rPr>
          <w:rFonts w:hint="eastAsia"/>
          <w:lang w:eastAsia="zh-CN"/>
        </w:rPr>
      </w:pPr>
      <w:r>
        <w:rPr>
          <w:rFonts w:hint="eastAsia"/>
          <w:lang w:eastAsia="zh-CN"/>
        </w:rPr>
        <w:t>（五）附属单位上缴收入：指事业单位附属的独立核算单位按规定标准或比例缴纳的各项收入。包括附属的事业单位上缴的收入和附属的企业上缴的利润等。</w:t>
      </w:r>
    </w:p>
    <w:p w14:paraId="469FB048">
      <w:pPr>
        <w:pStyle w:val="18"/>
        <w:bidi w:val="0"/>
        <w:rPr>
          <w:rFonts w:hint="eastAsia"/>
          <w:lang w:eastAsia="zh-CN"/>
        </w:rPr>
      </w:pPr>
      <w:r>
        <w:rPr>
          <w:rFonts w:hint="eastAsia"/>
          <w:lang w:eastAsia="zh-CN"/>
        </w:rPr>
        <w:t>（六）上级补助收入：指事业单位从主管部门和上级单位取得的非财政补助收入。</w:t>
      </w:r>
    </w:p>
    <w:p w14:paraId="4BD453E0">
      <w:pPr>
        <w:pStyle w:val="18"/>
        <w:bidi w:val="0"/>
        <w:rPr>
          <w:rFonts w:hint="eastAsia"/>
          <w:lang w:eastAsia="zh-CN"/>
        </w:rPr>
      </w:pPr>
      <w:r>
        <w:rPr>
          <w:rFonts w:hint="eastAsia"/>
          <w:lang w:eastAsia="zh-CN"/>
        </w:rPr>
        <w:t>（七）其他收入：指除财政拨款、事业收入、事业单位经营收入等以外的各项收入。</w:t>
      </w:r>
    </w:p>
    <w:p w14:paraId="5374255C">
      <w:pPr>
        <w:pStyle w:val="18"/>
        <w:bidi w:val="0"/>
        <w:rPr>
          <w:rFonts w:hint="eastAsia"/>
          <w:lang w:eastAsia="zh-CN"/>
        </w:rPr>
      </w:pPr>
      <w:r>
        <w:rPr>
          <w:rFonts w:hint="eastAsia"/>
          <w:lang w:eastAsia="zh-CN"/>
        </w:rPr>
        <w:t>（八）使用非财政拨款结余：指历年滚存非限定用途的非财政拨款结余弥补本年度收支差额的数额。</w:t>
      </w:r>
    </w:p>
    <w:p w14:paraId="46A8DB24">
      <w:pPr>
        <w:pStyle w:val="18"/>
        <w:bidi w:val="0"/>
        <w:rPr>
          <w:rFonts w:hint="eastAsia"/>
          <w:lang w:eastAsia="zh-CN"/>
        </w:rPr>
      </w:pPr>
      <w:r>
        <w:rPr>
          <w:rFonts w:hint="eastAsia"/>
          <w:lang w:eastAsia="zh-CN"/>
        </w:rPr>
        <w:t>（九）上年结转和结余：指以前年度全部结转和结余的资金数，包括当年结转结余资金和历年滚存结转结余资金。</w:t>
      </w:r>
    </w:p>
    <w:p w14:paraId="77016D92">
      <w:pPr>
        <w:ind w:firstLine="640" w:firstLineChars="200"/>
        <w:rPr>
          <w:rFonts w:ascii="Adobe 仿宋 Std R" w:hAnsi="Adobe 仿宋 Std R" w:eastAsia="Adobe 仿宋 Std R"/>
          <w:sz w:val="32"/>
          <w:szCs w:val="32"/>
        </w:rPr>
      </w:pPr>
    </w:p>
    <w:p w14:paraId="368E7E89">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二、支出科目</w:t>
      </w:r>
    </w:p>
    <w:p w14:paraId="232FD0A9">
      <w:pPr>
        <w:pStyle w:val="18"/>
        <w:bidi w:val="0"/>
        <w:rPr>
          <w:rFonts w:hint="eastAsia"/>
          <w:lang w:eastAsia="zh-CN"/>
        </w:rPr>
      </w:pPr>
      <w:r>
        <w:rPr>
          <w:rFonts w:hint="eastAsia"/>
          <w:lang w:eastAsia="zh-CN"/>
        </w:rPr>
        <w:t>对部门预算中涉及的支出功能分类科目（明细到项级），结合</w:t>
      </w:r>
      <w:r>
        <w:rPr>
          <w:rFonts w:hint="eastAsia"/>
          <w:lang w:val="en-US" w:eastAsia="zh-CN"/>
        </w:rPr>
        <w:t>单位</w:t>
      </w:r>
      <w:r>
        <w:rPr>
          <w:rFonts w:hint="eastAsia"/>
          <w:lang w:eastAsia="zh-CN"/>
        </w:rPr>
        <w:t>实际，参照《2026年政府收支分类科目》的规范说明进行解释。</w:t>
      </w:r>
    </w:p>
    <w:p w14:paraId="7F7F7F8B">
      <w:pPr>
        <w:widowControl/>
        <w:spacing w:line="600" w:lineRule="exact"/>
        <w:ind w:firstLine="640" w:firstLineChars="200"/>
        <w:jc w:val="left"/>
        <w:rPr>
          <w:rFonts w:ascii="仿宋_GB2312" w:eastAsia="仿宋_GB2312"/>
          <w:color w:val="000000"/>
          <w:sz w:val="32"/>
          <w:szCs w:val="30"/>
        </w:rPr>
      </w:pPr>
    </w:p>
    <w:p w14:paraId="7FAA20E4">
      <w:pPr>
        <w:pStyle w:val="17"/>
        <w:numPr>
          <w:ilvl w:val="0"/>
          <w:numId w:val="0"/>
        </w:numPr>
        <w:bidi w:val="0"/>
        <w:ind w:left="420" w:leftChars="200" w:firstLine="321" w:firstLineChars="100"/>
        <w:rPr>
          <w:rFonts w:hint="eastAsia" w:ascii="楷体_GB2312" w:eastAsia="楷体_GB2312"/>
          <w:b/>
          <w:sz w:val="32"/>
          <w:szCs w:val="30"/>
        </w:rPr>
      </w:pPr>
      <w:r>
        <w:rPr>
          <w:rFonts w:hint="eastAsia" w:ascii="楷体_GB2312" w:eastAsia="楷体_GB2312"/>
          <w:b/>
          <w:sz w:val="32"/>
          <w:szCs w:val="30"/>
        </w:rPr>
        <w:t>三、相关专业名词</w:t>
      </w:r>
    </w:p>
    <w:p w14:paraId="460409A1">
      <w:pPr>
        <w:pStyle w:val="18"/>
        <w:bidi w:val="0"/>
        <w:ind w:left="0" w:leftChars="0" w:firstLine="640" w:firstLineChars="200"/>
        <w:rPr>
          <w:rFonts w:hint="eastAsia"/>
          <w:lang w:eastAsia="zh-CN"/>
        </w:rPr>
      </w:pPr>
      <w:r>
        <w:rPr>
          <w:rFonts w:hint="eastAsia"/>
          <w:lang w:eastAsia="zh-CN"/>
        </w:rPr>
        <w:t>（一）机关运行费：指用一般公共预算财政拨款安排的为保障行政单位（包括实行公务员管理的事业单位）运行用于购买货物和服务的各项资金，包括办公费、印刷费、邮电费、差旅费、会议费、日常维修费、专用材料及一般设备购置费、办公用房水电费、办公用房取暖费、办公用房物业管理费、公务用车运行维护费以及其他费用。</w:t>
      </w:r>
    </w:p>
    <w:p w14:paraId="47891AF8">
      <w:pPr>
        <w:pStyle w:val="18"/>
        <w:bidi w:val="0"/>
        <w:rPr>
          <w:rFonts w:hint="eastAsia"/>
          <w:lang w:eastAsia="zh-CN"/>
        </w:rPr>
      </w:pPr>
      <w:r>
        <w:rPr>
          <w:rFonts w:hint="eastAsia"/>
          <w:lang w:eastAsia="zh-CN"/>
        </w:rPr>
        <w:t>（二）“三公”经费：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新能源汽车充电费、维修费、过桥过路费、保险费、安全奖励费 用等支出；公务接待费反映单位按规定开支的各类公务接待（含外宾接待）支出。</w:t>
      </w:r>
    </w:p>
    <w:p w14:paraId="61499663">
      <w:pPr>
        <w:pStyle w:val="18"/>
        <w:bidi w:val="0"/>
        <w:rPr>
          <w:rFonts w:hint="eastAsia"/>
          <w:lang w:eastAsia="zh-CN"/>
        </w:rPr>
      </w:pPr>
    </w:p>
    <w:sectPr>
      <w:pgSz w:w="11906" w:h="16838"/>
      <w:pgMar w:top="2098" w:right="1587" w:bottom="209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dobe 仿宋 Std R">
    <w:altName w:val="仿宋"/>
    <w:panose1 w:val="00000000000000000000"/>
    <w:charset w:val="86"/>
    <w:family w:val="auto"/>
    <w:pitch w:val="default"/>
    <w:sig w:usb0="00000000" w:usb1="00000000" w:usb2="00000016" w:usb3="00000000" w:csb0="00060007" w:csb1="00000000"/>
  </w:font>
  <w:font w:name="KSOF439EEF50">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826AF">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439101"/>
    <w:multiLevelType w:val="singleLevel"/>
    <w:tmpl w:val="82439101"/>
    <w:lvl w:ilvl="0" w:tentative="0">
      <w:start w:val="1"/>
      <w:numFmt w:val="decimal"/>
      <w:suff w:val="nothing"/>
      <w:lvlText w:val="%1、"/>
      <w:lvlJc w:val="left"/>
    </w:lvl>
  </w:abstractNum>
  <w:abstractNum w:abstractNumId="1">
    <w:nsid w:val="0C7D1273"/>
    <w:multiLevelType w:val="singleLevel"/>
    <w:tmpl w:val="0C7D1273"/>
    <w:lvl w:ilvl="0" w:tentative="0">
      <w:start w:val="1"/>
      <w:numFmt w:val="chineseCounting"/>
      <w:pStyle w:val="17"/>
      <w:suff w:val="nothing"/>
      <w:lvlText w:val="%1、"/>
      <w:lvlJc w:val="left"/>
      <w:pPr>
        <w:ind w:left="0" w:firstLine="420"/>
      </w:pPr>
      <w:rPr>
        <w:rFonts w:hint="eastAsia"/>
      </w:rPr>
    </w:lvl>
  </w:abstractNum>
  <w:abstractNum w:abstractNumId="2">
    <w:nsid w:val="4D21C95A"/>
    <w:multiLevelType w:val="singleLevel"/>
    <w:tmpl w:val="4D21C95A"/>
    <w:lvl w:ilvl="0" w:tentative="0">
      <w:start w:val="2"/>
      <w:numFmt w:val="chineseCounting"/>
      <w:suff w:val="space"/>
      <w:lvlText w:val="第%1部分"/>
      <w:lvlJc w:val="left"/>
      <w:rPr>
        <w:rFonts w:hint="eastAsia"/>
      </w:rPr>
    </w:lvl>
  </w:abstractNum>
  <w:abstractNum w:abstractNumId="3">
    <w:nsid w:val="79F6942D"/>
    <w:multiLevelType w:val="singleLevel"/>
    <w:tmpl w:val="79F6942D"/>
    <w:lvl w:ilvl="0" w:tentative="0">
      <w:start w:val="1"/>
      <w:numFmt w:val="chineseCounting"/>
      <w:pStyle w:val="19"/>
      <w:suff w:val="nothing"/>
      <w:lvlText w:val="（%1）"/>
      <w:lvlJc w:val="left"/>
      <w:pPr>
        <w:ind w:left="0" w:firstLine="420"/>
      </w:pPr>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ExNjIzYWJlZGMwZGIzYzA1YTYxNjBjMGQyN2NjZTYifQ=="/>
  </w:docVars>
  <w:rsids>
    <w:rsidRoot w:val="00172A27"/>
    <w:rsid w:val="000001B2"/>
    <w:rsid w:val="00014049"/>
    <w:rsid w:val="0001648A"/>
    <w:rsid w:val="00022CB3"/>
    <w:rsid w:val="00031749"/>
    <w:rsid w:val="00041EAA"/>
    <w:rsid w:val="000501C3"/>
    <w:rsid w:val="00055F20"/>
    <w:rsid w:val="000630BE"/>
    <w:rsid w:val="0006515E"/>
    <w:rsid w:val="00083979"/>
    <w:rsid w:val="00085227"/>
    <w:rsid w:val="000927A9"/>
    <w:rsid w:val="000963CD"/>
    <w:rsid w:val="000A2066"/>
    <w:rsid w:val="000B313A"/>
    <w:rsid w:val="000B4F9E"/>
    <w:rsid w:val="000C6AF7"/>
    <w:rsid w:val="000E1BC2"/>
    <w:rsid w:val="000E6313"/>
    <w:rsid w:val="000F227D"/>
    <w:rsid w:val="000F2E5F"/>
    <w:rsid w:val="00104F58"/>
    <w:rsid w:val="00117D8C"/>
    <w:rsid w:val="00131F78"/>
    <w:rsid w:val="001570FF"/>
    <w:rsid w:val="001823EA"/>
    <w:rsid w:val="00186709"/>
    <w:rsid w:val="00192620"/>
    <w:rsid w:val="00193C37"/>
    <w:rsid w:val="001C4ED5"/>
    <w:rsid w:val="001C6F31"/>
    <w:rsid w:val="001D2644"/>
    <w:rsid w:val="001E0EE7"/>
    <w:rsid w:val="001E2A0C"/>
    <w:rsid w:val="001E6FA2"/>
    <w:rsid w:val="001F1DED"/>
    <w:rsid w:val="0021331D"/>
    <w:rsid w:val="00213D4E"/>
    <w:rsid w:val="0022612A"/>
    <w:rsid w:val="00232A32"/>
    <w:rsid w:val="002436CD"/>
    <w:rsid w:val="00251AD0"/>
    <w:rsid w:val="00281E28"/>
    <w:rsid w:val="00283C63"/>
    <w:rsid w:val="00284437"/>
    <w:rsid w:val="002A02B4"/>
    <w:rsid w:val="002A1ED6"/>
    <w:rsid w:val="002A45BD"/>
    <w:rsid w:val="002B0263"/>
    <w:rsid w:val="002B128B"/>
    <w:rsid w:val="002B2D42"/>
    <w:rsid w:val="002C0EDF"/>
    <w:rsid w:val="002C2478"/>
    <w:rsid w:val="002D2681"/>
    <w:rsid w:val="002D418E"/>
    <w:rsid w:val="002D497C"/>
    <w:rsid w:val="002D7200"/>
    <w:rsid w:val="002E2578"/>
    <w:rsid w:val="0030186C"/>
    <w:rsid w:val="003057A1"/>
    <w:rsid w:val="00316B29"/>
    <w:rsid w:val="0032092A"/>
    <w:rsid w:val="00323750"/>
    <w:rsid w:val="00334A98"/>
    <w:rsid w:val="00344E49"/>
    <w:rsid w:val="00380DD1"/>
    <w:rsid w:val="00394DC6"/>
    <w:rsid w:val="003959F5"/>
    <w:rsid w:val="003A2923"/>
    <w:rsid w:val="003B68F4"/>
    <w:rsid w:val="003B76FD"/>
    <w:rsid w:val="003C0BFF"/>
    <w:rsid w:val="003C0D66"/>
    <w:rsid w:val="003C19AF"/>
    <w:rsid w:val="003C7840"/>
    <w:rsid w:val="003D0809"/>
    <w:rsid w:val="00406851"/>
    <w:rsid w:val="004345D9"/>
    <w:rsid w:val="00436836"/>
    <w:rsid w:val="0044016E"/>
    <w:rsid w:val="00446148"/>
    <w:rsid w:val="004535A0"/>
    <w:rsid w:val="00456869"/>
    <w:rsid w:val="004664AF"/>
    <w:rsid w:val="00472987"/>
    <w:rsid w:val="00480768"/>
    <w:rsid w:val="00495985"/>
    <w:rsid w:val="00496629"/>
    <w:rsid w:val="004A0058"/>
    <w:rsid w:val="004B06B4"/>
    <w:rsid w:val="004D6A23"/>
    <w:rsid w:val="004E0577"/>
    <w:rsid w:val="004E5555"/>
    <w:rsid w:val="004F5378"/>
    <w:rsid w:val="004F7260"/>
    <w:rsid w:val="005006DE"/>
    <w:rsid w:val="00502AB1"/>
    <w:rsid w:val="00516279"/>
    <w:rsid w:val="0052565B"/>
    <w:rsid w:val="00526265"/>
    <w:rsid w:val="00526CE0"/>
    <w:rsid w:val="00532264"/>
    <w:rsid w:val="005378E3"/>
    <w:rsid w:val="00544895"/>
    <w:rsid w:val="00553AA6"/>
    <w:rsid w:val="00555080"/>
    <w:rsid w:val="0055670D"/>
    <w:rsid w:val="00571A5D"/>
    <w:rsid w:val="00580BF8"/>
    <w:rsid w:val="005828C8"/>
    <w:rsid w:val="005902D1"/>
    <w:rsid w:val="0059038A"/>
    <w:rsid w:val="0059672A"/>
    <w:rsid w:val="00596957"/>
    <w:rsid w:val="005A3FD6"/>
    <w:rsid w:val="005A65E4"/>
    <w:rsid w:val="005C3676"/>
    <w:rsid w:val="005C3DDD"/>
    <w:rsid w:val="005D7ACB"/>
    <w:rsid w:val="005F090C"/>
    <w:rsid w:val="005F35BD"/>
    <w:rsid w:val="005F69D4"/>
    <w:rsid w:val="00611FE7"/>
    <w:rsid w:val="00623A52"/>
    <w:rsid w:val="006247CA"/>
    <w:rsid w:val="006279D2"/>
    <w:rsid w:val="00631E83"/>
    <w:rsid w:val="00631FA4"/>
    <w:rsid w:val="00650900"/>
    <w:rsid w:val="00655E8B"/>
    <w:rsid w:val="00660CC3"/>
    <w:rsid w:val="006740FD"/>
    <w:rsid w:val="006833F4"/>
    <w:rsid w:val="006835C9"/>
    <w:rsid w:val="00687B67"/>
    <w:rsid w:val="006918B8"/>
    <w:rsid w:val="006924DA"/>
    <w:rsid w:val="00696646"/>
    <w:rsid w:val="006A1709"/>
    <w:rsid w:val="006C08EA"/>
    <w:rsid w:val="006C185B"/>
    <w:rsid w:val="006C3868"/>
    <w:rsid w:val="006F20BD"/>
    <w:rsid w:val="006F69AF"/>
    <w:rsid w:val="00704CAB"/>
    <w:rsid w:val="007314A1"/>
    <w:rsid w:val="0075709B"/>
    <w:rsid w:val="007574FE"/>
    <w:rsid w:val="00777795"/>
    <w:rsid w:val="00777962"/>
    <w:rsid w:val="007913DC"/>
    <w:rsid w:val="00792A6C"/>
    <w:rsid w:val="0079393D"/>
    <w:rsid w:val="00796F4F"/>
    <w:rsid w:val="007A4D44"/>
    <w:rsid w:val="007B4314"/>
    <w:rsid w:val="007C27E0"/>
    <w:rsid w:val="007D4ACC"/>
    <w:rsid w:val="007F1616"/>
    <w:rsid w:val="007F4968"/>
    <w:rsid w:val="007F5C86"/>
    <w:rsid w:val="007F79A6"/>
    <w:rsid w:val="008032D2"/>
    <w:rsid w:val="00804C42"/>
    <w:rsid w:val="00823697"/>
    <w:rsid w:val="00846526"/>
    <w:rsid w:val="008506D9"/>
    <w:rsid w:val="00863898"/>
    <w:rsid w:val="00865CCE"/>
    <w:rsid w:val="00872CE4"/>
    <w:rsid w:val="00875B04"/>
    <w:rsid w:val="00876D17"/>
    <w:rsid w:val="008827CA"/>
    <w:rsid w:val="00882C91"/>
    <w:rsid w:val="00884FAE"/>
    <w:rsid w:val="008979F6"/>
    <w:rsid w:val="00897CAC"/>
    <w:rsid w:val="008A2491"/>
    <w:rsid w:val="008B52E8"/>
    <w:rsid w:val="008C011F"/>
    <w:rsid w:val="008C01B1"/>
    <w:rsid w:val="008C6EEE"/>
    <w:rsid w:val="008D4367"/>
    <w:rsid w:val="008E1EFA"/>
    <w:rsid w:val="008F16EE"/>
    <w:rsid w:val="00902917"/>
    <w:rsid w:val="009160F0"/>
    <w:rsid w:val="0091783F"/>
    <w:rsid w:val="0094115F"/>
    <w:rsid w:val="009421D2"/>
    <w:rsid w:val="0094514C"/>
    <w:rsid w:val="00946A59"/>
    <w:rsid w:val="009471C3"/>
    <w:rsid w:val="0095097A"/>
    <w:rsid w:val="009527A7"/>
    <w:rsid w:val="009557AC"/>
    <w:rsid w:val="00956999"/>
    <w:rsid w:val="009619B4"/>
    <w:rsid w:val="00964DCD"/>
    <w:rsid w:val="00973905"/>
    <w:rsid w:val="0097415C"/>
    <w:rsid w:val="00984ACE"/>
    <w:rsid w:val="009A4624"/>
    <w:rsid w:val="009A7AB9"/>
    <w:rsid w:val="009B2C7D"/>
    <w:rsid w:val="009B4813"/>
    <w:rsid w:val="009C2EBF"/>
    <w:rsid w:val="009C3827"/>
    <w:rsid w:val="009D3197"/>
    <w:rsid w:val="009E1C45"/>
    <w:rsid w:val="009E1F3F"/>
    <w:rsid w:val="009F72E5"/>
    <w:rsid w:val="009F7630"/>
    <w:rsid w:val="00A0455D"/>
    <w:rsid w:val="00A10F16"/>
    <w:rsid w:val="00A2168A"/>
    <w:rsid w:val="00A345A4"/>
    <w:rsid w:val="00A54282"/>
    <w:rsid w:val="00A55773"/>
    <w:rsid w:val="00A60B4D"/>
    <w:rsid w:val="00A81BA2"/>
    <w:rsid w:val="00AA62DE"/>
    <w:rsid w:val="00AB656D"/>
    <w:rsid w:val="00AB7307"/>
    <w:rsid w:val="00AC370A"/>
    <w:rsid w:val="00AF095D"/>
    <w:rsid w:val="00AF57C9"/>
    <w:rsid w:val="00AF62CD"/>
    <w:rsid w:val="00B0337F"/>
    <w:rsid w:val="00B128C8"/>
    <w:rsid w:val="00B169A7"/>
    <w:rsid w:val="00B348A8"/>
    <w:rsid w:val="00B51022"/>
    <w:rsid w:val="00B619F8"/>
    <w:rsid w:val="00B6242B"/>
    <w:rsid w:val="00B71EBE"/>
    <w:rsid w:val="00B82840"/>
    <w:rsid w:val="00B96CEB"/>
    <w:rsid w:val="00BA572C"/>
    <w:rsid w:val="00BA7CA7"/>
    <w:rsid w:val="00BF0316"/>
    <w:rsid w:val="00C03AFB"/>
    <w:rsid w:val="00C35830"/>
    <w:rsid w:val="00C4059E"/>
    <w:rsid w:val="00C474E4"/>
    <w:rsid w:val="00C61B8F"/>
    <w:rsid w:val="00C644A7"/>
    <w:rsid w:val="00C771B3"/>
    <w:rsid w:val="00C803DA"/>
    <w:rsid w:val="00C82CA3"/>
    <w:rsid w:val="00CB10B2"/>
    <w:rsid w:val="00CB3DBA"/>
    <w:rsid w:val="00CC4504"/>
    <w:rsid w:val="00CC4FF5"/>
    <w:rsid w:val="00CC517F"/>
    <w:rsid w:val="00CD0083"/>
    <w:rsid w:val="00CE1A2B"/>
    <w:rsid w:val="00CE6F1B"/>
    <w:rsid w:val="00CE7185"/>
    <w:rsid w:val="00CF0A52"/>
    <w:rsid w:val="00CF5160"/>
    <w:rsid w:val="00D00272"/>
    <w:rsid w:val="00D01624"/>
    <w:rsid w:val="00D11449"/>
    <w:rsid w:val="00D14B5F"/>
    <w:rsid w:val="00D17D0A"/>
    <w:rsid w:val="00D20C6C"/>
    <w:rsid w:val="00D23489"/>
    <w:rsid w:val="00D3381E"/>
    <w:rsid w:val="00D36173"/>
    <w:rsid w:val="00D41219"/>
    <w:rsid w:val="00D524EE"/>
    <w:rsid w:val="00D666BC"/>
    <w:rsid w:val="00D678E3"/>
    <w:rsid w:val="00D826D7"/>
    <w:rsid w:val="00D86F52"/>
    <w:rsid w:val="00DB0580"/>
    <w:rsid w:val="00DD15FE"/>
    <w:rsid w:val="00DE13A1"/>
    <w:rsid w:val="00DE2065"/>
    <w:rsid w:val="00DE20E0"/>
    <w:rsid w:val="00DE5904"/>
    <w:rsid w:val="00DE6773"/>
    <w:rsid w:val="00DF2E83"/>
    <w:rsid w:val="00DF43D8"/>
    <w:rsid w:val="00E04E74"/>
    <w:rsid w:val="00E11187"/>
    <w:rsid w:val="00E17B11"/>
    <w:rsid w:val="00E34083"/>
    <w:rsid w:val="00E365F2"/>
    <w:rsid w:val="00E503CC"/>
    <w:rsid w:val="00E5794A"/>
    <w:rsid w:val="00E60E90"/>
    <w:rsid w:val="00E83029"/>
    <w:rsid w:val="00E9293D"/>
    <w:rsid w:val="00E92A8B"/>
    <w:rsid w:val="00E97D8C"/>
    <w:rsid w:val="00EA3654"/>
    <w:rsid w:val="00EA36FC"/>
    <w:rsid w:val="00EB5768"/>
    <w:rsid w:val="00EB656D"/>
    <w:rsid w:val="00EB6777"/>
    <w:rsid w:val="00EC3DDF"/>
    <w:rsid w:val="00ED0D2B"/>
    <w:rsid w:val="00ED12A9"/>
    <w:rsid w:val="00EE5DE1"/>
    <w:rsid w:val="00EE6568"/>
    <w:rsid w:val="00F01B58"/>
    <w:rsid w:val="00F11FE4"/>
    <w:rsid w:val="00F132AE"/>
    <w:rsid w:val="00F2583E"/>
    <w:rsid w:val="00F32E83"/>
    <w:rsid w:val="00F823EA"/>
    <w:rsid w:val="00F95E5A"/>
    <w:rsid w:val="00F975EB"/>
    <w:rsid w:val="00F97EF1"/>
    <w:rsid w:val="00FA278B"/>
    <w:rsid w:val="00FA354D"/>
    <w:rsid w:val="00FA3B89"/>
    <w:rsid w:val="00FD29E0"/>
    <w:rsid w:val="00FE0E90"/>
    <w:rsid w:val="00FE32CC"/>
    <w:rsid w:val="00FE7CCF"/>
    <w:rsid w:val="00FF60EC"/>
    <w:rsid w:val="00FF6368"/>
    <w:rsid w:val="01671BDD"/>
    <w:rsid w:val="01861103"/>
    <w:rsid w:val="019127B6"/>
    <w:rsid w:val="01AC3A93"/>
    <w:rsid w:val="01CD2673"/>
    <w:rsid w:val="01EF572E"/>
    <w:rsid w:val="020411DA"/>
    <w:rsid w:val="02176B4D"/>
    <w:rsid w:val="0288005D"/>
    <w:rsid w:val="02C06A14"/>
    <w:rsid w:val="02C646E1"/>
    <w:rsid w:val="02E50AFF"/>
    <w:rsid w:val="02F05C02"/>
    <w:rsid w:val="0313418A"/>
    <w:rsid w:val="03183089"/>
    <w:rsid w:val="033409AD"/>
    <w:rsid w:val="036543A8"/>
    <w:rsid w:val="03713379"/>
    <w:rsid w:val="03A26EFC"/>
    <w:rsid w:val="03C54F15"/>
    <w:rsid w:val="03CA6850"/>
    <w:rsid w:val="044C3E08"/>
    <w:rsid w:val="048760F2"/>
    <w:rsid w:val="04AB0032"/>
    <w:rsid w:val="04D1736D"/>
    <w:rsid w:val="0548762F"/>
    <w:rsid w:val="056335EC"/>
    <w:rsid w:val="058E403A"/>
    <w:rsid w:val="05A96FBC"/>
    <w:rsid w:val="067A6028"/>
    <w:rsid w:val="069027A8"/>
    <w:rsid w:val="06A07F66"/>
    <w:rsid w:val="06BE4E5C"/>
    <w:rsid w:val="06C16A1F"/>
    <w:rsid w:val="06EB090E"/>
    <w:rsid w:val="070F6488"/>
    <w:rsid w:val="072E0AA7"/>
    <w:rsid w:val="07493DE4"/>
    <w:rsid w:val="076646E5"/>
    <w:rsid w:val="07944DAE"/>
    <w:rsid w:val="07DA39BA"/>
    <w:rsid w:val="07FD6DF7"/>
    <w:rsid w:val="082731AE"/>
    <w:rsid w:val="089B644D"/>
    <w:rsid w:val="08AA6372"/>
    <w:rsid w:val="08DE27F5"/>
    <w:rsid w:val="0957140D"/>
    <w:rsid w:val="097430E9"/>
    <w:rsid w:val="09813405"/>
    <w:rsid w:val="098466E2"/>
    <w:rsid w:val="099A2423"/>
    <w:rsid w:val="09C63CB7"/>
    <w:rsid w:val="0A1A2AD5"/>
    <w:rsid w:val="0A2F7010"/>
    <w:rsid w:val="0A3B59B5"/>
    <w:rsid w:val="0A603A28"/>
    <w:rsid w:val="0A7E3AF3"/>
    <w:rsid w:val="0B2E6C33"/>
    <w:rsid w:val="0B471443"/>
    <w:rsid w:val="0B582596"/>
    <w:rsid w:val="0B776EC0"/>
    <w:rsid w:val="0BD22464"/>
    <w:rsid w:val="0C022D96"/>
    <w:rsid w:val="0C0F6191"/>
    <w:rsid w:val="0C210BDA"/>
    <w:rsid w:val="0C22507E"/>
    <w:rsid w:val="0C234952"/>
    <w:rsid w:val="0C3A380A"/>
    <w:rsid w:val="0C97247A"/>
    <w:rsid w:val="0CE40340"/>
    <w:rsid w:val="0D1D3A97"/>
    <w:rsid w:val="0D7F0935"/>
    <w:rsid w:val="0D906017"/>
    <w:rsid w:val="0DB3098E"/>
    <w:rsid w:val="0DC46BAD"/>
    <w:rsid w:val="0E2A7A0B"/>
    <w:rsid w:val="0E4868F2"/>
    <w:rsid w:val="0EC56195"/>
    <w:rsid w:val="0ED334BB"/>
    <w:rsid w:val="0EED77D1"/>
    <w:rsid w:val="0EFE5F92"/>
    <w:rsid w:val="0F2509E1"/>
    <w:rsid w:val="0FA364D6"/>
    <w:rsid w:val="0FFC5BE6"/>
    <w:rsid w:val="10374E70"/>
    <w:rsid w:val="1042584C"/>
    <w:rsid w:val="10C76C75"/>
    <w:rsid w:val="10EC7A09"/>
    <w:rsid w:val="118C7F17"/>
    <w:rsid w:val="11A83289"/>
    <w:rsid w:val="11BA18B5"/>
    <w:rsid w:val="12AB25F0"/>
    <w:rsid w:val="12C66037"/>
    <w:rsid w:val="12D71EE1"/>
    <w:rsid w:val="13024677"/>
    <w:rsid w:val="132316DC"/>
    <w:rsid w:val="13257202"/>
    <w:rsid w:val="146A26EA"/>
    <w:rsid w:val="14972381"/>
    <w:rsid w:val="14DB226E"/>
    <w:rsid w:val="15E50181"/>
    <w:rsid w:val="15F1786F"/>
    <w:rsid w:val="161C45A6"/>
    <w:rsid w:val="163E20B5"/>
    <w:rsid w:val="167909DF"/>
    <w:rsid w:val="16790A4B"/>
    <w:rsid w:val="16A62BCA"/>
    <w:rsid w:val="16B57185"/>
    <w:rsid w:val="16D72F09"/>
    <w:rsid w:val="16D73651"/>
    <w:rsid w:val="17201A96"/>
    <w:rsid w:val="175943AB"/>
    <w:rsid w:val="177B5642"/>
    <w:rsid w:val="17F9727B"/>
    <w:rsid w:val="183121A5"/>
    <w:rsid w:val="183D4FEE"/>
    <w:rsid w:val="186E51A7"/>
    <w:rsid w:val="187973A6"/>
    <w:rsid w:val="189E6FE8"/>
    <w:rsid w:val="18D62220"/>
    <w:rsid w:val="190A1374"/>
    <w:rsid w:val="1911314F"/>
    <w:rsid w:val="192341E3"/>
    <w:rsid w:val="19264D41"/>
    <w:rsid w:val="1930452B"/>
    <w:rsid w:val="195E521C"/>
    <w:rsid w:val="198B71A1"/>
    <w:rsid w:val="19B228EF"/>
    <w:rsid w:val="19B72B7E"/>
    <w:rsid w:val="19BE5CBA"/>
    <w:rsid w:val="19DD5162"/>
    <w:rsid w:val="19F65454"/>
    <w:rsid w:val="1A9E7E47"/>
    <w:rsid w:val="1AAC4E51"/>
    <w:rsid w:val="1B106CD9"/>
    <w:rsid w:val="1B1E744F"/>
    <w:rsid w:val="1B477CB6"/>
    <w:rsid w:val="1B513369"/>
    <w:rsid w:val="1B5543FC"/>
    <w:rsid w:val="1B9273FE"/>
    <w:rsid w:val="1D022362"/>
    <w:rsid w:val="1D156539"/>
    <w:rsid w:val="1D2E3157"/>
    <w:rsid w:val="1D683EAA"/>
    <w:rsid w:val="1D743E4F"/>
    <w:rsid w:val="1DC43CB7"/>
    <w:rsid w:val="1DE62972"/>
    <w:rsid w:val="1DED3012"/>
    <w:rsid w:val="1E002D45"/>
    <w:rsid w:val="1E332A67"/>
    <w:rsid w:val="1E58312C"/>
    <w:rsid w:val="1E5B2F38"/>
    <w:rsid w:val="1E74728F"/>
    <w:rsid w:val="1EAB2010"/>
    <w:rsid w:val="1EC370BA"/>
    <w:rsid w:val="1ED32208"/>
    <w:rsid w:val="1EDD4E34"/>
    <w:rsid w:val="1EDE3955"/>
    <w:rsid w:val="1EDF4DDA"/>
    <w:rsid w:val="1F117C31"/>
    <w:rsid w:val="1F240CB5"/>
    <w:rsid w:val="1F647304"/>
    <w:rsid w:val="1FF163B0"/>
    <w:rsid w:val="200079AC"/>
    <w:rsid w:val="206D0602"/>
    <w:rsid w:val="20757BCC"/>
    <w:rsid w:val="208D0D40"/>
    <w:rsid w:val="20C60C0C"/>
    <w:rsid w:val="21290E85"/>
    <w:rsid w:val="212A1E87"/>
    <w:rsid w:val="218C669E"/>
    <w:rsid w:val="21C916A0"/>
    <w:rsid w:val="221F7512"/>
    <w:rsid w:val="22421D13"/>
    <w:rsid w:val="22430342"/>
    <w:rsid w:val="22601146"/>
    <w:rsid w:val="226F2247"/>
    <w:rsid w:val="22A5210D"/>
    <w:rsid w:val="22BD518D"/>
    <w:rsid w:val="230518A8"/>
    <w:rsid w:val="23F95523"/>
    <w:rsid w:val="2418246B"/>
    <w:rsid w:val="24407927"/>
    <w:rsid w:val="248511A6"/>
    <w:rsid w:val="252B0DDC"/>
    <w:rsid w:val="25495126"/>
    <w:rsid w:val="2584425C"/>
    <w:rsid w:val="25B931E9"/>
    <w:rsid w:val="25CE54D7"/>
    <w:rsid w:val="25F4209D"/>
    <w:rsid w:val="265579A6"/>
    <w:rsid w:val="267A7ED7"/>
    <w:rsid w:val="267B565F"/>
    <w:rsid w:val="26BE72FA"/>
    <w:rsid w:val="26CB02AF"/>
    <w:rsid w:val="26FE5E6C"/>
    <w:rsid w:val="27DA63B5"/>
    <w:rsid w:val="27E234BC"/>
    <w:rsid w:val="27EE6A79"/>
    <w:rsid w:val="28020B08"/>
    <w:rsid w:val="2828673B"/>
    <w:rsid w:val="28F31C90"/>
    <w:rsid w:val="291678C1"/>
    <w:rsid w:val="29415831"/>
    <w:rsid w:val="295B01BA"/>
    <w:rsid w:val="29804E7F"/>
    <w:rsid w:val="299A22A0"/>
    <w:rsid w:val="299B130F"/>
    <w:rsid w:val="29A22F02"/>
    <w:rsid w:val="29D357B2"/>
    <w:rsid w:val="29F545C8"/>
    <w:rsid w:val="2A6B66A5"/>
    <w:rsid w:val="2A795C0F"/>
    <w:rsid w:val="2A7F18AC"/>
    <w:rsid w:val="2A8962DA"/>
    <w:rsid w:val="2A9E289C"/>
    <w:rsid w:val="2AD4533E"/>
    <w:rsid w:val="2B5E72FD"/>
    <w:rsid w:val="2B6A1B7F"/>
    <w:rsid w:val="2B7D1E25"/>
    <w:rsid w:val="2B82123D"/>
    <w:rsid w:val="2BE124D6"/>
    <w:rsid w:val="2C245EB1"/>
    <w:rsid w:val="2C2D2A07"/>
    <w:rsid w:val="2C532DA0"/>
    <w:rsid w:val="2C57797E"/>
    <w:rsid w:val="2CA86A82"/>
    <w:rsid w:val="2CB371D5"/>
    <w:rsid w:val="2CBC42DB"/>
    <w:rsid w:val="2CE077B3"/>
    <w:rsid w:val="2D0D5D1F"/>
    <w:rsid w:val="2D12214D"/>
    <w:rsid w:val="2D5E2035"/>
    <w:rsid w:val="2D864873"/>
    <w:rsid w:val="2DA96B06"/>
    <w:rsid w:val="2E051E23"/>
    <w:rsid w:val="2E661E7F"/>
    <w:rsid w:val="2ED008F1"/>
    <w:rsid w:val="2EE1627B"/>
    <w:rsid w:val="2EF94857"/>
    <w:rsid w:val="2F221578"/>
    <w:rsid w:val="2F3276C7"/>
    <w:rsid w:val="2F656EAC"/>
    <w:rsid w:val="2F875DDB"/>
    <w:rsid w:val="30007685"/>
    <w:rsid w:val="300F4902"/>
    <w:rsid w:val="303A64D0"/>
    <w:rsid w:val="30427C69"/>
    <w:rsid w:val="30A0509E"/>
    <w:rsid w:val="30D065A7"/>
    <w:rsid w:val="311B06F3"/>
    <w:rsid w:val="31480833"/>
    <w:rsid w:val="317909ED"/>
    <w:rsid w:val="31D10739"/>
    <w:rsid w:val="31E5110E"/>
    <w:rsid w:val="31FA476A"/>
    <w:rsid w:val="32101599"/>
    <w:rsid w:val="3240775C"/>
    <w:rsid w:val="327259BC"/>
    <w:rsid w:val="32827D75"/>
    <w:rsid w:val="32C510AF"/>
    <w:rsid w:val="32D103B5"/>
    <w:rsid w:val="32D911D9"/>
    <w:rsid w:val="33207934"/>
    <w:rsid w:val="3328400E"/>
    <w:rsid w:val="339B7340"/>
    <w:rsid w:val="33B273BE"/>
    <w:rsid w:val="33D60378"/>
    <w:rsid w:val="33EB1F16"/>
    <w:rsid w:val="34024CC3"/>
    <w:rsid w:val="346F257B"/>
    <w:rsid w:val="34967B08"/>
    <w:rsid w:val="349A316D"/>
    <w:rsid w:val="34B57D75"/>
    <w:rsid w:val="34B63D06"/>
    <w:rsid w:val="34F95019"/>
    <w:rsid w:val="35123632"/>
    <w:rsid w:val="35132F06"/>
    <w:rsid w:val="35192EC2"/>
    <w:rsid w:val="35306BDB"/>
    <w:rsid w:val="354E3F3E"/>
    <w:rsid w:val="359B22B4"/>
    <w:rsid w:val="35B20971"/>
    <w:rsid w:val="35E11256"/>
    <w:rsid w:val="35FF348B"/>
    <w:rsid w:val="36015455"/>
    <w:rsid w:val="363E00C4"/>
    <w:rsid w:val="369B31B3"/>
    <w:rsid w:val="36C95F72"/>
    <w:rsid w:val="371F5B92"/>
    <w:rsid w:val="375717D0"/>
    <w:rsid w:val="37692CB0"/>
    <w:rsid w:val="377E2B92"/>
    <w:rsid w:val="37F44BF3"/>
    <w:rsid w:val="38FD49CD"/>
    <w:rsid w:val="39363AEB"/>
    <w:rsid w:val="397330FD"/>
    <w:rsid w:val="39827A59"/>
    <w:rsid w:val="39932267"/>
    <w:rsid w:val="399D4784"/>
    <w:rsid w:val="399F2FBB"/>
    <w:rsid w:val="39B20F40"/>
    <w:rsid w:val="39ED7FCB"/>
    <w:rsid w:val="39F647B9"/>
    <w:rsid w:val="3A592AFB"/>
    <w:rsid w:val="3A811F62"/>
    <w:rsid w:val="3A841EE9"/>
    <w:rsid w:val="3A8D375B"/>
    <w:rsid w:val="3A9F1A72"/>
    <w:rsid w:val="3AC82A1D"/>
    <w:rsid w:val="3ACE216B"/>
    <w:rsid w:val="3AE72E6B"/>
    <w:rsid w:val="3B33742C"/>
    <w:rsid w:val="3B64626A"/>
    <w:rsid w:val="3B7346FF"/>
    <w:rsid w:val="3B7D1841"/>
    <w:rsid w:val="3BA50630"/>
    <w:rsid w:val="3BD333EF"/>
    <w:rsid w:val="3BE60A52"/>
    <w:rsid w:val="3BF740BD"/>
    <w:rsid w:val="3BF75330"/>
    <w:rsid w:val="3C1001A0"/>
    <w:rsid w:val="3C587148"/>
    <w:rsid w:val="3C62791F"/>
    <w:rsid w:val="3C965237"/>
    <w:rsid w:val="3CFB44C3"/>
    <w:rsid w:val="3D01676D"/>
    <w:rsid w:val="3D121CF5"/>
    <w:rsid w:val="3D2A5291"/>
    <w:rsid w:val="3D6A7D83"/>
    <w:rsid w:val="3D8449A1"/>
    <w:rsid w:val="3D8A2CB0"/>
    <w:rsid w:val="3D8F7591"/>
    <w:rsid w:val="3DE6565C"/>
    <w:rsid w:val="3E272EE8"/>
    <w:rsid w:val="3E344619"/>
    <w:rsid w:val="3E534E03"/>
    <w:rsid w:val="3E864749"/>
    <w:rsid w:val="3E917C19"/>
    <w:rsid w:val="3EBE2135"/>
    <w:rsid w:val="3ED656D0"/>
    <w:rsid w:val="3F12422F"/>
    <w:rsid w:val="3F1F4BA2"/>
    <w:rsid w:val="3F383632"/>
    <w:rsid w:val="3F44662B"/>
    <w:rsid w:val="3F453306"/>
    <w:rsid w:val="3F740A45"/>
    <w:rsid w:val="3FAF58B0"/>
    <w:rsid w:val="3FC7326B"/>
    <w:rsid w:val="3FFF47B3"/>
    <w:rsid w:val="400E7546"/>
    <w:rsid w:val="40183119"/>
    <w:rsid w:val="4052477A"/>
    <w:rsid w:val="4052753A"/>
    <w:rsid w:val="40B30B18"/>
    <w:rsid w:val="40D35977"/>
    <w:rsid w:val="413E130B"/>
    <w:rsid w:val="41B7665D"/>
    <w:rsid w:val="422514B1"/>
    <w:rsid w:val="426E79CE"/>
    <w:rsid w:val="42DE4B54"/>
    <w:rsid w:val="43422F5A"/>
    <w:rsid w:val="439416B6"/>
    <w:rsid w:val="4394233B"/>
    <w:rsid w:val="43B35A16"/>
    <w:rsid w:val="441308E0"/>
    <w:rsid w:val="45B7128B"/>
    <w:rsid w:val="45C970A0"/>
    <w:rsid w:val="45EA198E"/>
    <w:rsid w:val="461E51EB"/>
    <w:rsid w:val="467D28D5"/>
    <w:rsid w:val="46902609"/>
    <w:rsid w:val="46B35164"/>
    <w:rsid w:val="46C430DC"/>
    <w:rsid w:val="46D1677D"/>
    <w:rsid w:val="474F6361"/>
    <w:rsid w:val="475F022D"/>
    <w:rsid w:val="47704B50"/>
    <w:rsid w:val="485F6737"/>
    <w:rsid w:val="489143E3"/>
    <w:rsid w:val="48967C7F"/>
    <w:rsid w:val="48A27B87"/>
    <w:rsid w:val="48BC3499"/>
    <w:rsid w:val="493F20C4"/>
    <w:rsid w:val="49A3337A"/>
    <w:rsid w:val="49BE0F52"/>
    <w:rsid w:val="4A0A0193"/>
    <w:rsid w:val="4A3D4856"/>
    <w:rsid w:val="4A563B69"/>
    <w:rsid w:val="4A875AD1"/>
    <w:rsid w:val="4A9D48C2"/>
    <w:rsid w:val="4ABB15CA"/>
    <w:rsid w:val="4ADB18EB"/>
    <w:rsid w:val="4B0E1D4E"/>
    <w:rsid w:val="4BCC5D64"/>
    <w:rsid w:val="4BD50ABE"/>
    <w:rsid w:val="4BE40D01"/>
    <w:rsid w:val="4C363892"/>
    <w:rsid w:val="4C4023DB"/>
    <w:rsid w:val="4C632900"/>
    <w:rsid w:val="4C787DC7"/>
    <w:rsid w:val="4CA30BBC"/>
    <w:rsid w:val="4CB041A4"/>
    <w:rsid w:val="4D106251"/>
    <w:rsid w:val="4D1D271C"/>
    <w:rsid w:val="4D3073ED"/>
    <w:rsid w:val="4D824567"/>
    <w:rsid w:val="4D9F6B46"/>
    <w:rsid w:val="4DA22C22"/>
    <w:rsid w:val="4DC25072"/>
    <w:rsid w:val="4DDA284D"/>
    <w:rsid w:val="4DF8562D"/>
    <w:rsid w:val="4E600F7F"/>
    <w:rsid w:val="4E6A173F"/>
    <w:rsid w:val="4E946A0E"/>
    <w:rsid w:val="4ECB579F"/>
    <w:rsid w:val="4ED32A15"/>
    <w:rsid w:val="4EFE20DA"/>
    <w:rsid w:val="4F136BAF"/>
    <w:rsid w:val="4F5C39D0"/>
    <w:rsid w:val="4F786330"/>
    <w:rsid w:val="4FA9337C"/>
    <w:rsid w:val="501F67AB"/>
    <w:rsid w:val="50852AB2"/>
    <w:rsid w:val="50B9275C"/>
    <w:rsid w:val="50D47596"/>
    <w:rsid w:val="50F15594"/>
    <w:rsid w:val="51000915"/>
    <w:rsid w:val="51025EB1"/>
    <w:rsid w:val="51A451BA"/>
    <w:rsid w:val="51A93D45"/>
    <w:rsid w:val="51D860AE"/>
    <w:rsid w:val="51EB11A7"/>
    <w:rsid w:val="5245699D"/>
    <w:rsid w:val="527A416D"/>
    <w:rsid w:val="52B15DE1"/>
    <w:rsid w:val="52C00AB5"/>
    <w:rsid w:val="52CD6993"/>
    <w:rsid w:val="52D32C59"/>
    <w:rsid w:val="52D33227"/>
    <w:rsid w:val="52D7336D"/>
    <w:rsid w:val="52ED493F"/>
    <w:rsid w:val="53516268"/>
    <w:rsid w:val="53640E6B"/>
    <w:rsid w:val="53BA6F17"/>
    <w:rsid w:val="53C94501"/>
    <w:rsid w:val="54942314"/>
    <w:rsid w:val="54A315F0"/>
    <w:rsid w:val="551F080C"/>
    <w:rsid w:val="557D01FC"/>
    <w:rsid w:val="558649E9"/>
    <w:rsid w:val="559B757A"/>
    <w:rsid w:val="55B21658"/>
    <w:rsid w:val="560222CE"/>
    <w:rsid w:val="560A3E85"/>
    <w:rsid w:val="561E35DE"/>
    <w:rsid w:val="56423283"/>
    <w:rsid w:val="56C47F55"/>
    <w:rsid w:val="56DD1E56"/>
    <w:rsid w:val="56EF16B7"/>
    <w:rsid w:val="57127095"/>
    <w:rsid w:val="571B5E1C"/>
    <w:rsid w:val="57211FE5"/>
    <w:rsid w:val="572253C2"/>
    <w:rsid w:val="57DB56AE"/>
    <w:rsid w:val="57E75E01"/>
    <w:rsid w:val="582B597E"/>
    <w:rsid w:val="586B76C2"/>
    <w:rsid w:val="587F428B"/>
    <w:rsid w:val="588A18E5"/>
    <w:rsid w:val="589A10C5"/>
    <w:rsid w:val="58A255C2"/>
    <w:rsid w:val="59154BEF"/>
    <w:rsid w:val="591D1B7F"/>
    <w:rsid w:val="592C090B"/>
    <w:rsid w:val="594B1686"/>
    <w:rsid w:val="59B57AB7"/>
    <w:rsid w:val="59D318A6"/>
    <w:rsid w:val="5A113609"/>
    <w:rsid w:val="5A124512"/>
    <w:rsid w:val="5A3D61AC"/>
    <w:rsid w:val="5AD61C4C"/>
    <w:rsid w:val="5B063489"/>
    <w:rsid w:val="5B196FF7"/>
    <w:rsid w:val="5B1B393B"/>
    <w:rsid w:val="5B2630E4"/>
    <w:rsid w:val="5B48305A"/>
    <w:rsid w:val="5B7A6F8C"/>
    <w:rsid w:val="5B852845"/>
    <w:rsid w:val="5B8D3163"/>
    <w:rsid w:val="5BCB45A3"/>
    <w:rsid w:val="5C084598"/>
    <w:rsid w:val="5C2A6C04"/>
    <w:rsid w:val="5C2D0A9F"/>
    <w:rsid w:val="5C78171D"/>
    <w:rsid w:val="5C986C68"/>
    <w:rsid w:val="5CCB4C52"/>
    <w:rsid w:val="5CD235A2"/>
    <w:rsid w:val="5D1256CE"/>
    <w:rsid w:val="5EB629D1"/>
    <w:rsid w:val="5ED43404"/>
    <w:rsid w:val="5F04373C"/>
    <w:rsid w:val="5F28567D"/>
    <w:rsid w:val="5F5A15AE"/>
    <w:rsid w:val="5F7563E8"/>
    <w:rsid w:val="6025390F"/>
    <w:rsid w:val="602A730A"/>
    <w:rsid w:val="604A0FC0"/>
    <w:rsid w:val="605F3B00"/>
    <w:rsid w:val="6062071A"/>
    <w:rsid w:val="609E54CA"/>
    <w:rsid w:val="60B60A66"/>
    <w:rsid w:val="60FF065F"/>
    <w:rsid w:val="614348BF"/>
    <w:rsid w:val="61E909C7"/>
    <w:rsid w:val="628F77C1"/>
    <w:rsid w:val="629372B1"/>
    <w:rsid w:val="631906FD"/>
    <w:rsid w:val="638D7E1B"/>
    <w:rsid w:val="63E33020"/>
    <w:rsid w:val="63F313D6"/>
    <w:rsid w:val="641F4B74"/>
    <w:rsid w:val="64300B2F"/>
    <w:rsid w:val="644A7E43"/>
    <w:rsid w:val="644B29EB"/>
    <w:rsid w:val="64C21A65"/>
    <w:rsid w:val="64D2036D"/>
    <w:rsid w:val="6503311C"/>
    <w:rsid w:val="651641C9"/>
    <w:rsid w:val="656D7047"/>
    <w:rsid w:val="65943DCC"/>
    <w:rsid w:val="6645502F"/>
    <w:rsid w:val="66592A75"/>
    <w:rsid w:val="66B33C62"/>
    <w:rsid w:val="66CB34B0"/>
    <w:rsid w:val="66CE552F"/>
    <w:rsid w:val="66F978FF"/>
    <w:rsid w:val="67005A4F"/>
    <w:rsid w:val="67010C05"/>
    <w:rsid w:val="674F1B70"/>
    <w:rsid w:val="67607CDE"/>
    <w:rsid w:val="67795450"/>
    <w:rsid w:val="67987117"/>
    <w:rsid w:val="67C33BC0"/>
    <w:rsid w:val="67FA392E"/>
    <w:rsid w:val="6874548F"/>
    <w:rsid w:val="687F5F93"/>
    <w:rsid w:val="68B95597"/>
    <w:rsid w:val="69054339"/>
    <w:rsid w:val="6914022D"/>
    <w:rsid w:val="696C260A"/>
    <w:rsid w:val="699851AD"/>
    <w:rsid w:val="699B2EEF"/>
    <w:rsid w:val="699D6C67"/>
    <w:rsid w:val="69B84EDC"/>
    <w:rsid w:val="6A0339D1"/>
    <w:rsid w:val="6A1177DD"/>
    <w:rsid w:val="6A2151A2"/>
    <w:rsid w:val="6ACC771E"/>
    <w:rsid w:val="6AE727FB"/>
    <w:rsid w:val="6B476A1E"/>
    <w:rsid w:val="6B4C44A1"/>
    <w:rsid w:val="6B54626E"/>
    <w:rsid w:val="6BAA7419"/>
    <w:rsid w:val="6BE248E5"/>
    <w:rsid w:val="6C021003"/>
    <w:rsid w:val="6C1F1BB5"/>
    <w:rsid w:val="6C540873"/>
    <w:rsid w:val="6C6F1216"/>
    <w:rsid w:val="6C9A56E0"/>
    <w:rsid w:val="6CA82785"/>
    <w:rsid w:val="6CB20E55"/>
    <w:rsid w:val="6CE85848"/>
    <w:rsid w:val="6D15191A"/>
    <w:rsid w:val="6D3A6CB4"/>
    <w:rsid w:val="6D6B4986"/>
    <w:rsid w:val="6DEA61F3"/>
    <w:rsid w:val="6DFC5FDF"/>
    <w:rsid w:val="6E0D2F46"/>
    <w:rsid w:val="6E3D6323"/>
    <w:rsid w:val="6E9E40AE"/>
    <w:rsid w:val="6EA27AB3"/>
    <w:rsid w:val="6EA97E5C"/>
    <w:rsid w:val="6ECC5FE7"/>
    <w:rsid w:val="6EDB6140"/>
    <w:rsid w:val="6F824716"/>
    <w:rsid w:val="6F9E1043"/>
    <w:rsid w:val="6FB14B95"/>
    <w:rsid w:val="6FBB39A3"/>
    <w:rsid w:val="6FD42CB7"/>
    <w:rsid w:val="6FEF7AF1"/>
    <w:rsid w:val="70077DE7"/>
    <w:rsid w:val="70206657"/>
    <w:rsid w:val="7029485D"/>
    <w:rsid w:val="70B56644"/>
    <w:rsid w:val="710366B1"/>
    <w:rsid w:val="71CF1988"/>
    <w:rsid w:val="71D13952"/>
    <w:rsid w:val="722021E3"/>
    <w:rsid w:val="723C4321"/>
    <w:rsid w:val="72800ED4"/>
    <w:rsid w:val="72F316A6"/>
    <w:rsid w:val="73612223"/>
    <w:rsid w:val="738467A2"/>
    <w:rsid w:val="73890A15"/>
    <w:rsid w:val="73941822"/>
    <w:rsid w:val="739B7DBF"/>
    <w:rsid w:val="73A85115"/>
    <w:rsid w:val="73BA21C4"/>
    <w:rsid w:val="73C3551C"/>
    <w:rsid w:val="74303CED"/>
    <w:rsid w:val="745829FA"/>
    <w:rsid w:val="745E6FF3"/>
    <w:rsid w:val="74650381"/>
    <w:rsid w:val="74687C74"/>
    <w:rsid w:val="7478586B"/>
    <w:rsid w:val="74C72F0F"/>
    <w:rsid w:val="74F62301"/>
    <w:rsid w:val="7518696C"/>
    <w:rsid w:val="75457C9F"/>
    <w:rsid w:val="755747C3"/>
    <w:rsid w:val="758A0127"/>
    <w:rsid w:val="75B275F6"/>
    <w:rsid w:val="761422CC"/>
    <w:rsid w:val="76224CCF"/>
    <w:rsid w:val="762F6E99"/>
    <w:rsid w:val="76530DD9"/>
    <w:rsid w:val="770B16B4"/>
    <w:rsid w:val="770E4B54"/>
    <w:rsid w:val="772E7150"/>
    <w:rsid w:val="77A15B74"/>
    <w:rsid w:val="77A86F03"/>
    <w:rsid w:val="77F0668A"/>
    <w:rsid w:val="785045C8"/>
    <w:rsid w:val="789456D9"/>
    <w:rsid w:val="79020895"/>
    <w:rsid w:val="790243F1"/>
    <w:rsid w:val="790F4D60"/>
    <w:rsid w:val="79110AD8"/>
    <w:rsid w:val="791A1FD1"/>
    <w:rsid w:val="791A5BDE"/>
    <w:rsid w:val="79294073"/>
    <w:rsid w:val="79AE6381"/>
    <w:rsid w:val="7A577BDB"/>
    <w:rsid w:val="7AA535EF"/>
    <w:rsid w:val="7B4C4049"/>
    <w:rsid w:val="7B4C6C5F"/>
    <w:rsid w:val="7B590514"/>
    <w:rsid w:val="7B5F2B22"/>
    <w:rsid w:val="7B833D31"/>
    <w:rsid w:val="7BAC2D3A"/>
    <w:rsid w:val="7BC71BE8"/>
    <w:rsid w:val="7BCE7F00"/>
    <w:rsid w:val="7BEE3352"/>
    <w:rsid w:val="7C0E12FE"/>
    <w:rsid w:val="7C213CD7"/>
    <w:rsid w:val="7C2F624D"/>
    <w:rsid w:val="7C6A15B3"/>
    <w:rsid w:val="7C6F4335"/>
    <w:rsid w:val="7CFA01CB"/>
    <w:rsid w:val="7D2E5D91"/>
    <w:rsid w:val="7DA43CC8"/>
    <w:rsid w:val="7DA55C93"/>
    <w:rsid w:val="7DCD5C31"/>
    <w:rsid w:val="7E4D2CFE"/>
    <w:rsid w:val="7E741677"/>
    <w:rsid w:val="7E8D404B"/>
    <w:rsid w:val="7F46479C"/>
    <w:rsid w:val="7F6364A4"/>
    <w:rsid w:val="7FA75CF2"/>
    <w:rsid w:val="7FB7473A"/>
    <w:rsid w:val="7FF54C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qFormat/>
    <w:uiPriority w:val="0"/>
    <w:rPr>
      <w:color w:val="0000FF"/>
      <w:u w:val="single"/>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row_tree_level_3"/>
    <w:basedOn w:val="7"/>
    <w:qFormat/>
    <w:uiPriority w:val="0"/>
  </w:style>
  <w:style w:type="character" w:customStyle="1" w:styleId="12">
    <w:name w:val="row_tree_level_4"/>
    <w:basedOn w:val="7"/>
    <w:qFormat/>
    <w:uiPriority w:val="0"/>
  </w:style>
  <w:style w:type="paragraph" w:customStyle="1" w:styleId="13">
    <w:name w:val="p0"/>
    <w:basedOn w:val="1"/>
    <w:qFormat/>
    <w:uiPriority w:val="0"/>
    <w:pPr>
      <w:widowControl/>
    </w:pPr>
    <w:rPr>
      <w:rFonts w:ascii="Times New Roman" w:hAnsi="Times New Roman" w:eastAsia="宋体" w:cs="Times New Roman"/>
      <w:kern w:val="0"/>
      <w:szCs w:val="21"/>
    </w:rPr>
  </w:style>
  <w:style w:type="character" w:customStyle="1" w:styleId="14">
    <w:name w:val="15"/>
    <w:basedOn w:val="7"/>
    <w:qFormat/>
    <w:uiPriority w:val="0"/>
    <w:rPr>
      <w:rFonts w:hint="default" w:ascii="Times New Roman" w:hAnsi="Times New Roman" w:cs="Times New Roman"/>
      <w:sz w:val="20"/>
      <w:szCs w:val="20"/>
    </w:rPr>
  </w:style>
  <w:style w:type="character" w:customStyle="1" w:styleId="15">
    <w:name w:val="font01"/>
    <w:basedOn w:val="7"/>
    <w:qFormat/>
    <w:uiPriority w:val="0"/>
    <w:rPr>
      <w:rFonts w:hint="eastAsia" w:ascii="等线" w:hAnsi="等线" w:eastAsia="等线" w:cs="等线"/>
      <w:color w:val="000000"/>
      <w:sz w:val="22"/>
      <w:szCs w:val="22"/>
      <w:u w:val="none"/>
    </w:rPr>
  </w:style>
  <w:style w:type="paragraph" w:customStyle="1" w:styleId="16">
    <w:name w:val="标题 方正小标宋 二号 不加粗"/>
    <w:basedOn w:val="1"/>
    <w:qFormat/>
    <w:uiPriority w:val="0"/>
    <w:pPr>
      <w:spacing w:line="660" w:lineRule="exact"/>
      <w:ind w:firstLine="0" w:firstLineChars="0"/>
      <w:jc w:val="center"/>
    </w:pPr>
    <w:rPr>
      <w:rFonts w:hint="eastAsia" w:ascii="方正小标宋简体" w:hAnsi="方正小标宋简体" w:eastAsia="方正小标宋简体" w:cs="方正小标宋简体"/>
      <w:sz w:val="44"/>
      <w:szCs w:val="44"/>
    </w:rPr>
  </w:style>
  <w:style w:type="paragraph" w:customStyle="1" w:styleId="17">
    <w:name w:val="一级标题 黑体三号不加粗"/>
    <w:basedOn w:val="1"/>
    <w:next w:val="1"/>
    <w:qFormat/>
    <w:uiPriority w:val="0"/>
    <w:pPr>
      <w:keepNext/>
      <w:keepLines/>
      <w:numPr>
        <w:ilvl w:val="0"/>
        <w:numId w:val="1"/>
      </w:numPr>
      <w:spacing w:line="600" w:lineRule="exact"/>
      <w:ind w:firstLine="723" w:firstLineChars="200"/>
      <w:outlineLvl w:val="0"/>
    </w:pPr>
    <w:rPr>
      <w:rFonts w:ascii="黑体" w:hAnsi="黑体" w:eastAsia="黑体"/>
      <w:kern w:val="44"/>
      <w:sz w:val="32"/>
      <w:szCs w:val="32"/>
    </w:rPr>
  </w:style>
  <w:style w:type="paragraph" w:customStyle="1" w:styleId="18">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19">
    <w:name w:val="二级标题 楷体国标 三号不加粗"/>
    <w:basedOn w:val="1"/>
    <w:next w:val="1"/>
    <w:qFormat/>
    <w:uiPriority w:val="0"/>
    <w:pPr>
      <w:keepNext/>
      <w:keepLines/>
      <w:numPr>
        <w:ilvl w:val="0"/>
        <w:numId w:val="2"/>
      </w:numPr>
      <w:spacing w:beforeLines="0" w:afterLines="0" w:line="600" w:lineRule="exact"/>
      <w:ind w:firstLine="420" w:firstLineChars="200"/>
      <w:outlineLvl w:val="1"/>
    </w:pPr>
    <w:rPr>
      <w:rFonts w:ascii="楷体_GB2312" w:hAnsi="楷体_GB2312" w:eastAsia="楷体_GB2312"/>
      <w:b/>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2694</Words>
  <Characters>3766</Characters>
  <Lines>47</Lines>
  <Paragraphs>13</Paragraphs>
  <TotalTime>0</TotalTime>
  <ScaleCrop>false</ScaleCrop>
  <LinksUpToDate>false</LinksUpToDate>
  <CharactersWithSpaces>3838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2025-12-18T11:22:00Z</dcterms:created>
  <dc:creator>NTKO</dc:creator>
  <cp:lastModifiedBy>文文妈</cp:lastModifiedBy>
  <dcterms:modified xsi:type="dcterms:W3CDTF">2026-02-12T05:13:06Z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97DE4861186A498F85D2D6E5BA9C76BC_13</vt:lpwstr>
  </property>
  <property fmtid="{D5CDD505-2E9C-101B-9397-08002B2CF9AE}" pid="3" name="KSOProductBuildVer">
    <vt:lpwstr>2052-12.1.0.24657</vt:lpwstr>
  </property>
  <property fmtid="{D5CDD505-2E9C-101B-9397-08002B2CF9AE}" pid="4" name="KSOTemplateDocerSaveRecord">
    <vt:lpwstr>eyJoZGlkIjoiYzhmM2Y1N2M0ZTg1OWJlNjE0NDljOWU3ZDI5OTc0ZjEiLCJ1c2VySWQiOiI0NzA1NjE1OTgifQ==</vt:lpwstr>
  </property>
</Properties>
</file>