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E95442F">
      <w:pPr>
        <w:widowControl/>
        <w:spacing w:line="520" w:lineRule="atLeast"/>
        <w:rPr>
          <w:rFonts w:hint="eastAsia" w:ascii="宋体" w:hAnsi="宋体" w:eastAsia="宋体" w:cs="宋体"/>
          <w:b w:val="0"/>
          <w:bCs w:val="0"/>
          <w:color w:val="000000"/>
          <w:kern w:val="0"/>
          <w:sz w:val="21"/>
          <w:szCs w:val="21"/>
          <w:lang w:val="en-US" w:eastAsia="zh-CN"/>
        </w:rPr>
      </w:pPr>
    </w:p>
    <w:p w14:paraId="72EBB30D">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lang w:val="en-US" w:eastAsia="zh-CN"/>
        </w:rPr>
        <w:t>青云谱区商务局</w:t>
      </w:r>
      <w:r>
        <w:rPr>
          <w:rFonts w:hint="eastAsia" w:ascii="黑体" w:hAnsi="黑体" w:eastAsia="黑体" w:cs="Times New Roman"/>
          <w:b/>
          <w:bCs/>
          <w:color w:val="000000"/>
          <w:kern w:val="0"/>
          <w:sz w:val="44"/>
          <w:szCs w:val="44"/>
          <w:lang w:eastAsia="zh-CN"/>
        </w:rPr>
        <w:t>202</w:t>
      </w:r>
      <w:r>
        <w:rPr>
          <w:rFonts w:hint="eastAsia" w:ascii="黑体" w:hAnsi="黑体" w:eastAsia="黑体" w:cs="Times New Roman"/>
          <w:b/>
          <w:bCs/>
          <w:color w:val="000000"/>
          <w:kern w:val="0"/>
          <w:sz w:val="44"/>
          <w:szCs w:val="44"/>
          <w:lang w:val="en-US" w:eastAsia="zh-CN"/>
        </w:rPr>
        <w:t>5</w:t>
      </w:r>
      <w:r>
        <w:rPr>
          <w:rFonts w:hint="eastAsia" w:ascii="黑体" w:hAnsi="黑体" w:eastAsia="黑体" w:cs="Times New Roman"/>
          <w:b/>
          <w:bCs/>
          <w:color w:val="000000"/>
          <w:kern w:val="0"/>
          <w:sz w:val="44"/>
          <w:szCs w:val="44"/>
          <w:lang w:eastAsia="zh-CN"/>
        </w:rPr>
        <w:t>年</w:t>
      </w:r>
      <w:r>
        <w:rPr>
          <w:rFonts w:hint="eastAsia" w:ascii="黑体" w:hAnsi="黑体" w:eastAsia="黑体" w:cs="Times New Roman"/>
          <w:b/>
          <w:bCs/>
          <w:color w:val="000000"/>
          <w:kern w:val="0"/>
          <w:sz w:val="44"/>
          <w:szCs w:val="44"/>
        </w:rPr>
        <w:t>部门预算</w:t>
      </w:r>
    </w:p>
    <w:p w14:paraId="665CD081">
      <w:pPr>
        <w:pStyle w:val="17"/>
        <w:spacing w:line="600" w:lineRule="atLeast"/>
        <w:jc w:val="center"/>
        <w:rPr>
          <w:rFonts w:ascii="黑体" w:hAnsi="黑体" w:eastAsia="黑体"/>
          <w:color w:val="000000"/>
          <w:sz w:val="32"/>
          <w:szCs w:val="32"/>
        </w:rPr>
      </w:pPr>
    </w:p>
    <w:p w14:paraId="6AE45E77">
      <w:pPr>
        <w:pStyle w:val="17"/>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6359B267">
      <w:pPr>
        <w:pStyle w:val="17"/>
        <w:rPr>
          <w:rFonts w:ascii="宋体" w:hAnsi="宋体"/>
          <w:color w:val="000000"/>
        </w:rPr>
      </w:pPr>
    </w:p>
    <w:p w14:paraId="49FB0D0C">
      <w:pPr>
        <w:pStyle w:val="17"/>
        <w:tabs>
          <w:tab w:val="right" w:pos="8306"/>
        </w:tabs>
        <w:spacing w:line="600" w:lineRule="atLeast"/>
        <w:ind w:firstLine="64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w:t>
      </w:r>
      <w:r>
        <w:rPr>
          <w:rFonts w:hint="eastAsia" w:ascii="仿宋_GB2312" w:hAnsi="仿宋_GB2312" w:eastAsia="仿宋_GB2312" w:cs="仿宋_GB2312"/>
          <w:b/>
          <w:bCs/>
          <w:color w:val="000000"/>
          <w:sz w:val="32"/>
          <w:szCs w:val="32"/>
          <w:lang w:val="en-US" w:eastAsia="zh-CN"/>
        </w:rPr>
        <w:t>商务局</w:t>
      </w:r>
      <w:r>
        <w:rPr>
          <w:rFonts w:hint="eastAsia" w:ascii="仿宋_GB2312" w:hAnsi="仿宋_GB2312" w:eastAsia="仿宋_GB2312" w:cs="仿宋_GB2312"/>
          <w:b/>
          <w:bCs/>
          <w:color w:val="000000"/>
          <w:sz w:val="32"/>
          <w:szCs w:val="32"/>
        </w:rPr>
        <w:t>概况</w:t>
      </w:r>
      <w:r>
        <w:rPr>
          <w:rFonts w:hint="eastAsia" w:ascii="仿宋_GB2312" w:hAnsi="仿宋_GB2312" w:eastAsia="仿宋_GB2312" w:cs="仿宋_GB2312"/>
          <w:b/>
          <w:bCs/>
          <w:color w:val="000000"/>
          <w:sz w:val="32"/>
          <w:szCs w:val="32"/>
        </w:rPr>
        <w:tab/>
      </w:r>
    </w:p>
    <w:p w14:paraId="22758D3D">
      <w:pPr>
        <w:pStyle w:val="17"/>
        <w:spacing w:line="600" w:lineRule="atLeast"/>
        <w:ind w:firstLine="1120" w:firstLineChars="35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p>
    <w:p w14:paraId="27B9E6E3">
      <w:pPr>
        <w:pStyle w:val="17"/>
        <w:spacing w:line="600" w:lineRule="atLeast"/>
        <w:ind w:firstLine="1280" w:firstLineChars="400"/>
        <w:jc w:val="left"/>
        <w:rPr>
          <w:rFonts w:hint="eastAsia" w:ascii="仿宋_GB2312" w:hAnsi="仿宋_GB2312" w:eastAsia="仿宋_GB2312" w:cs="仿宋_GB2312"/>
          <w:kern w:val="2"/>
          <w:sz w:val="32"/>
          <w:szCs w:val="30"/>
          <w:lang w:val="en-US" w:eastAsia="zh-CN"/>
        </w:rPr>
      </w:pPr>
      <w:r>
        <w:rPr>
          <w:rFonts w:hint="eastAsia" w:ascii="仿宋_GB2312" w:hAnsi="仿宋_GB2312" w:eastAsia="仿宋_GB2312" w:cs="仿宋_GB2312"/>
          <w:kern w:val="2"/>
          <w:sz w:val="32"/>
          <w:szCs w:val="30"/>
          <w:lang w:val="en-US" w:eastAsia="zh-CN"/>
        </w:rPr>
        <w:t>二、部门2025年主要工作任务</w:t>
      </w:r>
    </w:p>
    <w:p w14:paraId="66A6D95F">
      <w:pPr>
        <w:pStyle w:val="17"/>
        <w:spacing w:line="600" w:lineRule="atLeast"/>
        <w:ind w:firstLine="1280" w:firstLineChars="40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lang w:val="en-US" w:eastAsia="zh-CN"/>
        </w:rPr>
        <w:t>三</w:t>
      </w:r>
      <w:r>
        <w:rPr>
          <w:rFonts w:hint="eastAsia" w:ascii="仿宋_GB2312" w:hAnsi="仿宋_GB2312" w:eastAsia="仿宋_GB2312" w:cs="仿宋_GB2312"/>
          <w:kern w:val="2"/>
          <w:sz w:val="32"/>
          <w:szCs w:val="30"/>
        </w:rPr>
        <w:t>、机构设置及人员情况</w:t>
      </w:r>
    </w:p>
    <w:p w14:paraId="125DC5A7">
      <w:pPr>
        <w:pStyle w:val="17"/>
        <w:spacing w:line="600" w:lineRule="atLeast"/>
        <w:ind w:firstLine="64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w:t>
      </w:r>
      <w:r>
        <w:rPr>
          <w:rFonts w:hint="eastAsia" w:ascii="仿宋_GB2312" w:hAnsi="仿宋_GB2312" w:eastAsia="仿宋_GB2312" w:cs="仿宋_GB2312"/>
          <w:b/>
          <w:bCs/>
          <w:color w:val="000000"/>
          <w:sz w:val="32"/>
          <w:szCs w:val="32"/>
          <w:lang w:val="en-US" w:eastAsia="zh-CN"/>
        </w:rPr>
        <w:t>二</w:t>
      </w:r>
      <w:r>
        <w:rPr>
          <w:rFonts w:hint="eastAsia" w:ascii="仿宋_GB2312" w:hAnsi="仿宋_GB2312" w:eastAsia="仿宋_GB2312" w:cs="仿宋_GB2312"/>
          <w:b/>
          <w:bCs/>
          <w:color w:val="000000"/>
          <w:sz w:val="32"/>
          <w:szCs w:val="32"/>
        </w:rPr>
        <w:t>部分  青云谱区</w:t>
      </w:r>
      <w:r>
        <w:rPr>
          <w:rFonts w:hint="eastAsia" w:ascii="仿宋_GB2312" w:hAnsi="仿宋_GB2312" w:eastAsia="仿宋_GB2312" w:cs="仿宋_GB2312"/>
          <w:b/>
          <w:bCs/>
          <w:color w:val="000000"/>
          <w:sz w:val="32"/>
          <w:szCs w:val="32"/>
          <w:lang w:val="en-US" w:eastAsia="zh-CN"/>
        </w:rPr>
        <w:t>商务局</w:t>
      </w:r>
      <w:r>
        <w:rPr>
          <w:rFonts w:hint="eastAsia" w:ascii="仿宋_GB2312" w:hAnsi="仿宋_GB2312" w:eastAsia="仿宋_GB2312" w:cs="仿宋_GB2312"/>
          <w:b/>
          <w:bCs/>
          <w:color w:val="000000"/>
          <w:sz w:val="32"/>
          <w:szCs w:val="32"/>
          <w:lang w:eastAsia="zh-CN"/>
        </w:rPr>
        <w:t>202</w:t>
      </w:r>
      <w:r>
        <w:rPr>
          <w:rFonts w:hint="eastAsia" w:ascii="仿宋_GB2312" w:hAnsi="仿宋_GB2312" w:eastAsia="仿宋_GB2312" w:cs="仿宋_GB2312"/>
          <w:b/>
          <w:bCs/>
          <w:color w:val="000000"/>
          <w:sz w:val="32"/>
          <w:szCs w:val="32"/>
          <w:lang w:val="en-US" w:eastAsia="zh-CN"/>
        </w:rPr>
        <w:t>5</w:t>
      </w:r>
      <w:r>
        <w:rPr>
          <w:rFonts w:hint="eastAsia" w:ascii="仿宋_GB2312" w:hAnsi="仿宋_GB2312" w:eastAsia="仿宋_GB2312" w:cs="仿宋_GB2312"/>
          <w:b/>
          <w:bCs/>
          <w:color w:val="000000"/>
          <w:sz w:val="32"/>
          <w:szCs w:val="32"/>
          <w:lang w:eastAsia="zh-CN"/>
        </w:rPr>
        <w:t>年</w:t>
      </w:r>
      <w:r>
        <w:rPr>
          <w:rFonts w:hint="eastAsia" w:ascii="仿宋_GB2312" w:hAnsi="仿宋_GB2312" w:eastAsia="仿宋_GB2312" w:cs="仿宋_GB2312"/>
          <w:b/>
          <w:bCs/>
          <w:color w:val="000000"/>
          <w:sz w:val="32"/>
          <w:szCs w:val="32"/>
        </w:rPr>
        <w:t>部门预算表</w:t>
      </w:r>
    </w:p>
    <w:p w14:paraId="0D041D6A">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5907DF2F">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46FE3388">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0DC90718">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12D2BAC8">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0824549A">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270472CF">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000C66C8">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344ACD03">
      <w:pPr>
        <w:pStyle w:val="17"/>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7889A13E">
      <w:pPr>
        <w:pStyle w:val="17"/>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607CA267">
      <w:pPr>
        <w:pStyle w:val="17"/>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07ECAE8C">
      <w:pPr>
        <w:pStyle w:val="17"/>
        <w:spacing w:line="600" w:lineRule="atLeast"/>
        <w:ind w:firstLine="64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w:t>
      </w:r>
      <w:r>
        <w:rPr>
          <w:rFonts w:hint="eastAsia" w:ascii="仿宋_GB2312" w:hAnsi="仿宋_GB2312" w:eastAsia="仿宋_GB2312" w:cs="仿宋_GB2312"/>
          <w:b/>
          <w:bCs/>
          <w:color w:val="000000"/>
          <w:sz w:val="32"/>
          <w:szCs w:val="32"/>
          <w:lang w:val="en-US" w:eastAsia="zh-CN"/>
        </w:rPr>
        <w:t>三</w:t>
      </w:r>
      <w:r>
        <w:rPr>
          <w:rFonts w:hint="eastAsia" w:ascii="仿宋_GB2312" w:hAnsi="仿宋_GB2312" w:eastAsia="仿宋_GB2312" w:cs="仿宋_GB2312"/>
          <w:b/>
          <w:bCs/>
          <w:color w:val="000000"/>
          <w:sz w:val="32"/>
          <w:szCs w:val="32"/>
        </w:rPr>
        <w:t>部分 青云谱区</w:t>
      </w:r>
      <w:r>
        <w:rPr>
          <w:rFonts w:hint="eastAsia" w:ascii="仿宋_GB2312" w:hAnsi="仿宋_GB2312" w:eastAsia="仿宋_GB2312" w:cs="仿宋_GB2312"/>
          <w:b/>
          <w:bCs/>
          <w:color w:val="000000"/>
          <w:sz w:val="32"/>
          <w:szCs w:val="32"/>
          <w:lang w:val="en-US" w:eastAsia="zh-CN"/>
        </w:rPr>
        <w:t>商务局</w:t>
      </w:r>
      <w:r>
        <w:rPr>
          <w:rFonts w:hint="eastAsia" w:ascii="仿宋_GB2312" w:hAnsi="仿宋_GB2312" w:eastAsia="仿宋_GB2312" w:cs="仿宋_GB2312"/>
          <w:b/>
          <w:bCs/>
          <w:color w:val="000000"/>
          <w:sz w:val="32"/>
          <w:szCs w:val="32"/>
          <w:lang w:eastAsia="zh-CN"/>
        </w:rPr>
        <w:t>2025年</w:t>
      </w:r>
      <w:r>
        <w:rPr>
          <w:rFonts w:hint="eastAsia" w:ascii="仿宋_GB2312" w:hAnsi="仿宋_GB2312" w:eastAsia="仿宋_GB2312" w:cs="仿宋_GB2312"/>
          <w:b/>
          <w:bCs/>
          <w:color w:val="000000"/>
          <w:sz w:val="32"/>
          <w:szCs w:val="32"/>
        </w:rPr>
        <w:t>部门预算情况说明</w:t>
      </w:r>
    </w:p>
    <w:p w14:paraId="4F483B1D">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w:t>
      </w:r>
      <w:r>
        <w:rPr>
          <w:rFonts w:hint="eastAsia" w:ascii="仿宋_GB2312" w:hAnsi="仿宋_GB2312" w:eastAsia="仿宋_GB2312" w:cs="仿宋_GB2312"/>
          <w:kern w:val="2"/>
          <w:sz w:val="32"/>
          <w:szCs w:val="30"/>
          <w:lang w:eastAsia="zh-CN"/>
        </w:rPr>
        <w:t>2025年</w:t>
      </w:r>
      <w:r>
        <w:rPr>
          <w:rFonts w:hint="eastAsia" w:ascii="仿宋_GB2312" w:hAnsi="仿宋_GB2312" w:eastAsia="仿宋_GB2312" w:cs="仿宋_GB2312"/>
          <w:kern w:val="2"/>
          <w:sz w:val="32"/>
          <w:szCs w:val="30"/>
        </w:rPr>
        <w:t>部门预算收支情况说明</w:t>
      </w:r>
    </w:p>
    <w:p w14:paraId="131A4D0A">
      <w:pPr>
        <w:pStyle w:val="17"/>
        <w:spacing w:line="600" w:lineRule="atLeast"/>
        <w:ind w:firstLine="64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w:t>
      </w:r>
      <w:r>
        <w:rPr>
          <w:rFonts w:hint="eastAsia" w:ascii="仿宋_GB2312" w:hAnsi="仿宋_GB2312" w:eastAsia="仿宋_GB2312" w:cs="仿宋_GB2312"/>
          <w:kern w:val="2"/>
          <w:sz w:val="32"/>
          <w:szCs w:val="30"/>
          <w:lang w:val="en-US" w:eastAsia="zh-CN"/>
        </w:rPr>
        <w:t xml:space="preserve">   </w:t>
      </w:r>
      <w:r>
        <w:rPr>
          <w:rFonts w:hint="eastAsia" w:ascii="仿宋_GB2312" w:hAnsi="仿宋_GB2312" w:eastAsia="仿宋_GB2312" w:cs="仿宋_GB2312"/>
          <w:kern w:val="2"/>
          <w:sz w:val="32"/>
          <w:szCs w:val="30"/>
        </w:rPr>
        <w:t>二、</w:t>
      </w:r>
      <w:r>
        <w:rPr>
          <w:rFonts w:hint="eastAsia" w:ascii="仿宋_GB2312" w:hAnsi="仿宋_GB2312" w:eastAsia="仿宋_GB2312" w:cs="仿宋_GB2312"/>
          <w:kern w:val="2"/>
          <w:sz w:val="32"/>
          <w:szCs w:val="30"/>
          <w:lang w:eastAsia="zh-CN"/>
        </w:rPr>
        <w:t>2025年</w:t>
      </w:r>
      <w:r>
        <w:rPr>
          <w:rFonts w:hint="eastAsia" w:ascii="仿宋_GB2312" w:hAnsi="仿宋_GB2312" w:eastAsia="仿宋_GB2312" w:cs="仿宋_GB2312"/>
          <w:kern w:val="2"/>
          <w:sz w:val="32"/>
          <w:szCs w:val="30"/>
        </w:rPr>
        <w:t>“三公”经费预算情况说明</w:t>
      </w:r>
    </w:p>
    <w:p w14:paraId="5B70999C">
      <w:pPr>
        <w:pStyle w:val="17"/>
        <w:spacing w:line="600" w:lineRule="atLeast"/>
        <w:ind w:firstLine="64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38EF80C5">
      <w:pPr>
        <w:widowControl/>
        <w:spacing w:line="580" w:lineRule="exact"/>
        <w:jc w:val="center"/>
        <w:rPr>
          <w:rFonts w:ascii="仿宋_GB2312" w:eastAsia="仿宋_GB2312"/>
          <w:b/>
          <w:sz w:val="32"/>
          <w:szCs w:val="30"/>
        </w:rPr>
      </w:pPr>
    </w:p>
    <w:p w14:paraId="67F39282">
      <w:pPr>
        <w:widowControl/>
        <w:spacing w:line="580" w:lineRule="exact"/>
        <w:jc w:val="center"/>
        <w:rPr>
          <w:rFonts w:ascii="仿宋_GB2312" w:eastAsia="仿宋_GB2312"/>
          <w:b/>
          <w:sz w:val="32"/>
          <w:szCs w:val="30"/>
        </w:rPr>
      </w:pPr>
    </w:p>
    <w:p w14:paraId="5DEAC2F7">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第一部分  青云谱区</w:t>
      </w:r>
      <w:r>
        <w:rPr>
          <w:rFonts w:hint="eastAsia" w:ascii="黑体" w:hAnsi="黑体" w:eastAsia="黑体" w:cs="黑体"/>
          <w:b w:val="0"/>
          <w:bCs/>
          <w:sz w:val="32"/>
          <w:szCs w:val="30"/>
          <w:lang w:val="en-US" w:eastAsia="zh-CN"/>
        </w:rPr>
        <w:t>商务局</w:t>
      </w:r>
      <w:r>
        <w:rPr>
          <w:rFonts w:hint="eastAsia" w:ascii="黑体" w:hAnsi="黑体" w:eastAsia="黑体" w:cs="黑体"/>
          <w:b w:val="0"/>
          <w:bCs/>
          <w:sz w:val="32"/>
          <w:szCs w:val="30"/>
        </w:rPr>
        <w:t>概况</w:t>
      </w:r>
    </w:p>
    <w:p w14:paraId="0AEC60FE">
      <w:pPr>
        <w:widowControl/>
        <w:spacing w:line="580" w:lineRule="exact"/>
        <w:jc w:val="left"/>
        <w:rPr>
          <w:rFonts w:ascii="宋体" w:hAnsi="宋体"/>
          <w:b/>
          <w:sz w:val="36"/>
          <w:szCs w:val="36"/>
        </w:rPr>
      </w:pPr>
    </w:p>
    <w:p w14:paraId="6F8740E6">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一、部门主要职责</w:t>
      </w:r>
    </w:p>
    <w:p w14:paraId="7611255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sz w:val="32"/>
          <w:szCs w:val="32"/>
        </w:rPr>
        <w:t xml:space="preserve">一）贯彻执行国家、省、市关于国内外贸易、国际经济合作、利用外资工作的法律、法规和方针、政策。 </w:t>
      </w:r>
    </w:p>
    <w:p w14:paraId="1448817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14:paraId="035E615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14:paraId="034335A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14:paraId="1482009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14:paraId="1610500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（六）负责批发、零售、住宿等商贸服务业的行业发展和行业管理工作；负责餐饮、家政、美容美发、足浴、婚庆等生活服务业的行业发展和行业管理工作。 </w:t>
      </w:r>
    </w:p>
    <w:p w14:paraId="5D021E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14:paraId="5C448E2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（八）负责全区开放型经济运行情况分析、通报和全区开放型经济调度会的组织、协调工作；负责牵头组织实施全区开放型经济的考核评比工作。 </w:t>
      </w:r>
    </w:p>
    <w:p w14:paraId="3867107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（九）负责执行国家对外技术贸易、出口管制以及鼓励技术和成套设备进出口的政策；负责推进进出口贸易标准化工作；负责依法监督技术引进、设备进口、国家限制出口技术工作。 </w:t>
      </w:r>
    </w:p>
    <w:p w14:paraId="3EE36F7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14:paraId="595B5D9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（十一）负责对外贸易工作，促进贸易增长方式转变；指导和协调贸易促进体系建设；负责推动企业开拓多元化国际市场，指导和协调加工贸易工作；负责跨境电子商务发展工作。 </w:t>
      </w:r>
    </w:p>
    <w:p w14:paraId="76A6B12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14:paraId="662C85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14:paraId="6C6A9B6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14:paraId="635961A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14:paraId="5E002C9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14:paraId="2EBA328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（十七）完成区委、区政府和上级部门交办的其他任务。 </w:t>
      </w:r>
    </w:p>
    <w:p w14:paraId="3DC52D5D">
      <w:pPr>
        <w:ind w:firstLine="640" w:firstLineChars="200"/>
        <w:rPr>
          <w:rFonts w:hint="eastAsia" w:ascii="仿宋_GB2312" w:hAnsi="仿宋_GB2312" w:eastAsia="仿宋_GB2312" w:cs="仿宋_GB2312"/>
        </w:rPr>
      </w:pPr>
      <w:r>
        <w:rPr>
          <w:rFonts w:hint="eastAsia" w:ascii="仿宋_GB2312" w:hAnsi="仿宋_GB2312" w:eastAsia="仿宋_GB2312" w:cs="仿宋_GB2312"/>
          <w:sz w:val="32"/>
          <w:szCs w:val="32"/>
        </w:rPr>
        <w:t>（十八）与区市场监督管理局的有关职责分工：区商务局负责拟订全区药品流通行业发展规划；区市场监督管理局负责在药品监督管理工作中，配合执行药品流通发展规划和政策。</w:t>
      </w:r>
    </w:p>
    <w:p w14:paraId="40021279">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default"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二、部门2025年主要工作任务</w:t>
      </w:r>
    </w:p>
    <w:p w14:paraId="2781234E">
      <w:pPr>
        <w:keepNext w:val="0"/>
        <w:keepLines w:val="0"/>
        <w:pageBreakBefore w:val="0"/>
        <w:kinsoku/>
        <w:wordWrap/>
        <w:overflowPunct/>
        <w:topLinePunct w:val="0"/>
        <w:autoSpaceDE/>
        <w:autoSpaceDN/>
        <w:bidi w:val="0"/>
        <w:adjustRightInd/>
        <w:spacing w:line="560" w:lineRule="exact"/>
        <w:ind w:right="0" w:firstLine="643"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持续开展精准招商。</w:t>
      </w:r>
      <w:r>
        <w:rPr>
          <w:rFonts w:hint="eastAsia" w:ascii="仿宋_GB2312" w:hAnsi="仿宋_GB2312" w:eastAsia="仿宋_GB2312" w:cs="仿宋_GB2312"/>
          <w:b/>
          <w:bCs/>
          <w:kern w:val="2"/>
          <w:sz w:val="32"/>
          <w:szCs w:val="32"/>
          <w:lang w:val="en-US" w:eastAsia="zh-CN" w:bidi="ar-SA"/>
        </w:rPr>
        <w:t>一是探索市场化招商。</w:t>
      </w:r>
      <w:r>
        <w:rPr>
          <w:rFonts w:hint="eastAsia" w:ascii="仿宋_GB2312" w:hAnsi="仿宋_GB2312" w:eastAsia="仿宋_GB2312" w:cs="仿宋_GB2312"/>
          <w:b w:val="0"/>
          <w:bCs w:val="0"/>
          <w:color w:val="auto"/>
          <w:kern w:val="0"/>
          <w:sz w:val="32"/>
          <w:szCs w:val="32"/>
          <w:highlight w:val="none"/>
          <w:lang w:val="en-US" w:eastAsia="zh-CN" w:bidi="ar-SA"/>
        </w:rPr>
        <w:t>发挥国资平台优势和基金招商优势，积极落实有资金需求的一批高质量项目实际落地，充分发</w:t>
      </w:r>
      <w:r>
        <w:rPr>
          <w:rFonts w:hint="eastAsia" w:ascii="仿宋_GB2312" w:hAnsi="仿宋_GB2312" w:eastAsia="仿宋_GB2312" w:cs="仿宋_GB2312"/>
          <w:bCs/>
          <w:kern w:val="2"/>
          <w:sz w:val="32"/>
          <w:szCs w:val="32"/>
          <w:lang w:val="en-US" w:eastAsia="zh-CN" w:bidi="ar-SA"/>
        </w:rPr>
        <w:t>挥以投带引作用，加快推动SGS检测实验室、恒太商业综合体、CVD培育钻石等项目的综合研判和推进。</w:t>
      </w:r>
      <w:r>
        <w:rPr>
          <w:rFonts w:hint="eastAsia" w:ascii="仿宋_GB2312" w:hAnsi="仿宋_GB2312" w:eastAsia="仿宋_GB2312" w:cs="仿宋_GB2312"/>
          <w:b/>
          <w:bCs/>
          <w:kern w:val="2"/>
          <w:sz w:val="32"/>
          <w:szCs w:val="32"/>
          <w:lang w:val="en-US" w:eastAsia="zh-CN" w:bidi="ar-SA"/>
        </w:rPr>
        <w:t>二是做好要素保障。</w:t>
      </w:r>
      <w:r>
        <w:rPr>
          <w:rFonts w:hint="eastAsia" w:ascii="仿宋_GB2312" w:hAnsi="仿宋_GB2312" w:eastAsia="仿宋_GB2312" w:cs="仿宋_GB2312"/>
          <w:b w:val="0"/>
          <w:bCs w:val="0"/>
          <w:color w:val="auto"/>
          <w:sz w:val="32"/>
          <w:szCs w:val="32"/>
          <w:highlight w:val="none"/>
          <w:lang w:val="en-US" w:eastAsia="zh-CN"/>
        </w:rPr>
        <w:t>加大与市直相关部门沟通协调力度，从项目用地、行政审批等方面提供高效便捷的精准服务，积极推动天合光电总</w:t>
      </w:r>
      <w:r>
        <w:rPr>
          <w:rFonts w:hint="eastAsia" w:ascii="仿宋_GB2312" w:hAnsi="Calibri" w:eastAsia="仿宋_GB2312"/>
          <w:b w:val="0"/>
          <w:bCs w:val="0"/>
          <w:color w:val="auto"/>
          <w:sz w:val="32"/>
          <w:szCs w:val="32"/>
          <w:highlight w:val="none"/>
          <w:lang w:val="en-US" w:eastAsia="zh-CN"/>
        </w:rPr>
        <w:t>部、江西传媒数字产业</w:t>
      </w:r>
      <w:r>
        <w:rPr>
          <w:rFonts w:hint="eastAsia" w:ascii="仿宋_GB2312" w:hAnsi="Calibri" w:eastAsia="仿宋_GB2312"/>
          <w:color w:val="auto"/>
          <w:sz w:val="32"/>
          <w:szCs w:val="32"/>
          <w:highlight w:val="none"/>
          <w:lang w:val="en-US" w:eastAsia="zh-CN"/>
        </w:rPr>
        <w:t>园等项目地块尽快出让，石马产业大楼、楞上产业大楼等村级产业楼宇的交付，以及普健体外诊断产业基地、京华高端智能制造产业园等低效用地提容增效，</w:t>
      </w:r>
      <w:r>
        <w:rPr>
          <w:rFonts w:hint="eastAsia" w:ascii="仿宋_GB2312" w:hAnsi="仿宋_GB2312" w:eastAsia="仿宋_GB2312" w:cs="仿宋_GB2312"/>
          <w:color w:val="auto"/>
          <w:sz w:val="32"/>
          <w:szCs w:val="32"/>
          <w:highlight w:val="none"/>
        </w:rPr>
        <w:t>推动</w:t>
      </w:r>
      <w:r>
        <w:rPr>
          <w:rFonts w:hint="eastAsia" w:ascii="仿宋_GB2312" w:hAnsi="仿宋_GB2312" w:eastAsia="仿宋_GB2312" w:cs="仿宋_GB2312"/>
          <w:color w:val="auto"/>
          <w:sz w:val="32"/>
          <w:szCs w:val="32"/>
          <w:highlight w:val="none"/>
          <w:lang w:val="en-US" w:eastAsia="zh-CN"/>
        </w:rPr>
        <w:t>在谈项目尽早签约，签约</w:t>
      </w:r>
      <w:r>
        <w:rPr>
          <w:rFonts w:hint="eastAsia" w:ascii="仿宋_GB2312" w:hAnsi="仿宋_GB2312" w:eastAsia="仿宋_GB2312" w:cs="仿宋_GB2312"/>
          <w:color w:val="auto"/>
          <w:sz w:val="32"/>
          <w:szCs w:val="32"/>
          <w:highlight w:val="none"/>
        </w:rPr>
        <w:t>项目早落地、早开工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早见效</w:t>
      </w:r>
      <w:r>
        <w:rPr>
          <w:rFonts w:hint="eastAsia" w:ascii="仿宋_GB2312" w:hAnsi="Calibri" w:eastAsia="仿宋_GB2312"/>
          <w:color w:val="auto"/>
          <w:sz w:val="32"/>
          <w:szCs w:val="32"/>
          <w:highlight w:val="none"/>
        </w:rPr>
        <w:t>。</w:t>
      </w:r>
      <w:r>
        <w:rPr>
          <w:rFonts w:hint="eastAsia" w:ascii="仿宋_GB2312" w:hAnsi="仿宋_GB2312" w:eastAsia="仿宋_GB2312" w:cs="仿宋_GB2312"/>
          <w:b/>
          <w:bCs/>
          <w:kern w:val="2"/>
          <w:sz w:val="32"/>
          <w:szCs w:val="32"/>
          <w:lang w:val="en-US" w:eastAsia="zh-CN" w:bidi="ar-SA"/>
        </w:rPr>
        <w:t>三是出台产业政策。</w:t>
      </w:r>
      <w:r>
        <w:rPr>
          <w:rFonts w:hint="eastAsia" w:ascii="仿宋_GB2312" w:hAnsi="仿宋_GB2312" w:eastAsia="仿宋_GB2312" w:cs="仿宋_GB2312"/>
          <w:b w:val="0"/>
          <w:bCs w:val="0"/>
          <w:color w:val="auto"/>
          <w:kern w:val="0"/>
          <w:sz w:val="32"/>
          <w:szCs w:val="32"/>
          <w:highlight w:val="none"/>
          <w:lang w:val="en-US" w:eastAsia="zh-CN" w:bidi="ar-SA"/>
        </w:rPr>
        <w:t>主动适应招商引资新政，围绕“3+3+X”主导产业，在保障区级财力前提下，立足产业发展全生命周期，从营收、升规入统、首次税收上台阶、人才引进等方面入手，避开“雷区”探索出台产业政策。</w:t>
      </w:r>
      <w:r>
        <w:rPr>
          <w:rFonts w:hint="eastAsia" w:ascii="仿宋_GB2312" w:hAnsi="仿宋_GB2312" w:eastAsia="仿宋_GB2312" w:cs="仿宋_GB2312"/>
          <w:b/>
          <w:bCs/>
          <w:kern w:val="2"/>
          <w:sz w:val="32"/>
          <w:szCs w:val="32"/>
          <w:lang w:val="en-US" w:eastAsia="zh-CN" w:bidi="ar-SA"/>
        </w:rPr>
        <w:t>四</w:t>
      </w:r>
      <w:r>
        <w:rPr>
          <w:rFonts w:hint="eastAsia" w:ascii="仿宋_GB2312" w:hAnsi="仿宋_GB2312" w:eastAsia="仿宋_GB2312" w:cs="仿宋_GB2312"/>
          <w:b/>
          <w:bCs/>
          <w:kern w:val="2"/>
          <w:sz w:val="32"/>
          <w:szCs w:val="32"/>
          <w:lang w:val="zh-CN" w:eastAsia="zh-CN" w:bidi="ar-SA"/>
        </w:rPr>
        <w:t>是</w:t>
      </w:r>
      <w:r>
        <w:rPr>
          <w:rFonts w:hint="eastAsia" w:ascii="仿宋_GB2312" w:hAnsi="仿宋_GB2312" w:eastAsia="仿宋_GB2312" w:cs="仿宋_GB2312"/>
          <w:b/>
          <w:bCs/>
          <w:kern w:val="2"/>
          <w:sz w:val="32"/>
          <w:szCs w:val="32"/>
          <w:lang w:val="en-US" w:eastAsia="zh-CN" w:bidi="ar-SA"/>
        </w:rPr>
        <w:t>拓宽线索渠道。</w:t>
      </w:r>
      <w:r>
        <w:rPr>
          <w:rFonts w:hint="eastAsia" w:ascii="仿宋_GB2312" w:hAnsi="仿宋_GB2312" w:eastAsia="仿宋_GB2312" w:cs="仿宋_GB2312"/>
          <w:color w:val="auto"/>
          <w:kern w:val="0"/>
          <w:sz w:val="32"/>
          <w:szCs w:val="32"/>
          <w:highlight w:val="none"/>
          <w:lang w:val="en-US" w:eastAsia="zh-CN" w:bidi="ar-SA"/>
        </w:rPr>
        <w:t>盯</w:t>
      </w:r>
      <w:r>
        <w:rPr>
          <w:rFonts w:hint="eastAsia" w:ascii="仿宋_GB2312" w:hAnsi="仿宋_GB2312" w:eastAsia="仿宋_GB2312" w:cs="仿宋_GB2312"/>
          <w:b w:val="0"/>
          <w:bCs w:val="0"/>
          <w:color w:val="auto"/>
          <w:kern w:val="0"/>
          <w:sz w:val="32"/>
          <w:szCs w:val="32"/>
          <w:highlight w:val="none"/>
          <w:lang w:val="en-US" w:eastAsia="zh-CN" w:bidi="ar-SA"/>
        </w:rPr>
        <w:t>紧增量不放，积极对接市政府驻外机构，发挥以商招商桥梁作用，借助驻区企业、行业协会、券商机构等平台，主动对接跨国公司、</w:t>
      </w:r>
      <w:r>
        <w:rPr>
          <w:rFonts w:hint="default" w:ascii="仿宋_GB2312" w:hAnsi="仿宋_GB2312" w:eastAsia="仿宋_GB2312" w:cs="仿宋_GB2312"/>
          <w:b w:val="0"/>
          <w:bCs w:val="0"/>
          <w:color w:val="auto"/>
          <w:kern w:val="0"/>
          <w:sz w:val="32"/>
          <w:szCs w:val="32"/>
          <w:highlight w:val="none"/>
          <w:lang w:val="en-US" w:eastAsia="zh-CN" w:bidi="ar-SA"/>
        </w:rPr>
        <w:t>三类</w:t>
      </w:r>
      <w:r>
        <w:rPr>
          <w:rFonts w:hint="eastAsia" w:ascii="仿宋_GB2312" w:hAnsi="仿宋_GB2312" w:eastAsia="仿宋_GB2312" w:cs="仿宋_GB2312"/>
          <w:b w:val="0"/>
          <w:bCs w:val="0"/>
          <w:color w:val="auto"/>
          <w:kern w:val="0"/>
          <w:sz w:val="32"/>
          <w:szCs w:val="32"/>
          <w:highlight w:val="none"/>
          <w:lang w:val="en-US" w:eastAsia="zh-CN" w:bidi="ar-SA"/>
        </w:rPr>
        <w:t xml:space="preserve">500 </w:t>
      </w:r>
      <w:r>
        <w:rPr>
          <w:rFonts w:hint="default" w:ascii="仿宋_GB2312" w:hAnsi="仿宋_GB2312" w:eastAsia="仿宋_GB2312" w:cs="仿宋_GB2312"/>
          <w:b w:val="0"/>
          <w:bCs w:val="0"/>
          <w:color w:val="auto"/>
          <w:kern w:val="0"/>
          <w:sz w:val="32"/>
          <w:szCs w:val="32"/>
          <w:highlight w:val="none"/>
          <w:lang w:val="en-US" w:eastAsia="zh-CN" w:bidi="ar-SA"/>
        </w:rPr>
        <w:t>强、行业龙头等重点企业</w:t>
      </w:r>
      <w:r>
        <w:rPr>
          <w:rFonts w:hint="eastAsia" w:ascii="仿宋_GB2312" w:hAnsi="仿宋_GB2312" w:eastAsia="仿宋_GB2312" w:cs="仿宋_GB2312"/>
          <w:b w:val="0"/>
          <w:bCs w:val="0"/>
          <w:color w:val="auto"/>
          <w:kern w:val="0"/>
          <w:sz w:val="32"/>
          <w:szCs w:val="32"/>
          <w:highlight w:val="none"/>
          <w:lang w:val="en-US" w:eastAsia="zh-CN" w:bidi="ar-SA"/>
        </w:rPr>
        <w:t>；充分挖掘存量，</w:t>
      </w:r>
      <w:r>
        <w:rPr>
          <w:rFonts w:hint="eastAsia" w:ascii="仿宋_GB2312" w:hAnsi="仿宋_GB2312" w:eastAsia="仿宋_GB2312" w:cs="仿宋_GB2312"/>
          <w:b w:val="0"/>
          <w:bCs w:val="0"/>
          <w:color w:val="auto"/>
          <w:kern w:val="2"/>
          <w:sz w:val="32"/>
          <w:szCs w:val="32"/>
          <w:highlight w:val="none"/>
          <w:lang w:eastAsia="zh-CN"/>
        </w:rPr>
        <w:t>强化对企服务，</w:t>
      </w:r>
      <w:r>
        <w:rPr>
          <w:rFonts w:hint="eastAsia" w:ascii="仿宋_GB2312" w:hAnsi="仿宋_GB2312" w:eastAsia="仿宋_GB2312" w:cs="仿宋_GB2312"/>
          <w:b w:val="0"/>
          <w:bCs w:val="0"/>
          <w:color w:val="auto"/>
          <w:kern w:val="2"/>
          <w:sz w:val="32"/>
          <w:szCs w:val="32"/>
          <w:highlight w:val="none"/>
          <w:lang w:val="en-US" w:eastAsia="zh-CN" w:bidi="ar-SA"/>
        </w:rPr>
        <w:t>深入了解九州通、瑞康时代、海凭、深农等已落户企业及其关联公司生产运营及投资布局情况，</w:t>
      </w:r>
      <w:r>
        <w:rPr>
          <w:rFonts w:hint="eastAsia" w:ascii="仿宋_GB2312" w:hAnsi="仿宋_GB2312" w:eastAsia="仿宋_GB2312" w:cs="仿宋_GB2312"/>
          <w:color w:val="auto"/>
          <w:kern w:val="2"/>
          <w:sz w:val="32"/>
          <w:szCs w:val="32"/>
          <w:highlight w:val="none"/>
          <w:lang w:val="en-US" w:eastAsia="zh-CN" w:bidi="ar-SA"/>
        </w:rPr>
        <w:t>挖掘企业增资扩产及带动上下游投资的潜力。</w:t>
      </w:r>
    </w:p>
    <w:p w14:paraId="5C5362D5">
      <w:pPr>
        <w:keepNext w:val="0"/>
        <w:keepLines w:val="0"/>
        <w:pageBreakBefore w:val="0"/>
        <w:kinsoku/>
        <w:wordWrap/>
        <w:overflowPunct/>
        <w:topLinePunct w:val="0"/>
        <w:autoSpaceDE/>
        <w:autoSpaceDN/>
        <w:bidi w:val="0"/>
        <w:adjustRightInd/>
        <w:spacing w:line="560" w:lineRule="exact"/>
        <w:ind w:right="0" w:firstLine="643"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b/>
          <w:bCs/>
          <w:sz w:val="32"/>
          <w:szCs w:val="32"/>
          <w:lang w:val="en-US" w:eastAsia="zh-CN"/>
        </w:rPr>
        <w:t>（二）大力开展促销活动。</w:t>
      </w:r>
      <w:r>
        <w:rPr>
          <w:rFonts w:hint="eastAsia" w:ascii="仿宋_GB2312" w:hAnsi="仿宋_GB2312" w:eastAsia="仿宋_GB2312" w:cs="仿宋_GB2312"/>
          <w:b/>
          <w:bCs/>
          <w:color w:val="auto"/>
          <w:kern w:val="2"/>
          <w:sz w:val="32"/>
          <w:szCs w:val="32"/>
          <w:highlight w:val="none"/>
          <w:lang w:val="en-US" w:eastAsia="zh-CN" w:bidi="ar-SA"/>
        </w:rPr>
        <w:t>一是</w:t>
      </w:r>
      <w:r>
        <w:rPr>
          <w:rFonts w:hint="eastAsia" w:ascii="仿宋_GB2312" w:hAnsi="仿宋_GB2312" w:eastAsia="仿宋_GB2312" w:cs="仿宋_GB2312"/>
          <w:b/>
          <w:bCs/>
          <w:sz w:val="32"/>
          <w:szCs w:val="32"/>
          <w:highlight w:val="none"/>
          <w:lang w:val="en-US" w:eastAsia="zh-CN"/>
        </w:rPr>
        <w:t>引进餐饮“首店”，</w:t>
      </w:r>
      <w:r>
        <w:rPr>
          <w:rFonts w:hint="eastAsia" w:ascii="仿宋_GB2312" w:hAnsi="仿宋_GB2312" w:eastAsia="仿宋_GB2312" w:cs="仿宋_GB2312"/>
          <w:b w:val="0"/>
          <w:bCs w:val="0"/>
          <w:sz w:val="32"/>
          <w:szCs w:val="32"/>
          <w:highlight w:val="none"/>
          <w:lang w:val="en-US" w:eastAsia="zh-CN"/>
        </w:rPr>
        <w:t>推动餐饮知名品牌在我区“首店、首进”落地落户，提升我区消费档次。</w:t>
      </w:r>
      <w:r>
        <w:rPr>
          <w:rFonts w:hint="eastAsia" w:ascii="仿宋_GB2312" w:hAnsi="仿宋_GB2312" w:eastAsia="仿宋_GB2312" w:cs="仿宋_GB2312"/>
          <w:b/>
          <w:bCs/>
          <w:sz w:val="32"/>
          <w:szCs w:val="32"/>
          <w:highlight w:val="none"/>
          <w:lang w:val="en-US" w:eastAsia="zh-CN"/>
        </w:rPr>
        <w:t>二是提升夜间经济品质。</w:t>
      </w:r>
      <w:r>
        <w:rPr>
          <w:rFonts w:hint="eastAsia" w:ascii="仿宋_GB2312" w:hAnsi="仿宋_GB2312" w:eastAsia="仿宋_GB2312" w:cs="仿宋_GB2312"/>
          <w:b w:val="0"/>
          <w:bCs w:val="0"/>
          <w:sz w:val="32"/>
          <w:szCs w:val="32"/>
          <w:highlight w:val="none"/>
          <w:lang w:val="en-US" w:eastAsia="zh-CN"/>
        </w:rPr>
        <w:t>重点做好洪都夜巷、王府井夜市两条街区品质提升行动，支持1962文创园进一步丰富消费内容，唱响1962品牌，引导航空路打造夜经济街区，进一步做热广州路。</w:t>
      </w:r>
      <w:r>
        <w:rPr>
          <w:rFonts w:hint="eastAsia" w:ascii="仿宋_GB2312" w:hAnsi="仿宋_GB2312" w:eastAsia="仿宋_GB2312" w:cs="仿宋_GB2312"/>
          <w:b/>
          <w:bCs/>
          <w:sz w:val="32"/>
          <w:szCs w:val="32"/>
          <w:highlight w:val="none"/>
          <w:lang w:val="en-US" w:eastAsia="zh-CN"/>
        </w:rPr>
        <w:t>三是促进消费提质升级。</w:t>
      </w:r>
      <w:r>
        <w:rPr>
          <w:rFonts w:hint="eastAsia" w:ascii="仿宋_GB2312" w:hAnsi="仿宋_GB2312" w:eastAsia="仿宋_GB2312" w:cs="仿宋_GB2312"/>
          <w:color w:val="000000"/>
          <w:sz w:val="32"/>
          <w:szCs w:val="32"/>
          <w:highlight w:val="none"/>
          <w:lang w:val="en-US" w:eastAsia="zh-CN"/>
        </w:rPr>
        <w:t>结合国庆、跨年活动、元旦春节，通过政企联动举办大型让利促消费活动，刺激大宗消费，适时发放政府消费券，鼓励和支持各类商贸流通企业开展以旧换新等系列促销活动</w:t>
      </w:r>
    </w:p>
    <w:p w14:paraId="4B98F98E">
      <w:pPr>
        <w:keepNext w:val="0"/>
        <w:keepLines w:val="0"/>
        <w:pageBreakBefore w:val="0"/>
        <w:kinsoku/>
        <w:wordWrap/>
        <w:overflowPunct/>
        <w:topLinePunct w:val="0"/>
        <w:autoSpaceDE/>
        <w:autoSpaceDN/>
        <w:bidi w:val="0"/>
        <w:adjustRightInd/>
        <w:spacing w:line="560" w:lineRule="exact"/>
        <w:ind w:right="0" w:firstLine="643" w:firstLineChars="200"/>
        <w:jc w:val="left"/>
        <w:textAlignment w:val="auto"/>
        <w:rPr>
          <w:rFonts w:hint="eastAsia" w:ascii="仿宋_GB2312" w:hAnsi="仿宋_GB2312" w:eastAsia="仿宋_GB2312" w:cs="仿宋_GB2312"/>
          <w:b/>
          <w:sz w:val="36"/>
          <w:szCs w:val="36"/>
          <w:lang w:val="en-US" w:eastAsia="zh-CN"/>
        </w:rPr>
      </w:pP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eastAsia="zh-CN"/>
        </w:rPr>
        <w:t>着力提升村集体经济水平。</w:t>
      </w:r>
      <w:r>
        <w:rPr>
          <w:rFonts w:hint="eastAsia" w:ascii="仿宋_GB2312" w:hAnsi="仿宋_GB2312" w:eastAsia="仿宋_GB2312" w:cs="仿宋_GB2312"/>
          <w:b/>
          <w:bCs/>
          <w:sz w:val="32"/>
          <w:szCs w:val="32"/>
        </w:rPr>
        <w:t>一是加强龙头企业培育。</w:t>
      </w:r>
      <w:r>
        <w:rPr>
          <w:rFonts w:hint="eastAsia" w:ascii="仿宋_GB2312" w:hAnsi="仿宋_GB2312" w:eastAsia="仿宋_GB2312" w:cs="仿宋_GB2312"/>
          <w:sz w:val="32"/>
          <w:szCs w:val="32"/>
        </w:rPr>
        <w:t>着力提升农业品牌竞争力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加强省、市级农业龙头企业培育，着力提升产业带动能力；发挥龙头企业在产业链中的引领带动作用，聚力打造农业特色产业助推乡村振兴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2025年，力争新增1家市级以上农业产业化龙头企业。</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b/>
          <w:bCs/>
          <w:sz w:val="32"/>
          <w:szCs w:val="32"/>
          <w:lang w:val="en-US" w:eastAsia="zh-CN"/>
        </w:rPr>
        <w:t>挖掘盘活闲置产业</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val="en-US" w:eastAsia="zh-CN"/>
        </w:rPr>
        <w:t>重点</w:t>
      </w:r>
      <w:r>
        <w:rPr>
          <w:rFonts w:hint="eastAsia" w:ascii="仿宋_GB2312" w:hAnsi="仿宋_GB2312" w:eastAsia="仿宋_GB2312" w:cs="仿宋_GB2312"/>
          <w:sz w:val="32"/>
          <w:szCs w:val="32"/>
        </w:rPr>
        <w:t>挖掘闲置楼宇和村集体用房资源，积极盘活各村现有闲置的集体房产和建设用地，建设社区配套基础设，解决各村集体经济发展阻碍，盘活现有闲置的资产。</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传统思维向创新思维转变</w:t>
      </w:r>
      <w:r>
        <w:rPr>
          <w:rFonts w:hint="eastAsia" w:ascii="仿宋_GB2312" w:hAnsi="仿宋_GB2312" w:eastAsia="仿宋_GB2312" w:cs="仿宋_GB2312"/>
          <w:sz w:val="32"/>
          <w:szCs w:val="32"/>
          <w:lang w:eastAsia="zh-CN"/>
        </w:rPr>
        <w:t>，鼓励</w:t>
      </w:r>
      <w:r>
        <w:rPr>
          <w:rFonts w:hint="eastAsia" w:ascii="仿宋_GB2312" w:hAnsi="仿宋_GB2312" w:eastAsia="仿宋_GB2312" w:cs="仿宋_GB2312"/>
          <w:sz w:val="32"/>
          <w:szCs w:val="32"/>
        </w:rPr>
        <w:t>各村紧跟时代步伐，思想先行，破字当先，改变过去只靠收租的思维惯性，发散经营思维，聚焦产业、着力培育</w:t>
      </w:r>
      <w:r>
        <w:rPr>
          <w:rFonts w:hint="eastAsia" w:ascii="仿宋_GB2312" w:hAnsi="仿宋_GB2312" w:eastAsia="仿宋_GB2312" w:cs="仿宋_GB2312"/>
          <w:sz w:val="32"/>
          <w:szCs w:val="32"/>
          <w:lang w:eastAsia="zh-CN"/>
        </w:rPr>
        <w:t>村级集体经济增长</w:t>
      </w:r>
      <w:r>
        <w:rPr>
          <w:rFonts w:hint="eastAsia" w:ascii="仿宋_GB2312" w:hAnsi="仿宋_GB2312" w:eastAsia="仿宋_GB2312" w:cs="仿宋_GB2312"/>
          <w:sz w:val="32"/>
          <w:szCs w:val="32"/>
        </w:rPr>
        <w:t>潜力。</w:t>
      </w:r>
    </w:p>
    <w:p w14:paraId="54DE79E0">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三、机构设置及人员情况</w:t>
      </w:r>
    </w:p>
    <w:p w14:paraId="5C23D56B">
      <w:pPr>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2024年青云谱区商务局共有预算单位</w:t>
      </w:r>
      <w:r>
        <w:rPr>
          <w:rFonts w:hint="eastAsia" w:ascii="仿宋" w:hAnsi="仿宋" w:eastAsia="仿宋" w:cs="仿宋"/>
          <w:kern w:val="0"/>
          <w:sz w:val="32"/>
          <w:szCs w:val="32"/>
        </w:rPr>
        <w:t>2</w:t>
      </w:r>
      <w:r>
        <w:rPr>
          <w:rFonts w:hint="eastAsia" w:ascii="仿宋_GB2312" w:hAnsi="仿宋_GB2312" w:eastAsia="仿宋_GB2312" w:cs="仿宋_GB2312"/>
          <w:sz w:val="32"/>
          <w:szCs w:val="32"/>
        </w:rPr>
        <w:t>个，包括：</w:t>
      </w:r>
      <w:r>
        <w:rPr>
          <w:rFonts w:hint="eastAsia" w:ascii="FangSong_GB2312" w:hAnsi="FangSong_GB2312" w:eastAsia="FangSong_GB2312" w:cs="FangSong_GB2312"/>
          <w:sz w:val="32"/>
          <w:szCs w:val="32"/>
        </w:rPr>
        <w:t>包括：青云谱区商务局本级，青云谱中小商贸流通企业服务中心。</w:t>
      </w:r>
    </w:p>
    <w:p w14:paraId="7A4AEA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人,全部补助事业编制人数</w:t>
      </w:r>
      <w:r>
        <w:rPr>
          <w:rFonts w:hint="eastAsia" w:ascii="仿宋" w:hAnsi="仿宋" w:eastAsia="仿宋" w:cs="仿宋"/>
          <w:color w:val="auto"/>
          <w:kern w:val="0"/>
          <w:sz w:val="32"/>
          <w:szCs w:val="32"/>
          <w:u w:val="single"/>
          <w:lang w:val="en-US" w:eastAsia="zh-CN"/>
        </w:rPr>
        <w:t>15</w:t>
      </w:r>
      <w:r>
        <w:rPr>
          <w:rFonts w:hint="eastAsia" w:ascii="仿宋_GB2312" w:hAnsi="仿宋_GB2312" w:eastAsia="仿宋_GB2312" w:cs="仿宋_GB2312"/>
          <w:color w:val="auto"/>
          <w:sz w:val="32"/>
          <w:szCs w:val="32"/>
        </w:rPr>
        <w:t>人,自收自支编制人数</w:t>
      </w:r>
      <w:r>
        <w:rPr>
          <w:rFonts w:hint="eastAsia" w:ascii="仿宋_GB2312" w:hAnsi="仿宋_GB2312" w:eastAsia="仿宋_GB2312" w:cs="仿宋_GB2312"/>
          <w:color w:val="auto"/>
          <w:sz w:val="32"/>
          <w:szCs w:val="30"/>
          <w:u w:val="single"/>
        </w:rPr>
        <w:t xml:space="preserve"> </w:t>
      </w:r>
      <w:r>
        <w:rPr>
          <w:rFonts w:hint="eastAsia" w:ascii="仿宋_GB2312" w:hAnsi="仿宋_GB2312" w:eastAsia="仿宋_GB2312" w:cs="仿宋_GB2312"/>
          <w:color w:val="auto"/>
          <w:sz w:val="32"/>
          <w:szCs w:val="30"/>
          <w:u w:val="single"/>
          <w:lang w:val="en-US" w:eastAsia="zh-CN"/>
        </w:rPr>
        <w:t>40</w:t>
      </w:r>
      <w:r>
        <w:rPr>
          <w:rFonts w:hint="eastAsia" w:ascii="仿宋_GB2312" w:hAnsi="仿宋_GB2312" w:eastAsia="仿宋_GB2312" w:cs="仿宋_GB2312"/>
          <w:color w:val="auto"/>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w:t>
      </w:r>
      <w:r>
        <w:rPr>
          <w:rFonts w:hint="eastAsia" w:ascii="仿宋_GB2312" w:hAnsi="仿宋_GB2312" w:eastAsia="仿宋_GB2312" w:cs="仿宋_GB2312"/>
          <w:sz w:val="32"/>
          <w:szCs w:val="30"/>
          <w:u w:val="single"/>
          <w:lang w:val="en-US" w:eastAsia="zh-CN"/>
        </w:rPr>
        <w:t>57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人,全部补助事业在职人数</w:t>
      </w:r>
      <w:r>
        <w:rPr>
          <w:rFonts w:hint="eastAsia" w:ascii="仿宋" w:hAnsi="仿宋" w:eastAsia="仿宋" w:cs="仿宋"/>
          <w:color w:val="auto"/>
          <w:kern w:val="0"/>
          <w:sz w:val="32"/>
          <w:szCs w:val="32"/>
          <w:u w:val="single"/>
          <w:lang w:val="en-US" w:eastAsia="zh-CN"/>
        </w:rPr>
        <w:t>13</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含编外人数</w:t>
      </w:r>
      <w:r>
        <w:rPr>
          <w:rFonts w:hint="eastAsia" w:ascii="仿宋_GB2312" w:hAnsi="仿宋_GB2312" w:eastAsia="仿宋_GB2312" w:cs="仿宋_GB2312"/>
          <w:sz w:val="32"/>
          <w:szCs w:val="32"/>
          <w:u w:val="single"/>
          <w:lang w:val="en-US" w:eastAsia="zh-CN"/>
        </w:rPr>
        <w:t>2</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自收自支事业人数</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挂编人数2人</w:t>
      </w:r>
      <w:r>
        <w:rPr>
          <w:rFonts w:hint="eastAsia" w:ascii="仿宋_GB2312" w:hAnsi="仿宋_GB2312" w:eastAsia="仿宋_GB2312" w:cs="仿宋_GB2312"/>
        </w:rPr>
        <w:fldChar w:fldCharType="end"/>
      </w:r>
      <w:bookmarkStart w:id="0" w:name="_GoBack"/>
      <w:bookmarkEnd w:id="0"/>
      <w:r>
        <w:rPr>
          <w:rFonts w:hint="eastAsia" w:ascii="仿宋_GB2312" w:hAnsi="仿宋_GB2312" w:eastAsia="仿宋_GB2312" w:cs="仿宋_GB2312"/>
          <w:sz w:val="32"/>
          <w:szCs w:val="32"/>
        </w:rPr>
        <w:t>。</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人,退职人员</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1A8E45C2">
      <w:pPr>
        <w:widowControl/>
        <w:spacing w:line="580" w:lineRule="exact"/>
        <w:jc w:val="center"/>
        <w:rPr>
          <w:rFonts w:ascii="仿宋_GB2312" w:eastAsia="仿宋_GB2312"/>
          <w:b/>
          <w:szCs w:val="30"/>
        </w:rPr>
      </w:pPr>
    </w:p>
    <w:p w14:paraId="16C93E3D">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w:t>
      </w:r>
      <w:r>
        <w:rPr>
          <w:rFonts w:hint="eastAsia" w:ascii="黑体" w:hAnsi="黑体" w:eastAsia="黑体" w:cs="黑体"/>
          <w:b w:val="0"/>
          <w:bCs/>
          <w:sz w:val="32"/>
          <w:szCs w:val="30"/>
          <w:lang w:val="en-US" w:eastAsia="zh-CN"/>
        </w:rPr>
        <w:t>二</w:t>
      </w:r>
      <w:r>
        <w:rPr>
          <w:rFonts w:hint="eastAsia" w:ascii="黑体" w:hAnsi="黑体" w:eastAsia="黑体" w:cs="黑体"/>
          <w:b w:val="0"/>
          <w:bCs/>
          <w:sz w:val="32"/>
          <w:szCs w:val="30"/>
        </w:rPr>
        <w:t>部分  青云谱区</w:t>
      </w:r>
      <w:r>
        <w:rPr>
          <w:rFonts w:hint="eastAsia" w:ascii="黑体" w:hAnsi="黑体" w:eastAsia="黑体" w:cs="黑体"/>
          <w:b w:val="0"/>
          <w:bCs/>
          <w:sz w:val="32"/>
          <w:szCs w:val="30"/>
          <w:lang w:val="en-US" w:eastAsia="zh-CN"/>
        </w:rPr>
        <w:t>商务局</w:t>
      </w:r>
      <w:r>
        <w:rPr>
          <w:rFonts w:hint="eastAsia" w:ascii="黑体" w:hAnsi="黑体" w:eastAsia="黑体" w:cs="黑体"/>
          <w:b w:val="0"/>
          <w:bCs/>
          <w:sz w:val="32"/>
          <w:szCs w:val="30"/>
          <w:lang w:eastAsia="zh-CN"/>
        </w:rPr>
        <w:t>2025年</w:t>
      </w:r>
      <w:r>
        <w:rPr>
          <w:rFonts w:hint="eastAsia" w:ascii="黑体" w:hAnsi="黑体" w:eastAsia="黑体" w:cs="黑体"/>
          <w:b w:val="0"/>
          <w:bCs/>
          <w:sz w:val="32"/>
          <w:szCs w:val="30"/>
        </w:rPr>
        <w:t>部门预算表</w:t>
      </w:r>
    </w:p>
    <w:p w14:paraId="17F0DA38">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4C3CE128">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6C0F33BC">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18EE7AAE">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093DA5B7">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6BF0A535">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60FB3D36">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555E49F5">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5E84798E">
      <w:pPr>
        <w:pStyle w:val="17"/>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0BF85B61">
      <w:pPr>
        <w:pStyle w:val="17"/>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273CE255">
      <w:pPr>
        <w:pStyle w:val="17"/>
        <w:tabs>
          <w:tab w:val="left" w:pos="6546"/>
        </w:tabs>
        <w:spacing w:line="600" w:lineRule="atLeast"/>
        <w:ind w:firstLine="1280"/>
        <w:jc w:val="left"/>
        <w:rPr>
          <w:rFonts w:hint="eastAsia" w:ascii="仿宋_GB2312" w:hAnsi="仿宋_GB2312" w:eastAsia="仿宋_GB2312" w:cs="仿宋_GB2312"/>
          <w:kern w:val="2"/>
          <w:sz w:val="32"/>
          <w:szCs w:val="30"/>
          <w:lang w:val="en-US" w:eastAsia="zh-CN" w:bidi="ar-SA"/>
        </w:rPr>
      </w:pPr>
      <w:r>
        <w:rPr>
          <w:rFonts w:hint="eastAsia" w:ascii="仿宋_GB2312" w:hAnsi="仿宋_GB2312" w:eastAsia="仿宋_GB2312" w:cs="仿宋_GB2312"/>
          <w:kern w:val="2"/>
          <w:sz w:val="32"/>
          <w:szCs w:val="30"/>
        </w:rPr>
        <w:t>十一、《项目支出绩效目标表》</w:t>
      </w:r>
    </w:p>
    <w:p w14:paraId="48F9700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6"/>
          <w:rFonts w:hint="eastAsia" w:ascii="仿宋_GB2312" w:hAnsi="仿宋_GB2312" w:eastAsia="仿宋_GB2312" w:cs="仿宋_GB2312"/>
          <w:bCs/>
          <w:sz w:val="32"/>
          <w:szCs w:val="32"/>
        </w:rPr>
      </w:pPr>
      <w:r>
        <w:rPr>
          <w:rFonts w:hint="eastAsia" w:ascii="仿宋_GB2312" w:hAnsi="仿宋_GB2312" w:eastAsia="仿宋_GB2312" w:cs="仿宋_GB2312"/>
          <w:kern w:val="2"/>
          <w:sz w:val="32"/>
          <w:szCs w:val="30"/>
          <w:lang w:val="en-US" w:eastAsia="zh-CN" w:bidi="ar-SA"/>
        </w:rPr>
        <w:t>（详见附件）</w:t>
      </w:r>
    </w:p>
    <w:p w14:paraId="35CBC964">
      <w:pPr>
        <w:ind w:firstLine="640" w:firstLineChars="200"/>
        <w:jc w:val="left"/>
        <w:rPr>
          <w:rStyle w:val="16"/>
          <w:rFonts w:ascii="仿宋" w:hAnsi="仿宋" w:eastAsia="仿宋"/>
          <w:bCs/>
          <w:sz w:val="32"/>
          <w:szCs w:val="32"/>
        </w:rPr>
      </w:pPr>
    </w:p>
    <w:p w14:paraId="1012CE71">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w:t>
      </w:r>
      <w:r>
        <w:rPr>
          <w:rFonts w:hint="eastAsia" w:ascii="黑体" w:hAnsi="黑体" w:eastAsia="黑体" w:cs="黑体"/>
          <w:b w:val="0"/>
          <w:bCs/>
          <w:sz w:val="32"/>
          <w:szCs w:val="30"/>
          <w:lang w:val="en-US" w:eastAsia="zh-CN"/>
        </w:rPr>
        <w:t>三</w:t>
      </w:r>
      <w:r>
        <w:rPr>
          <w:rFonts w:hint="eastAsia" w:ascii="黑体" w:hAnsi="黑体" w:eastAsia="黑体" w:cs="黑体"/>
          <w:b w:val="0"/>
          <w:bCs/>
          <w:sz w:val="32"/>
          <w:szCs w:val="30"/>
        </w:rPr>
        <w:t>部分  青云谱区</w:t>
      </w:r>
      <w:r>
        <w:rPr>
          <w:rFonts w:hint="eastAsia" w:ascii="黑体" w:hAnsi="黑体" w:eastAsia="黑体" w:cs="黑体"/>
          <w:b w:val="0"/>
          <w:bCs/>
          <w:sz w:val="32"/>
          <w:szCs w:val="30"/>
          <w:lang w:val="en-US" w:eastAsia="zh-CN"/>
        </w:rPr>
        <w:t>商务局</w:t>
      </w:r>
      <w:r>
        <w:rPr>
          <w:rFonts w:hint="eastAsia" w:ascii="黑体" w:hAnsi="黑体" w:eastAsia="黑体" w:cs="黑体"/>
          <w:b w:val="0"/>
          <w:bCs/>
          <w:sz w:val="32"/>
          <w:szCs w:val="30"/>
          <w:lang w:eastAsia="zh-CN"/>
        </w:rPr>
        <w:t>2025年</w:t>
      </w:r>
      <w:r>
        <w:rPr>
          <w:rFonts w:hint="eastAsia" w:ascii="黑体" w:hAnsi="黑体" w:eastAsia="黑体" w:cs="黑体"/>
          <w:b w:val="0"/>
          <w:bCs/>
          <w:sz w:val="32"/>
          <w:szCs w:val="30"/>
        </w:rPr>
        <w:t>部门预算情况说明</w:t>
      </w:r>
    </w:p>
    <w:p w14:paraId="2C82725E">
      <w:pPr>
        <w:widowControl/>
        <w:spacing w:line="580" w:lineRule="exact"/>
        <w:jc w:val="center"/>
        <w:rPr>
          <w:rFonts w:ascii="仿宋_GB2312" w:eastAsia="仿宋_GB2312"/>
          <w:b/>
          <w:sz w:val="32"/>
          <w:szCs w:val="30"/>
        </w:rPr>
      </w:pPr>
    </w:p>
    <w:p w14:paraId="29D50831">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一、2025年部门预算收支情况说明</w:t>
      </w:r>
    </w:p>
    <w:p w14:paraId="3BB0D8A1">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(一)收入预算情况</w:t>
      </w:r>
    </w:p>
    <w:p w14:paraId="44E527A5">
      <w:pPr>
        <w:widowControl/>
        <w:ind w:firstLine="640" w:firstLineChars="200"/>
        <w:rPr>
          <w:rFonts w:ascii="仿宋" w:hAnsi="仿宋" w:eastAsia="仿宋" w:cs="Times New Roman"/>
          <w:kern w:val="0"/>
          <w:sz w:val="32"/>
        </w:rPr>
      </w:pPr>
      <w:r>
        <w:rPr>
          <w:rFonts w:hint="eastAsia" w:ascii="仿宋_GB2312" w:hAnsi="仿宋_GB2312" w:eastAsia="仿宋_GB2312" w:cs="仿宋_GB2312"/>
          <w:kern w:val="0"/>
          <w:sz w:val="32"/>
          <w:szCs w:val="32"/>
          <w:lang w:eastAsia="zh-CN"/>
        </w:rPr>
        <w:t>2025年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sz w:val="32"/>
          <w:szCs w:val="30"/>
          <w:u w:val="single"/>
          <w:lang w:val="en-US" w:eastAsia="zh-CN"/>
        </w:rPr>
        <w:t>1865.54</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lang w:val="en-US" w:eastAsia="zh-CN"/>
        </w:rPr>
        <w:t>1169.21</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lang w:val="en-US" w:eastAsia="zh-CN"/>
        </w:rPr>
        <w:t>1265.54</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 xml:space="preserve"> 26.17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万元;教育收费资金收入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万元;事业单位经营收入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u w:val="single"/>
          <w:lang w:val="en-US" w:eastAsia="zh-CN"/>
        </w:rPr>
        <w:t>0</w:t>
      </w:r>
      <w:r>
        <w:rPr>
          <w:rFonts w:hint="eastAsia" w:ascii="仿宋_GB2312" w:hAnsi="仿宋_GB2312" w:eastAsia="仿宋_GB2312" w:cs="仿宋_GB2312"/>
          <w:kern w:val="0"/>
          <w:sz w:val="32"/>
          <w:szCs w:val="32"/>
        </w:rPr>
        <w:t>万元;国库集中支付网上结转</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863.04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rPr>
        <w:fldChar w:fldCharType="end"/>
      </w:r>
    </w:p>
    <w:p w14:paraId="2FA6C563">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(二)支出预算情况</w:t>
      </w:r>
    </w:p>
    <w:p w14:paraId="6531A5FF">
      <w:pPr>
        <w:ind w:firstLine="640" w:firstLineChars="200"/>
        <w:rPr>
          <w:rStyle w:val="16"/>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rPr>
        <w:t>2025年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Style w:val="16"/>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Fonts w:hint="eastAsia" w:ascii="仿宋" w:hAnsi="仿宋" w:eastAsia="仿宋" w:cs="仿宋"/>
          <w:kern w:val="0"/>
          <w:sz w:val="32"/>
          <w:szCs w:val="32"/>
          <w:u w:val="single"/>
          <w:lang w:val="en-US" w:eastAsia="zh-CN"/>
        </w:rPr>
        <w:t>1865.54</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1169.21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Style w:val="16"/>
          <w:rFonts w:hint="eastAsia" w:ascii="仿宋_GB2312" w:hAnsi="仿宋_GB2312" w:eastAsia="仿宋_GB2312" w:cs="仿宋_GB2312"/>
          <w:sz w:val="32"/>
          <w:szCs w:val="32"/>
        </w:rPr>
        <w:t>其中：</w:t>
      </w:r>
    </w:p>
    <w:p w14:paraId="60D96655">
      <w:pPr>
        <w:ind w:firstLine="640" w:firstLineChars="200"/>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1721.74</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306.17</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lang w:val="en-US" w:eastAsia="zh-CN"/>
        </w:rPr>
        <w:t>854.47</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848.6</w:t>
      </w:r>
      <w:r>
        <w:rPr>
          <w:rStyle w:val="16"/>
          <w:rFonts w:hint="eastAsia" w:ascii="仿宋_GB2312" w:hAnsi="仿宋_GB2312" w:eastAsia="仿宋_GB2312" w:cs="仿宋_GB2312"/>
          <w:sz w:val="32"/>
          <w:szCs w:val="32"/>
        </w:rPr>
        <w:t>万元,对个人和家庭的补助</w:t>
      </w:r>
      <w:r>
        <w:rPr>
          <w:rStyle w:val="16"/>
          <w:rFonts w:hint="eastAsia" w:ascii="仿宋_GB2312" w:hAnsi="仿宋_GB2312" w:eastAsia="仿宋_GB2312" w:cs="仿宋_GB2312"/>
          <w:sz w:val="32"/>
          <w:szCs w:val="32"/>
          <w:u w:val="single"/>
          <w:lang w:val="en-US" w:eastAsia="zh-CN"/>
        </w:rPr>
        <w:t>3.67</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15</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143.8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863.04</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35.8</w:t>
      </w:r>
      <w:r>
        <w:rPr>
          <w:rStyle w:val="16"/>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u w:val="single"/>
          <w:lang w:val="en-US" w:eastAsia="zh-CN"/>
        </w:rPr>
        <w:t>0</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4CBAA23D">
      <w:pPr>
        <w:ind w:firstLine="640" w:firstLineChars="200"/>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1847.66</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303.3</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万元;科学技术支出</w:t>
      </w:r>
      <w:r>
        <w:rPr>
          <w:rFonts w:hint="eastAsia" w:ascii="仿宋" w:hAnsi="仿宋" w:eastAsia="仿宋" w:cs="仿宋"/>
          <w:kern w:val="0"/>
          <w:sz w:val="32"/>
          <w:szCs w:val="32"/>
          <w:u w:val="single"/>
          <w:lang w:val="en-US" w:eastAsia="zh-CN"/>
        </w:rPr>
        <w:t>0</w:t>
      </w:r>
      <w:r>
        <w:rPr>
          <w:rStyle w:val="16"/>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3.67</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0.35</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万元,较上年预算安排增加（减少）</w:t>
      </w:r>
      <w:r>
        <w:rPr>
          <w:rStyle w:val="16"/>
          <w:rFonts w:hint="eastAsia" w:ascii="仿宋" w:hAnsi="仿宋" w:eastAsia="仿宋" w:cs="仿宋"/>
          <w:sz w:val="32"/>
          <w:szCs w:val="32"/>
          <w:u w:val="single"/>
          <w:lang w:val="en-US" w:eastAsia="zh-CN"/>
        </w:rPr>
        <w:t>12.32</w:t>
      </w:r>
      <w:r>
        <w:rPr>
          <w:rStyle w:val="16"/>
          <w:rFonts w:hint="eastAsia" w:ascii="仿宋_GB2312" w:hAnsi="仿宋_GB2312" w:eastAsia="仿宋_GB2312" w:cs="仿宋_GB2312"/>
          <w:sz w:val="32"/>
          <w:szCs w:val="32"/>
        </w:rPr>
        <w:t>万元;农林水支出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215</w:t>
      </w:r>
      <w:r>
        <w:rPr>
          <w:rStyle w:val="16"/>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14.21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2.52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0F798DE1">
      <w:pPr>
        <w:ind w:firstLine="640" w:firstLineChars="200"/>
        <w:rPr>
          <w:rStyle w:val="16"/>
          <w:rFonts w:hint="eastAsia" w:ascii="仿宋_GB2312" w:hAnsi="仿宋_GB2312" w:eastAsia="仿宋_GB2312" w:cs="仿宋_GB2312"/>
          <w:b/>
          <w:sz w:val="32"/>
          <w:szCs w:val="32"/>
        </w:rPr>
      </w:pPr>
      <w:r>
        <w:rPr>
          <w:rStyle w:val="16"/>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890.27</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36.52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956.6</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1022.12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3.67</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0.35</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 xml:space="preserve">15 </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Style w:val="16"/>
          <w:rFonts w:hint="eastAsia" w:ascii="仿宋_GB2312" w:hAnsi="仿宋_GB2312" w:eastAsia="仿宋_GB2312" w:cs="仿宋_GB2312"/>
          <w:sz w:val="32"/>
          <w:szCs w:val="32"/>
          <w:lang w:val="en-US" w:eastAsia="zh-CN"/>
        </w:rPr>
        <w:t xml:space="preserve"> </w:t>
      </w:r>
      <w:r>
        <w:rPr>
          <w:rStyle w:val="16"/>
          <w:rFonts w:hint="eastAsia" w:ascii="仿宋_GB2312" w:hAnsi="仿宋_GB2312" w:eastAsia="仿宋_GB2312" w:cs="仿宋_GB2312"/>
          <w:sz w:val="32"/>
          <w:szCs w:val="32"/>
          <w:u w:val="single"/>
          <w:lang w:val="en-US" w:eastAsia="zh-CN"/>
        </w:rPr>
        <w:t xml:space="preserve">  4   </w:t>
      </w:r>
      <w:r>
        <w:rPr>
          <w:rStyle w:val="16"/>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Style w:val="16"/>
          <w:rFonts w:hint="eastAsia" w:ascii="仿宋" w:hAnsi="仿宋" w:eastAsia="仿宋" w:cs="仿宋"/>
          <w:sz w:val="32"/>
          <w:szCs w:val="32"/>
          <w:u w:val="single"/>
          <w:lang w:val="en-US" w:eastAsia="zh-CN"/>
        </w:rPr>
        <w:t>114.22</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0F2D78FC">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(三)财政拨款支出情况</w:t>
      </w:r>
    </w:p>
    <w:p w14:paraId="170622F5">
      <w:pPr>
        <w:ind w:firstLine="640" w:firstLineChars="200"/>
        <w:rPr>
          <w:rStyle w:val="16"/>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rPr>
        <w:t>2025年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Style w:val="16"/>
          <w:rFonts w:hint="eastAsia" w:ascii="仿宋_GB2312" w:hAnsi="仿宋_GB2312" w:eastAsia="仿宋_GB2312" w:cs="仿宋_GB2312"/>
          <w:sz w:val="32"/>
          <w:szCs w:val="32"/>
        </w:rPr>
        <w:t>财政拨款支出预算总额为</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6"/>
          <w:rFonts w:hint="eastAsia" w:ascii="仿宋" w:hAnsi="仿宋" w:eastAsia="仿宋" w:cs="仿宋"/>
          <w:sz w:val="32"/>
          <w:szCs w:val="32"/>
          <w:u w:val="single"/>
          <w:lang w:val="en-US" w:eastAsia="zh-CN"/>
        </w:rPr>
        <w:t>1265.54</w:t>
      </w:r>
      <w:r>
        <w:rPr>
          <w:rStyle w:val="16"/>
          <w:rFonts w:hint="eastAsia" w:ascii="仿宋_GB2312" w:hAnsi="仿宋_GB2312" w:eastAsia="仿宋_GB2312" w:cs="仿宋_GB2312"/>
          <w:sz w:val="32"/>
          <w:szCs w:val="32"/>
        </w:rPr>
        <w:t>万元,较上年预算安排减少</w:t>
      </w:r>
      <w:r>
        <w:rPr>
          <w:rStyle w:val="16"/>
          <w:rFonts w:hint="eastAsia" w:ascii="仿宋" w:hAnsi="仿宋" w:eastAsia="仿宋" w:cs="仿宋"/>
          <w:sz w:val="32"/>
          <w:szCs w:val="32"/>
          <w:u w:val="single"/>
          <w:lang w:val="en-US" w:eastAsia="zh-CN"/>
        </w:rPr>
        <w:t>26.17</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3D9F5AB3">
      <w:pPr>
        <w:ind w:firstLine="640" w:firstLineChars="200"/>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lang w:val="en-US" w:eastAsia="zh-CN"/>
        </w:rPr>
        <w:t>1247.66</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3.67</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14.21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4552DE6D">
      <w:pPr>
        <w:ind w:firstLine="640" w:firstLineChars="200"/>
        <w:rPr>
          <w:rStyle w:val="16"/>
          <w:rFonts w:ascii="仿宋" w:hAnsi="仿宋" w:eastAsia="仿宋"/>
          <w:sz w:val="32"/>
          <w:szCs w:val="32"/>
        </w:rPr>
      </w:pPr>
      <w:r>
        <w:rPr>
          <w:rStyle w:val="16"/>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1121.74</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lang w:val="en-US" w:eastAsia="zh-CN"/>
        </w:rPr>
        <w:t>26.17</w:t>
      </w:r>
      <w:r>
        <w:rPr>
          <w:rStyle w:val="16"/>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lang w:val="en-US" w:eastAsia="zh-CN"/>
        </w:rPr>
        <w:t>854.47</w:t>
      </w:r>
      <w:r>
        <w:rPr>
          <w:rStyle w:val="16"/>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lang w:val="en-US" w:eastAsia="zh-CN"/>
        </w:rPr>
        <w:t xml:space="preserve">248.6 </w:t>
      </w:r>
      <w:r>
        <w:rPr>
          <w:rStyle w:val="16"/>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3.67</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15</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143.8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Style w:val="16"/>
          <w:rFonts w:hint="eastAsia" w:ascii="仿宋_GB2312" w:hAnsi="仿宋_GB2312" w:eastAsia="仿宋_GB2312" w:cs="仿宋_GB2312"/>
          <w:sz w:val="32"/>
          <w:szCs w:val="32"/>
        </w:rPr>
        <w:t>万元;其中：工资福利支出</w:t>
      </w:r>
      <w:r>
        <w:rPr>
          <w:rStyle w:val="16"/>
          <w:rFonts w:hint="eastAsia" w:ascii="仿宋_GB2312" w:hAnsi="仿宋_GB2312" w:eastAsia="仿宋_GB2312" w:cs="仿宋_GB2312"/>
          <w:sz w:val="32"/>
          <w:szCs w:val="32"/>
          <w:u w:val="single"/>
          <w:lang w:val="en-US" w:eastAsia="zh-CN"/>
        </w:rPr>
        <w:t>35.8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6248B05E">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(四)政府性基金情况</w:t>
      </w:r>
    </w:p>
    <w:p w14:paraId="01F2280B">
      <w:pPr>
        <w:ind w:firstLine="640" w:firstLineChars="200"/>
        <w:rPr>
          <w:rFonts w:hint="eastAsia" w:ascii="仿宋_GB2312" w:hAnsi="仿宋_GB2312" w:eastAsia="仿宋_GB2312" w:cs="仿宋_GB2312"/>
          <w:kern w:val="0"/>
          <w:sz w:val="32"/>
          <w:szCs w:val="32"/>
          <w:u w:val="single"/>
          <w:lang w:val="en-US" w:eastAsia="zh-CN"/>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年青云谱区商务局</w:t>
      </w:r>
      <w:r>
        <w:rPr>
          <w:rFonts w:hint="eastAsia" w:ascii="仿宋_GB2312" w:hAnsi="仿宋_GB2312" w:eastAsia="仿宋_GB2312" w:cs="仿宋_GB2312"/>
          <w:sz w:val="32"/>
          <w:szCs w:val="32"/>
        </w:rPr>
        <w:t>政府性基金支出预算</w:t>
      </w:r>
      <w:r>
        <w:rPr>
          <w:rStyle w:val="16"/>
          <w:rFonts w:hint="eastAsia" w:ascii="仿宋_GB2312" w:hAnsi="仿宋_GB2312" w:eastAsia="仿宋_GB2312" w:cs="仿宋_GB2312"/>
          <w:sz w:val="32"/>
          <w:szCs w:val="32"/>
        </w:rPr>
        <w:t>为</w:t>
      </w:r>
      <w:r>
        <w:rPr>
          <w:rStyle w:val="16"/>
          <w:rFonts w:hint="eastAsia" w:ascii="仿宋_GB2312" w:hAnsi="仿宋_GB2312" w:eastAsia="仿宋_GB2312" w:cs="仿宋_GB2312"/>
          <w:sz w:val="32"/>
          <w:szCs w:val="32"/>
          <w:u w:val="single"/>
          <w:lang w:val="en-US" w:eastAsia="zh-CN"/>
        </w:rPr>
        <w:t>0</w:t>
      </w:r>
    </w:p>
    <w:p w14:paraId="153A3295">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202</w:t>
      </w:r>
      <w:r>
        <w:rPr>
          <w:rFonts w:hint="eastAsia" w:ascii="FangSong_GB2312" w:hAnsi="FangSong_GB2312" w:eastAsia="FangSong_GB2312" w:cs="FangSong_GB2312"/>
          <w:kern w:val="0"/>
          <w:sz w:val="32"/>
          <w:szCs w:val="32"/>
          <w:lang w:val="en-US" w:eastAsia="zh-CN"/>
        </w:rPr>
        <w:t>5</w:t>
      </w:r>
      <w:r>
        <w:rPr>
          <w:rFonts w:hint="eastAsia" w:ascii="FangSong_GB2312" w:hAnsi="FangSong_GB2312" w:eastAsia="FangSong_GB2312" w:cs="FangSong_GB2312"/>
          <w:kern w:val="0"/>
          <w:sz w:val="32"/>
          <w:szCs w:val="32"/>
        </w:rPr>
        <w:t>年青云谱区商务局无政府性基金支出预算。</w:t>
      </w:r>
    </w:p>
    <w:p w14:paraId="2337D78D">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（五）国有资本经营情况</w:t>
      </w:r>
    </w:p>
    <w:p w14:paraId="19801E56">
      <w:pPr>
        <w:ind w:firstLine="640" w:firstLineChars="200"/>
        <w:rPr>
          <w:rStyle w:val="16"/>
          <w:rFonts w:ascii="仿宋_GB2312" w:hAnsi="仿宋_GB2312" w:eastAsia="仿宋_GB2312" w:cs="仿宋_GB2312"/>
          <w:sz w:val="32"/>
          <w:szCs w:val="32"/>
          <w:u w:val="single"/>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年青云谱区商务局</w:t>
      </w:r>
      <w:r>
        <w:rPr>
          <w:rStyle w:val="16"/>
          <w:rFonts w:hint="eastAsia" w:ascii="仿宋_GB2312" w:hAnsi="仿宋_GB2312" w:eastAsia="仿宋_GB2312" w:cs="仿宋_GB2312"/>
          <w:sz w:val="32"/>
          <w:szCs w:val="32"/>
        </w:rPr>
        <w:t>国有资本经营支出预算为</w:t>
      </w:r>
      <w:r>
        <w:rPr>
          <w:rStyle w:val="16"/>
          <w:rFonts w:hint="eastAsia" w:ascii="仿宋_GB2312" w:hAnsi="仿宋_GB2312" w:eastAsia="仿宋_GB2312" w:cs="仿宋_GB2312"/>
          <w:sz w:val="32"/>
          <w:szCs w:val="32"/>
          <w:u w:val="single"/>
          <w:lang w:val="en-US" w:eastAsia="zh-CN"/>
        </w:rPr>
        <w:t>0</w:t>
      </w:r>
      <w:r>
        <w:rPr>
          <w:rFonts w:hint="eastAsia" w:ascii="仿宋_GB2312" w:hAnsi="仿宋_GB2312" w:eastAsia="仿宋_GB2312" w:cs="仿宋_GB2312"/>
          <w:sz w:val="32"/>
          <w:szCs w:val="32"/>
          <w:u w:val="single"/>
        </w:rPr>
        <w:fldChar w:fldCharType="begin"/>
      </w:r>
      <w:r>
        <w:rPr>
          <w:rStyle w:val="16"/>
          <w:rFonts w:hint="eastAsia" w:ascii="仿宋_GB2312" w:hAnsi="仿宋_GB2312" w:eastAsia="仿宋_GB2312" w:cs="仿宋_GB2312"/>
          <w:sz w:val="32"/>
          <w:szCs w:val="32"/>
          <w:u w:val="single"/>
        </w:rPr>
        <w:instrText xml:space="preserve">MERGEFIELD ${page400644146.ds215660413_REP_BGT_T_HC1100002019_DXQ02_S_AMTGYZBJYYSZJ}</w:instrText>
      </w:r>
      <w:r>
        <w:rPr>
          <w:rFonts w:hint="eastAsia" w:ascii="仿宋_GB2312" w:hAnsi="仿宋_GB2312" w:eastAsia="仿宋_GB2312" w:cs="仿宋_GB2312"/>
          <w:sz w:val="32"/>
          <w:szCs w:val="32"/>
          <w:u w:val="single"/>
        </w:rPr>
        <w:fldChar w:fldCharType="end"/>
      </w:r>
    </w:p>
    <w:p w14:paraId="46F908DF">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202</w:t>
      </w:r>
      <w:r>
        <w:rPr>
          <w:rFonts w:hint="eastAsia" w:ascii="FangSong_GB2312" w:hAnsi="FangSong_GB2312" w:eastAsia="FangSong_GB2312" w:cs="FangSong_GB2312"/>
          <w:kern w:val="0"/>
          <w:sz w:val="32"/>
          <w:szCs w:val="32"/>
          <w:lang w:val="en-US" w:eastAsia="zh-CN"/>
        </w:rPr>
        <w:t>5</w:t>
      </w:r>
      <w:r>
        <w:rPr>
          <w:rFonts w:hint="eastAsia" w:ascii="FangSong_GB2312" w:hAnsi="FangSong_GB2312" w:eastAsia="FangSong_GB2312" w:cs="FangSong_GB2312"/>
          <w:kern w:val="0"/>
          <w:sz w:val="32"/>
          <w:szCs w:val="32"/>
        </w:rPr>
        <w:t>年青云谱区商务局无国有资本经营支出预算。</w:t>
      </w:r>
    </w:p>
    <w:p w14:paraId="7360EC8C">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Style w:val="16"/>
          <w:rFonts w:ascii="Adobe 仿宋 Std R" w:hAnsi="Adobe 仿宋 Std R" w:eastAsia="Adobe 仿宋 Std R"/>
          <w:b/>
          <w:sz w:val="32"/>
          <w:szCs w:val="32"/>
        </w:rPr>
      </w:pPr>
      <w:r>
        <w:rPr>
          <w:rFonts w:hint="eastAsia" w:ascii="楷体_GB2312" w:hAnsi="楷体_GB2312" w:eastAsia="楷体_GB2312" w:cs="楷体_GB2312"/>
          <w:b/>
          <w:bCs w:val="0"/>
          <w:sz w:val="32"/>
          <w:szCs w:val="32"/>
          <w:lang w:val="en-US" w:eastAsia="zh-CN"/>
        </w:rPr>
        <w:t>（六）机关运行经费等重要事项的说明</w:t>
      </w:r>
    </w:p>
    <w:p w14:paraId="559343D4">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263.6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万元，比</w:t>
      </w:r>
      <w:r>
        <w:rPr>
          <w:rStyle w:val="16"/>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rPr>
        <w:t>预算增加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4.2</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w:t>
      </w:r>
    </w:p>
    <w:p w14:paraId="5AF8883E">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14B95570">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(七)政府采购情况</w:t>
      </w:r>
    </w:p>
    <w:p w14:paraId="1AAC62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部门所属各单位政府采购总额</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w:t>
      </w:r>
    </w:p>
    <w:p w14:paraId="3560F53E">
      <w:pPr>
        <w:keepNext w:val="0"/>
        <w:keepLines w:val="0"/>
        <w:pageBreakBefore w:val="0"/>
        <w:widowControl w:val="0"/>
        <w:kinsoku/>
        <w:wordWrap/>
        <w:overflowPunct/>
        <w:topLinePunct w:val="0"/>
        <w:autoSpaceDE/>
        <w:autoSpaceDN/>
        <w:bidi w:val="0"/>
        <w:adjustRightInd/>
        <w:snapToGrid/>
        <w:ind w:firstLine="643" w:firstLineChars="200"/>
        <w:textAlignment w:val="auto"/>
        <w:rPr>
          <w:rStyle w:val="16"/>
          <w:rFonts w:ascii="Adobe 仿宋 Std R" w:hAnsi="Adobe 仿宋 Std R" w:eastAsia="Adobe 仿宋 Std R"/>
          <w:b/>
          <w:sz w:val="32"/>
          <w:szCs w:val="32"/>
        </w:rPr>
      </w:pPr>
      <w:r>
        <w:rPr>
          <w:rFonts w:hint="eastAsia" w:ascii="楷体_GB2312" w:hAnsi="楷体_GB2312" w:eastAsia="楷体_GB2312" w:cs="楷体_GB2312"/>
          <w:b/>
          <w:bCs w:val="0"/>
          <w:sz w:val="32"/>
          <w:szCs w:val="32"/>
          <w:lang w:val="en-US" w:eastAsia="zh-CN"/>
        </w:rPr>
        <w:t>(八)</w:t>
      </w:r>
      <w:r>
        <w:rPr>
          <w:rStyle w:val="16"/>
          <w:rFonts w:hint="eastAsia" w:ascii="Adobe 仿宋 Std R" w:hAnsi="Adobe 仿宋 Std R" w:eastAsia="Adobe 仿宋 Std R"/>
          <w:b/>
          <w:sz w:val="32"/>
          <w:szCs w:val="32"/>
        </w:rPr>
        <w:t>国有资产占有使用情况</w:t>
      </w:r>
    </w:p>
    <w:p w14:paraId="501609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2024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12</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sz w:val="32"/>
          <w:szCs w:val="30"/>
          <w:u w:val="single"/>
          <w:lang w:val="en-US" w:eastAsia="zh-CN"/>
        </w:rPr>
        <w:t>31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color w:val="auto"/>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63EA8AF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部门预算安排购置车辆</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0</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辆，安排购置单位价值200万元以上大型设备具体为：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无</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4A167859">
      <w:pPr>
        <w:keepNext w:val="0"/>
        <w:keepLines w:val="0"/>
        <w:pageBreakBefore w:val="0"/>
        <w:widowControl w:val="0"/>
        <w:kinsoku/>
        <w:wordWrap/>
        <w:overflowPunct/>
        <w:topLinePunct w:val="0"/>
        <w:autoSpaceDE/>
        <w:autoSpaceDN/>
        <w:bidi w:val="0"/>
        <w:adjustRightInd/>
        <w:snapToGrid/>
        <w:ind w:firstLine="643" w:firstLineChars="200"/>
        <w:textAlignment w:val="auto"/>
        <w:rPr>
          <w:rStyle w:val="16"/>
          <w:rFonts w:hint="eastAsia" w:ascii="Adobe 仿宋 Std R" w:hAnsi="Adobe 仿宋 Std R" w:eastAsia="Adobe 仿宋 Std R" w:cs="Times New Roman"/>
          <w:b/>
          <w:sz w:val="32"/>
          <w:szCs w:val="32"/>
        </w:rPr>
      </w:pPr>
      <w:r>
        <w:rPr>
          <w:rFonts w:hint="eastAsia" w:ascii="楷体_GB2312" w:hAnsi="楷体_GB2312" w:eastAsia="楷体_GB2312" w:cs="楷体_GB2312"/>
          <w:b/>
          <w:bCs w:val="0"/>
          <w:sz w:val="32"/>
          <w:szCs w:val="32"/>
          <w:lang w:val="en-US" w:eastAsia="zh-CN"/>
        </w:rPr>
        <w:t>（九）</w:t>
      </w:r>
      <w:r>
        <w:rPr>
          <w:rStyle w:val="16"/>
          <w:rFonts w:hint="eastAsia" w:ascii="Adobe 仿宋 Std R" w:hAnsi="Adobe 仿宋 Std R" w:eastAsia="Adobe 仿宋 Std R" w:cs="Times New Roman"/>
          <w:b/>
          <w:sz w:val="32"/>
          <w:szCs w:val="32"/>
        </w:rPr>
        <w:t>项目情况说明（部门）</w:t>
      </w:r>
    </w:p>
    <w:p w14:paraId="4C666B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招商引资</w:t>
      </w:r>
      <w:r>
        <w:rPr>
          <w:rFonts w:hint="eastAsia" w:ascii="仿宋_GB2312" w:hAnsi="仿宋_GB2312" w:eastAsia="仿宋_GB2312" w:cs="仿宋_GB2312"/>
          <w:sz w:val="32"/>
          <w:szCs w:val="32"/>
        </w:rPr>
        <w:t>项目</w:t>
      </w:r>
    </w:p>
    <w:p w14:paraId="0FD09E3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1）项目概述</w:t>
      </w:r>
      <w:r>
        <w:rPr>
          <w:rFonts w:hint="eastAsia" w:ascii="仿宋_GB2312" w:hAnsi="仿宋_GB2312" w:eastAsia="仿宋_GB2312" w:cs="仿宋_GB2312"/>
          <w:sz w:val="32"/>
          <w:szCs w:val="32"/>
          <w:lang w:eastAsia="zh-CN"/>
        </w:rPr>
        <w:t>：围绕“生态人文都市区、产业创新未来城”的战略定位，以“拼争项目量质突破年”为主题，踔厉奋发、勇毅前行，紧盯高大上，聚集链群配，持续开展招大引强，以精准化、专业化招商为路径，引进一批延链强链补链，切实提升产业能级的高效益、引领性强的优质项目，着力提升招商引资规模效益和带动效益，努力开创全区招商引资工作新格局。</w:t>
      </w:r>
    </w:p>
    <w:p w14:paraId="4006C47B">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2）立项依据</w:t>
      </w:r>
      <w:r>
        <w:rPr>
          <w:rFonts w:hint="eastAsia" w:ascii="仿宋_GB2312" w:hAnsi="仿宋_GB2312" w:eastAsia="仿宋_GB2312" w:cs="仿宋_GB2312"/>
          <w:sz w:val="32"/>
          <w:szCs w:val="32"/>
          <w:lang w:eastAsia="zh-CN"/>
        </w:rPr>
        <w:t>：关于印发《2024年南昌市招商引资工作要点》的通知（洪开放办字〔2024〕5号）</w:t>
      </w:r>
    </w:p>
    <w:p w14:paraId="1E7C772C">
      <w:pPr>
        <w:ind w:firstLine="6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3）实施主体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青云谱区商务局</w:t>
      </w:r>
    </w:p>
    <w:p w14:paraId="0B8F2A39">
      <w:pPr>
        <w:ind w:firstLine="6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）实施周期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年全年</w:t>
      </w:r>
    </w:p>
    <w:p w14:paraId="5B912343">
      <w:pPr>
        <w:ind w:firstLine="6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）年度预算安排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108万元</w:t>
      </w:r>
    </w:p>
    <w:p w14:paraId="7D001793">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）绩效目标和指标</w:t>
      </w:r>
      <w:r>
        <w:rPr>
          <w:rFonts w:hint="eastAsia" w:ascii="仿宋_GB2312" w:hAnsi="仿宋_GB2312" w:eastAsia="仿宋_GB2312" w:cs="仿宋_GB2312"/>
          <w:sz w:val="32"/>
          <w:szCs w:val="32"/>
          <w:lang w:eastAsia="zh-CN"/>
        </w:rPr>
        <w:t>：签约引进80个招商引资项目，其中不少于15个高品质服务业项目，含2个亿元以上总部等优强项目。</w:t>
      </w:r>
    </w:p>
    <w:p w14:paraId="0DEB3C42">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rPr>
        <w:t>项目</w:t>
      </w:r>
    </w:p>
    <w:p w14:paraId="33CDB2A6">
      <w:pPr>
        <w:numPr>
          <w:ilvl w:val="0"/>
          <w:numId w:val="0"/>
        </w:numPr>
        <w:ind w:firstLine="643" w:firstLineChars="200"/>
        <w:rPr>
          <w:rFonts w:hint="eastAsia" w:ascii="Adobe 仿宋 Std R" w:hAnsi="Adobe 仿宋 Std R" w:eastAsia="Adobe 仿宋 Std R"/>
          <w:sz w:val="32"/>
          <w:szCs w:val="32"/>
        </w:rPr>
      </w:pPr>
      <w:r>
        <w:rPr>
          <w:rFonts w:hint="eastAsia" w:ascii="仿宋_GB2312" w:eastAsia="仿宋_GB2312"/>
          <w:b/>
          <w:bCs/>
          <w:sz w:val="32"/>
          <w:szCs w:val="30"/>
        </w:rPr>
        <w:t>总体情况</w:t>
      </w:r>
      <w:r>
        <w:rPr>
          <w:rFonts w:hint="eastAsia" w:ascii="仿宋_GB2312" w:eastAsia="仿宋_GB2312"/>
          <w:sz w:val="32"/>
          <w:szCs w:val="30"/>
        </w:rPr>
        <w:t>：202</w:t>
      </w:r>
      <w:r>
        <w:rPr>
          <w:rFonts w:hint="default" w:ascii="仿宋_GB2312" w:eastAsia="仿宋_GB2312"/>
          <w:sz w:val="32"/>
          <w:szCs w:val="30"/>
          <w:lang w:val="en-US"/>
        </w:rPr>
        <w:t>5</w:t>
      </w:r>
      <w:r>
        <w:rPr>
          <w:rFonts w:hint="eastAsia" w:ascii="仿宋_GB2312" w:eastAsia="仿宋_GB2312"/>
          <w:sz w:val="32"/>
          <w:szCs w:val="30"/>
        </w:rPr>
        <w:t>年实行绩效目标管理的项目</w:t>
      </w:r>
      <w:r>
        <w:rPr>
          <w:rFonts w:hint="eastAsia" w:ascii="仿宋_GB2312" w:eastAsia="仿宋_GB2312"/>
          <w:sz w:val="32"/>
          <w:szCs w:val="30"/>
          <w:lang w:val="en-US" w:eastAsia="zh-CN"/>
        </w:rPr>
        <w:t>3</w:t>
      </w:r>
      <w:r>
        <w:rPr>
          <w:rFonts w:hint="eastAsia" w:ascii="仿宋_GB2312" w:eastAsia="仿宋_GB2312"/>
          <w:sz w:val="32"/>
          <w:szCs w:val="30"/>
        </w:rPr>
        <w:t>个，涉及资金</w:t>
      </w:r>
      <w:r>
        <w:rPr>
          <w:rFonts w:hint="eastAsia" w:ascii="仿宋_GB2312" w:eastAsia="仿宋_GB2312"/>
          <w:sz w:val="32"/>
          <w:szCs w:val="30"/>
          <w:lang w:val="en-US" w:eastAsia="zh-CN"/>
        </w:rPr>
        <w:t>35.8</w:t>
      </w:r>
      <w:r>
        <w:rPr>
          <w:rFonts w:hint="eastAsia" w:ascii="仿宋_GB2312" w:eastAsia="仿宋_GB2312"/>
          <w:sz w:val="32"/>
          <w:szCs w:val="30"/>
        </w:rPr>
        <w:t>万元。</w:t>
      </w:r>
    </w:p>
    <w:p w14:paraId="616A9926">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1）项目概述</w:t>
      </w:r>
      <w:r>
        <w:rPr>
          <w:rFonts w:hint="eastAsia" w:ascii="Adobe 仿宋 Std R" w:hAnsi="Adobe 仿宋 Std R" w:eastAsia="Adobe 仿宋 Std R"/>
          <w:sz w:val="32"/>
          <w:szCs w:val="32"/>
          <w:lang w:eastAsia="zh-CN"/>
        </w:rPr>
        <w:t>：征用场地定向补助款、南苑停车场管理费、弥补社保金缺口（三店街办活动中心场地租金补助）。</w:t>
      </w:r>
    </w:p>
    <w:p w14:paraId="2AC33DAE">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2）立项依据</w:t>
      </w:r>
      <w:r>
        <w:rPr>
          <w:rFonts w:hint="eastAsia" w:ascii="Adobe 仿宋 Std R" w:hAnsi="Adobe 仿宋 Std R" w:eastAsia="Adobe 仿宋 Std R"/>
          <w:sz w:val="32"/>
          <w:szCs w:val="32"/>
          <w:lang w:eastAsia="zh-CN"/>
        </w:rPr>
        <w:t>：为了补助单位市场管理人员开支及日常经费不足，以及给予商业街日常运营补贴，设立“</w:t>
      </w:r>
      <w:r>
        <w:rPr>
          <w:rFonts w:hint="eastAsia" w:ascii="Adobe 仿宋 Std R" w:hAnsi="Adobe 仿宋 Std R" w:eastAsia="Adobe 仿宋 Std R"/>
          <w:sz w:val="32"/>
          <w:szCs w:val="32"/>
          <w:lang w:val="en-US" w:eastAsia="zh-CN"/>
        </w:rPr>
        <w:t>2024年征用场地定向补助、南苑停车场管理费、</w:t>
      </w:r>
      <w:r>
        <w:rPr>
          <w:rFonts w:hint="eastAsia" w:ascii="Adobe 仿宋 Std R" w:hAnsi="Adobe 仿宋 Std R" w:eastAsia="Adobe 仿宋 Std R"/>
          <w:sz w:val="32"/>
          <w:szCs w:val="32"/>
          <w:lang w:eastAsia="zh-CN"/>
        </w:rPr>
        <w:t>弥补社保金缺口（三店街办活动中心场地租金补助）项目。</w:t>
      </w:r>
    </w:p>
    <w:p w14:paraId="42001F77">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3）实施主体</w:t>
      </w:r>
      <w:r>
        <w:rPr>
          <w:rFonts w:hint="eastAsia" w:ascii="Adobe 仿宋 Std R" w:hAnsi="Adobe 仿宋 Std R" w:eastAsia="Adobe 仿宋 Std R"/>
          <w:sz w:val="32"/>
          <w:szCs w:val="32"/>
          <w:lang w:eastAsia="zh-CN"/>
        </w:rPr>
        <w:t>：青云谱区中小商贸流通企业服务中心</w:t>
      </w:r>
    </w:p>
    <w:p w14:paraId="408C4FF2">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4）实施方案</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202</w:t>
      </w:r>
      <w:r>
        <w:rPr>
          <w:rFonts w:hint="default" w:ascii="Adobe 仿宋 Std R" w:hAnsi="Adobe 仿宋 Std R" w:eastAsia="Adobe 仿宋 Std R"/>
          <w:sz w:val="32"/>
          <w:szCs w:val="32"/>
          <w:lang w:val="en-US" w:eastAsia="zh-CN"/>
        </w:rPr>
        <w:t>5</w:t>
      </w:r>
      <w:r>
        <w:rPr>
          <w:rFonts w:hint="eastAsia" w:ascii="Adobe 仿宋 Std R" w:hAnsi="Adobe 仿宋 Std R" w:eastAsia="Adobe 仿宋 Std R"/>
          <w:sz w:val="32"/>
          <w:szCs w:val="32"/>
          <w:lang w:val="en-US" w:eastAsia="zh-CN"/>
        </w:rPr>
        <w:t>年征用场地定向补助、南苑停车场管理费、</w:t>
      </w:r>
      <w:r>
        <w:rPr>
          <w:rFonts w:hint="eastAsia" w:ascii="Adobe 仿宋 Std R" w:hAnsi="Adobe 仿宋 Std R" w:eastAsia="Adobe 仿宋 Std R"/>
          <w:sz w:val="32"/>
          <w:szCs w:val="32"/>
          <w:lang w:eastAsia="zh-CN"/>
        </w:rPr>
        <w:t>弥补社保金缺口（三店街办活动中心场地租金补助）。</w:t>
      </w:r>
    </w:p>
    <w:p w14:paraId="4FD2933A">
      <w:pPr>
        <w:ind w:firstLine="640" w:firstLineChars="200"/>
        <w:rPr>
          <w:rFonts w:hint="eastAsia" w:ascii="Adobe 仿宋 Std R" w:hAnsi="Adobe 仿宋 Std R" w:eastAsia="Adobe 仿宋 Std R"/>
          <w:sz w:val="32"/>
          <w:szCs w:val="32"/>
          <w:lang w:val="en-US" w:eastAsia="zh-CN"/>
        </w:rPr>
      </w:pPr>
      <w:r>
        <w:rPr>
          <w:rFonts w:hint="eastAsia" w:ascii="Adobe 仿宋 Std R" w:hAnsi="Adobe 仿宋 Std R" w:eastAsia="Adobe 仿宋 Std R"/>
          <w:sz w:val="32"/>
          <w:szCs w:val="32"/>
        </w:rPr>
        <w:t>5）实施周期</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202</w:t>
      </w:r>
      <w:r>
        <w:rPr>
          <w:rFonts w:hint="default" w:ascii="Adobe 仿宋 Std R" w:hAnsi="Adobe 仿宋 Std R" w:eastAsia="Adobe 仿宋 Std R"/>
          <w:sz w:val="32"/>
          <w:szCs w:val="32"/>
          <w:lang w:val="en-US" w:eastAsia="zh-CN"/>
        </w:rPr>
        <w:t>5</w:t>
      </w:r>
      <w:r>
        <w:rPr>
          <w:rFonts w:hint="eastAsia" w:ascii="Adobe 仿宋 Std R" w:hAnsi="Adobe 仿宋 Std R" w:eastAsia="Adobe 仿宋 Std R"/>
          <w:sz w:val="32"/>
          <w:szCs w:val="32"/>
          <w:lang w:val="en-US" w:eastAsia="zh-CN"/>
        </w:rPr>
        <w:t>年1月1日至202</w:t>
      </w:r>
      <w:r>
        <w:rPr>
          <w:rFonts w:hint="default" w:ascii="Adobe 仿宋 Std R" w:hAnsi="Adobe 仿宋 Std R" w:eastAsia="Adobe 仿宋 Std R"/>
          <w:sz w:val="32"/>
          <w:szCs w:val="32"/>
          <w:lang w:val="en-US" w:eastAsia="zh-CN"/>
        </w:rPr>
        <w:t>5</w:t>
      </w:r>
      <w:r>
        <w:rPr>
          <w:rFonts w:hint="eastAsia" w:ascii="Adobe 仿宋 Std R" w:hAnsi="Adobe 仿宋 Std R" w:eastAsia="Adobe 仿宋 Std R"/>
          <w:sz w:val="32"/>
          <w:szCs w:val="32"/>
          <w:lang w:val="en-US" w:eastAsia="zh-CN"/>
        </w:rPr>
        <w:t>年12月31日</w:t>
      </w:r>
    </w:p>
    <w:p w14:paraId="1A977414">
      <w:pPr>
        <w:ind w:firstLine="640" w:firstLineChars="200"/>
        <w:rPr>
          <w:rFonts w:hint="eastAsia" w:ascii="Adobe 仿宋 Std R" w:hAnsi="Adobe 仿宋 Std R" w:eastAsia="Adobe 仿宋 Std R"/>
          <w:sz w:val="32"/>
          <w:szCs w:val="32"/>
          <w:lang w:val="en-US" w:eastAsia="zh-CN"/>
        </w:rPr>
      </w:pP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35.8万元</w:t>
      </w:r>
    </w:p>
    <w:p w14:paraId="4728E095">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7）绩效目标和指标</w:t>
      </w:r>
      <w:r>
        <w:rPr>
          <w:rFonts w:hint="eastAsia" w:ascii="Adobe 仿宋 Std R" w:hAnsi="Adobe 仿宋 Std R" w:eastAsia="Adobe 仿宋 Std R"/>
          <w:sz w:val="32"/>
          <w:szCs w:val="32"/>
          <w:lang w:eastAsia="zh-CN"/>
        </w:rPr>
        <w:t>：为了补助单位市场管理人员开支及日常经费不足，以及给予商业街日常运营补贴，设立“</w:t>
      </w:r>
      <w:r>
        <w:rPr>
          <w:rFonts w:hint="eastAsia" w:ascii="Adobe 仿宋 Std R" w:hAnsi="Adobe 仿宋 Std R" w:eastAsia="Adobe 仿宋 Std R"/>
          <w:sz w:val="32"/>
          <w:szCs w:val="32"/>
          <w:lang w:val="en-US" w:eastAsia="zh-CN"/>
        </w:rPr>
        <w:t>202</w:t>
      </w:r>
      <w:r>
        <w:rPr>
          <w:rFonts w:hint="default" w:ascii="Adobe 仿宋 Std R" w:hAnsi="Adobe 仿宋 Std R" w:eastAsia="Adobe 仿宋 Std R"/>
          <w:sz w:val="32"/>
          <w:szCs w:val="32"/>
          <w:lang w:val="en-US" w:eastAsia="zh-CN"/>
        </w:rPr>
        <w:t>5</w:t>
      </w:r>
      <w:r>
        <w:rPr>
          <w:rFonts w:hint="eastAsia" w:ascii="Adobe 仿宋 Std R" w:hAnsi="Adobe 仿宋 Std R" w:eastAsia="Adobe 仿宋 Std R"/>
          <w:sz w:val="32"/>
          <w:szCs w:val="32"/>
          <w:lang w:val="en-US" w:eastAsia="zh-CN"/>
        </w:rPr>
        <w:t>年征用场地定向补助、南苑停车场管理费、</w:t>
      </w:r>
      <w:r>
        <w:rPr>
          <w:rFonts w:hint="eastAsia" w:ascii="Adobe 仿宋 Std R" w:hAnsi="Adobe 仿宋 Std R" w:eastAsia="Adobe 仿宋 Std R"/>
          <w:sz w:val="32"/>
          <w:szCs w:val="32"/>
          <w:lang w:eastAsia="zh-CN"/>
        </w:rPr>
        <w:t>弥补社保金缺口（三店街办活动中心场地租金补助）项目。</w:t>
      </w:r>
    </w:p>
    <w:p w14:paraId="271F141D">
      <w:pPr>
        <w:ind w:firstLine="642"/>
        <w:rPr>
          <w:rFonts w:ascii="Adobe 仿宋 Std R" w:hAnsi="Adobe 仿宋 Std R" w:eastAsia="Adobe 仿宋 Std R"/>
          <w:sz w:val="32"/>
          <w:szCs w:val="32"/>
        </w:rPr>
      </w:pPr>
    </w:p>
    <w:p w14:paraId="040AEC49">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二、2025年“三公”经费预算情况说明</w:t>
      </w:r>
    </w:p>
    <w:p w14:paraId="739A09E5">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kern w:val="0"/>
          <w:sz w:val="32"/>
          <w:szCs w:val="32"/>
          <w:lang w:eastAsia="zh-CN"/>
        </w:rPr>
        <w:t>2025年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Fonts w:hint="eastAsia" w:ascii="仿宋_GB2312" w:hAnsi="仿宋_GB2312" w:eastAsia="仿宋_GB2312" w:cs="仿宋_GB2312"/>
          <w:bCs/>
          <w:sz w:val="32"/>
          <w:szCs w:val="32"/>
        </w:rPr>
        <w:t>"三公"经费一般公共预算安排</w:t>
      </w:r>
      <w:r>
        <w:rPr>
          <w:rStyle w:val="16"/>
          <w:rFonts w:hint="eastAsia" w:ascii="仿宋" w:hAnsi="仿宋" w:eastAsia="仿宋" w:cs="仿宋"/>
          <w:sz w:val="32"/>
          <w:szCs w:val="32"/>
          <w:u w:val="single"/>
          <w:lang w:val="en-US" w:eastAsia="zh-CN"/>
        </w:rPr>
        <w:t>33.4</w:t>
      </w:r>
      <w:r>
        <w:rPr>
          <w:rFonts w:hint="eastAsia" w:ascii="仿宋_GB2312" w:hAnsi="仿宋_GB2312" w:eastAsia="仿宋_GB2312" w:cs="仿宋_GB2312"/>
          <w:bCs/>
          <w:sz w:val="32"/>
          <w:szCs w:val="32"/>
        </w:rPr>
        <w:t>万元，其中：</w:t>
      </w:r>
    </w:p>
    <w:p w14:paraId="3039E225">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节约资金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26B49940">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17.4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bCs/>
          <w:sz w:val="32"/>
          <w:szCs w:val="32"/>
          <w:u w:val="single"/>
          <w:lang w:val="en-US" w:eastAsia="zh-CN"/>
        </w:rPr>
        <w:t>0.1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节约资金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1593B15E">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FangSong_GB2312" w:hAnsi="FangSong_GB2312" w:eastAsia="FangSong_GB2312" w:cs="FangSong_GB2312"/>
          <w:sz w:val="32"/>
          <w:szCs w:val="30"/>
          <w:u w:val="single"/>
        </w:rPr>
        <w:t>无此项业务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395F6E57">
      <w:pPr>
        <w:ind w:firstLine="640" w:firstLineChars="200"/>
        <w:jc w:val="left"/>
        <w:rPr>
          <w:rFonts w:ascii="仿宋" w:hAnsi="仿宋" w:eastAsia="仿宋"/>
          <w:bCs/>
          <w:sz w:val="32"/>
          <w:szCs w:val="32"/>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FangSong_GB2312" w:hAnsi="FangSong_GB2312" w:eastAsia="FangSong_GB2312" w:cs="FangSong_GB2312"/>
          <w:sz w:val="32"/>
          <w:szCs w:val="30"/>
          <w:u w:val="single"/>
        </w:rPr>
        <w:t>无此项业务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7A415898">
      <w:pPr>
        <w:widowControl/>
        <w:spacing w:line="580" w:lineRule="exact"/>
        <w:jc w:val="center"/>
        <w:rPr>
          <w:rFonts w:hint="eastAsia" w:ascii="仿宋_GB2312" w:eastAsia="仿宋_GB2312"/>
          <w:b/>
          <w:sz w:val="32"/>
          <w:szCs w:val="30"/>
        </w:rPr>
      </w:pPr>
    </w:p>
    <w:p w14:paraId="5DB38AEA">
      <w:pPr>
        <w:widowControl/>
        <w:shd w:val="clear" w:color="auto" w:fill="FFFFFF"/>
        <w:spacing w:line="640" w:lineRule="atLeast"/>
        <w:jc w:val="both"/>
        <w:rPr>
          <w:rFonts w:ascii="仿宋_GB2312" w:eastAsia="仿宋_GB2312"/>
          <w:b/>
          <w:sz w:val="32"/>
          <w:szCs w:val="30"/>
        </w:rPr>
      </w:pPr>
    </w:p>
    <w:p w14:paraId="2BC2F16E">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第四部分   名词解释</w:t>
      </w:r>
    </w:p>
    <w:p w14:paraId="6F2D8E7C">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一、收入科目</w:t>
      </w:r>
    </w:p>
    <w:p w14:paraId="2C774BA1">
      <w:pPr>
        <w:keepNext w:val="0"/>
        <w:keepLines w:val="0"/>
        <w:pageBreakBefore w:val="0"/>
        <w:widowControl/>
        <w:shd w:val="clear" w:color="auto" w:fill="FFFFFF"/>
        <w:kinsoku/>
        <w:wordWrap/>
        <w:overflowPunct/>
        <w:topLinePunct w:val="0"/>
        <w:autoSpaceDE/>
        <w:autoSpaceDN/>
        <w:bidi w:val="0"/>
        <w:adjustRightInd/>
        <w:snapToGrid/>
        <w:spacing w:line="64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30D857F2">
      <w:pPr>
        <w:keepNext w:val="0"/>
        <w:keepLines w:val="0"/>
        <w:pageBreakBefore w:val="0"/>
        <w:widowControl/>
        <w:numPr>
          <w:ilvl w:val="0"/>
          <w:numId w:val="1"/>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3CFA5831">
      <w:pPr>
        <w:keepNext w:val="0"/>
        <w:keepLines w:val="0"/>
        <w:pageBreakBefore w:val="0"/>
        <w:widowControl/>
        <w:numPr>
          <w:ilvl w:val="0"/>
          <w:numId w:val="1"/>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1B11A469">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1F092E0C">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6F068E55">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697BA14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0C985F51">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628BBA78">
      <w:pPr>
        <w:keepNext w:val="0"/>
        <w:keepLines w:val="0"/>
        <w:pageBreakBefore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w:t>
      </w:r>
      <w:r>
        <w:rPr>
          <w:rFonts w:hint="eastAsia" w:ascii="仿宋_GB2312" w:hAnsi="仿宋_GB2312" w:eastAsia="仿宋_GB2312" w:cs="仿宋_GB2312"/>
          <w:color w:val="000000"/>
          <w:sz w:val="32"/>
          <w:szCs w:val="30"/>
          <w:lang w:eastAsia="zh-CN"/>
        </w:rPr>
        <w:t>2025年</w:t>
      </w:r>
      <w:r>
        <w:rPr>
          <w:rFonts w:hint="eastAsia" w:ascii="仿宋_GB2312" w:hAnsi="仿宋_GB2312" w:eastAsia="仿宋_GB2312" w:cs="仿宋_GB2312"/>
          <w:color w:val="000000"/>
          <w:sz w:val="32"/>
          <w:szCs w:val="30"/>
        </w:rPr>
        <w:t>收支差额的数额。</w:t>
      </w:r>
    </w:p>
    <w:p w14:paraId="1406438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w:t>
      </w:r>
      <w:r>
        <w:rPr>
          <w:rFonts w:hint="eastAsia" w:ascii="仿宋_GB2312" w:hAnsi="仿宋_GB2312" w:eastAsia="仿宋_GB2312" w:cs="仿宋_GB2312"/>
          <w:color w:val="000000"/>
          <w:sz w:val="32"/>
          <w:szCs w:val="30"/>
          <w:lang w:eastAsia="zh-CN"/>
        </w:rPr>
        <w:t>2025年</w:t>
      </w:r>
      <w:r>
        <w:rPr>
          <w:rFonts w:hint="eastAsia" w:ascii="仿宋_GB2312" w:hAnsi="仿宋_GB2312" w:eastAsia="仿宋_GB2312" w:cs="仿宋_GB2312"/>
          <w:color w:val="000000"/>
          <w:sz w:val="32"/>
          <w:szCs w:val="30"/>
        </w:rPr>
        <w:t>全部结转和结余的资金数，包括当年结转结余资金和历年滚存结转结余资金。</w:t>
      </w:r>
    </w:p>
    <w:p w14:paraId="1A99655B">
      <w:pPr>
        <w:ind w:firstLine="640" w:firstLineChars="200"/>
        <w:rPr>
          <w:rFonts w:ascii="Adobe 仿宋 Std R" w:hAnsi="Adobe 仿宋 Std R" w:eastAsia="Adobe 仿宋 Std R"/>
          <w:sz w:val="32"/>
          <w:szCs w:val="32"/>
        </w:rPr>
      </w:pPr>
    </w:p>
    <w:p w14:paraId="21BEC43C">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二、支出科目</w:t>
      </w:r>
    </w:p>
    <w:p w14:paraId="6EE3CF12">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rPr>
        <w:t>（一）</w:t>
      </w:r>
      <w:r>
        <w:rPr>
          <w:rFonts w:hint="eastAsia" w:ascii="仿宋_GB2312" w:eastAsia="仿宋_GB2312"/>
          <w:sz w:val="32"/>
          <w:szCs w:val="30"/>
          <w:lang w:eastAsia="zh-CN"/>
        </w:rPr>
        <w:t>行政运行：反映行政单位（包括参公单位）的基本支出。</w:t>
      </w:r>
    </w:p>
    <w:p w14:paraId="584ED68E">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（二）一般行政管理事务：反映行政单位（包括参公单位）未单独设置项级科目的其他项目支出。</w:t>
      </w:r>
    </w:p>
    <w:p w14:paraId="1886CC0D">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（三）机关服务：反映为行政单位（包括参公单位）提供后勤服务的各类后勤服务中心的支出。</w:t>
      </w:r>
    </w:p>
    <w:p w14:paraId="0AF1492E">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（四）事业运行：反映事业单位的基本支出。</w:t>
      </w:r>
    </w:p>
    <w:p w14:paraId="04FE0F5C">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宋体" w:hAnsi="宋体"/>
          <w:sz w:val="32"/>
          <w:szCs w:val="32"/>
        </w:rPr>
      </w:pPr>
      <w:r>
        <w:rPr>
          <w:rFonts w:hint="eastAsia" w:ascii="仿宋_GB2312" w:eastAsia="仿宋_GB2312"/>
          <w:sz w:val="32"/>
          <w:szCs w:val="30"/>
          <w:lang w:eastAsia="zh-CN"/>
        </w:rPr>
        <w:t>（五）住房公积金：反映行政事业单位按人力资源和社会保障部、财政部规定的基本工资和津补贴以及规定比例为职工缴纳的住房公积金。</w:t>
      </w:r>
    </w:p>
    <w:p w14:paraId="2235381E">
      <w:pPr>
        <w:widowControl/>
        <w:spacing w:line="600" w:lineRule="exact"/>
        <w:jc w:val="left"/>
        <w:rPr>
          <w:rFonts w:ascii="仿宋_GB2312" w:eastAsia="仿宋_GB2312"/>
          <w:color w:val="000000"/>
          <w:sz w:val="32"/>
          <w:szCs w:val="30"/>
        </w:rPr>
      </w:pPr>
    </w:p>
    <w:p w14:paraId="40697DE9">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三、部门涉及的专业名词</w:t>
      </w:r>
    </w:p>
    <w:p w14:paraId="14AB59EE">
      <w:pPr>
        <w:spacing w:line="520" w:lineRule="exact"/>
        <w:ind w:firstLine="640" w:firstLineChars="200"/>
        <w:rPr>
          <w:rFonts w:ascii="FangSong_GB2312" w:eastAsia="FangSong_GB2312"/>
          <w:sz w:val="32"/>
          <w:szCs w:val="30"/>
        </w:rPr>
      </w:pPr>
      <w:r>
        <w:rPr>
          <w:rFonts w:hint="eastAsia" w:ascii="FangSong_GB2312" w:eastAsia="FangSong_GB2312"/>
          <w:sz w:val="32"/>
          <w:szCs w:val="30"/>
        </w:rPr>
        <w:t xml:space="preserve">（一）机关运行费：指用一般公共预算财政拨款安排的 为保障行政单位（含参照公务员法管理的事业单位）运行用 于购买货物和服务的各项资金，包括办公费、印刷费、邮电 费、差旅费、会议费、福利费、日常维修费、专用材料及一 般设备购置费、办公用房水电费、办公用房取暖费、办公用 房物业管理费、公务用车运行维护费以及其他费用。 </w:t>
      </w:r>
    </w:p>
    <w:p w14:paraId="17EE9D8B">
      <w:pPr>
        <w:spacing w:line="520" w:lineRule="exact"/>
        <w:ind w:firstLine="640" w:firstLineChars="200"/>
        <w:rPr>
          <w:rFonts w:ascii="仿宋_GB2312" w:eastAsia="仿宋_GB2312"/>
          <w:color w:val="000000"/>
          <w:sz w:val="32"/>
          <w:szCs w:val="30"/>
        </w:rPr>
      </w:pPr>
      <w:r>
        <w:rPr>
          <w:rFonts w:hint="eastAsia" w:ascii="FangSong_GB2312" w:eastAsia="FangSong_GB2312"/>
          <w:sz w:val="32"/>
          <w:szCs w:val="30"/>
        </w:rPr>
        <w:t>（二）“三公”经费：指用财政拨款安排的因公出国（境） 费、公务用车购置及运行维护费和公务接待费。其中，因公 出国（境）费反映单位公务出国（境）的国际旅费、国外城 市间交通费、住宿费、伙食费、培训费、公杂费等支出；公 务用车购置及运行维护费反映单位公务用车车辆购置支出 （含车辆购置税、牌照费），按规定保留的公务用车燃料费、 维修费、过桥过路费、保险费、安全奖励费 用等支出；公务接待费反映单位按规定开支的各类公务接待（含外宾接待） 支出。</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FangSong_GB2312">
    <w:altName w:val="仿宋_GB2312"/>
    <w:panose1 w:val="00000000000000000000"/>
    <w:charset w:val="00"/>
    <w:family w:val="roman"/>
    <w:pitch w:val="default"/>
    <w:sig w:usb0="00000000" w:usb1="00000000" w:usb2="00000000" w:usb3="00000000" w:csb0="00000000" w:csb1="00000000"/>
  </w:font>
  <w:font w:name="Adobe 仿宋 Std R">
    <w:altName w:val="仿宋"/>
    <w:panose1 w:val="00000000000000000000"/>
    <w:charset w:val="86"/>
    <w:family w:val="auto"/>
    <w:pitch w:val="default"/>
    <w:sig w:usb0="00000000" w:usb1="00000000" w:usb2="00000016" w:usb3="00000000" w:csb0="00060007"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3F3D1">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yNzU5OGJkOGQ2YjQ4MDEzMzYzZDc5OGY4NjJiNDYifQ=="/>
  </w:docVars>
  <w:rsids>
    <w:rsidRoot w:val="00172A27"/>
    <w:rsid w:val="01CF4AFB"/>
    <w:rsid w:val="0EEB783F"/>
    <w:rsid w:val="1F1E59AE"/>
    <w:rsid w:val="22C84F9E"/>
    <w:rsid w:val="28D655AB"/>
    <w:rsid w:val="29606D8E"/>
    <w:rsid w:val="2A2F3B44"/>
    <w:rsid w:val="2EF32D9C"/>
    <w:rsid w:val="31F52043"/>
    <w:rsid w:val="3D290C92"/>
    <w:rsid w:val="3E974BA8"/>
    <w:rsid w:val="3FBB7F63"/>
    <w:rsid w:val="45597587"/>
    <w:rsid w:val="467E3FB2"/>
    <w:rsid w:val="4B1049F3"/>
    <w:rsid w:val="50966A6E"/>
    <w:rsid w:val="50B327CA"/>
    <w:rsid w:val="522044A7"/>
    <w:rsid w:val="53237473"/>
    <w:rsid w:val="551408A9"/>
    <w:rsid w:val="55FC67B9"/>
    <w:rsid w:val="59307AC0"/>
    <w:rsid w:val="5D9B1B67"/>
    <w:rsid w:val="5FB24F46"/>
    <w:rsid w:val="60145C01"/>
    <w:rsid w:val="64B27770"/>
    <w:rsid w:val="65434E6E"/>
    <w:rsid w:val="69E67A92"/>
    <w:rsid w:val="6BCC7390"/>
    <w:rsid w:val="6D620A91"/>
    <w:rsid w:val="78DA1C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rPr>
  </w:style>
  <w:style w:type="paragraph" w:styleId="2">
    <w:name w:val="heading 2"/>
    <w:basedOn w:val="1"/>
    <w:next w:val="1"/>
    <w:semiHidden/>
    <w:unhideWhenUsed/>
    <w:qFormat/>
    <w:uiPriority w:val="0"/>
    <w:pPr>
      <w:keepNext/>
      <w:keepLines/>
      <w:spacing w:line="560" w:lineRule="exact"/>
      <w:outlineLvl w:val="1"/>
    </w:pPr>
    <w:rPr>
      <w:rFonts w:ascii="Arial" w:hAnsi="Arial" w:eastAsia="黑体"/>
      <w:b/>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ascii="仿宋_GB2312" w:eastAsia="仿宋_GB2312"/>
      <w:sz w:val="24"/>
    </w:rPr>
  </w:style>
  <w:style w:type="paragraph" w:styleId="4">
    <w:name w:val="Body Text Indent"/>
    <w:basedOn w:val="1"/>
    <w:qFormat/>
    <w:uiPriority w:val="0"/>
    <w:pPr>
      <w:spacing w:line="580" w:lineRule="exact"/>
      <w:ind w:left="901" w:leftChars="429" w:firstLine="600" w:firstLineChars="200"/>
    </w:pPr>
    <w:rPr>
      <w:rFonts w:ascii="仿宋_GB2312" w:eastAsia="仿宋_GB2312"/>
      <w:sz w:val="30"/>
      <w:szCs w:val="20"/>
    </w:rPr>
  </w:style>
  <w:style w:type="paragraph" w:styleId="5">
    <w:name w:val="footer"/>
    <w:basedOn w:val="1"/>
    <w:link w:val="12"/>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8">
    <w:name w:val="Body Text First Indent 2"/>
    <w:basedOn w:val="4"/>
    <w:qFormat/>
    <w:uiPriority w:val="0"/>
    <w:pPr>
      <w:ind w:firstLine="420"/>
    </w:pPr>
  </w:style>
  <w:style w:type="character" w:styleId="11">
    <w:name w:val="Hyperlink"/>
    <w:basedOn w:val="10"/>
    <w:qFormat/>
    <w:uiPriority w:val="0"/>
    <w:rPr>
      <w:color w:val="0000FF"/>
      <w:u w:val="single"/>
    </w:rPr>
  </w:style>
  <w:style w:type="character" w:customStyle="1" w:styleId="12">
    <w:name w:val="页脚 Char"/>
    <w:basedOn w:val="10"/>
    <w:link w:val="5"/>
    <w:qFormat/>
    <w:uiPriority w:val="0"/>
    <w:rPr>
      <w:sz w:val="18"/>
      <w:szCs w:val="18"/>
    </w:rPr>
  </w:style>
  <w:style w:type="character" w:customStyle="1" w:styleId="13">
    <w:name w:val="页眉 Char"/>
    <w:basedOn w:val="10"/>
    <w:link w:val="6"/>
    <w:qFormat/>
    <w:uiPriority w:val="0"/>
    <w:rPr>
      <w:sz w:val="18"/>
      <w:szCs w:val="18"/>
    </w:rPr>
  </w:style>
  <w:style w:type="character" w:customStyle="1" w:styleId="14">
    <w:name w:val="15"/>
    <w:basedOn w:val="10"/>
    <w:qFormat/>
    <w:uiPriority w:val="0"/>
    <w:rPr>
      <w:rFonts w:hint="default" w:ascii="Times New Roman" w:hAnsi="Times New Roman" w:cs="Times New Roman"/>
      <w:sz w:val="20"/>
      <w:szCs w:val="20"/>
    </w:rPr>
  </w:style>
  <w:style w:type="character" w:customStyle="1" w:styleId="15">
    <w:name w:val="row_tree_level_3"/>
    <w:basedOn w:val="10"/>
    <w:qFormat/>
    <w:uiPriority w:val="0"/>
  </w:style>
  <w:style w:type="character" w:customStyle="1" w:styleId="16">
    <w:name w:val="row_tree_level_4"/>
    <w:basedOn w:val="10"/>
    <w:qFormat/>
    <w:uiPriority w:val="0"/>
  </w:style>
  <w:style w:type="paragraph" w:customStyle="1" w:styleId="17">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6941</Words>
  <Characters>7303</Characters>
  <Lines>45</Lines>
  <Paragraphs>12</Paragraphs>
  <TotalTime>5</TotalTime>
  <ScaleCrop>false</ScaleCrop>
  <LinksUpToDate>false</LinksUpToDate>
  <CharactersWithSpaces>7662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2022-02-18T15:16:00Z</dcterms:created>
  <dc:creator>NTKO</dc:creator>
  <cp:lastModifiedBy>Lenovo</cp:lastModifiedBy>
  <dcterms:modified xsi:type="dcterms:W3CDTF">2025-02-10T04:10:49Z</dcterms:modified>
  <dc:title>xtzj</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E37FA98133FF4E5EA430924ACC88F93E_13</vt:lpwstr>
  </property>
  <property fmtid="{D5CDD505-2E9C-101B-9397-08002B2CF9AE}" pid="4" name="KSOTemplateDocerSaveRecord">
    <vt:lpwstr>eyJoZGlkIjoiZjgwNTI2ODkyZGFjZDNiMzZjNTMyMjU4N2JkMzA3NDMifQ==</vt:lpwstr>
  </property>
</Properties>
</file>