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topLinePunct w:val="0"/>
        <w:autoSpaceDE/>
        <w:autoSpaceDN/>
        <w:bidi w:val="0"/>
        <w:adjustRightInd/>
        <w:snapToGrid/>
        <w:spacing w:line="240" w:lineRule="auto"/>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附 件1：</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4"/>
          <w:szCs w:val="36"/>
          <w:lang w:val="en-US" w:eastAsia="zh-CN" w:bidi="ar-SA"/>
        </w:rPr>
      </w:pPr>
      <w:r>
        <w:rPr>
          <w:rFonts w:hint="eastAsia" w:ascii="黑体" w:hAnsi="Times New Roman" w:eastAsia="黑体" w:cs="Times New Roman"/>
          <w:snapToGrid/>
          <w:kern w:val="2"/>
          <w:sz w:val="44"/>
          <w:szCs w:val="36"/>
          <w:lang w:val="en-US" w:eastAsia="zh-CN" w:bidi="ar-SA"/>
        </w:rPr>
        <w:t>青云谱区卫生健康综合监督执法局</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4"/>
          <w:szCs w:val="36"/>
          <w:lang w:val="en-US" w:eastAsia="zh-CN" w:bidi="ar-SA"/>
        </w:rPr>
      </w:pPr>
      <w:r>
        <w:rPr>
          <w:rFonts w:hint="eastAsia" w:ascii="黑体" w:hAnsi="Times New Roman" w:eastAsia="黑体" w:cs="Times New Roman"/>
          <w:snapToGrid/>
          <w:kern w:val="2"/>
          <w:sz w:val="44"/>
          <w:szCs w:val="36"/>
          <w:lang w:val="en-US" w:eastAsia="zh-CN" w:bidi="ar-SA"/>
        </w:rPr>
        <w:t>2021年度决算</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r>
        <w:rPr>
          <w:rFonts w:hint="eastAsia" w:ascii="黑体" w:hAnsi="Times New Roman" w:eastAsia="黑体" w:cs="Times New Roman"/>
          <w:snapToGrid/>
          <w:kern w:val="2"/>
          <w:sz w:val="40"/>
          <w:szCs w:val="36"/>
          <w:lang w:val="en-US" w:eastAsia="zh-CN" w:bidi="ar-SA"/>
        </w:rPr>
        <w:t>目     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p>
    <w:p>
      <w:pPr>
        <w:keepNext w:val="0"/>
        <w:keepLines w:val="0"/>
        <w:pageBreakBefore w:val="0"/>
        <w:widowControl w:val="0"/>
        <w:kinsoku w:val="0"/>
        <w:wordWrap/>
        <w:overflowPunct/>
        <w:topLinePunct w:val="0"/>
        <w:autoSpaceDE/>
        <w:autoSpaceDN/>
        <w:bidi w:val="0"/>
        <w:adjustRightInd/>
        <w:snapToGrid/>
        <w:spacing w:line="240" w:lineRule="auto"/>
        <w:ind w:firstLine="640"/>
        <w:jc w:val="left"/>
        <w:textAlignment w:val="center"/>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第一部分   青云谱区卫生健康综合监督执法局概况</w:t>
      </w:r>
    </w:p>
    <w:p>
      <w:pPr>
        <w:keepNext w:val="0"/>
        <w:keepLines w:val="0"/>
        <w:pageBreakBefore w:val="0"/>
        <w:widowControl w:val="0"/>
        <w:kinsoku w:val="0"/>
        <w:wordWrap/>
        <w:overflowPunct/>
        <w:topLinePunct w:val="0"/>
        <w:autoSpaceDE/>
        <w:autoSpaceDN/>
        <w:bidi w:val="0"/>
        <w:adjustRightInd/>
        <w:snapToGrid/>
        <w:spacing w:line="240" w:lineRule="auto"/>
        <w:ind w:firstLine="604" w:firstLineChars="200"/>
        <w:jc w:val="left"/>
        <w:textAlignment w:val="center"/>
        <w:rPr>
          <w:rFonts w:hint="eastAsia" w:ascii="仿宋" w:hAnsi="仿宋" w:eastAsia="仿宋" w:cs="Times New Roman"/>
          <w:snapToGrid/>
          <w:kern w:val="2"/>
          <w:sz w:val="32"/>
          <w:szCs w:val="30"/>
          <w:lang w:val="en-US" w:eastAsia="zh-CN" w:bidi="ar-SA"/>
        </w:rPr>
      </w:pPr>
      <w:r>
        <w:rPr>
          <w:rFonts w:ascii="仿宋" w:hAnsi="仿宋" w:eastAsia="仿宋" w:cs="仿宋"/>
          <w:spacing w:val="11"/>
          <w:sz w:val="28"/>
          <w:szCs w:val="28"/>
        </w:rPr>
        <w:t>一、</w:t>
      </w:r>
      <w:r>
        <w:rPr>
          <w:rFonts w:hint="eastAsia" w:ascii="仿宋" w:hAnsi="仿宋" w:eastAsia="仿宋" w:cs="Times New Roman"/>
          <w:snapToGrid/>
          <w:kern w:val="2"/>
          <w:sz w:val="32"/>
          <w:szCs w:val="30"/>
          <w:lang w:val="en-US" w:eastAsia="zh-CN" w:bidi="ar-SA"/>
        </w:rPr>
        <w:t>单位主要职责</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二、单位基本情况</w:t>
      </w:r>
    </w:p>
    <w:p>
      <w:pPr>
        <w:keepNext w:val="0"/>
        <w:keepLines w:val="0"/>
        <w:pageBreakBefore w:val="0"/>
        <w:widowControl w:val="0"/>
        <w:kinsoku w:val="0"/>
        <w:wordWrap/>
        <w:overflowPunct/>
        <w:topLinePunct w:val="0"/>
        <w:autoSpaceDE/>
        <w:autoSpaceDN/>
        <w:bidi w:val="0"/>
        <w:adjustRightInd/>
        <w:snapToGrid/>
        <w:spacing w:line="240" w:lineRule="auto"/>
        <w:ind w:firstLine="640"/>
        <w:jc w:val="left"/>
        <w:textAlignment w:val="center"/>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第二部分  2021年度单位决算表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一、收入支出决算总表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二、收入决算表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三、支出决算表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四、财政拨款收入支出决算总表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五、一般公共预算财政拨款支出决算表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六、一般公共预算财政拨款基本支出决算表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七、一般公共预算财政拨款“三公”经费支出决算表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八、政府性基金预算财政拨款收入支出决算表</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九、国有资本经营预算财政拨款收入支出决算表</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十、国有资产占用情况表</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638" w:leftChars="304" w:firstLine="331" w:firstLineChars="103"/>
        <w:jc w:val="left"/>
        <w:textAlignment w:val="center"/>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第三部分  2021年度单位决算情况说明</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638" w:leftChars="304" w:firstLine="329" w:firstLineChars="103"/>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一、收入决算情况说明</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二、支出决算情况说明</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三、财政拨款支出决算情况说明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四、一般公共预算财政拨款基本支出决算情况说明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五、一般公共预算财政拨款“三公”经费支出决算情况说明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六、机关运行经费支出情况说明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七、政府采购支出情况说明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八、国有资产占用情况说明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firstLineChars="200"/>
        <w:jc w:val="left"/>
        <w:textAlignment w:val="center"/>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九、预算绩效情况说明</w:t>
      </w:r>
    </w:p>
    <w:p>
      <w:pPr>
        <w:keepNext w:val="0"/>
        <w:keepLines w:val="0"/>
        <w:pageBreakBefore w:val="0"/>
        <w:widowControl w:val="0"/>
        <w:kinsoku w:val="0"/>
        <w:wordWrap/>
        <w:overflowPunct/>
        <w:topLinePunct w:val="0"/>
        <w:autoSpaceDE/>
        <w:autoSpaceDN/>
        <w:bidi w:val="0"/>
        <w:adjustRightInd/>
        <w:snapToGrid/>
        <w:spacing w:line="240" w:lineRule="auto"/>
        <w:ind w:firstLine="640"/>
        <w:jc w:val="left"/>
        <w:textAlignment w:val="center"/>
        <w:rPr>
          <w:rFonts w:hint="eastAsia" w:ascii="黑体" w:hAnsi="黑体" w:eastAsia="黑体" w:cs="Times New Roman"/>
          <w:b/>
          <w:snapToGrid/>
          <w:kern w:val="2"/>
          <w:sz w:val="32"/>
          <w:szCs w:val="32"/>
          <w:lang w:val="en-US" w:eastAsia="zh-CN" w:bidi="ar-SA"/>
        </w:rPr>
        <w:sectPr>
          <w:footerReference r:id="rId5"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lang w:val="en-US" w:eastAsia="zh-CN" w:bidi="ar-SA"/>
        </w:rPr>
        <w:t>第四部分 名词解释</w:t>
      </w: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第一部分  青云谱区卫生健康综合监督执法局单位概况</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一、单位主要职能</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_GB2312" w:hAnsi="仿宋" w:eastAsia="仿宋_GB2312"/>
          <w:sz w:val="32"/>
          <w:szCs w:val="32"/>
          <w:lang w:val="en-US" w:eastAsia="zh-CN"/>
        </w:rPr>
        <w:t>青云谱区卫生健康综合监督执法局</w:t>
      </w:r>
      <w:r>
        <w:rPr>
          <w:rFonts w:hint="eastAsia" w:ascii="仿宋_GB2312" w:hAnsi="仿宋" w:eastAsia="仿宋_GB2312"/>
          <w:sz w:val="32"/>
          <w:szCs w:val="32"/>
        </w:rPr>
        <w:t>是南昌市青云谱区</w:t>
      </w:r>
      <w:r>
        <w:rPr>
          <w:rFonts w:hint="eastAsia" w:ascii="仿宋_GB2312" w:hAnsi="仿宋" w:eastAsia="仿宋_GB2312"/>
          <w:sz w:val="32"/>
          <w:szCs w:val="32"/>
          <w:lang w:val="en-US" w:eastAsia="zh-CN"/>
        </w:rPr>
        <w:t>卫生健康</w:t>
      </w:r>
      <w:r>
        <w:rPr>
          <w:rFonts w:hint="eastAsia" w:ascii="仿宋_GB2312" w:hAnsi="仿宋" w:eastAsia="仿宋_GB2312"/>
          <w:sz w:val="32"/>
          <w:szCs w:val="32"/>
        </w:rPr>
        <w:t>委员会下属二级单位，</w:t>
      </w:r>
      <w:r>
        <w:rPr>
          <w:rFonts w:hint="eastAsia" w:ascii="仿宋_GB2312" w:hAnsi="仿宋" w:eastAsia="仿宋_GB2312"/>
          <w:sz w:val="32"/>
          <w:szCs w:val="32"/>
          <w:lang w:eastAsia="zh-CN"/>
        </w:rPr>
        <w:t>主要职责：负责辖区内公共场所、医疗机构、饮用水卫生、学校卫生、放射卫生、</w:t>
      </w:r>
      <w:r>
        <w:rPr>
          <w:rFonts w:hint="eastAsia" w:ascii="仿宋_GB2312" w:hAnsi="仿宋" w:eastAsia="仿宋_GB2312"/>
          <w:sz w:val="32"/>
          <w:szCs w:val="32"/>
          <w:lang w:val="en-US" w:eastAsia="zh-CN"/>
        </w:rPr>
        <w:t>职业卫生、</w:t>
      </w:r>
      <w:r>
        <w:rPr>
          <w:rFonts w:hint="eastAsia" w:ascii="仿宋_GB2312" w:hAnsi="仿宋" w:eastAsia="仿宋_GB2312"/>
          <w:sz w:val="32"/>
          <w:szCs w:val="32"/>
          <w:lang w:eastAsia="zh-CN"/>
        </w:rPr>
        <w:t>消毒产品</w:t>
      </w:r>
      <w:r>
        <w:rPr>
          <w:rFonts w:hint="eastAsia" w:ascii="仿宋_GB2312" w:hAnsi="仿宋" w:eastAsia="仿宋_GB2312"/>
          <w:sz w:val="32"/>
          <w:szCs w:val="32"/>
          <w:lang w:val="en-US" w:eastAsia="zh-CN"/>
        </w:rPr>
        <w:t>卫生</w:t>
      </w:r>
      <w:r>
        <w:rPr>
          <w:rFonts w:hint="eastAsia" w:ascii="仿宋_GB2312" w:hAnsi="仿宋" w:eastAsia="仿宋_GB2312"/>
          <w:sz w:val="32"/>
          <w:szCs w:val="32"/>
          <w:lang w:eastAsia="zh-CN"/>
        </w:rPr>
        <w:t>、计划生育等口项的监督管理工作</w:t>
      </w:r>
      <w:r>
        <w:rPr>
          <w:rFonts w:hint="eastAsia" w:ascii="仿宋_GB2312" w:hAnsi="仿宋" w:eastAsia="仿宋_GB2312"/>
          <w:sz w:val="32"/>
          <w:szCs w:val="32"/>
          <w:lang w:val="en-US" w:eastAsia="zh-CN"/>
        </w:rPr>
        <w:t>；相关卫生法律法规的宣传培训工作；各公共卫生单位违反相关卫生法律法规的行政执法工作等。</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二、单位基本情况</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本单位设立5个内设科室，分别是办公室、监督一科、监督二科、监督三科和协管科。</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本单位2021年年末实有人数35人，其中在职人员20人，离休人员0人，退休人员15人（不含由养老保险基金发放养老金的离退休人员）；年末其他人员0人；年末学生人数0人；由养老保险基金发放养老金的离退休人员0人。</w:t>
      </w:r>
    </w:p>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Times New Roman"/>
          <w:b/>
          <w:snapToGrid/>
          <w:kern w:val="2"/>
          <w:sz w:val="32"/>
          <w:szCs w:val="30"/>
          <w:lang w:val="en-US" w:eastAsia="zh-CN" w:bidi="ar-SA"/>
        </w:rPr>
      </w:pPr>
      <w:r>
        <mc:AlternateContent>
          <mc:Choice Requires="wps">
            <w:drawing>
              <wp:anchor distT="0" distB="0" distL="114300" distR="114300" simplePos="0" relativeHeight="251659264"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7216;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k831wAAAA0BAAAPAAAAAAAAAAEAIAAAACIAAABkcnMv&#10;ZG93bnJldi54bWxQSwECFAAUAAAACACHTuJAf+uqGz0CAACkBAAADgAAAAAAAAABACAAAAAm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1206500</wp:posOffset>
                </wp:positionH>
                <wp:positionV relativeFrom="page">
                  <wp:posOffset>7898765</wp:posOffset>
                </wp:positionV>
                <wp:extent cx="5017135" cy="12700"/>
                <wp:effectExtent l="0" t="0" r="0" b="0"/>
                <wp:wrapNone/>
                <wp:docPr id="2" name="任意多边形 2"/>
                <wp:cNvGraphicFramePr/>
                <a:graphic xmlns:a="http://schemas.openxmlformats.org/drawingml/2006/main">
                  <a:graphicData uri="http://schemas.microsoft.com/office/word/2010/wordprocessingShape">
                    <wps:wsp>
                      <wps:cNvSpPr/>
                      <wps:spPr>
                        <a:xfrm>
                          <a:off x="0" y="0"/>
                          <a:ext cx="5017135" cy="12700"/>
                        </a:xfrm>
                        <a:custGeom>
                          <a:avLst/>
                          <a:gdLst/>
                          <a:ahLst/>
                          <a:cxnLst/>
                          <a:pathLst>
                            <a:path w="7900" h="20">
                              <a:moveTo>
                                <a:pt x="0" y="10"/>
                              </a:moveTo>
                              <a:lnTo>
                                <a:pt x="590" y="10"/>
                              </a:lnTo>
                              <a:moveTo>
                                <a:pt x="590" y="10"/>
                              </a:moveTo>
                              <a:lnTo>
                                <a:pt x="1980" y="10"/>
                              </a:lnTo>
                              <a:moveTo>
                                <a:pt x="1980" y="10"/>
                              </a:moveTo>
                              <a:lnTo>
                                <a:pt x="2879" y="10"/>
                              </a:lnTo>
                              <a:moveTo>
                                <a:pt x="2879" y="10"/>
                              </a:moveTo>
                              <a:lnTo>
                                <a:pt x="3729" y="10"/>
                              </a:lnTo>
                              <a:moveTo>
                                <a:pt x="3729" y="10"/>
                              </a:moveTo>
                              <a:lnTo>
                                <a:pt x="4600" y="10"/>
                              </a:lnTo>
                              <a:moveTo>
                                <a:pt x="4600" y="10"/>
                              </a:moveTo>
                              <a:lnTo>
                                <a:pt x="5420" y="10"/>
                              </a:lnTo>
                              <a:moveTo>
                                <a:pt x="5420" y="10"/>
                              </a:moveTo>
                              <a:lnTo>
                                <a:pt x="6230" y="10"/>
                              </a:lnTo>
                              <a:moveTo>
                                <a:pt x="6230" y="10"/>
                              </a:moveTo>
                              <a:lnTo>
                                <a:pt x="7019" y="10"/>
                              </a:lnTo>
                              <a:moveTo>
                                <a:pt x="7019" y="10"/>
                              </a:moveTo>
                              <a:lnTo>
                                <a:pt x="7900" y="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5pt;margin-top:621.95pt;height:1pt;width:395.05pt;mso-position-horizontal-relative:page;mso-position-vertical-relative:page;z-index:251668480;mso-width-relative:page;mso-height-relative:page;" filled="f" stroked="t" coordsize="7900,20" o:allowincell="f" o:gfxdata="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TAcbB2gAAAA0BAAAPAAAAAAAAAAEAIAAAACIAAABkcnMvZG93bnJldi54bWxQSwEC&#10;FAAUAAAACACHTuJAeuXIKZ0CAABGBwAADgAAAAAAAAABACAAAAApAQAAZHJzL2Uyb0RvYy54bWxQ&#10;SwUGAAAAAAYABgBZAQAAOAYAAAAA&#10;" path="m0,10l590,10m590,10l1980,10m1980,10l2879,10m2879,10l3729,10m3729,10l4600,10m4600,10l5420,10m5420,10l6230,10m6230,10l7019,10m7019,10l7900,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2" name="任意多边形 22"/>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75648;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&#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5VYz9j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1" name="任意多边形 21"/>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63360;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CyjMAw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&#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sozAM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2457450</wp:posOffset>
                </wp:positionH>
                <wp:positionV relativeFrom="page">
                  <wp:posOffset>7835265</wp:posOffset>
                </wp:positionV>
                <wp:extent cx="12700" cy="70485"/>
                <wp:effectExtent l="0" t="0" r="6350" b="5715"/>
                <wp:wrapNone/>
                <wp:docPr id="16" name="任意多边形 1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93.5pt;margin-top:616.95pt;height:5.55pt;width:1pt;mso-position-horizontal-relative:page;mso-position-vertical-relative:page;z-index:251673600;mso-width-relative:page;mso-height-relative:page;" filled="f" stroked="t" coordsize="20,111" o:allowincell="f" o:gfxdata="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6PCQtoAAAANAQAADwAAAAAAAAABACAAAAAiAAAA&#10;ZHJzL2Rvd25yZXYueG1sUEsBAhQAFAAAAAgAh07iQB1AztE+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2336"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5" name="任意多边形 1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62336;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B6gxvaAAAADQEAAA8AAAAAAAAAAQAgAAAAIgAAAGRy&#10;cy9kb3ducmV2LnhtbFBLAQIUABQAAAAIAIdO4kBKmj0XPAIAAKYEAAAOAAAAAAAAAAEAIAAAACk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8" name="任意多边形 1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72576;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ZtkH4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AeoMb2gAAAA0BAAAPAAAAAAAAAAEAIAAAACIAAABk&#10;cnMvZG93bnJldi54bWxQSwECFAAUAAAACACHTuJAWbZB+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0" name="任意多边形 10"/>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66432;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PLyWIc7AgAApgQAAA4AAABkcnMvZTJvRG9jLnhtbK1U&#10;zY7TMBC+I/EOlu80SQXsKmq6B8pyQbDSLg8wtZ3Ekv9ku017586dI+Il0AqeZhfxGIyd/iwLhx7o&#10;IZ14xt983+dx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7hwzM2QAAAA0BAAAPAAAAAAAAAAEAIAAAACIAAABkcnMv&#10;ZG93bnJldi54bWxQSwECFAAUAAAACACHTuJA8vJYhzsCAACmBAAADgAAAAAAAAABACAAAAAo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7" name="任意多边形 1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71552;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NAJn5M+AgAApgQAAA4AAABkcnMvZTJvRG9jLnhtbK1U&#10;zY7TMBC+I/EOlu80SQXsKmq6B8pyQbDSLg/g2k5iyX/yuE17586dI+Il0AqeZhfxGIyd/iwLhx7o&#10;IZ14xt983+dx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&#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7hwzM2QAAAA0BAAAPAAAAAAAAAAEAIAAAACIAAABk&#10;cnMvZG93bnJldi54bWxQSwECFAAUAAAACACHTuJA0Amfkz4CAACmBAAADgAAAAAAAAABACAAAAAo&#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1312"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9" name="任意多边形 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61312;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DGdlxY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6" name="任意多边形 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76672;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CjR8s6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4" name="任意多边形 4"/>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67456;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RfCa9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28" name="任意多边形 2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70528;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SBiA09AgAApgQAAA4AAABkcnMvZTJvRG9jLnhtbK1U&#10;zY7TMBC+I/EOlu80SQXsKmq6B8pyQbDSLg8wtZ3Ekv9ku017586dI+Il0AqeZhfxGIyd/iwLhx7o&#10;IZ14xt9832dP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UgYgN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0288"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19" name="任意多边形 1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60288;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&#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uovAJ9oAAAANAQAADwAAAAAAAAABACAAAAAiAAAA&#10;ZHJzL2Rvd25yZXYueG1sUEsBAhQAFAAAAAgAh07iQJT/ELo+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5" name="任意多边形 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74624;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ovAJ9oAAAANAQAADwAAAAAAAAABACAAAAAiAAAAZHJz&#10;L2Rvd25yZXYueG1sUEsBAhQAFAAAAAgAh07iQGjh0P47AgAApAQAAA4AAAAAAAAAAQAgAAAAKQ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3" name="任意多边形 23"/>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5408;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DJ6lXZAAAADQEAAA8AAAAAAAAAAQAgAAAAIgAAAGRy&#10;cy9kb3ducmV2LnhtbFBLAQIUABQAAAAIAIdO4kAoH2K0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5" name="任意多边形 2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9504;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Met9OI8AgAApgQAAA4AAABkcnMvZTJvRG9jLnhtbK1U&#10;zY7TMBC+I/EOlu80SQXsKmq6B8pyQbDSLg/g2k5iyX/yuE17586dI+Il0AqeZhfxGIyd/iwLhx7o&#10;IZ14xt9832dP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MnqVdkAAAANAQAADwAAAAAAAAABACAAAAAiAAAAZHJz&#10;L2Rvd25yZXYueG1sUEsBAhQAFAAAAAgAh07iQMet9OI8AgAApgQAAA4AAAAAAAAAAQAgAAAAKA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6216650</wp:posOffset>
                </wp:positionH>
                <wp:positionV relativeFrom="page">
                  <wp:posOffset>7835265</wp:posOffset>
                </wp:positionV>
                <wp:extent cx="12700" cy="70485"/>
                <wp:effectExtent l="0" t="0" r="6350" b="5715"/>
                <wp:wrapNone/>
                <wp:docPr id="7" name="任意多边形 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89.5pt;margin-top:616.95pt;height:5.55pt;width:1pt;mso-position-horizontal-relative:page;mso-position-vertical-relative:page;z-index:251664384;mso-width-relative:page;mso-height-relative:page;" filled="f" stroked="t" coordsize="20,111" o:allowincell="f" o:gfxdata="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8/iXt2gAAAA0BAAAPAAAAAAAAAAEAIAAAACIAAABk&#10;cnMvZG93bnJldi54bWxQSwECFAAUAAAACACHTuJAGto9eT0CAACkBAAADgAAAAAAAAABACAAAAAp&#10;AQAAZHJzL2Uyb0RvYy54bWxQSwUGAAAAAAYABgBZAQAA2AUAA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32"/>
          <w:szCs w:val="30"/>
          <w:lang w:val="en-US" w:eastAsia="zh-CN" w:bidi="ar-SA"/>
        </w:rPr>
        <w:t>第二部分  2021年度单位决算表</w:t>
      </w: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pPr w:leftFromText="180" w:rightFromText="180" w:vertAnchor="text" w:horzAnchor="page" w:tblpX="1777" w:tblpY="176"/>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56"/>
        <w:gridCol w:w="506"/>
        <w:gridCol w:w="746"/>
        <w:gridCol w:w="2397"/>
        <w:gridCol w:w="506"/>
        <w:gridCol w:w="11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903"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29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3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40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9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6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90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29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35"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140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9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6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2635"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收     入</w:t>
            </w:r>
          </w:p>
        </w:tc>
        <w:tc>
          <w:tcPr>
            <w:tcW w:w="2364" w:type="pct"/>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行次</w:t>
            </w:r>
          </w:p>
        </w:tc>
        <w:tc>
          <w:tcPr>
            <w:tcW w:w="43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决算数</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项目（按功能分类）</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行次</w:t>
            </w:r>
          </w:p>
        </w:tc>
        <w:tc>
          <w:tcPr>
            <w:tcW w:w="66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    次</w:t>
            </w:r>
          </w:p>
        </w:tc>
        <w:tc>
          <w:tcPr>
            <w:tcW w:w="296"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3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    次</w:t>
            </w:r>
          </w:p>
        </w:tc>
        <w:tc>
          <w:tcPr>
            <w:tcW w:w="296"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6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一、一般公共预算财政拨款收入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一、一般公共服务支出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32</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二、政府性基金预算财政拨款收入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二、外交支出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33</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三、国有资本经营预算财政拨款收入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三、国防支出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34</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四、上级补助收入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四、公共安全支出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35</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五、事业收入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78.50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五、教育支出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36</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六、经营收入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六、科学技术支出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37</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七、附属单位上缴收入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七、文化旅游体育与传媒支出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38</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八、其他收入</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8</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八、社会保障和就业支出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9</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九、卫生健康支出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40</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10</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十、节能环保支出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11</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十一、城乡社区支出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42</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12</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十二、农林水支出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43</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13</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十三、交通运输支出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44</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14</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十四、资源勘探工业信息等支出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45</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十五、商业服务业等支出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46</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16</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十六、金融支出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17</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十七、援助其他地区支出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48</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18</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十八、自然资源海洋气象等支出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19</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十九、住房保障支出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50</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二十、粮油物资储备支出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51</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二十一、国有资本经营预算支出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52</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二十二、灾害防治及应急管理支出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53</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23</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二十三、其他支出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54</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24</w:t>
            </w:r>
          </w:p>
        </w:tc>
        <w:tc>
          <w:tcPr>
            <w:tcW w:w="43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二十四、债务还本支出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55</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25</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二十五、债务付息支出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56</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26</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二十六、抗疫特别国债安排的支出</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57</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本年收入合计</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27</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本年支出合计</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58</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使用非财政拨款结余</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结余分配                 </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59</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年初结转和结余</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29</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年末结转和结余                                </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60</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w:t>
            </w:r>
          </w:p>
        </w:tc>
        <w:tc>
          <w:tcPr>
            <w:tcW w:w="4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1401"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0"/>
                <w:szCs w:val="10"/>
                <w:u w:val="none"/>
              </w:rPr>
            </w:pP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61</w:t>
            </w:r>
          </w:p>
        </w:tc>
        <w:tc>
          <w:tcPr>
            <w:tcW w:w="6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90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总计</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w:t>
            </w:r>
          </w:p>
        </w:tc>
        <w:tc>
          <w:tcPr>
            <w:tcW w:w="4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c>
          <w:tcPr>
            <w:tcW w:w="14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总计</w:t>
            </w:r>
          </w:p>
        </w:tc>
        <w:tc>
          <w:tcPr>
            <w:tcW w:w="29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62</w:t>
            </w:r>
          </w:p>
        </w:tc>
        <w:tc>
          <w:tcPr>
            <w:tcW w:w="6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5000" w:type="pct"/>
            <w:gridSpan w:val="6"/>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注：1.本表反映部门本年度的总收支和年末结转结余情况。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2.本套报表金额单位转换时可能存在尾数误差。</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45"/>
        <w:gridCol w:w="303"/>
        <w:gridCol w:w="304"/>
        <w:gridCol w:w="1099"/>
        <w:gridCol w:w="746"/>
        <w:gridCol w:w="746"/>
        <w:gridCol w:w="746"/>
        <w:gridCol w:w="569"/>
        <w:gridCol w:w="569"/>
        <w:gridCol w:w="393"/>
        <w:gridCol w:w="8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11"/>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339"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12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2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7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8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5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339"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12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2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7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7"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3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8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5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271"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427"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本年收入合计</w:t>
            </w:r>
          </w:p>
        </w:tc>
        <w:tc>
          <w:tcPr>
            <w:tcW w:w="427"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财政拨款收入</w:t>
            </w:r>
          </w:p>
        </w:tc>
        <w:tc>
          <w:tcPr>
            <w:tcW w:w="427"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上级补助收入</w:t>
            </w:r>
          </w:p>
        </w:tc>
        <w:tc>
          <w:tcPr>
            <w:tcW w:w="305"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事业收入</w:t>
            </w:r>
          </w:p>
        </w:tc>
        <w:tc>
          <w:tcPr>
            <w:tcW w:w="305"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经营收入</w:t>
            </w:r>
          </w:p>
        </w:tc>
        <w:tc>
          <w:tcPr>
            <w:tcW w:w="38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附属单位上缴收入</w:t>
            </w:r>
          </w:p>
        </w:tc>
        <w:tc>
          <w:tcPr>
            <w:tcW w:w="453"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支出功能分类科目编码</w:t>
            </w:r>
          </w:p>
        </w:tc>
        <w:tc>
          <w:tcPr>
            <w:tcW w:w="672"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0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0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8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5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672"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0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0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8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5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672"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0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0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38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5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9" w:type="pct"/>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类</w:t>
            </w:r>
          </w:p>
        </w:tc>
        <w:tc>
          <w:tcPr>
            <w:tcW w:w="129"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款</w:t>
            </w:r>
          </w:p>
        </w:tc>
        <w:tc>
          <w:tcPr>
            <w:tcW w:w="129"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w:t>
            </w:r>
          </w:p>
        </w:tc>
        <w:tc>
          <w:tcPr>
            <w:tcW w:w="67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栏次</w:t>
            </w:r>
          </w:p>
        </w:tc>
        <w:tc>
          <w:tcPr>
            <w:tcW w:w="4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4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4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3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3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c>
          <w:tcPr>
            <w:tcW w:w="38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w:t>
            </w:r>
          </w:p>
        </w:tc>
        <w:tc>
          <w:tcPr>
            <w:tcW w:w="45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9" w:type="pct"/>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29"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29"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7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78.50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社会保障和就业支出</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20805</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行政事业单位养老支出</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2080502</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事业单位离退休</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卫生健康支出</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78.50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21004</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公共卫生</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78.50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2100402</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卫生监督机构</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78.50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住房保障支出</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22102</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住房改革支出</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2210201</w:t>
            </w:r>
          </w:p>
        </w:tc>
        <w:tc>
          <w:tcPr>
            <w:tcW w:w="67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住房公积金</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5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672"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5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672"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5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9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672"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8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5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5000" w:type="pct"/>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注：本表反映部门本年度取得的各项收入情况。</w:t>
            </w:r>
          </w:p>
        </w:tc>
      </w:tr>
    </w:tbl>
    <w:p>
      <w:pPr>
        <w:keepNext w:val="0"/>
        <w:keepLines w:val="0"/>
        <w:pageBreakBefore w:val="0"/>
        <w:wordWrap/>
        <w:overflowPunct/>
        <w:topLinePunct w:val="0"/>
        <w:bidi w:val="0"/>
        <w:spacing w:line="240" w:lineRule="auto"/>
        <w:rPr>
          <w:rFonts w:hint="eastAsia" w:eastAsia="宋体"/>
          <w:lang w:eastAsia="zh-CN"/>
        </w:rPr>
        <w:sectPr>
          <w:footerReference r:id="rId6" w:type="default"/>
          <w:pgSz w:w="11910" w:h="16850"/>
          <w:pgMar w:top="1432" w:right="1786" w:bottom="1480" w:left="1786" w:header="0" w:footer="1365" w:gutter="0"/>
          <w:cols w:space="720" w:num="1"/>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80"/>
        <w:gridCol w:w="316"/>
        <w:gridCol w:w="316"/>
        <w:gridCol w:w="1285"/>
        <w:gridCol w:w="672"/>
        <w:gridCol w:w="769"/>
        <w:gridCol w:w="541"/>
        <w:gridCol w:w="532"/>
        <w:gridCol w:w="539"/>
        <w:gridCol w:w="9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526"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13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3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76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6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2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24"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28"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7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52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13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3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76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63"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32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24"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28"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7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68"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40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本年支出合计</w:t>
            </w:r>
          </w:p>
        </w:tc>
        <w:tc>
          <w:tcPr>
            <w:tcW w:w="46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基本支出</w:t>
            </w:r>
          </w:p>
        </w:tc>
        <w:tc>
          <w:tcPr>
            <w:tcW w:w="32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项目支出</w:t>
            </w:r>
          </w:p>
        </w:tc>
        <w:tc>
          <w:tcPr>
            <w:tcW w:w="324"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上缴上级支出</w:t>
            </w:r>
          </w:p>
        </w:tc>
        <w:tc>
          <w:tcPr>
            <w:tcW w:w="32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经营支出</w:t>
            </w:r>
          </w:p>
        </w:tc>
        <w:tc>
          <w:tcPr>
            <w:tcW w:w="57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支出功能分类科目编码</w:t>
            </w:r>
          </w:p>
        </w:tc>
        <w:tc>
          <w:tcPr>
            <w:tcW w:w="76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4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6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7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76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6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7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76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6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32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7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26" w:type="pct"/>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类</w:t>
            </w:r>
          </w:p>
        </w:tc>
        <w:tc>
          <w:tcPr>
            <w:tcW w:w="13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款</w:t>
            </w:r>
          </w:p>
        </w:tc>
        <w:tc>
          <w:tcPr>
            <w:tcW w:w="13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w:t>
            </w:r>
          </w:p>
        </w:tc>
        <w:tc>
          <w:tcPr>
            <w:tcW w:w="76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栏次</w:t>
            </w:r>
          </w:p>
        </w:tc>
        <w:tc>
          <w:tcPr>
            <w:tcW w:w="40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46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32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32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32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c>
          <w:tcPr>
            <w:tcW w:w="5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26" w:type="pct"/>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3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3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76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495.08</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社会保障和就业支出</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20805</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行政事业单位养老支出</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2080502</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事业单位离退休</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卫生健康支出</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21004</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公共卫生</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2100402</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卫生监督机构</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476.63</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住房保障支出</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22102</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住房改革支出</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2210201</w:t>
            </w:r>
          </w:p>
        </w:tc>
        <w:tc>
          <w:tcPr>
            <w:tcW w:w="76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住房公积金</w:t>
            </w:r>
          </w:p>
        </w:tc>
        <w:tc>
          <w:tcPr>
            <w:tcW w:w="4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6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3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2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76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7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76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7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0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76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6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2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7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5000" w:type="pct"/>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注：本表反映部门本年度各项支出情况。</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16"/>
        <w:gridCol w:w="316"/>
        <w:gridCol w:w="789"/>
        <w:gridCol w:w="1716"/>
        <w:gridCol w:w="316"/>
        <w:gridCol w:w="516"/>
        <w:gridCol w:w="786"/>
        <w:gridCol w:w="650"/>
        <w:gridCol w:w="9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421"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154"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0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03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54"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58"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42"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42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154"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0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037"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154"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58"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22"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42"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079"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收     入</w:t>
            </w:r>
          </w:p>
        </w:tc>
        <w:tc>
          <w:tcPr>
            <w:tcW w:w="2920" w:type="pct"/>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15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行次</w:t>
            </w:r>
          </w:p>
        </w:tc>
        <w:tc>
          <w:tcPr>
            <w:tcW w:w="50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w:t>
            </w:r>
          </w:p>
        </w:tc>
        <w:tc>
          <w:tcPr>
            <w:tcW w:w="103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项目（按功能分类）</w:t>
            </w:r>
          </w:p>
        </w:tc>
        <w:tc>
          <w:tcPr>
            <w:tcW w:w="15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行次</w:t>
            </w:r>
          </w:p>
        </w:tc>
        <w:tc>
          <w:tcPr>
            <w:tcW w:w="258"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50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一般公共预算财政拨款</w:t>
            </w:r>
          </w:p>
        </w:tc>
        <w:tc>
          <w:tcPr>
            <w:tcW w:w="42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政府性基金预算财政拨款</w:t>
            </w:r>
          </w:p>
        </w:tc>
        <w:tc>
          <w:tcPr>
            <w:tcW w:w="54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421" w:type="pct"/>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5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0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103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5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258"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50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2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4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    次</w:t>
            </w:r>
          </w:p>
        </w:tc>
        <w:tc>
          <w:tcPr>
            <w:tcW w:w="154"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50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    次</w:t>
            </w:r>
          </w:p>
        </w:tc>
        <w:tc>
          <w:tcPr>
            <w:tcW w:w="154"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25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5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42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54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一、一般公共预算财政拨款</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一、一般公共服务支出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33</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二、政府性基金预算财政拨款</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二、外交支出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34</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三、国有资本经营预算财政拨款</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三、国防支出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35</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四、公共安全支出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36</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五、教育支出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37</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六、科学技术支出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38</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七、文化旅游体育与传媒支出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8</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八、社会保障和就业支出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40</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9</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九、卫生健康支出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10</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十、节能环保支出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42</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11</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十一、城乡社区支出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43</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12</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十二、农林水支出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44</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13</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十三、交通运输支出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45</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14</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十四、资源勘探工业信息等支出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46</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十五、商业服务业等支出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47</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16</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十六、金融支出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48</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17</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十七、援助其他地区支出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18</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十八、自然资源海洋气象等支出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50</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19</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十九、住房保障支出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51</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二十、粮油物资储备支出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52</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二十一、国有资本经营预算支出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53</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二十二、灾害防治及应急管理支出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54</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23</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二十三、其他支出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55</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24</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二十四、债务还本支出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56</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25</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二十五、债务付息支出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57</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26</w:t>
            </w:r>
          </w:p>
        </w:tc>
        <w:tc>
          <w:tcPr>
            <w:tcW w:w="502" w:type="pct"/>
            <w:tcBorders>
              <w:top w:val="nil"/>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0"/>
                <w:szCs w:val="10"/>
                <w:u w:val="none"/>
              </w:rPr>
            </w:pP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二十六、抗疫特别国债安排的支出</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58</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本年收入合计</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27</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本年支出合计</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59</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年初财政拨款结转和结余</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年末财政拨款结转和结余</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60</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一、一般公共预算财政拨款</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29</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03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61</w:t>
            </w:r>
          </w:p>
        </w:tc>
        <w:tc>
          <w:tcPr>
            <w:tcW w:w="258"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22"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2"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二、政府性基金预算财政拨款</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037"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62</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三、国有资本经营预算财政拨款</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1037"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0"/>
                <w:szCs w:val="10"/>
                <w:u w:val="none"/>
              </w:rPr>
            </w:pP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63</w:t>
            </w:r>
          </w:p>
        </w:tc>
        <w:tc>
          <w:tcPr>
            <w:tcW w:w="2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2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5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142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总计</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32</w:t>
            </w:r>
          </w:p>
        </w:tc>
        <w:tc>
          <w:tcPr>
            <w:tcW w:w="5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103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总计</w:t>
            </w:r>
          </w:p>
        </w:tc>
        <w:tc>
          <w:tcPr>
            <w:tcW w:w="15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64</w:t>
            </w:r>
          </w:p>
        </w:tc>
        <w:tc>
          <w:tcPr>
            <w:tcW w:w="25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5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42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5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000" w:type="pct"/>
            <w:gridSpan w:val="9"/>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15"/>
        <w:gridCol w:w="316"/>
        <w:gridCol w:w="316"/>
        <w:gridCol w:w="1660"/>
        <w:gridCol w:w="1052"/>
        <w:gridCol w:w="749"/>
        <w:gridCol w:w="11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949"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17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7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97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2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4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55"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949"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17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7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97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21"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44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55"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3279"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621"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本年支出合计</w:t>
            </w:r>
          </w:p>
        </w:tc>
        <w:tc>
          <w:tcPr>
            <w:tcW w:w="443"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基本支出</w:t>
            </w:r>
          </w:p>
        </w:tc>
        <w:tc>
          <w:tcPr>
            <w:tcW w:w="655"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支出功能分类科目编码</w:t>
            </w:r>
          </w:p>
        </w:tc>
        <w:tc>
          <w:tcPr>
            <w:tcW w:w="97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621"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4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5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2301"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97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21"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4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5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97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21"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4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55"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949" w:type="pct"/>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类</w:t>
            </w:r>
          </w:p>
        </w:tc>
        <w:tc>
          <w:tcPr>
            <w:tcW w:w="17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款</w:t>
            </w:r>
          </w:p>
        </w:tc>
        <w:tc>
          <w:tcPr>
            <w:tcW w:w="17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w:t>
            </w:r>
          </w:p>
        </w:tc>
        <w:tc>
          <w:tcPr>
            <w:tcW w:w="9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栏次</w:t>
            </w:r>
          </w:p>
        </w:tc>
        <w:tc>
          <w:tcPr>
            <w:tcW w:w="62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4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6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949" w:type="pct"/>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7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7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97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416.58</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社会保障和就业支出</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20805</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行政事业单位养老支出</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2080502</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事业单位离退休</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卫生健康支出</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21004</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公共卫生</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2100402</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卫生监督机构</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398.13</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住房保障支出</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22102</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住房改革支出</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2210201</w:t>
            </w:r>
          </w:p>
        </w:tc>
        <w:tc>
          <w:tcPr>
            <w:tcW w:w="97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住房公积金</w:t>
            </w:r>
          </w:p>
        </w:tc>
        <w:tc>
          <w:tcPr>
            <w:tcW w:w="6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4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15.65</w:t>
            </w:r>
          </w:p>
        </w:tc>
        <w:tc>
          <w:tcPr>
            <w:tcW w:w="65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97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6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5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97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6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5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0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97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6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5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5000" w:type="pct"/>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注：本表反映部门本年度一般公共预算财政拨款支出情况。</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65"/>
        <w:gridCol w:w="833"/>
        <w:gridCol w:w="520"/>
        <w:gridCol w:w="572"/>
        <w:gridCol w:w="827"/>
        <w:gridCol w:w="466"/>
        <w:gridCol w:w="645"/>
        <w:gridCol w:w="827"/>
        <w:gridCol w:w="9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82"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49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3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8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6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7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8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6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682"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49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0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36"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86"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26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37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8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6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78"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人员经费</w:t>
            </w:r>
          </w:p>
        </w:tc>
        <w:tc>
          <w:tcPr>
            <w:tcW w:w="2521" w:type="pct"/>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1682"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经济分类科目编码</w:t>
            </w:r>
          </w:p>
        </w:tc>
        <w:tc>
          <w:tcPr>
            <w:tcW w:w="49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3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w:t>
            </w:r>
          </w:p>
        </w:tc>
        <w:tc>
          <w:tcPr>
            <w:tcW w:w="33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经济分类科目编码</w:t>
            </w:r>
          </w:p>
        </w:tc>
        <w:tc>
          <w:tcPr>
            <w:tcW w:w="48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2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w:t>
            </w:r>
          </w:p>
        </w:tc>
        <w:tc>
          <w:tcPr>
            <w:tcW w:w="379"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经济分类科目编码</w:t>
            </w:r>
          </w:p>
        </w:tc>
        <w:tc>
          <w:tcPr>
            <w:tcW w:w="4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56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301</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工资福利支出</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388.71</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302</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商品和服务支出</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25.07</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307</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债务利息及费用支出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30101</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基本工资</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49.93</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30201</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办公费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2.22</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30701</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国内债务付息</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30102</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津贴补贴</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2.47</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30202</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印刷费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2.65</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30702</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国外债务付息</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30103</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奖金</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173.06</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30203</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咨询费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30703</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国内债务发行费用</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30106</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伙食补助费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8.32</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30204</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手续费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0.01</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30704</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国外债务发行费用</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30107</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绩效工资</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17.73</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30205</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水费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0.86</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310</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资本性支出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30108</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机关事业单位基本养老保险缴费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30206</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电费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2.90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31001</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房屋建筑物购建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30109</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职业年金缴费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17.54</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30207</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邮电费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31002</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办公设备购置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30110</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职工基本医疗保险缴费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23.70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30208</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取暖费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31003</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专用设备购置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30111</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公务员医疗补助缴款</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30209</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物业管理费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31005</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基础设施建设</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30112</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其他社会保障缴费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30211</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差旅费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0.05</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31006</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大型修缮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30113</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住房公积金</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82.15</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30212</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因公出国（境）费用</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31007</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信息网络及软件购置更新</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30114</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医疗费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30213</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维修（护）费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0.36</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31008</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物资储备</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30199</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其他工资福利支出</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13.81</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30214</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租赁费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31009</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土地补偿</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303</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对个人和家庭的补助</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30215</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会议费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31010</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安置补助</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30301</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离休费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30216</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培训费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310111</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地上附着物和青苗补偿</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30302</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退休费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30217</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公务接待费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31012</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拆迁补偿</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30303</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退职（役）费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30218</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专用材料费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31013</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公务用车购置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30304</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抚恤金</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30224</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被装购置费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31019</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其他交通工具购置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30305</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生活补贴</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30225</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专用燃料费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31021</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文物和陈列品购置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30306</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救济费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30226</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劳务费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31022</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无形资产购置</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30307</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医疗费补助</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30227</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委托业务费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31099</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其他资本性支出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30308</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助学金</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30228</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工会经费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8.00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312</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对企业补助</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30309</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奖励金</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2.80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30229</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福利费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31201</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资本金注入</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30310</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个人农业生产补贴</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30231</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公务用车运行维护费</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31203</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政府投资基金股权投资</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30311</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代缴社会保险费</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30239</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其他交通费用</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0.19</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31204</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费用补贴</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30399</w:t>
            </w:r>
          </w:p>
        </w:tc>
        <w:tc>
          <w:tcPr>
            <w:tcW w:w="490"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其他对个人和家庭的补助支出</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30240</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税金及附加费用</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31205</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利息补贴</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490" w:type="pct"/>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30299</w:t>
            </w:r>
          </w:p>
        </w:tc>
        <w:tc>
          <w:tcPr>
            <w:tcW w:w="4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其他商品和服务支出</w:t>
            </w:r>
          </w:p>
        </w:tc>
        <w:tc>
          <w:tcPr>
            <w:tcW w:w="26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6.33</w:t>
            </w: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31299</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其他对企业补助</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490" w:type="pct"/>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3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48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2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399</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0"/>
                <w:szCs w:val="10"/>
                <w:u w:val="none"/>
              </w:rPr>
            </w:pPr>
            <w:r>
              <w:rPr>
                <w:rFonts w:hint="eastAsia" w:ascii="宋体" w:hAnsi="宋体" w:eastAsia="宋体" w:cs="宋体"/>
                <w:b/>
                <w:bCs/>
                <w:i w:val="0"/>
                <w:iCs w:val="0"/>
                <w:snapToGrid w:val="0"/>
                <w:color w:val="000000"/>
                <w:kern w:val="0"/>
                <w:sz w:val="10"/>
                <w:szCs w:val="10"/>
                <w:u w:val="none"/>
                <w:lang w:val="en-US" w:eastAsia="zh-CN" w:bidi="ar"/>
              </w:rPr>
              <w:t>其他支出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490" w:type="pct"/>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3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48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2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39906</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赠与</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490"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3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48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2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39907</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国家赔偿费用支出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490" w:type="pct"/>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33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48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2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39908</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对民间非营利组织和群众性自治组织补贴</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682"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0"/>
                <w:szCs w:val="10"/>
                <w:u w:val="none"/>
              </w:rPr>
            </w:pPr>
          </w:p>
        </w:tc>
        <w:tc>
          <w:tcPr>
            <w:tcW w:w="490" w:type="pct"/>
            <w:tcBorders>
              <w:top w:val="nil"/>
              <w:left w:val="nil"/>
              <w:bottom w:val="single" w:color="000000" w:sz="4" w:space="0"/>
              <w:right w:val="single" w:color="000000" w:sz="4" w:space="0"/>
            </w:tcBorders>
            <w:shd w:val="clear" w:color="FFFFFF" w:fill="C0C0C0"/>
            <w:vAlign w:val="center"/>
          </w:tcPr>
          <w:p>
            <w:pPr>
              <w:jc w:val="left"/>
              <w:rPr>
                <w:rFonts w:hint="eastAsia" w:ascii="宋体" w:hAnsi="宋体" w:eastAsia="宋体" w:cs="宋体"/>
                <w:i w:val="0"/>
                <w:iCs w:val="0"/>
                <w:color w:val="000000"/>
                <w:sz w:val="10"/>
                <w:szCs w:val="1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33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486" w:type="pct"/>
            <w:tcBorders>
              <w:top w:val="nil"/>
              <w:left w:val="nil"/>
              <w:bottom w:val="single" w:color="000000" w:sz="4" w:space="0"/>
              <w:right w:val="single" w:color="000000" w:sz="4" w:space="0"/>
            </w:tcBorders>
            <w:shd w:val="clear" w:color="FFFFFF" w:fill="C0C0C0"/>
            <w:noWrap/>
            <w:vAlign w:val="bottom"/>
          </w:tcPr>
          <w:p>
            <w:pPr>
              <w:jc w:val="left"/>
              <w:rPr>
                <w:rFonts w:hint="default" w:ascii="Arial" w:hAnsi="Arial" w:cs="Arial"/>
                <w:i w:val="0"/>
                <w:iCs w:val="0"/>
                <w:color w:val="000000"/>
                <w:sz w:val="10"/>
                <w:szCs w:val="10"/>
                <w:u w:val="none"/>
              </w:rPr>
            </w:pPr>
          </w:p>
        </w:tc>
        <w:tc>
          <w:tcPr>
            <w:tcW w:w="26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3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39999</w:t>
            </w:r>
          </w:p>
        </w:tc>
        <w:tc>
          <w:tcPr>
            <w:tcW w:w="48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其他支出</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2172" w:type="pct"/>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人员经费合计</w:t>
            </w:r>
          </w:p>
        </w:tc>
        <w:tc>
          <w:tcPr>
            <w:tcW w:w="30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391.51</w:t>
            </w:r>
          </w:p>
        </w:tc>
        <w:tc>
          <w:tcPr>
            <w:tcW w:w="1954" w:type="pct"/>
            <w:gridSpan w:val="5"/>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公用支出合计</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000" w:type="pct"/>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注：本表反映部门本年度一般公共预算财政拨款基本支出明细情况。</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79"/>
        <w:gridCol w:w="987"/>
        <w:gridCol w:w="1278"/>
        <w:gridCol w:w="15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4"/>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一般公共预算财政拨款“三公”经费支出决算表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745"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579"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75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92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745"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579"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75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92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745" w:type="pct"/>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w:t>
            </w:r>
          </w:p>
        </w:tc>
        <w:tc>
          <w:tcPr>
            <w:tcW w:w="579" w:type="pc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栏次</w:t>
            </w:r>
          </w:p>
        </w:tc>
        <w:tc>
          <w:tcPr>
            <w:tcW w:w="750" w:type="pc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年初预算数</w:t>
            </w:r>
          </w:p>
        </w:tc>
        <w:tc>
          <w:tcPr>
            <w:tcW w:w="923" w:type="pc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行次</w:t>
            </w:r>
          </w:p>
        </w:tc>
        <w:tc>
          <w:tcPr>
            <w:tcW w:w="579"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75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92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一、“三公”经费支出</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7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1.因公出国（境）费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7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2.公务用车购置及运行维护费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7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（1）公务用车购置费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7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（2）公务用车运行维护费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c>
          <w:tcPr>
            <w:tcW w:w="7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3.公务接待费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w:t>
            </w:r>
          </w:p>
        </w:tc>
        <w:tc>
          <w:tcPr>
            <w:tcW w:w="75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（1）国内接待费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7</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其中：外事接待费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8</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（2）国（境）外接待费</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9</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二、相关统计数</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10</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1.因公出国（境）团组数（个）</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11</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2.因公出国（境）人次数（人）</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12</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3.公务用车购置数（辆）</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13</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4.公务用车保有量（辆）</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14</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5.国内公务接待批次（个）</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15</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其中：外事接待批次（个）</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16</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6.国内公务接待人次（人）</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17</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其中：外事接待人次（人）</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18</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7.国（境）外公务接待批次（个）</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19</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4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 xml:space="preserve">  8.国（境）外公务接待人次（人）</w:t>
            </w:r>
          </w:p>
        </w:tc>
        <w:tc>
          <w:tcPr>
            <w:tcW w:w="57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w:t>
            </w:r>
          </w:p>
        </w:tc>
        <w:tc>
          <w:tcPr>
            <w:tcW w:w="75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w:t>
            </w:r>
          </w:p>
        </w:tc>
        <w:tc>
          <w:tcPr>
            <w:tcW w:w="92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5000" w:type="pct"/>
            <w:gridSpan w:val="4"/>
            <w:vMerge w:val="restart"/>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注：本表反映部门本年度“三公”经费支出预决算情况。其中，预算数为“三公”经费年初预算数，决算数是包括当年一般公共预算财政拨款和以前年度结转资金安排的实际支出。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5000" w:type="pct"/>
            <w:gridSpan w:val="4"/>
            <w:vMerge w:val="continue"/>
            <w:tcBorders>
              <w:top w:val="nil"/>
              <w:left w:val="nil"/>
              <w:bottom w:val="nil"/>
              <w:right w:val="nil"/>
            </w:tcBorders>
            <w:shd w:val="clear" w:color="auto" w:fill="auto"/>
            <w:vAlign w:val="center"/>
          </w:tcPr>
          <w:p>
            <w:pPr>
              <w:jc w:val="left"/>
              <w:rPr>
                <w:rFonts w:hint="eastAsia" w:ascii="宋体" w:hAnsi="宋体" w:eastAsia="宋体" w:cs="宋体"/>
                <w:i w:val="0"/>
                <w:iCs w:val="0"/>
                <w:color w:val="000000"/>
                <w:sz w:val="10"/>
                <w:szCs w:val="10"/>
                <w:u w:val="none"/>
              </w:rPr>
            </w:pP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rPr>
          <w:rFonts w:hint="eastAsia" w:eastAsia="宋体"/>
          <w:lang w:eastAsia="zh-CN"/>
        </w:rPr>
      </w:pPr>
    </w:p>
    <w:p>
      <w:pPr>
        <w:keepNext w:val="0"/>
        <w:keepLines w:val="0"/>
        <w:pageBreakBefore w:val="0"/>
        <w:wordWrap/>
        <w:overflowPunct/>
        <w:topLinePunct w:val="0"/>
        <w:bidi w:val="0"/>
        <w:spacing w:line="240" w:lineRule="auto"/>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14"/>
        <w:gridCol w:w="316"/>
        <w:gridCol w:w="316"/>
        <w:gridCol w:w="676"/>
        <w:gridCol w:w="698"/>
        <w:gridCol w:w="674"/>
        <w:gridCol w:w="416"/>
        <w:gridCol w:w="674"/>
        <w:gridCol w:w="677"/>
        <w:gridCol w:w="1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776"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16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6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1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4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77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16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16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17"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24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403"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6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2501"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41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年初结转和结余</w:t>
            </w:r>
          </w:p>
        </w:tc>
        <w:tc>
          <w:tcPr>
            <w:tcW w:w="403" w:type="pct"/>
            <w:vMerge w:val="restart"/>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本年收入</w:t>
            </w:r>
          </w:p>
        </w:tc>
        <w:tc>
          <w:tcPr>
            <w:tcW w:w="1049" w:type="pct"/>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本年支出</w:t>
            </w:r>
          </w:p>
        </w:tc>
        <w:tc>
          <w:tcPr>
            <w:tcW w:w="62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支出功能分类科目编码</w:t>
            </w:r>
          </w:p>
        </w:tc>
        <w:tc>
          <w:tcPr>
            <w:tcW w:w="403"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241"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小计</w:t>
            </w:r>
          </w:p>
        </w:tc>
        <w:tc>
          <w:tcPr>
            <w:tcW w:w="403"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基本支出</w:t>
            </w:r>
          </w:p>
        </w:tc>
        <w:tc>
          <w:tcPr>
            <w:tcW w:w="403"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项目支出</w:t>
            </w:r>
          </w:p>
        </w:tc>
        <w:tc>
          <w:tcPr>
            <w:tcW w:w="6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24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single" w:color="000000" w:sz="4" w:space="0"/>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24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6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776" w:type="pct"/>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类</w:t>
            </w:r>
          </w:p>
        </w:tc>
        <w:tc>
          <w:tcPr>
            <w:tcW w:w="160"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款</w:t>
            </w:r>
          </w:p>
        </w:tc>
        <w:tc>
          <w:tcPr>
            <w:tcW w:w="160"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w:t>
            </w:r>
          </w:p>
        </w:tc>
        <w:tc>
          <w:tcPr>
            <w:tcW w:w="4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栏次</w:t>
            </w:r>
          </w:p>
        </w:tc>
        <w:tc>
          <w:tcPr>
            <w:tcW w:w="41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4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24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c>
          <w:tcPr>
            <w:tcW w:w="4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4</w:t>
            </w:r>
          </w:p>
        </w:tc>
        <w:tc>
          <w:tcPr>
            <w:tcW w:w="4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5</w:t>
            </w:r>
          </w:p>
        </w:tc>
        <w:tc>
          <w:tcPr>
            <w:tcW w:w="6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6" w:type="pct"/>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60"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160"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097"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41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40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6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注：本表反映部门本年度政府性基金预算财政拨款收入、支出及结转和结余情况。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说明：当此表数据为零时，即本部门无政府性基金预算财政拨款收入、支出。</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58"/>
        <w:gridCol w:w="366"/>
        <w:gridCol w:w="366"/>
        <w:gridCol w:w="924"/>
        <w:gridCol w:w="997"/>
        <w:gridCol w:w="375"/>
        <w:gridCol w:w="14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381" w:type="pct"/>
            <w:tcBorders>
              <w:top w:val="nil"/>
              <w:left w:val="nil"/>
              <w:bottom w:val="nil"/>
              <w:right w:val="nil"/>
            </w:tcBorders>
            <w:shd w:val="clear" w:color="auto" w:fill="auto"/>
            <w:noWrap/>
            <w:vAlign w:val="bottom"/>
          </w:tcPr>
          <w:p>
            <w:pPr>
              <w:rPr>
                <w:rFonts w:hint="eastAsia" w:ascii="Arial" w:hAnsi="Arial" w:cs="Arial"/>
                <w:i w:val="0"/>
                <w:iCs w:val="0"/>
                <w:color w:val="000000"/>
                <w:sz w:val="10"/>
                <w:szCs w:val="10"/>
                <w:u w:val="none"/>
              </w:rPr>
            </w:pPr>
          </w:p>
        </w:tc>
        <w:tc>
          <w:tcPr>
            <w:tcW w:w="21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1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4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8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2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84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238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编制单位：南昌市青云谱区卫生健康综合监督执法局</w:t>
            </w:r>
          </w:p>
        </w:tc>
        <w:tc>
          <w:tcPr>
            <w:tcW w:w="21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215"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41"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585"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2021年度</w:t>
            </w:r>
          </w:p>
        </w:tc>
        <w:tc>
          <w:tcPr>
            <w:tcW w:w="220" w:type="pct"/>
            <w:tcBorders>
              <w:top w:val="nil"/>
              <w:left w:val="nil"/>
              <w:bottom w:val="nil"/>
              <w:right w:val="nil"/>
            </w:tcBorders>
            <w:shd w:val="clear" w:color="auto" w:fill="auto"/>
            <w:noWrap/>
            <w:vAlign w:val="bottom"/>
          </w:tcPr>
          <w:p>
            <w:pPr>
              <w:rPr>
                <w:rFonts w:hint="default" w:ascii="Arial" w:hAnsi="Arial" w:cs="Arial"/>
                <w:i w:val="0"/>
                <w:iCs w:val="0"/>
                <w:color w:val="000000"/>
                <w:sz w:val="10"/>
                <w:szCs w:val="10"/>
                <w:u w:val="none"/>
              </w:rPr>
            </w:pPr>
          </w:p>
        </w:tc>
        <w:tc>
          <w:tcPr>
            <w:tcW w:w="84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353"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    目</w:t>
            </w:r>
          </w:p>
        </w:tc>
        <w:tc>
          <w:tcPr>
            <w:tcW w:w="585"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22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基本支出</w:t>
            </w:r>
          </w:p>
        </w:tc>
        <w:tc>
          <w:tcPr>
            <w:tcW w:w="84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11"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支出功能分类科目编码</w:t>
            </w:r>
          </w:p>
        </w:tc>
        <w:tc>
          <w:tcPr>
            <w:tcW w:w="541"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科目名称</w:t>
            </w:r>
          </w:p>
        </w:tc>
        <w:tc>
          <w:tcPr>
            <w:tcW w:w="585"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2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84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811"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4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585"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2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84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811"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54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585"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2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c>
          <w:tcPr>
            <w:tcW w:w="84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81" w:type="pct"/>
            <w:vMerge w:val="restar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类</w:t>
            </w:r>
          </w:p>
        </w:tc>
        <w:tc>
          <w:tcPr>
            <w:tcW w:w="21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款</w:t>
            </w:r>
          </w:p>
        </w:tc>
        <w:tc>
          <w:tcPr>
            <w:tcW w:w="21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项</w:t>
            </w:r>
          </w:p>
        </w:tc>
        <w:tc>
          <w:tcPr>
            <w:tcW w:w="54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栏次</w:t>
            </w:r>
          </w:p>
        </w:tc>
        <w:tc>
          <w:tcPr>
            <w:tcW w:w="58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1</w:t>
            </w:r>
          </w:p>
        </w:tc>
        <w:tc>
          <w:tcPr>
            <w:tcW w:w="22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2</w:t>
            </w:r>
          </w:p>
        </w:tc>
        <w:tc>
          <w:tcPr>
            <w:tcW w:w="84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81" w:type="pct"/>
            <w:vMerge w:val="continue"/>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21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21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合计</w:t>
            </w: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1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81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1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1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1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1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0"/>
                <w:szCs w:val="10"/>
                <w:u w:val="none"/>
              </w:rPr>
            </w:pPr>
          </w:p>
        </w:tc>
        <w:tc>
          <w:tcPr>
            <w:tcW w:w="58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2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c>
          <w:tcPr>
            <w:tcW w:w="8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0"/>
                <w:szCs w:val="1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5000" w:type="pct"/>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注：本表反映部门本年度国有资本经营预算财政拨款支出情况。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0"/>
                <w:szCs w:val="10"/>
                <w:u w:val="none"/>
              </w:rPr>
            </w:pPr>
            <w:r>
              <w:rPr>
                <w:rFonts w:hint="eastAsia" w:ascii="宋体" w:hAnsi="宋体" w:eastAsia="宋体" w:cs="宋体"/>
                <w:i w:val="0"/>
                <w:iCs w:val="0"/>
                <w:snapToGrid w:val="0"/>
                <w:color w:val="000000"/>
                <w:kern w:val="0"/>
                <w:sz w:val="10"/>
                <w:szCs w:val="10"/>
                <w:u w:val="none"/>
                <w:lang w:val="en-US" w:eastAsia="zh-CN" w:bidi="ar"/>
              </w:rPr>
              <w:t>说明：当此表数据为空时，即本部门无国有资本经营预算财政拨款支出。</w:t>
            </w:r>
          </w:p>
        </w:tc>
      </w:tr>
    </w:tbl>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tbl>
      <w:tblPr>
        <w:tblStyle w:val="4"/>
        <w:tblW w:w="8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80"/>
        <w:gridCol w:w="1146"/>
        <w:gridCol w:w="20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775" w:type="dxa"/>
            <w:gridSpan w:val="3"/>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国有资产占用情况表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编制单位：南昌市青云谱区卫生健康综合监督执法局</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单位：台、辆、套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0" w:type="auto"/>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0" w:type="auto"/>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一、车辆数合计(台、辆)</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1.副部（省）级及以上领导用车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2.主要领导干部用车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3.机要通信用车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4.应急保障用车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5.执法执勤用车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6.特种专业技术用车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7.离退休干部用车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8.其他用车</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二、单价50万元（含）以上通用设备（台，套）</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三、单价100万元（含）以上专用设备（台，套）</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注：本表反映截止2021年12月31日，部门占用的国有资产情况。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说明：当此表数据为空时，即本部门（单位）无相关资产。</w:t>
            </w:r>
          </w:p>
        </w:tc>
      </w:tr>
    </w:tbl>
    <w:p>
      <w:pPr>
        <w:keepNext w:val="0"/>
        <w:keepLines w:val="0"/>
        <w:pageBreakBefore w:val="0"/>
        <w:wordWrap/>
        <w:overflowPunct/>
        <w:topLinePunct w:val="0"/>
        <w:bidi w:val="0"/>
        <w:spacing w:line="240" w:lineRule="auto"/>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第三部分    2021年度单位决算情况说明</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一、收入决算情况说明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本单位 2021年度收入总计495.08万元，其中年初结转和结余0万元，较 2020年减少83.99万元，下降100%; 本年收入合计495.08万元，较 2020年减少9.02万元，下降1.82%，主要原因是:人员减少。</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 xml:space="preserve">   本年收入的具体构成为∶ 财政拨款收入416.58万元，占84.14%;事业收入78.5万元，占15.86%。</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二、支出决算情况说明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本单位 2021年度支出总计495.08万元，其中本年支出合计495.08万元，较 2020年减少9.02万元，下降1.82%%，主要原因是∶人员减少;年末结转和结余0万元，较 2020年没有变化。</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本年支出的具体构成为∶ 基本支出495.08万元，占100%。</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三、财政拨款支出决算情况说明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本单位2021 年度财政拨款本年支出年初预算数为282.85万元， 决算数为495.08万元，完成年初预算的175.03 %。其中∶</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（一）社会保障和就业支出年初预算数为2.8万元，决算数为2.8万元。</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（二）卫生健康支出年初预算数为264.4万元，决算数为476.63万元，主要原因是：部分经费未列入本级财政预算。</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（三）住房保障支出年初预算数为15.65万元，决算数为15.65万元。</w:t>
      </w: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四、一般公共预算财政拨款基本支出决算情况说明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本单位 2021年度一般公共预算财政拨款基本支出416.58万元，其中∶</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（一）工资福利支出388.71万元，较 2020年增加25.18万元，增长6.93%，主要原因是∶</w:t>
      </w:r>
      <w:r>
        <w:rPr>
          <w:rFonts w:hint="eastAsia" w:ascii="仿宋" w:hAnsi="仿宋" w:eastAsia="仿宋" w:cs="Times New Roman"/>
          <w:sz w:val="30"/>
          <w:szCs w:val="30"/>
        </w:rPr>
        <w:t>政府重视，加大人员投入，人员增加、工资、社保、福利等都有所增加。</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 xml:space="preserve">   （二）商品和服务支出25.07万元，较2020年增加0.39万元，增长1.58%，主要原因是∶物价上涨。</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（三）对个人和家庭补助支出2.8万元，较  2020年减少29.1 万元，下降91.22%，主要原因是∶基本工资发放与对个人和家庭补助占比变化，个人和家庭补助占比减少。</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五、一般公共预算财政拨款“三公”经费支出决算情况说明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本单位2021年度一般公共预算财政拨款“三公”经费支出年初 预算数为5.3万元，决算数为0万元，完成预算的0%，其中∶</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公务接待费支出年初预算数为0.4万元，决算数为0万元，完成预算的0%，决算数与2020年持平。主要原因 是∶本年度无公务接待。</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（二）因公出国（境）支出年初预算数为0万元，决算数为0万元，完成预算的0%，决算数与2020年持平。主要原因 是∶本年度无因公出国。</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公务用车运行维护费支出0万元，公务用车运行维护费支出年初预算数为4.9万元，决算数为0万元，完成预算的0%，决算数与2020年持平，主要原因是：因公车改革，车辆统一由政府车管办开支。年末公务用车保有2辆。决算数较年初预算数减少的主要原因是∶因公车改革，车辆统一由政府车管办开支。</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六、机关运行经费支出情况说明</w:t>
      </w:r>
    </w:p>
    <w:p>
      <w:pPr>
        <w:ind w:firstLine="630"/>
        <w:jc w:val="left"/>
        <w:rPr>
          <w:rFonts w:hint="default" w:ascii="仿宋" w:hAnsi="仿宋" w:eastAsia="仿宋"/>
          <w:sz w:val="30"/>
          <w:szCs w:val="30"/>
          <w:lang w:val="en-US" w:eastAsia="zh-CN"/>
        </w:rPr>
      </w:pPr>
      <w:r>
        <w:rPr>
          <w:rFonts w:hint="eastAsia" w:ascii="仿宋" w:hAnsi="仿宋" w:eastAsia="仿宋"/>
          <w:sz w:val="30"/>
          <w:szCs w:val="30"/>
        </w:rPr>
        <w:t>本</w:t>
      </w:r>
      <w:r>
        <w:rPr>
          <w:rFonts w:hint="eastAsia" w:ascii="仿宋" w:hAnsi="仿宋" w:eastAsia="仿宋"/>
          <w:sz w:val="30"/>
          <w:szCs w:val="30"/>
          <w:lang w:val="en-US" w:eastAsia="zh-CN"/>
        </w:rPr>
        <w:t>单位</w:t>
      </w:r>
      <w:r>
        <w:rPr>
          <w:rFonts w:hint="eastAsia" w:ascii="仿宋" w:hAnsi="仿宋" w:eastAsia="仿宋"/>
          <w:sz w:val="30"/>
          <w:szCs w:val="30"/>
        </w:rPr>
        <w:t>20</w:t>
      </w:r>
      <w:r>
        <w:rPr>
          <w:rFonts w:hint="eastAsia" w:ascii="仿宋" w:hAnsi="仿宋" w:eastAsia="仿宋"/>
          <w:sz w:val="30"/>
          <w:szCs w:val="30"/>
          <w:lang w:val="en-US" w:eastAsia="zh-CN"/>
        </w:rPr>
        <w:t>21</w:t>
      </w:r>
      <w:r>
        <w:rPr>
          <w:rFonts w:hint="eastAsia" w:ascii="仿宋" w:hAnsi="仿宋" w:eastAsia="仿宋"/>
          <w:sz w:val="30"/>
          <w:szCs w:val="30"/>
        </w:rPr>
        <w:t>年度</w:t>
      </w:r>
      <w:r>
        <w:rPr>
          <w:rFonts w:hint="eastAsia" w:ascii="仿宋" w:hAnsi="仿宋" w:eastAsia="仿宋"/>
          <w:sz w:val="30"/>
          <w:szCs w:val="30"/>
          <w:lang w:val="en-US" w:eastAsia="zh-CN"/>
        </w:rPr>
        <w:t>无</w:t>
      </w:r>
      <w:r>
        <w:rPr>
          <w:rFonts w:hint="eastAsia" w:ascii="仿宋" w:hAnsi="仿宋" w:eastAsia="仿宋"/>
          <w:sz w:val="30"/>
          <w:szCs w:val="30"/>
        </w:rPr>
        <w:t>机关运行经费</w:t>
      </w:r>
      <w:r>
        <w:rPr>
          <w:rFonts w:hint="eastAsia" w:ascii="仿宋" w:hAnsi="仿宋" w:eastAsia="仿宋"/>
          <w:sz w:val="30"/>
          <w:szCs w:val="30"/>
          <w:lang w:val="en-US" w:eastAsia="zh-CN"/>
        </w:rPr>
        <w:t>收入支出。非行政参公单位。</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七、政府采购支出情况说明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本单位 2021年度政府采购支出总额4.56万元，其中∶ 政府采购货物支出4.56万元。</w:t>
      </w:r>
      <w:r>
        <w:rPr>
          <w:rFonts w:hint="eastAsia" w:ascii="仿宋" w:hAnsi="仿宋" w:eastAsia="仿宋"/>
          <w:sz w:val="30"/>
          <w:szCs w:val="30"/>
        </w:rPr>
        <w:t>授予中小企业合同金额</w:t>
      </w:r>
      <w:r>
        <w:rPr>
          <w:rFonts w:hint="eastAsia" w:ascii="仿宋" w:hAnsi="仿宋" w:eastAsia="仿宋"/>
          <w:sz w:val="30"/>
          <w:szCs w:val="30"/>
          <w:lang w:val="en-US" w:eastAsia="zh-CN"/>
        </w:rPr>
        <w:t>4.56</w:t>
      </w:r>
      <w:r>
        <w:rPr>
          <w:rFonts w:hint="eastAsia" w:ascii="仿宋" w:hAnsi="仿宋" w:eastAsia="仿宋"/>
          <w:sz w:val="30"/>
          <w:szCs w:val="30"/>
        </w:rPr>
        <w:t>万元，占政府采购支出总额的</w:t>
      </w:r>
      <w:r>
        <w:rPr>
          <w:rFonts w:hint="eastAsia" w:ascii="仿宋" w:hAnsi="仿宋" w:eastAsia="仿宋"/>
          <w:sz w:val="30"/>
          <w:szCs w:val="30"/>
          <w:lang w:val="en-US" w:eastAsia="zh-CN"/>
        </w:rPr>
        <w:t>100</w:t>
      </w:r>
      <w:r>
        <w:rPr>
          <w:rFonts w:hint="eastAsia" w:ascii="仿宋" w:hAnsi="仿宋" w:eastAsia="仿宋"/>
          <w:sz w:val="30"/>
          <w:szCs w:val="30"/>
        </w:rPr>
        <w:t>%，其中：授予小微企业合同金额</w:t>
      </w:r>
      <w:r>
        <w:rPr>
          <w:rFonts w:hint="eastAsia" w:ascii="仿宋" w:hAnsi="仿宋" w:eastAsia="仿宋"/>
          <w:sz w:val="30"/>
          <w:szCs w:val="30"/>
          <w:lang w:val="en-US" w:eastAsia="zh-CN"/>
        </w:rPr>
        <w:t>0</w:t>
      </w:r>
      <w:r>
        <w:rPr>
          <w:rFonts w:hint="eastAsia" w:ascii="仿宋" w:hAnsi="仿宋" w:eastAsia="仿宋"/>
          <w:sz w:val="30"/>
          <w:szCs w:val="30"/>
        </w:rPr>
        <w:t>万元，占政府采购支出总额的</w:t>
      </w:r>
      <w:r>
        <w:rPr>
          <w:rFonts w:hint="eastAsia" w:ascii="仿宋" w:hAnsi="仿宋" w:eastAsia="仿宋"/>
          <w:sz w:val="30"/>
          <w:szCs w:val="30"/>
          <w:lang w:val="en-US" w:eastAsia="zh-CN"/>
        </w:rPr>
        <w:t>0</w:t>
      </w:r>
      <w:r>
        <w:rPr>
          <w:rFonts w:hint="eastAsia" w:ascii="仿宋" w:hAnsi="仿宋" w:eastAsia="仿宋"/>
          <w:sz w:val="30"/>
          <w:szCs w:val="30"/>
        </w:rPr>
        <w:t>%</w:t>
      </w:r>
      <w:r>
        <w:rPr>
          <w:rFonts w:hint="eastAsia" w:ascii="仿宋" w:hAnsi="仿宋" w:eastAsia="仿宋"/>
          <w:sz w:val="30"/>
          <w:szCs w:val="30"/>
          <w:lang w:eastAsia="zh-CN"/>
        </w:rPr>
        <w:t>；</w:t>
      </w:r>
      <w:r>
        <w:rPr>
          <w:rFonts w:hint="eastAsia" w:ascii="仿宋" w:hAnsi="仿宋" w:eastAsia="仿宋"/>
          <w:color w:val="auto"/>
          <w:sz w:val="30"/>
          <w:szCs w:val="30"/>
          <w:lang w:val="en-US" w:eastAsia="zh-CN"/>
        </w:rPr>
        <w:t>货物采购授予中小企业合同金额占货物支出金额的100%，工程采购授予中小企业合同金额占工程支出金额的0%</w:t>
      </w:r>
      <w:bookmarkStart w:id="0" w:name="_GoBack"/>
      <w:bookmarkEnd w:id="0"/>
      <w:r>
        <w:rPr>
          <w:rFonts w:hint="eastAsia" w:ascii="仿宋" w:hAnsi="仿宋" w:eastAsia="仿宋"/>
          <w:color w:val="auto"/>
          <w:sz w:val="30"/>
          <w:szCs w:val="30"/>
          <w:lang w:val="en-US" w:eastAsia="zh-CN"/>
        </w:rPr>
        <w:t>，服务采购授予中小企业合同金额占服务支出金额的0%。</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八、国有资产占用情况说明。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截止2021年12月31日，本单位国有资产占用情况见公开10 表《国有资产占用情况表》。其中车辆中的其他用车主要是副部(省)级及以上领导用车0辆、主要领导干部用车0辆、机要通信用车0辆、保障用车0辆、执法执勤用车0辆、特种专业技术用车0辆、其他用车0辆，单位价值50万元以上通用设备0台(套);单位价值100万元以上设备0台(套)。</w:t>
      </w:r>
    </w:p>
    <w:p>
      <w:pPr>
        <w:keepNext w:val="0"/>
        <w:keepLines w:val="0"/>
        <w:pageBreakBefore w:val="0"/>
        <w:wordWrap/>
        <w:overflowPunct/>
        <w:topLinePunct w:val="0"/>
        <w:bidi w:val="0"/>
        <w:spacing w:line="240" w:lineRule="auto"/>
        <w:rPr>
          <w:rFonts w:ascii="Arial"/>
          <w:sz w:val="21"/>
        </w:rPr>
      </w:pPr>
      <w:r>
        <mc:AlternateContent>
          <mc:Choice Requires="wps">
            <w:drawing>
              <wp:anchor distT="0" distB="0" distL="0" distR="0" simplePos="0" relativeHeight="251677696" behindDoc="0" locked="0" layoutInCell="0" allowOverlap="1">
                <wp:simplePos x="0" y="0"/>
                <wp:positionH relativeFrom="page">
                  <wp:posOffset>4937760</wp:posOffset>
                </wp:positionH>
                <wp:positionV relativeFrom="page">
                  <wp:posOffset>6992620</wp:posOffset>
                </wp:positionV>
                <wp:extent cx="32385" cy="277495"/>
                <wp:effectExtent l="0" t="0" r="0" b="0"/>
                <wp:wrapNone/>
                <wp:docPr id="3" name="TextBox 3"/>
                <wp:cNvGraphicFramePr/>
                <a:graphic xmlns:a="http://schemas.openxmlformats.org/drawingml/2006/main">
                  <a:graphicData uri="http://schemas.microsoft.com/office/word/2010/wordprocessingShape">
                    <wps:wsp>
                      <wps:cNvSpPr txBox="1"/>
                      <wps:spPr>
                        <a:xfrm rot="10800000">
                          <a:off x="4938030" y="6992828"/>
                          <a:ext cx="32384" cy="2774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 o:spid="_x0000_s1026" o:spt="202" type="#_x0000_t202" style="position:absolute;left:0pt;margin-left:388.8pt;margin-top:550.6pt;height:21.85pt;width:2.55pt;mso-position-horizontal-relative:page;mso-position-vertical-relative:page;rotation:11796480f;z-index:251677696;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v:fill on="f" focussize="0,0"/>
                <v:stroke on="f" weight="0pt"/>
                <v:imagedata o:title=""/>
                <o:lock v:ext="edit" aspectratio="f"/>
                <v:textbox inset="0mm,0mm,0mm,0mm">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九、预算绩效情况说明</w:t>
      </w:r>
    </w:p>
    <w:p>
      <w:pPr>
        <w:ind w:firstLine="630"/>
        <w:jc w:val="left"/>
        <w:rPr>
          <w:rFonts w:hint="eastAsia" w:ascii="仿宋" w:hAnsi="仿宋" w:eastAsia="仿宋"/>
          <w:sz w:val="30"/>
          <w:szCs w:val="30"/>
          <w:lang w:val="en-US" w:eastAsia="zh-CN"/>
        </w:rPr>
      </w:pPr>
      <w:r>
        <w:rPr>
          <w:rFonts w:hint="eastAsia" w:ascii="仿宋" w:hAnsi="仿宋" w:eastAsia="仿宋"/>
          <w:sz w:val="30"/>
          <w:szCs w:val="30"/>
        </w:rPr>
        <w:t>本</w:t>
      </w:r>
      <w:r>
        <w:rPr>
          <w:rFonts w:hint="eastAsia" w:ascii="仿宋" w:hAnsi="仿宋" w:eastAsia="仿宋"/>
          <w:sz w:val="30"/>
          <w:szCs w:val="30"/>
          <w:lang w:val="en-US" w:eastAsia="zh-CN"/>
        </w:rPr>
        <w:t>单位无</w:t>
      </w:r>
      <w:r>
        <w:rPr>
          <w:rFonts w:hint="eastAsia" w:ascii="仿宋" w:hAnsi="仿宋" w:eastAsia="仿宋" w:cs="仿宋_GB2312"/>
          <w:color w:val="auto"/>
          <w:kern w:val="0"/>
          <w:sz w:val="30"/>
          <w:szCs w:val="30"/>
          <w:lang w:val="en-US" w:eastAsia="zh-CN"/>
        </w:rPr>
        <w:t>纳入</w:t>
      </w:r>
      <w:r>
        <w:rPr>
          <w:rFonts w:ascii="仿宋" w:hAnsi="仿宋" w:eastAsia="仿宋" w:cs="仿宋_GB2312"/>
          <w:color w:val="auto"/>
          <w:kern w:val="0"/>
          <w:sz w:val="30"/>
          <w:szCs w:val="30"/>
        </w:rPr>
        <w:t>20</w:t>
      </w:r>
      <w:r>
        <w:rPr>
          <w:rFonts w:hint="eastAsia" w:ascii="仿宋" w:hAnsi="仿宋" w:eastAsia="仿宋" w:cs="仿宋_GB2312"/>
          <w:color w:val="auto"/>
          <w:kern w:val="0"/>
          <w:sz w:val="30"/>
          <w:szCs w:val="30"/>
        </w:rPr>
        <w:t>2</w:t>
      </w:r>
      <w:r>
        <w:rPr>
          <w:rFonts w:hint="eastAsia" w:ascii="仿宋" w:hAnsi="仿宋" w:eastAsia="仿宋" w:cs="仿宋_GB2312"/>
          <w:color w:val="auto"/>
          <w:kern w:val="0"/>
          <w:sz w:val="30"/>
          <w:szCs w:val="30"/>
          <w:lang w:val="en-US" w:eastAsia="zh-CN"/>
        </w:rPr>
        <w:t>1</w:t>
      </w:r>
      <w:r>
        <w:rPr>
          <w:rFonts w:hint="eastAsia" w:ascii="仿宋" w:hAnsi="仿宋" w:eastAsia="仿宋" w:cs="仿宋_GB2312"/>
          <w:color w:val="auto"/>
          <w:kern w:val="0"/>
          <w:sz w:val="30"/>
          <w:szCs w:val="30"/>
        </w:rPr>
        <w:t>年度</w:t>
      </w:r>
      <w:r>
        <w:rPr>
          <w:rFonts w:hint="eastAsia" w:ascii="仿宋" w:hAnsi="仿宋" w:eastAsia="仿宋" w:cs="仿宋_GB2312"/>
          <w:color w:val="auto"/>
          <w:kern w:val="0"/>
          <w:sz w:val="30"/>
          <w:szCs w:val="30"/>
          <w:lang w:val="en-US" w:eastAsia="zh-CN"/>
        </w:rPr>
        <w:t>部门预算范围的二级项目</w:t>
      </w:r>
      <w:r>
        <w:rPr>
          <w:rFonts w:hint="eastAsia" w:ascii="仿宋" w:hAnsi="仿宋" w:eastAsia="仿宋"/>
          <w:sz w:val="30"/>
          <w:szCs w:val="30"/>
          <w:lang w:val="en-US" w:eastAsia="zh-CN"/>
        </w:rPr>
        <w:t>。</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第四部分 名词解释</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ind w:firstLine="640" w:firstLineChars="200"/>
        <w:rPr>
          <w:rFonts w:ascii="Arial"/>
          <w:sz w:val="21"/>
        </w:rPr>
      </w:pPr>
      <w:r>
        <w:rPr>
          <w:rFonts w:hint="eastAsia" w:ascii="仿宋_GB2312" w:eastAsia="仿宋_GB2312"/>
          <w:sz w:val="32"/>
          <w:szCs w:val="30"/>
        </w:rPr>
        <w:t>一、收入科目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rPr>
          <w:rFonts w:ascii="Arial" w:hAnsi="Arial" w:cs="Arial"/>
          <w:i w:val="0"/>
          <w:caps w:val="0"/>
          <w:color w:val="000000"/>
          <w:spacing w:val="0"/>
          <w:sz w:val="21"/>
          <w:szCs w:val="21"/>
        </w:rPr>
      </w:pPr>
      <w:r>
        <w:rPr>
          <w:rFonts w:ascii="仿宋" w:hAnsi="仿宋" w:eastAsia="仿宋" w:cs="仿宋"/>
          <w:i w:val="0"/>
          <w:caps w:val="0"/>
          <w:color w:val="000000"/>
          <w:spacing w:val="0"/>
          <w:sz w:val="32"/>
          <w:szCs w:val="32"/>
          <w:shd w:val="clear" w:fill="FFFFFF"/>
        </w:rPr>
        <w:t>（一）财政拨款：指当年财政拨付的资金。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rPr>
          <w:rFonts w:hint="default" w:ascii="Arial" w:hAnsi="Arial" w:cs="Arial"/>
          <w:i w:val="0"/>
          <w:caps w:val="0"/>
          <w:color w:val="000000"/>
          <w:spacing w:val="0"/>
          <w:sz w:val="21"/>
          <w:szCs w:val="21"/>
        </w:rPr>
      </w:pPr>
      <w:r>
        <w:rPr>
          <w:rFonts w:hint="eastAsia" w:ascii="仿宋" w:hAnsi="仿宋" w:eastAsia="仿宋" w:cs="仿宋"/>
          <w:i w:val="0"/>
          <w:caps w:val="0"/>
          <w:color w:val="000000"/>
          <w:spacing w:val="0"/>
          <w:sz w:val="32"/>
          <w:szCs w:val="32"/>
          <w:shd w:val="clear" w:fill="FFFFFF"/>
        </w:rPr>
        <w:t>（二）事业收入：指事业单位开展专业业务活动及辅助活动取得的收入。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rPr>
          <w:rFonts w:hint="default" w:ascii="Arial" w:hAnsi="Arial" w:cs="Arial"/>
          <w:i w:val="0"/>
          <w:caps w:val="0"/>
          <w:color w:val="000000"/>
          <w:spacing w:val="0"/>
          <w:sz w:val="21"/>
          <w:szCs w:val="21"/>
        </w:rPr>
      </w:pPr>
      <w:r>
        <w:rPr>
          <w:rFonts w:hint="eastAsia" w:ascii="仿宋" w:hAnsi="仿宋" w:eastAsia="仿宋" w:cs="仿宋"/>
          <w:i w:val="0"/>
          <w:caps w:val="0"/>
          <w:color w:val="000000"/>
          <w:spacing w:val="0"/>
          <w:sz w:val="32"/>
          <w:szCs w:val="32"/>
          <w:shd w:val="clear" w:fill="FFFFFF"/>
        </w:rPr>
        <w:t>（三）其他收入：指除财政拨款、事业收入、事业单位经营收入等以外的各项收入。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rPr>
          <w:rFonts w:hint="default" w:ascii="Arial" w:hAnsi="Arial" w:cs="Arial"/>
          <w:i w:val="0"/>
          <w:caps w:val="0"/>
          <w:color w:val="000000"/>
          <w:spacing w:val="0"/>
          <w:sz w:val="21"/>
          <w:szCs w:val="21"/>
        </w:rPr>
      </w:pPr>
      <w:r>
        <w:rPr>
          <w:rFonts w:hint="eastAsia" w:ascii="仿宋" w:hAnsi="仿宋" w:eastAsia="仿宋" w:cs="仿宋"/>
          <w:i w:val="0"/>
          <w:caps w:val="0"/>
          <w:color w:val="000000"/>
          <w:spacing w:val="0"/>
          <w:sz w:val="32"/>
          <w:szCs w:val="32"/>
          <w:shd w:val="clear" w:fill="FFFFFF"/>
        </w:rPr>
        <w:t>二、支出科目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40"/>
        <w:rPr>
          <w:rFonts w:hint="default" w:ascii="Arial" w:hAnsi="Arial" w:cs="Arial"/>
          <w:i w:val="0"/>
          <w:caps w:val="0"/>
          <w:color w:val="000000"/>
          <w:spacing w:val="0"/>
          <w:sz w:val="21"/>
          <w:szCs w:val="21"/>
        </w:rPr>
      </w:pPr>
      <w:r>
        <w:rPr>
          <w:rFonts w:hint="eastAsia" w:ascii="仿宋" w:hAnsi="仿宋" w:eastAsia="仿宋" w:cs="仿宋"/>
          <w:i w:val="0"/>
          <w:caps w:val="0"/>
          <w:color w:val="000000"/>
          <w:spacing w:val="0"/>
          <w:sz w:val="32"/>
          <w:szCs w:val="32"/>
          <w:shd w:val="clear" w:fill="FFFFFF"/>
        </w:rPr>
        <w:t>（一）事业运行：反映事业单位的基本支出。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w:t>
      </w:r>
      <w:r>
        <w:rPr>
          <w:rFonts w:hint="eastAsia" w:ascii="仿宋" w:hAnsi="仿宋" w:eastAsia="仿宋" w:cs="仿宋"/>
          <w:i w:val="0"/>
          <w:caps w:val="0"/>
          <w:color w:val="000000"/>
          <w:spacing w:val="0"/>
          <w:sz w:val="32"/>
          <w:szCs w:val="32"/>
          <w:shd w:val="clear" w:fill="FFFFFF"/>
          <w:lang w:val="en-US" w:eastAsia="zh-CN"/>
        </w:rPr>
        <w:t>二</w:t>
      </w:r>
      <w:r>
        <w:rPr>
          <w:rFonts w:hint="eastAsia" w:ascii="仿宋" w:hAnsi="仿宋" w:eastAsia="仿宋" w:cs="仿宋"/>
          <w:i w:val="0"/>
          <w:caps w:val="0"/>
          <w:color w:val="000000"/>
          <w:spacing w:val="0"/>
          <w:sz w:val="32"/>
          <w:szCs w:val="32"/>
          <w:shd w:val="clear" w:fill="FFFFFF"/>
        </w:rPr>
        <w:t>）住房公积金：反映行政事业单位按人力资源和社会保障部、财政部规定的基本工资和津补贴以及规定比例为职工缴纳的住房公积金。</w:t>
      </w:r>
    </w:p>
    <w:p>
      <w:pPr>
        <w:spacing w:line="560" w:lineRule="exact"/>
        <w:ind w:firstLine="640" w:firstLineChars="200"/>
        <w:rPr>
          <w:rFonts w:hint="eastAsia" w:ascii="仿宋_GB2312" w:eastAsia="仿宋_GB2312"/>
          <w:sz w:val="32"/>
          <w:szCs w:val="30"/>
        </w:rPr>
      </w:pPr>
      <w:r>
        <w:rPr>
          <w:rFonts w:hint="eastAsia" w:ascii="仿宋_GB2312" w:eastAsia="仿宋_GB2312"/>
          <w:sz w:val="32"/>
          <w:szCs w:val="30"/>
        </w:rPr>
        <w:t>三、涉及的专业名词</w:t>
      </w:r>
    </w:p>
    <w:p>
      <w:pPr>
        <w:spacing w:line="560" w:lineRule="exact"/>
        <w:ind w:firstLine="640" w:firstLineChars="200"/>
        <w:rPr>
          <w:rFonts w:hint="eastAsia" w:ascii="仿宋_GB2312" w:eastAsia="仿宋_GB2312"/>
          <w:sz w:val="32"/>
          <w:szCs w:val="30"/>
        </w:rPr>
      </w:pPr>
      <w:r>
        <w:rPr>
          <w:rFonts w:hint="eastAsia" w:ascii="仿宋_GB2312" w:eastAsia="仿宋_GB2312"/>
          <w:sz w:val="32"/>
          <w:szCs w:val="30"/>
        </w:rPr>
        <w:t xml:space="preserve">（一）“三公”经费：纳入预算管理的“三公”经费，是 指用财政拨款安排的因公出国（境）费、公务用车购置及运 行费和公务接待费。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640"/>
        <w:rPr>
          <w:rFonts w:hint="default" w:ascii="仿宋" w:hAnsi="仿宋" w:eastAsia="仿宋" w:cs="仿宋"/>
          <w:i w:val="0"/>
          <w:caps w:val="0"/>
          <w:color w:val="000000"/>
          <w:spacing w:val="0"/>
          <w:sz w:val="32"/>
          <w:szCs w:val="32"/>
          <w:shd w:val="clear" w:fill="FFFFFF"/>
        </w:rPr>
      </w:pPr>
      <w:r>
        <w:rPr>
          <w:rFonts w:hint="eastAsia" w:ascii="仿宋_GB2312" w:eastAsia="仿宋_GB2312"/>
          <w:sz w:val="32"/>
          <w:szCs w:val="30"/>
        </w:rPr>
        <w:t>（二）机关运行经费：为保障行政单位（包括参照公务 员法管理事业单位）运行用于购买货物和服务的各项资金， 包括办公及印刷费、邮电费、差旅费、会议费、福利费、日 常维修费、专用材料及一般设备购置费、办公用房水电费、 办公用房取暖费、办公用房物业管理费、公务用车运行维护 费以及其他费用。</w:t>
      </w:r>
    </w:p>
    <w:p>
      <w:pPr>
        <w:keepNext w:val="0"/>
        <w:keepLines w:val="0"/>
        <w:pageBreakBefore w:val="0"/>
        <w:wordWrap/>
        <w:overflowPunct/>
        <w:topLinePunct w:val="0"/>
        <w:bidi w:val="0"/>
        <w:spacing w:line="240" w:lineRule="auto"/>
      </w:pPr>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9" w:lineRule="exact"/>
      <w:ind w:firstLine="229"/>
      <w:rPr>
        <w:rFonts w:ascii="Arial" w:hAnsi="Arial" w:eastAsia="Arial" w:cs="Arial"/>
        <w:sz w:val="18"/>
        <w:szCs w:val="18"/>
      </w:rPr>
    </w:pPr>
    <w:r>
      <w:rPr>
        <w:rFonts w:ascii="Arial" w:hAnsi="Arial" w:eastAsia="Arial" w:cs="Arial"/>
        <w:spacing w:val="-2"/>
        <w:position w:val="-3"/>
        <w:sz w:val="18"/>
        <w:szCs w:val="18"/>
      </w:rPr>
      <w:t>—</w:t>
    </w:r>
    <w:r>
      <w:rPr>
        <w:rFonts w:ascii="Arial" w:hAnsi="Arial" w:eastAsia="Arial" w:cs="Arial"/>
        <w:spacing w:val="-7"/>
        <w:position w:val="-3"/>
        <w:sz w:val="18"/>
        <w:szCs w:val="18"/>
      </w:rPr>
      <w:t xml:space="preserve"> </w:t>
    </w:r>
    <w:r>
      <w:rPr>
        <w:rFonts w:ascii="Arial" w:hAnsi="Arial" w:eastAsia="Arial" w:cs="Arial"/>
        <w:spacing w:val="-2"/>
        <w:position w:val="-3"/>
        <w:sz w:val="18"/>
        <w:szCs w:val="18"/>
      </w:rPr>
      <w:t>2</w:t>
    </w:r>
    <w:r>
      <w:rPr>
        <w:rFonts w:ascii="Arial" w:hAnsi="Arial" w:eastAsia="Arial" w:cs="Arial"/>
        <w:spacing w:val="-18"/>
        <w:position w:val="-3"/>
        <w:sz w:val="18"/>
        <w:szCs w:val="18"/>
      </w:rPr>
      <w:t xml:space="preserve"> </w:t>
    </w:r>
    <w:r>
      <w:rPr>
        <w:rFonts w:ascii="Arial" w:hAnsi="Arial" w:eastAsia="Arial" w:cs="Arial"/>
        <w:spacing w:val="-2"/>
        <w:position w:val="-3"/>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4" w:lineRule="exact"/>
      <w:ind w:firstLine="273"/>
      <w:rPr>
        <w:rFonts w:ascii="Arial" w:hAnsi="Arial" w:eastAsia="Arial" w:cs="Arial"/>
        <w:sz w:val="16"/>
        <w:szCs w:val="16"/>
      </w:rPr>
    </w:pPr>
    <w:r>
      <w:rPr>
        <w:rFonts w:ascii="Arial" w:hAnsi="Arial" w:eastAsia="Arial" w:cs="Arial"/>
        <w:spacing w:val="-1"/>
        <w:position w:val="-2"/>
        <w:sz w:val="16"/>
        <w:szCs w:val="16"/>
      </w:rPr>
      <w:t>—</w:t>
    </w:r>
    <w:r>
      <w:rPr>
        <w:rFonts w:ascii="Arial" w:hAnsi="Arial" w:eastAsia="Arial" w:cs="Arial"/>
        <w:spacing w:val="6"/>
        <w:w w:val="102"/>
        <w:position w:val="-2"/>
        <w:sz w:val="16"/>
        <w:szCs w:val="16"/>
      </w:rPr>
      <w:t xml:space="preserve"> </w:t>
    </w:r>
    <w:r>
      <w:rPr>
        <w:rFonts w:ascii="Arial" w:hAnsi="Arial" w:eastAsia="Arial" w:cs="Arial"/>
        <w:spacing w:val="-1"/>
        <w:position w:val="-2"/>
        <w:sz w:val="16"/>
        <w:szCs w:val="16"/>
      </w:rPr>
      <w:t>4</w:t>
    </w:r>
    <w:r>
      <w:rPr>
        <w:rFonts w:ascii="Arial" w:hAnsi="Arial" w:eastAsia="Arial" w:cs="Arial"/>
        <w:spacing w:val="-2"/>
        <w:position w:val="-2"/>
        <w:sz w:val="16"/>
        <w:szCs w:val="16"/>
      </w:rPr>
      <w:t xml:space="preserve"> </w:t>
    </w:r>
    <w:r>
      <w:rPr>
        <w:rFonts w:ascii="Arial" w:hAnsi="Arial" w:eastAsia="Arial" w:cs="Arial"/>
        <w:spacing w:val="-1"/>
        <w:position w:val="-2"/>
        <w:sz w:val="16"/>
        <w:szCs w:val="16"/>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6" w:lineRule="exact"/>
      <w:ind w:firstLine="7950"/>
      <w:rPr>
        <w:rFonts w:ascii="Arial" w:hAnsi="Arial" w:eastAsia="Arial" w:cs="Arial"/>
        <w:sz w:val="16"/>
        <w:szCs w:val="16"/>
      </w:rPr>
    </w:pPr>
    <w:r>
      <w:rPr>
        <w:rFonts w:ascii="Arial" w:hAnsi="Arial" w:eastAsia="Arial" w:cs="Arial"/>
        <w:spacing w:val="-5"/>
        <w:position w:val="-2"/>
        <w:sz w:val="16"/>
        <w:szCs w:val="16"/>
      </w:rPr>
      <w:t>—</w:t>
    </w:r>
    <w:r>
      <w:rPr>
        <w:rFonts w:ascii="Arial" w:hAnsi="Arial" w:eastAsia="Arial" w:cs="Arial"/>
        <w:spacing w:val="20"/>
        <w:position w:val="-2"/>
        <w:sz w:val="16"/>
        <w:szCs w:val="16"/>
      </w:rPr>
      <w:t xml:space="preserve"> </w:t>
    </w:r>
    <w:r>
      <w:rPr>
        <w:rFonts w:ascii="Arial" w:hAnsi="Arial" w:eastAsia="Arial" w:cs="Arial"/>
        <w:spacing w:val="-5"/>
        <w:position w:val="-2"/>
        <w:sz w:val="16"/>
        <w:szCs w:val="16"/>
      </w:rPr>
      <w:t>13</w:t>
    </w:r>
    <w:r>
      <w:rPr>
        <w:rFonts w:ascii="Arial" w:hAnsi="Arial" w:eastAsia="Arial" w:cs="Arial"/>
        <w:spacing w:val="14"/>
        <w:position w:val="-2"/>
        <w:sz w:val="16"/>
        <w:szCs w:val="16"/>
      </w:rPr>
      <w:t xml:space="preserve">  </w:t>
    </w:r>
    <w:r>
      <w:rPr>
        <w:rFonts w:ascii="Arial" w:hAnsi="Arial" w:eastAsia="Arial" w:cs="Arial"/>
        <w:spacing w:val="-5"/>
        <w:position w:val="-2"/>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9375F7"/>
    <w:multiLevelType w:val="singleLevel"/>
    <w:tmpl w:val="129375F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yNDRmMzBkMDc1YjAyZGUzMDExZDgzYjRiOGU0Y2QifQ=="/>
  </w:docVars>
  <w:rsids>
    <w:rsidRoot w:val="39096735"/>
    <w:rsid w:val="08D65032"/>
    <w:rsid w:val="0A964538"/>
    <w:rsid w:val="104B26BB"/>
    <w:rsid w:val="119C5B8F"/>
    <w:rsid w:val="1A6C71E2"/>
    <w:rsid w:val="1F550872"/>
    <w:rsid w:val="21932A3C"/>
    <w:rsid w:val="223700F7"/>
    <w:rsid w:val="2C147790"/>
    <w:rsid w:val="39096735"/>
    <w:rsid w:val="39153A7D"/>
    <w:rsid w:val="408B24EB"/>
    <w:rsid w:val="4E48180D"/>
    <w:rsid w:val="53633640"/>
    <w:rsid w:val="553B5262"/>
    <w:rsid w:val="58DD6824"/>
    <w:rsid w:val="66F4382B"/>
    <w:rsid w:val="67665232"/>
    <w:rsid w:val="69FF56DF"/>
    <w:rsid w:val="6AA32F52"/>
    <w:rsid w:val="6B5E5454"/>
    <w:rsid w:val="6D670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6350</Words>
  <Characters>8614</Characters>
  <Lines>0</Lines>
  <Paragraphs>0</Paragraphs>
  <TotalTime>3</TotalTime>
  <ScaleCrop>false</ScaleCrop>
  <LinksUpToDate>false</LinksUpToDate>
  <CharactersWithSpaces>9051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2021-10-14T01:41:00Z</dcterms:created>
  <dc:creator>慎独</dc:creator>
  <cp:lastModifiedBy>火中漫舞的猪</cp:lastModifiedBy>
  <dcterms:modified xsi:type="dcterms:W3CDTF">2023-05-26T03:49:31Z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AEA32FA263BF4B289728E75BB416D713</vt:lpwstr>
  </property>
</Properties>
</file>